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beforeLines="200" w:after="0" w:line="360" w:lineRule="auto"/>
        <w:jc w:val="center"/>
        <w:rPr>
          <w:rFonts w:hAnsi="宋体" w:cs="宋体"/>
          <w:bCs/>
          <w:sz w:val="44"/>
          <w:szCs w:val="44"/>
          <w:highlight w:val="none"/>
          <w:u w:val="single"/>
        </w:rPr>
      </w:pPr>
      <w:r>
        <w:rPr>
          <w:rFonts w:hint="eastAsia" w:hAnsi="宋体" w:cs="宋体"/>
          <w:bCs/>
          <w:sz w:val="44"/>
          <w:szCs w:val="44"/>
          <w:highlight w:val="none"/>
          <w:u w:val="single"/>
          <w:lang w:eastAsia="zh-CN"/>
        </w:rPr>
        <w:t>中共肥东县委党校新校区建设项目智能化工程</w:t>
      </w:r>
      <w:r>
        <w:rPr>
          <w:rFonts w:hint="eastAsia" w:hAnsi="宋体" w:cs="宋体"/>
          <w:bCs/>
          <w:sz w:val="44"/>
          <w:szCs w:val="44"/>
          <w:highlight w:val="none"/>
        </w:rPr>
        <w:t>招</w:t>
      </w:r>
      <w:r>
        <w:rPr>
          <w:rFonts w:hint="eastAsia" w:hAnsi="宋体" w:cs="宋体"/>
          <w:bCs/>
          <w:sz w:val="44"/>
          <w:szCs w:val="44"/>
          <w:highlight w:val="none"/>
          <w:u w:val="none"/>
          <w:lang w:eastAsia="zh-CN"/>
        </w:rPr>
        <w:t>标</w:t>
      </w:r>
    </w:p>
    <w:p>
      <w:pPr>
        <w:spacing w:beforeLines="200" w:line="360" w:lineRule="auto"/>
        <w:jc w:val="center"/>
        <w:rPr>
          <w:rFonts w:hAnsi="宋体" w:cs="宋体"/>
          <w:bCs/>
          <w:kern w:val="2"/>
          <w:sz w:val="36"/>
          <w:szCs w:val="36"/>
          <w:highlight w:val="none"/>
          <w:u w:val="single"/>
        </w:rPr>
      </w:pPr>
      <w:r>
        <w:rPr>
          <w:rFonts w:hint="eastAsia" w:hAnsi="宋体" w:cs="宋体"/>
          <w:bCs/>
          <w:kern w:val="2"/>
          <w:sz w:val="36"/>
          <w:szCs w:val="36"/>
          <w:highlight w:val="none"/>
        </w:rPr>
        <w:t>（招标项目编号：</w:t>
      </w:r>
      <w:r>
        <w:rPr>
          <w:rFonts w:hint="eastAsia" w:hAnsi="宋体" w:cs="宋体"/>
          <w:bCs/>
          <w:kern w:val="2"/>
          <w:sz w:val="36"/>
          <w:szCs w:val="36"/>
          <w:highlight w:val="none"/>
          <w:u w:val="single"/>
          <w:lang w:eastAsia="zh-CN"/>
        </w:rPr>
        <w:t>2024ADDAZ00</w:t>
      </w:r>
      <w:r>
        <w:rPr>
          <w:rFonts w:hint="eastAsia" w:hAnsi="宋体" w:cs="宋体"/>
          <w:bCs/>
          <w:kern w:val="2"/>
          <w:sz w:val="36"/>
          <w:szCs w:val="36"/>
          <w:highlight w:val="none"/>
          <w:u w:val="single"/>
          <w:lang w:val="en-US" w:eastAsia="zh-CN"/>
        </w:rPr>
        <w:t xml:space="preserve">  </w:t>
      </w:r>
      <w:r>
        <w:rPr>
          <w:rFonts w:hint="eastAsia" w:hAnsi="宋体" w:cs="宋体"/>
          <w:bCs/>
          <w:kern w:val="2"/>
          <w:sz w:val="36"/>
          <w:szCs w:val="36"/>
          <w:highlight w:val="none"/>
        </w:rPr>
        <w:t>）</w:t>
      </w:r>
    </w:p>
    <w:p>
      <w:pPr>
        <w:spacing w:beforeLines="200" w:line="360" w:lineRule="auto"/>
        <w:jc w:val="center"/>
        <w:rPr>
          <w:rFonts w:ascii="Times New Roman" w:eastAsia="黑体"/>
          <w:kern w:val="2"/>
          <w:sz w:val="72"/>
          <w:szCs w:val="72"/>
          <w:highlight w:val="none"/>
        </w:rPr>
      </w:pPr>
      <w:r>
        <w:rPr>
          <w:rFonts w:hint="eastAsia" w:ascii="Times New Roman" w:eastAsia="黑体"/>
          <w:kern w:val="2"/>
          <w:sz w:val="72"/>
          <w:szCs w:val="72"/>
          <w:highlight w:val="none"/>
        </w:rPr>
        <w:t>招 标 文 件</w:t>
      </w: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kern w:val="2"/>
          <w:sz w:val="32"/>
          <w:szCs w:val="32"/>
          <w:highlight w:val="none"/>
        </w:rPr>
      </w:pPr>
      <w:r>
        <w:rPr>
          <w:rFonts w:hint="eastAsia" w:ascii="Times New Roman" w:eastAsia="黑体"/>
          <w:kern w:val="2"/>
          <w:sz w:val="32"/>
          <w:szCs w:val="32"/>
          <w:highlight w:val="none"/>
        </w:rPr>
        <w:t>招   标   人：</w:t>
      </w:r>
      <w:r>
        <w:rPr>
          <w:rFonts w:hint="eastAsia" w:ascii="Times New Roman" w:eastAsia="黑体"/>
          <w:kern w:val="2"/>
          <w:sz w:val="32"/>
          <w:szCs w:val="32"/>
          <w:highlight w:val="none"/>
          <w:u w:val="single"/>
          <w:lang w:eastAsia="zh-CN"/>
        </w:rPr>
        <w:t>肥东县重点工程建设管理中心</w:t>
      </w:r>
      <w:r>
        <w:rPr>
          <w:rFonts w:hint="eastAsia" w:ascii="Times New Roman"/>
          <w:kern w:val="2"/>
          <w:sz w:val="32"/>
          <w:szCs w:val="32"/>
          <w:highlight w:val="none"/>
        </w:rPr>
        <w:t>（盖单位章）</w:t>
      </w:r>
    </w:p>
    <w:p>
      <w:pPr>
        <w:spacing w:beforeLines="100" w:line="360" w:lineRule="auto"/>
        <w:ind w:firstLine="437"/>
        <w:jc w:val="center"/>
        <w:rPr>
          <w:rFonts w:ascii="Times New Roman"/>
          <w:kern w:val="2"/>
          <w:sz w:val="32"/>
          <w:szCs w:val="32"/>
          <w:highlight w:val="none"/>
        </w:rPr>
      </w:pPr>
      <w:r>
        <w:rPr>
          <w:rFonts w:hint="eastAsia" w:ascii="Times New Roman" w:eastAsia="黑体"/>
          <w:kern w:val="2"/>
          <w:sz w:val="32"/>
          <w:szCs w:val="32"/>
          <w:highlight w:val="none"/>
        </w:rPr>
        <w:t>招标代理机构：</w:t>
      </w:r>
      <w:r>
        <w:rPr>
          <w:rFonts w:hint="eastAsia" w:ascii="Times New Roman" w:eastAsia="黑体"/>
          <w:kern w:val="2"/>
          <w:sz w:val="32"/>
          <w:szCs w:val="32"/>
          <w:highlight w:val="none"/>
          <w:u w:val="single"/>
        </w:rPr>
        <w:t>肥东县公共资源交易有限公司</w:t>
      </w:r>
      <w:r>
        <w:rPr>
          <w:rFonts w:hint="eastAsia" w:ascii="Times New Roman"/>
          <w:kern w:val="2"/>
          <w:sz w:val="32"/>
          <w:szCs w:val="32"/>
          <w:highlight w:val="none"/>
        </w:rPr>
        <w:t>（盖单位章）</w:t>
      </w:r>
    </w:p>
    <w:p>
      <w:pPr>
        <w:spacing w:beforeLines="100" w:line="360" w:lineRule="auto"/>
        <w:ind w:firstLine="2176" w:firstLineChars="680"/>
        <w:jc w:val="both"/>
        <w:rPr>
          <w:rFonts w:ascii="Times New Roman"/>
          <w:kern w:val="2"/>
          <w:sz w:val="32"/>
          <w:szCs w:val="32"/>
          <w:highlight w:val="none"/>
        </w:rPr>
      </w:pPr>
      <w:r>
        <w:rPr>
          <w:rFonts w:hint="eastAsia" w:ascii="Times New Roman" w:eastAsia="黑体"/>
          <w:kern w:val="2"/>
          <w:sz w:val="32"/>
          <w:szCs w:val="32"/>
          <w:highlight w:val="none"/>
        </w:rPr>
        <w:t>日    期</w:t>
      </w:r>
      <w:r>
        <w:rPr>
          <w:rFonts w:hint="eastAsia" w:ascii="Times New Roman"/>
          <w:kern w:val="2"/>
          <w:sz w:val="32"/>
          <w:szCs w:val="32"/>
          <w:highlight w:val="none"/>
        </w:rPr>
        <w:t>：</w:t>
      </w:r>
      <w:r>
        <w:rPr>
          <w:rFonts w:hint="eastAsia" w:ascii="Times New Roman" w:eastAsia="黑体"/>
          <w:kern w:val="2"/>
          <w:sz w:val="32"/>
          <w:szCs w:val="32"/>
          <w:highlight w:val="none"/>
          <w:u w:val="single"/>
        </w:rPr>
        <w:t>202</w:t>
      </w:r>
      <w:r>
        <w:rPr>
          <w:rFonts w:hint="eastAsia" w:ascii="Times New Roman" w:eastAsia="黑体"/>
          <w:kern w:val="2"/>
          <w:sz w:val="32"/>
          <w:szCs w:val="32"/>
          <w:highlight w:val="none"/>
          <w:u w:val="single"/>
          <w:lang w:val="en-US" w:eastAsia="zh-CN"/>
        </w:rPr>
        <w:t>4</w:t>
      </w:r>
      <w:r>
        <w:rPr>
          <w:rFonts w:hint="eastAsia" w:ascii="Times New Roman"/>
          <w:kern w:val="2"/>
          <w:sz w:val="32"/>
          <w:szCs w:val="32"/>
          <w:highlight w:val="none"/>
        </w:rPr>
        <w:t>年</w:t>
      </w:r>
      <w:r>
        <w:rPr>
          <w:rFonts w:hint="eastAsia" w:ascii="Times New Roman" w:eastAsia="黑体"/>
          <w:kern w:val="2"/>
          <w:sz w:val="32"/>
          <w:szCs w:val="32"/>
          <w:highlight w:val="none"/>
          <w:u w:val="single"/>
          <w:lang w:val="en-US" w:eastAsia="zh-CN"/>
        </w:rPr>
        <w:t>09</w:t>
      </w:r>
      <w:r>
        <w:rPr>
          <w:rFonts w:hint="eastAsia" w:ascii="Times New Roman"/>
          <w:kern w:val="2"/>
          <w:sz w:val="32"/>
          <w:szCs w:val="32"/>
          <w:highlight w:val="none"/>
        </w:rPr>
        <w:t>月</w:t>
      </w:r>
    </w:p>
    <w:p>
      <w:pPr>
        <w:pStyle w:val="49"/>
        <w:snapToGrid w:val="0"/>
        <w:spacing w:before="150" w:beforeAutospacing="0" w:after="150" w:afterAutospacing="0" w:line="560" w:lineRule="atLeast"/>
        <w:jc w:val="center"/>
        <w:rPr>
          <w:rFonts w:ascii="Times New Roman" w:hAnsi="Times New Roman" w:cs="Times New Roman"/>
          <w:bCs/>
          <w:color w:val="auto"/>
          <w:kern w:val="44"/>
          <w:sz w:val="32"/>
          <w:szCs w:val="32"/>
          <w:highlight w:val="none"/>
        </w:rPr>
      </w:pPr>
      <w:r>
        <w:rPr>
          <w:rFonts w:hint="eastAsia" w:ascii="Times New Roman" w:hAnsi="Times New Roman"/>
          <w:color w:val="auto"/>
          <w:sz w:val="52"/>
          <w:szCs w:val="52"/>
          <w:highlight w:val="none"/>
        </w:rPr>
        <w:br w:type="page"/>
      </w:r>
      <w:r>
        <w:rPr>
          <w:rFonts w:hint="eastAsia" w:ascii="黑体" w:hAnsi="黑体" w:eastAsia="黑体" w:cs="黑体"/>
          <w:bCs/>
          <w:color w:val="auto"/>
          <w:kern w:val="44"/>
          <w:sz w:val="32"/>
          <w:szCs w:val="32"/>
          <w:highlight w:val="none"/>
        </w:rPr>
        <w:t>目  录</w:t>
      </w:r>
    </w:p>
    <w:p>
      <w:pPr>
        <w:pStyle w:val="34"/>
        <w:tabs>
          <w:tab w:val="right" w:leader="dot" w:pos="8300"/>
        </w:tabs>
      </w:pPr>
      <w:r>
        <w:rPr>
          <w:rFonts w:hint="eastAsia" w:ascii="宋体" w:hAnsi="宋体" w:cs="宋体"/>
          <w:b w:val="0"/>
          <w:caps w:val="0"/>
          <w:highlight w:val="none"/>
        </w:rPr>
        <w:fldChar w:fldCharType="begin"/>
      </w:r>
      <w:r>
        <w:rPr>
          <w:rFonts w:hint="eastAsia" w:ascii="宋体" w:hAnsi="宋体" w:cs="宋体"/>
          <w:b w:val="0"/>
          <w:caps w:val="0"/>
          <w:highlight w:val="none"/>
        </w:rPr>
        <w:instrText xml:space="preserve"> TOC \o "1-2" \h \z \u </w:instrText>
      </w:r>
      <w:r>
        <w:rPr>
          <w:rFonts w:hint="eastAsia" w:ascii="宋体" w:hAnsi="宋体" w:cs="宋体"/>
          <w:b w:val="0"/>
          <w:caps w:val="0"/>
          <w:highlight w:val="none"/>
        </w:rPr>
        <w:fldChar w:fldCharType="separate"/>
      </w:r>
      <w:r>
        <w:rPr>
          <w:rFonts w:hint="eastAsia" w:ascii="宋体" w:hAnsi="宋体" w:cs="宋体"/>
          <w:caps w:val="0"/>
          <w:highlight w:val="none"/>
        </w:rPr>
        <w:fldChar w:fldCharType="begin"/>
      </w:r>
      <w:r>
        <w:rPr>
          <w:rFonts w:hint="eastAsia" w:ascii="宋体" w:hAnsi="宋体" w:cs="宋体"/>
          <w:caps w:val="0"/>
          <w:highlight w:val="none"/>
        </w:rPr>
        <w:instrText xml:space="preserve"> HYPERLINK \l _Toc4641 </w:instrText>
      </w:r>
      <w:r>
        <w:rPr>
          <w:rFonts w:hint="eastAsia" w:ascii="宋体" w:hAnsi="宋体" w:cs="宋体"/>
          <w:caps w:val="0"/>
          <w:highlight w:val="none"/>
        </w:rPr>
        <w:fldChar w:fldCharType="separate"/>
      </w:r>
      <w:r>
        <w:rPr>
          <w:rFonts w:hint="eastAsia" w:ascii="黑体" w:hAnsi="黑体" w:eastAsia="黑体" w:cs="黑体"/>
          <w:bCs/>
          <w:highlight w:val="none"/>
        </w:rPr>
        <w:t>第一章  招标公告</w:t>
      </w:r>
      <w:r>
        <w:tab/>
      </w:r>
      <w:r>
        <w:fldChar w:fldCharType="begin"/>
      </w:r>
      <w:r>
        <w:instrText xml:space="preserve"> PAGEREF _Toc4641 \h </w:instrText>
      </w:r>
      <w:r>
        <w:fldChar w:fldCharType="separate"/>
      </w:r>
      <w:r>
        <w:t>3</w:t>
      </w:r>
      <w:r>
        <w:fldChar w:fldCharType="end"/>
      </w:r>
      <w:r>
        <w:rPr>
          <w:rFonts w:hint="eastAsia" w:ascii="宋体" w:hAnsi="宋体" w:cs="宋体"/>
          <w:caps w:val="0"/>
          <w:highlight w:val="none"/>
        </w:rPr>
        <w:fldChar w:fldCharType="end"/>
      </w:r>
    </w:p>
    <w:p>
      <w:pPr>
        <w:pStyle w:val="34"/>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_Toc9906 </w:instrText>
      </w:r>
      <w:r>
        <w:rPr>
          <w:rFonts w:hint="eastAsia" w:hAnsi="宋体" w:cs="宋体"/>
          <w:szCs w:val="20"/>
          <w:highlight w:val="none"/>
        </w:rPr>
        <w:fldChar w:fldCharType="separate"/>
      </w:r>
      <w:r>
        <w:rPr>
          <w:rFonts w:hint="eastAsia" w:ascii="黑体" w:hAnsi="黑体" w:eastAsia="黑体" w:cs="黑体"/>
          <w:bCs w:val="0"/>
          <w:highlight w:val="none"/>
        </w:rPr>
        <w:t>第二章  投标人须知</w:t>
      </w:r>
      <w:r>
        <w:tab/>
      </w:r>
      <w:r>
        <w:fldChar w:fldCharType="begin"/>
      </w:r>
      <w:r>
        <w:instrText xml:space="preserve"> PAGEREF _Toc9906 \h </w:instrText>
      </w:r>
      <w:r>
        <w:fldChar w:fldCharType="separate"/>
      </w:r>
      <w:r>
        <w:t>10</w:t>
      </w:r>
      <w:r>
        <w:fldChar w:fldCharType="end"/>
      </w:r>
      <w:r>
        <w:rPr>
          <w:rFonts w:hint="eastAsia" w:hAnsi="宋体" w:cs="宋体"/>
          <w:szCs w:val="20"/>
          <w:highlight w:val="none"/>
        </w:rPr>
        <w:fldChar w:fldCharType="end"/>
      </w:r>
    </w:p>
    <w:p>
      <w:pPr>
        <w:pStyle w:val="34"/>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_Toc8131 </w:instrText>
      </w:r>
      <w:r>
        <w:rPr>
          <w:rFonts w:hint="eastAsia" w:hAnsi="宋体" w:cs="宋体"/>
          <w:szCs w:val="20"/>
          <w:highlight w:val="none"/>
        </w:rPr>
        <w:fldChar w:fldCharType="separate"/>
      </w:r>
      <w:r>
        <w:rPr>
          <w:rFonts w:hint="eastAsia" w:ascii="黑体" w:hAnsi="黑体" w:eastAsia="黑体" w:cs="黑体"/>
          <w:highlight w:val="none"/>
        </w:rPr>
        <w:t>第三章  评标办法</w:t>
      </w:r>
      <w:r>
        <w:tab/>
      </w:r>
      <w:r>
        <w:fldChar w:fldCharType="begin"/>
      </w:r>
      <w:r>
        <w:instrText xml:space="preserve"> PAGEREF _Toc8131 \h </w:instrText>
      </w:r>
      <w:r>
        <w:fldChar w:fldCharType="separate"/>
      </w:r>
      <w:r>
        <w:t>51</w:t>
      </w:r>
      <w:r>
        <w:fldChar w:fldCharType="end"/>
      </w:r>
      <w:r>
        <w:rPr>
          <w:rFonts w:hint="eastAsia" w:hAnsi="宋体" w:cs="宋体"/>
          <w:szCs w:val="20"/>
          <w:highlight w:val="none"/>
        </w:rPr>
        <w:fldChar w:fldCharType="end"/>
      </w:r>
    </w:p>
    <w:p>
      <w:pPr>
        <w:pStyle w:val="34"/>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_Toc6354 </w:instrText>
      </w:r>
      <w:r>
        <w:rPr>
          <w:rFonts w:hint="eastAsia" w:hAnsi="宋体" w:cs="宋体"/>
          <w:szCs w:val="20"/>
          <w:highlight w:val="none"/>
        </w:rPr>
        <w:fldChar w:fldCharType="separate"/>
      </w:r>
      <w:r>
        <w:rPr>
          <w:rFonts w:hint="eastAsia" w:ascii="黑体" w:hAnsi="黑体" w:eastAsia="黑体" w:cs="黑体"/>
          <w:bCs w:val="0"/>
          <w:highlight w:val="none"/>
        </w:rPr>
        <w:t>第四章  合同条款及格式</w:t>
      </w:r>
      <w:r>
        <w:tab/>
      </w:r>
      <w:r>
        <w:fldChar w:fldCharType="begin"/>
      </w:r>
      <w:r>
        <w:instrText xml:space="preserve"> PAGEREF _Toc6354 \h </w:instrText>
      </w:r>
      <w:r>
        <w:fldChar w:fldCharType="separate"/>
      </w:r>
      <w:r>
        <w:t>71</w:t>
      </w:r>
      <w:r>
        <w:fldChar w:fldCharType="end"/>
      </w:r>
      <w:r>
        <w:rPr>
          <w:rFonts w:hint="eastAsia" w:hAnsi="宋体" w:cs="宋体"/>
          <w:szCs w:val="20"/>
          <w:highlight w:val="none"/>
        </w:rPr>
        <w:fldChar w:fldCharType="end"/>
      </w:r>
    </w:p>
    <w:p>
      <w:pPr>
        <w:pStyle w:val="34"/>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_Toc4445 </w:instrText>
      </w:r>
      <w:r>
        <w:rPr>
          <w:rFonts w:hint="eastAsia" w:hAnsi="宋体" w:cs="宋体"/>
          <w:szCs w:val="20"/>
          <w:highlight w:val="none"/>
        </w:rPr>
        <w:fldChar w:fldCharType="separate"/>
      </w:r>
      <w:r>
        <w:rPr>
          <w:rFonts w:hint="eastAsia" w:ascii="黑体" w:hAnsi="黑体" w:eastAsia="黑体" w:cs="黑体"/>
          <w:highlight w:val="none"/>
        </w:rPr>
        <w:t>第五章  供货要求</w:t>
      </w:r>
      <w:r>
        <w:tab/>
      </w:r>
      <w:r>
        <w:fldChar w:fldCharType="begin"/>
      </w:r>
      <w:r>
        <w:instrText xml:space="preserve"> PAGEREF _Toc4445 \h </w:instrText>
      </w:r>
      <w:r>
        <w:fldChar w:fldCharType="separate"/>
      </w:r>
      <w:r>
        <w:t>102</w:t>
      </w:r>
      <w:r>
        <w:fldChar w:fldCharType="end"/>
      </w:r>
      <w:r>
        <w:rPr>
          <w:rFonts w:hint="eastAsia" w:hAnsi="宋体" w:cs="宋体"/>
          <w:szCs w:val="20"/>
          <w:highlight w:val="none"/>
        </w:rPr>
        <w:fldChar w:fldCharType="end"/>
      </w:r>
    </w:p>
    <w:p>
      <w:pPr>
        <w:pStyle w:val="34"/>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_Toc30374 </w:instrText>
      </w:r>
      <w:r>
        <w:rPr>
          <w:rFonts w:hint="eastAsia" w:hAnsi="宋体" w:cs="宋体"/>
          <w:szCs w:val="20"/>
          <w:highlight w:val="none"/>
        </w:rPr>
        <w:fldChar w:fldCharType="separate"/>
      </w:r>
      <w:r>
        <w:rPr>
          <w:rFonts w:hint="eastAsia" w:ascii="黑体" w:hAnsi="黑体" w:eastAsia="黑体" w:cs="黑体"/>
          <w:highlight w:val="none"/>
          <w:lang w:val="en-US" w:eastAsia="zh-CN"/>
        </w:rPr>
        <w:t>第六章  投标文件格式</w:t>
      </w:r>
      <w:r>
        <w:tab/>
      </w:r>
      <w:r>
        <w:fldChar w:fldCharType="begin"/>
      </w:r>
      <w:r>
        <w:instrText xml:space="preserve"> PAGEREF _Toc30374 \h </w:instrText>
      </w:r>
      <w:r>
        <w:fldChar w:fldCharType="separate"/>
      </w:r>
      <w:r>
        <w:t>159</w:t>
      </w:r>
      <w:r>
        <w:fldChar w:fldCharType="end"/>
      </w:r>
      <w:r>
        <w:rPr>
          <w:rFonts w:hint="eastAsia" w:hAnsi="宋体" w:cs="宋体"/>
          <w:szCs w:val="20"/>
          <w:highlight w:val="none"/>
        </w:rPr>
        <w:fldChar w:fldCharType="end"/>
      </w:r>
    </w:p>
    <w:p>
      <w:pPr>
        <w:pStyle w:val="3"/>
        <w:spacing w:beforeLines="100" w:afterLines="100" w:line="240" w:lineRule="auto"/>
        <w:jc w:val="center"/>
        <w:rPr>
          <w:rFonts w:hint="eastAsia" w:hAnsi="宋体" w:cs="宋体"/>
          <w:szCs w:val="20"/>
          <w:highlight w:val="none"/>
        </w:rPr>
      </w:pPr>
      <w:r>
        <w:rPr>
          <w:rFonts w:hint="eastAsia" w:hAnsi="宋体" w:cs="宋体"/>
          <w:szCs w:val="20"/>
          <w:highlight w:val="none"/>
        </w:rPr>
        <w:fldChar w:fldCharType="end"/>
      </w:r>
    </w:p>
    <w:p>
      <w:pPr>
        <w:pStyle w:val="3"/>
        <w:spacing w:beforeLines="100" w:afterLines="100" w:line="240" w:lineRule="auto"/>
        <w:jc w:val="center"/>
        <w:rPr>
          <w:rFonts w:hint="eastAsia" w:hAnsi="宋体" w:cs="宋体"/>
          <w:szCs w:val="20"/>
          <w:highlight w:val="none"/>
        </w:rPr>
      </w:pPr>
    </w:p>
    <w:p>
      <w:pPr>
        <w:pStyle w:val="3"/>
        <w:spacing w:beforeLines="100" w:afterLines="100" w:line="240" w:lineRule="auto"/>
        <w:jc w:val="center"/>
        <w:rPr>
          <w:rFonts w:eastAsia="黑体"/>
          <w:b w:val="0"/>
          <w:highlight w:val="none"/>
        </w:rPr>
      </w:pPr>
      <w:r>
        <w:rPr>
          <w:rFonts w:hint="eastAsia" w:eastAsia="黑体"/>
          <w:b w:val="0"/>
          <w:highlight w:val="none"/>
        </w:rPr>
        <w:br w:type="page"/>
      </w:r>
      <w:bookmarkStart w:id="0" w:name="_Toc4641"/>
      <w:r>
        <w:rPr>
          <w:rFonts w:hint="eastAsia" w:ascii="黑体" w:hAnsi="黑体" w:eastAsia="黑体" w:cs="黑体"/>
          <w:b w:val="0"/>
          <w:bCs/>
          <w:highlight w:val="none"/>
        </w:rPr>
        <w:t>第一章  招标公告</w:t>
      </w:r>
      <w:bookmarkEnd w:id="0"/>
    </w:p>
    <w:p>
      <w:pPr>
        <w:pStyle w:val="19"/>
        <w:keepNext w:val="0"/>
        <w:keepLines w:val="0"/>
        <w:pageBreakBefore w:val="0"/>
        <w:kinsoku/>
        <w:wordWrap/>
        <w:overflowPunct/>
        <w:topLinePunct w:val="0"/>
        <w:autoSpaceDE/>
        <w:autoSpaceDN/>
        <w:bidi w:val="0"/>
        <w:adjustRightInd/>
        <w:snapToGrid/>
        <w:spacing w:after="0" w:line="560" w:lineRule="exact"/>
        <w:jc w:val="center"/>
        <w:textAlignment w:val="auto"/>
        <w:outlineLvl w:val="1"/>
        <w:rPr>
          <w:rFonts w:ascii="宋体" w:hAnsi="宋体" w:cs="黑体"/>
          <w:sz w:val="44"/>
          <w:szCs w:val="44"/>
          <w:highlight w:val="none"/>
        </w:rPr>
      </w:pPr>
      <w:bookmarkStart w:id="1" w:name="_Toc1408"/>
      <w:bookmarkStart w:id="2" w:name="_Toc3375"/>
      <w:bookmarkStart w:id="3" w:name="_Toc140069381"/>
      <w:bookmarkStart w:id="4" w:name="_Toc21186"/>
      <w:bookmarkStart w:id="5" w:name="_Toc29561"/>
      <w:bookmarkStart w:id="6" w:name="OLE_LINK1"/>
      <w:r>
        <w:rPr>
          <w:rFonts w:hint="eastAsia" w:ascii="宋体" w:hAnsi="宋体" w:cs="黑体"/>
          <w:sz w:val="44"/>
          <w:szCs w:val="44"/>
          <w:highlight w:val="none"/>
          <w:lang w:eastAsia="zh-CN"/>
        </w:rPr>
        <w:t>中共肥东县委党校新校区建设项目智能化工程</w:t>
      </w:r>
      <w:r>
        <w:rPr>
          <w:rFonts w:hint="eastAsia" w:ascii="宋体" w:hAnsi="宋体" w:cs="黑体"/>
          <w:sz w:val="44"/>
          <w:szCs w:val="44"/>
          <w:highlight w:val="none"/>
        </w:rPr>
        <w:t>招标公告</w:t>
      </w:r>
      <w:bookmarkEnd w:id="1"/>
      <w:bookmarkEnd w:id="2"/>
      <w:bookmarkEnd w:id="3"/>
      <w:bookmarkEnd w:id="4"/>
      <w:bookmarkEnd w:id="5"/>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7" w:name="_Toc3717"/>
      <w:bookmarkStart w:id="8" w:name="_Toc140069382"/>
      <w:bookmarkStart w:id="9" w:name="_Toc26472"/>
      <w:bookmarkStart w:id="10" w:name="_Toc10622"/>
      <w:bookmarkStart w:id="11" w:name="_Toc20200"/>
      <w:bookmarkStart w:id="12" w:name="_Toc13283"/>
      <w:bookmarkStart w:id="13" w:name="_Toc19312"/>
      <w:r>
        <w:rPr>
          <w:rFonts w:hint="eastAsia" w:ascii="黑体" w:hAnsi="黑体" w:eastAsia="黑体"/>
          <w:sz w:val="28"/>
          <w:szCs w:val="28"/>
          <w:highlight w:val="none"/>
        </w:rPr>
        <w:t>1.招标条件</w:t>
      </w:r>
      <w:bookmarkEnd w:id="7"/>
      <w:bookmarkEnd w:id="8"/>
      <w:bookmarkEnd w:id="9"/>
      <w:bookmarkEnd w:id="10"/>
      <w:bookmarkEnd w:id="11"/>
      <w:bookmarkEnd w:id="12"/>
      <w:bookmarkEnd w:id="13"/>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lang w:eastAsia="zh-CN"/>
        </w:rPr>
      </w:pPr>
      <w:bookmarkStart w:id="14" w:name="_Toc12572"/>
      <w:bookmarkStart w:id="15" w:name="_Toc2037"/>
      <w:bookmarkStart w:id="16" w:name="_Toc21848"/>
      <w:bookmarkStart w:id="17" w:name="_Toc28404"/>
      <w:bookmarkStart w:id="18" w:name="_Toc89721488"/>
      <w:r>
        <w:rPr>
          <w:rFonts w:hint="eastAsia" w:ascii="仿宋" w:hAnsi="仿宋" w:eastAsia="仿宋" w:cs="宋体"/>
          <w:bCs/>
          <w:snapToGrid w:val="0"/>
          <w:sz w:val="28"/>
          <w:szCs w:val="28"/>
          <w:highlight w:val="none"/>
        </w:rPr>
        <w:t>1.1 项目名称：</w:t>
      </w:r>
      <w:r>
        <w:rPr>
          <w:rFonts w:hint="eastAsia" w:ascii="仿宋" w:hAnsi="仿宋" w:eastAsia="仿宋" w:cs="宋体"/>
          <w:sz w:val="28"/>
          <w:szCs w:val="28"/>
          <w:highlight w:val="none"/>
          <w:lang w:eastAsia="zh-CN"/>
        </w:rPr>
        <w:t>中共肥东县委党校新校区建设项目智能化工程</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1.2 项目审批、核准或备案机关名称：</w:t>
      </w:r>
      <w:r>
        <w:rPr>
          <w:rFonts w:hint="eastAsia" w:ascii="仿宋" w:hAnsi="仿宋" w:eastAsia="仿宋" w:cs="宋体"/>
          <w:sz w:val="28"/>
          <w:szCs w:val="28"/>
          <w:highlight w:val="none"/>
        </w:rPr>
        <w:t>肥东县发展和改革委员会</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1.3 批文名称及编号：</w:t>
      </w:r>
      <w:r>
        <w:rPr>
          <w:rFonts w:hint="eastAsia" w:ascii="仿宋" w:hAnsi="仿宋" w:eastAsia="仿宋" w:cs="Calibri"/>
          <w:kern w:val="2"/>
          <w:sz w:val="28"/>
          <w:szCs w:val="28"/>
          <w:highlight w:val="none"/>
        </w:rPr>
        <w:t>关于</w:t>
      </w:r>
      <w:r>
        <w:rPr>
          <w:rFonts w:hint="eastAsia" w:ascii="仿宋" w:hAnsi="仿宋" w:eastAsia="仿宋" w:cs="Calibri"/>
          <w:kern w:val="2"/>
          <w:sz w:val="28"/>
          <w:szCs w:val="28"/>
          <w:highlight w:val="none"/>
          <w:lang w:val="en-US" w:eastAsia="zh-CN"/>
        </w:rPr>
        <w:t>同意中共肥东县委党校新校区建设项目立项的复函</w:t>
      </w:r>
      <w:r>
        <w:rPr>
          <w:rFonts w:hint="eastAsia" w:ascii="仿宋" w:hAnsi="仿宋" w:eastAsia="仿宋" w:cs="Calibri"/>
          <w:kern w:val="2"/>
          <w:sz w:val="28"/>
          <w:szCs w:val="28"/>
          <w:highlight w:val="none"/>
        </w:rPr>
        <w:t>，发改投〔2021〕</w:t>
      </w:r>
      <w:r>
        <w:rPr>
          <w:rFonts w:hint="eastAsia" w:ascii="仿宋" w:hAnsi="仿宋" w:eastAsia="仿宋" w:cs="Calibri"/>
          <w:kern w:val="2"/>
          <w:sz w:val="28"/>
          <w:szCs w:val="28"/>
          <w:highlight w:val="none"/>
          <w:lang w:val="en-US" w:eastAsia="zh-CN"/>
        </w:rPr>
        <w:t>73</w:t>
      </w:r>
      <w:r>
        <w:rPr>
          <w:rFonts w:hint="eastAsia" w:ascii="仿宋" w:hAnsi="仿宋" w:eastAsia="仿宋" w:cs="Calibri"/>
          <w:kern w:val="2"/>
          <w:sz w:val="28"/>
          <w:szCs w:val="28"/>
          <w:highlight w:val="none"/>
        </w:rPr>
        <w:t>号</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1.4 招标人：</w:t>
      </w:r>
      <w:r>
        <w:rPr>
          <w:rFonts w:hint="eastAsia" w:ascii="仿宋" w:hAnsi="仿宋" w:eastAsia="仿宋" w:cs="宋体"/>
          <w:sz w:val="28"/>
          <w:szCs w:val="28"/>
          <w:highlight w:val="none"/>
          <w:lang w:eastAsia="zh-CN"/>
        </w:rPr>
        <w:t>肥东县重点工程建设管理中心</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1.5 项目业主：</w:t>
      </w:r>
      <w:r>
        <w:rPr>
          <w:rFonts w:hint="eastAsia" w:ascii="仿宋" w:hAnsi="仿宋" w:eastAsia="仿宋" w:cs="宋体"/>
          <w:sz w:val="28"/>
          <w:szCs w:val="28"/>
          <w:highlight w:val="none"/>
          <w:lang w:eastAsia="zh-CN"/>
        </w:rPr>
        <w:t>肥东县重点工程建设管理中心</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1.6 资金来源：</w:t>
      </w:r>
      <w:r>
        <w:rPr>
          <w:rFonts w:hint="eastAsia" w:ascii="仿宋" w:hAnsi="仿宋" w:eastAsia="仿宋" w:cs="宋体"/>
          <w:sz w:val="28"/>
          <w:szCs w:val="28"/>
          <w:highlight w:val="none"/>
        </w:rPr>
        <w:t>政府投资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1.7 项目出资比例：</w:t>
      </w:r>
      <w:r>
        <w:rPr>
          <w:rFonts w:hint="eastAsia" w:ascii="仿宋" w:hAnsi="仿宋" w:eastAsia="仿宋" w:cs="宋体"/>
          <w:sz w:val="28"/>
          <w:szCs w:val="28"/>
          <w:highlight w:val="none"/>
        </w:rPr>
        <w:t>100%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1.8 资金落实情况：</w:t>
      </w:r>
      <w:r>
        <w:rPr>
          <w:rFonts w:hint="eastAsia" w:ascii="仿宋" w:hAnsi="仿宋" w:eastAsia="仿宋" w:cs="宋体"/>
          <w:sz w:val="28"/>
          <w:szCs w:val="28"/>
          <w:highlight w:val="none"/>
        </w:rPr>
        <w:t>已落实</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19" w:name="_Toc17912"/>
      <w:bookmarkStart w:id="20" w:name="_Toc5685"/>
      <w:bookmarkStart w:id="21" w:name="_Toc140069383"/>
      <w:r>
        <w:rPr>
          <w:rFonts w:hint="eastAsia" w:ascii="黑体" w:hAnsi="黑体" w:eastAsia="黑体"/>
          <w:sz w:val="28"/>
          <w:szCs w:val="28"/>
          <w:highlight w:val="none"/>
        </w:rPr>
        <w:t>2.项目概况与招标范围</w:t>
      </w:r>
      <w:bookmarkEnd w:id="14"/>
      <w:bookmarkEnd w:id="15"/>
      <w:bookmarkEnd w:id="16"/>
      <w:bookmarkEnd w:id="17"/>
      <w:bookmarkEnd w:id="19"/>
      <w:bookmarkEnd w:id="20"/>
      <w:bookmarkEnd w:id="21"/>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lang w:eastAsia="zh-CN"/>
        </w:rPr>
      </w:pPr>
      <w:bookmarkStart w:id="22" w:name="_Toc29404"/>
      <w:bookmarkStart w:id="23" w:name="_Toc7451"/>
      <w:bookmarkStart w:id="24" w:name="_Toc19143"/>
      <w:bookmarkStart w:id="25" w:name="_Toc13105"/>
      <w:r>
        <w:rPr>
          <w:rFonts w:hint="eastAsia" w:ascii="仿宋" w:hAnsi="仿宋" w:eastAsia="仿宋" w:cs="仿宋"/>
          <w:bCs/>
          <w:snapToGrid w:val="0"/>
          <w:sz w:val="28"/>
          <w:szCs w:val="28"/>
          <w:highlight w:val="none"/>
        </w:rPr>
        <w:t>2.1 招标项目名称：</w:t>
      </w:r>
      <w:r>
        <w:rPr>
          <w:rFonts w:hint="eastAsia" w:ascii="仿宋" w:hAnsi="仿宋" w:eastAsia="仿宋" w:cs="仿宋"/>
          <w:sz w:val="28"/>
          <w:szCs w:val="28"/>
          <w:highlight w:val="none"/>
          <w:lang w:eastAsia="zh-CN"/>
        </w:rPr>
        <w:t>中共肥东县委党校新校区建设项目智能化工程</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lang w:eastAsia="zh-CN"/>
        </w:rPr>
      </w:pPr>
      <w:r>
        <w:rPr>
          <w:rFonts w:hint="eastAsia" w:ascii="仿宋" w:hAnsi="仿宋" w:eastAsia="仿宋" w:cs="仿宋"/>
          <w:bCs/>
          <w:snapToGrid w:val="0"/>
          <w:sz w:val="28"/>
          <w:szCs w:val="28"/>
          <w:highlight w:val="none"/>
        </w:rPr>
        <w:t>2.2 招标项目编号：</w:t>
      </w:r>
      <w:r>
        <w:rPr>
          <w:rFonts w:hint="eastAsia" w:ascii="仿宋" w:hAnsi="仿宋" w:eastAsia="仿宋" w:cs="仿宋"/>
          <w:sz w:val="28"/>
          <w:szCs w:val="28"/>
          <w:highlight w:val="none"/>
          <w:lang w:eastAsia="zh-CN"/>
        </w:rPr>
        <w:t>2024ADDAZ00</w:t>
      </w:r>
      <w:r>
        <w:rPr>
          <w:rFonts w:hint="eastAsia" w:ascii="仿宋" w:hAnsi="仿宋" w:eastAsia="仿宋" w:cs="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rPr>
      </w:pPr>
      <w:r>
        <w:rPr>
          <w:rFonts w:hint="eastAsia" w:ascii="仿宋" w:hAnsi="仿宋" w:eastAsia="仿宋" w:cs="仿宋"/>
          <w:bCs/>
          <w:snapToGrid w:val="0"/>
          <w:sz w:val="28"/>
          <w:szCs w:val="28"/>
          <w:highlight w:val="none"/>
        </w:rPr>
        <w:t>2.3 标段划分：本</w:t>
      </w:r>
      <w:r>
        <w:rPr>
          <w:rFonts w:hint="eastAsia" w:ascii="仿宋" w:hAnsi="仿宋" w:eastAsia="仿宋" w:cs="仿宋"/>
          <w:bCs/>
          <w:snapToGrid w:val="0"/>
          <w:sz w:val="28"/>
          <w:szCs w:val="28"/>
          <w:highlight w:val="none"/>
          <w:lang w:val="en-US" w:eastAsia="zh-CN"/>
        </w:rPr>
        <w:t>招标</w:t>
      </w:r>
      <w:r>
        <w:rPr>
          <w:rFonts w:hint="eastAsia" w:ascii="仿宋" w:hAnsi="仿宋" w:eastAsia="仿宋" w:cs="仿宋"/>
          <w:bCs/>
          <w:snapToGrid w:val="0"/>
          <w:sz w:val="28"/>
          <w:szCs w:val="28"/>
          <w:highlight w:val="none"/>
        </w:rPr>
        <w:t>项目共</w:t>
      </w:r>
      <w:r>
        <w:rPr>
          <w:rFonts w:hint="eastAsia" w:ascii="仿宋" w:hAnsi="仿宋" w:eastAsia="仿宋" w:cs="仿宋"/>
          <w:bCs/>
          <w:snapToGrid w:val="0"/>
          <w:sz w:val="28"/>
          <w:szCs w:val="28"/>
          <w:highlight w:val="none"/>
          <w:lang w:val="en-US" w:eastAsia="zh-CN"/>
        </w:rPr>
        <w:t>划分</w:t>
      </w:r>
      <w:r>
        <w:rPr>
          <w:rFonts w:hint="eastAsia" w:ascii="仿宋" w:hAnsi="仿宋" w:eastAsia="仿宋" w:cs="仿宋"/>
          <w:bCs/>
          <w:snapToGrid w:val="0"/>
          <w:sz w:val="28"/>
          <w:szCs w:val="28"/>
          <w:highlight w:val="none"/>
        </w:rPr>
        <w:t>1个标段</w:t>
      </w:r>
      <w:r>
        <w:rPr>
          <w:rFonts w:hint="eastAsia" w:ascii="仿宋" w:hAnsi="仿宋" w:eastAsia="仿宋" w:cs="仿宋"/>
          <w:bCs/>
          <w:snapToGrid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lang w:eastAsia="zh-CN"/>
        </w:rPr>
      </w:pPr>
      <w:r>
        <w:rPr>
          <w:rFonts w:hint="eastAsia" w:ascii="仿宋" w:hAnsi="仿宋" w:eastAsia="仿宋" w:cs="仿宋"/>
          <w:bCs/>
          <w:snapToGrid w:val="0"/>
          <w:sz w:val="28"/>
          <w:szCs w:val="28"/>
          <w:highlight w:val="none"/>
        </w:rPr>
        <w:t>2.4 招标项目标段编号：</w:t>
      </w:r>
      <w:r>
        <w:rPr>
          <w:rFonts w:hint="eastAsia" w:ascii="仿宋" w:hAnsi="仿宋" w:eastAsia="仿宋" w:cs="仿宋"/>
          <w:sz w:val="28"/>
          <w:szCs w:val="28"/>
          <w:highlight w:val="none"/>
          <w:lang w:eastAsia="zh-CN"/>
        </w:rPr>
        <w:t>2024ADDAZ00</w:t>
      </w:r>
      <w:r>
        <w:rPr>
          <w:rFonts w:hint="eastAsia" w:ascii="仿宋" w:hAnsi="仿宋" w:eastAsia="仿宋" w:cs="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lang w:eastAsia="zh-CN"/>
        </w:rPr>
      </w:pPr>
      <w:r>
        <w:rPr>
          <w:rFonts w:hint="eastAsia" w:ascii="仿宋" w:hAnsi="仿宋" w:eastAsia="仿宋" w:cs="仿宋"/>
          <w:bCs/>
          <w:snapToGrid w:val="0"/>
          <w:sz w:val="28"/>
          <w:szCs w:val="28"/>
          <w:highlight w:val="none"/>
        </w:rPr>
        <w:t>2.5 建设地点：</w:t>
      </w:r>
      <w:r>
        <w:rPr>
          <w:rFonts w:hint="eastAsia" w:ascii="仿宋" w:hAnsi="仿宋" w:eastAsia="仿宋" w:cs="仿宋"/>
          <w:bCs/>
          <w:snapToGrid w:val="0"/>
          <w:sz w:val="28"/>
          <w:szCs w:val="28"/>
          <w:highlight w:val="none"/>
          <w:lang w:val="en-US" w:eastAsia="zh-CN"/>
        </w:rPr>
        <w:t>合肥东部新城核心区龙泉路与瑶岗路路交口东北侧</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bCs/>
          <w:snapToGrid w:val="0"/>
          <w:sz w:val="28"/>
          <w:szCs w:val="28"/>
          <w:highlight w:val="none"/>
        </w:rPr>
        <w:t>2.6 建设规模：</w:t>
      </w:r>
      <w:r>
        <w:rPr>
          <w:rFonts w:hint="eastAsia" w:ascii="仿宋" w:hAnsi="仿宋" w:eastAsia="仿宋" w:cs="仿宋"/>
          <w:color w:val="000000"/>
          <w:sz w:val="28"/>
          <w:szCs w:val="28"/>
          <w:highlight w:val="none"/>
          <w:lang w:val="en-US" w:eastAsia="zh-CN"/>
        </w:rPr>
        <w:t>项目占地面积约70亩，主要建设内容为：教学楼、教研综合楼、学术报告厅、学员公寓楼（含餐厅）、体育馆、连廊、地下室等建设，配套室内外运动场、道路、给排水、变配电、消防、绿化等。项目总建筑面积约39931平方米，其中地上建筑面积32718平方米、地下建筑面积7213平方米。本次实施中共肥东县委党校新校区建设项目智能化工程。</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rPr>
      </w:pPr>
      <w:r>
        <w:rPr>
          <w:rFonts w:hint="eastAsia" w:ascii="仿宋" w:hAnsi="仿宋" w:eastAsia="仿宋" w:cs="仿宋"/>
          <w:bCs/>
          <w:snapToGrid w:val="0"/>
          <w:sz w:val="28"/>
          <w:szCs w:val="28"/>
          <w:highlight w:val="none"/>
        </w:rPr>
        <w:t>2.7 合同估算价：</w:t>
      </w:r>
      <w:r>
        <w:rPr>
          <w:rFonts w:hint="eastAsia" w:ascii="仿宋" w:hAnsi="仿宋" w:eastAsia="仿宋" w:cs="仿宋"/>
          <w:sz w:val="28"/>
          <w:szCs w:val="28"/>
          <w:highlight w:val="none"/>
          <w:lang w:val="en-US" w:eastAsia="zh-CN"/>
        </w:rPr>
        <w:t>1145.1947</w:t>
      </w:r>
      <w:r>
        <w:rPr>
          <w:rFonts w:hint="eastAsia" w:ascii="仿宋" w:hAnsi="仿宋" w:eastAsia="仿宋" w:cs="仿宋"/>
          <w:sz w:val="28"/>
          <w:szCs w:val="28"/>
          <w:highlight w:val="none"/>
        </w:rPr>
        <w:t>万元</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2.8交货及安装周期：</w:t>
      </w:r>
      <w:r>
        <w:rPr>
          <w:rFonts w:hint="eastAsia" w:ascii="仿宋" w:hAnsi="仿宋" w:eastAsia="仿宋" w:cs="仿宋"/>
          <w:sz w:val="28"/>
          <w:szCs w:val="28"/>
          <w:highlight w:val="none"/>
          <w:lang w:val="en-US" w:eastAsia="zh-CN"/>
        </w:rPr>
        <w:t>150</w:t>
      </w:r>
      <w:r>
        <w:rPr>
          <w:rFonts w:hint="eastAsia" w:ascii="仿宋" w:hAnsi="仿宋" w:eastAsia="仿宋" w:cs="仿宋"/>
          <w:sz w:val="28"/>
          <w:szCs w:val="28"/>
          <w:highlight w:val="none"/>
        </w:rPr>
        <w:t>日历天</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lang w:eastAsia="zh-CN"/>
        </w:rPr>
      </w:pPr>
      <w:r>
        <w:rPr>
          <w:rFonts w:hint="eastAsia" w:ascii="仿宋" w:hAnsi="仿宋" w:eastAsia="仿宋" w:cs="仿宋"/>
          <w:bCs/>
          <w:snapToGrid w:val="0"/>
          <w:sz w:val="28"/>
          <w:szCs w:val="28"/>
          <w:highlight w:val="none"/>
        </w:rPr>
        <w:t>2.9交货及安装地点：</w:t>
      </w:r>
      <w:r>
        <w:rPr>
          <w:rFonts w:hint="eastAsia" w:ascii="仿宋" w:hAnsi="仿宋" w:eastAsia="仿宋" w:cs="仿宋"/>
          <w:kern w:val="2"/>
          <w:sz w:val="28"/>
          <w:szCs w:val="28"/>
          <w:highlight w:val="none"/>
        </w:rPr>
        <w:t>合肥东部新城核心区龙泉路与瑶岗路路交口东北侧</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2.10招标范围：主要建设内容包括但不限于：综合布线系统、计算机网络系统、综合安防系统、一卡通管理系统、机房系统、多媒体会议系统、多媒体教学系统、信息发布系统、能耗监测系统、综合管路系统、智慧党校平台系统、停车场管理系统等内容，其中会议系统只实施150人报告厅、教学楼讨论室、教研综合楼的党员活动室及大会议室；多媒体教学系统只实施4间普通教室及情景模拟实训室并能实现与150人报告厅同步教学内容，包括声音、视频、发言等的互联互通，实现主分课、会场的功能；信息发布系统只实施报告厅一层门厅及150人报告厅内的LED大屏，其余信息发布点末端设备不在本次招标范围；智慧党校平台仅实施综合门户系统、学员管理系统、教务教学系统、学员网课系统、移动应用系统、基础支撑平台、系统集成平台，其他智慧党校平台内的系统不在本次招标范围；电梯五方对讲布线，线缆工程量含在综合布线系统中；另包括本项目智能化系统60天稳定运行调试、安防检测、等保测评、防雷、消防等其他各类本项目智能化工程验收所需的测评</w:t>
      </w:r>
      <w:r>
        <w:rPr>
          <w:rFonts w:hint="eastAsia" w:ascii="仿宋" w:hAnsi="仿宋" w:eastAsia="仿宋" w:cs="仿宋"/>
          <w:bCs/>
          <w:snapToGrid w:val="0"/>
          <w:sz w:val="28"/>
          <w:szCs w:val="28"/>
          <w:highlight w:val="none"/>
          <w:lang w:val="en-US" w:eastAsia="zh-CN"/>
        </w:rPr>
        <w:t>等</w:t>
      </w:r>
      <w:r>
        <w:rPr>
          <w:rFonts w:hint="eastAsia" w:ascii="仿宋" w:hAnsi="仿宋" w:eastAsia="仿宋" w:cs="仿宋"/>
          <w:bCs/>
          <w:snapToGrid w:val="0"/>
          <w:sz w:val="28"/>
          <w:szCs w:val="28"/>
          <w:highlight w:val="none"/>
        </w:rPr>
        <w:t>第五章供货要求及图纸</w:t>
      </w:r>
      <w:r>
        <w:rPr>
          <w:rFonts w:hint="eastAsia" w:ascii="仿宋" w:hAnsi="仿宋" w:eastAsia="仿宋" w:cs="仿宋"/>
          <w:bCs/>
          <w:snapToGrid w:val="0"/>
          <w:sz w:val="28"/>
          <w:szCs w:val="28"/>
          <w:highlight w:val="none"/>
          <w:lang w:val="en-US" w:eastAsia="zh-CN"/>
        </w:rPr>
        <w:t>内容</w:t>
      </w:r>
      <w:r>
        <w:rPr>
          <w:rFonts w:hint="eastAsia" w:ascii="仿宋" w:hAnsi="仿宋" w:eastAsia="仿宋" w:cs="仿宋"/>
          <w:bCs/>
          <w:snapToGrid w:val="0"/>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rPr>
      </w:pPr>
      <w:r>
        <w:rPr>
          <w:rFonts w:hint="eastAsia" w:ascii="仿宋" w:hAnsi="仿宋" w:eastAsia="仿宋" w:cs="仿宋"/>
          <w:bCs/>
          <w:snapToGrid w:val="0"/>
          <w:sz w:val="28"/>
          <w:szCs w:val="28"/>
          <w:highlight w:val="none"/>
        </w:rPr>
        <w:t>2.11项目类别：</w:t>
      </w:r>
      <w:r>
        <w:rPr>
          <w:rFonts w:hint="eastAsia" w:ascii="仿宋" w:hAnsi="仿宋" w:eastAsia="仿宋" w:cs="仿宋"/>
          <w:sz w:val="28"/>
          <w:szCs w:val="28"/>
          <w:highlight w:val="none"/>
        </w:rPr>
        <w:t>工程货物</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2.12其他：</w:t>
      </w:r>
      <w:r>
        <w:rPr>
          <w:rFonts w:hint="eastAsia" w:ascii="仿宋" w:hAnsi="仿宋" w:eastAsia="仿宋" w:cs="仿宋"/>
          <w:sz w:val="28"/>
          <w:szCs w:val="28"/>
          <w:highlight w:val="none"/>
        </w:rPr>
        <w:t>无</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26" w:name="_Toc2463"/>
      <w:bookmarkStart w:id="27" w:name="_Toc29308"/>
      <w:bookmarkStart w:id="28" w:name="_Toc140069384"/>
      <w:r>
        <w:rPr>
          <w:rFonts w:hint="eastAsia" w:ascii="黑体" w:hAnsi="黑体" w:eastAsia="黑体"/>
          <w:sz w:val="28"/>
          <w:szCs w:val="28"/>
          <w:highlight w:val="none"/>
        </w:rPr>
        <w:t>3.投标人资格要求</w:t>
      </w:r>
      <w:bookmarkEnd w:id="22"/>
      <w:bookmarkEnd w:id="23"/>
      <w:bookmarkEnd w:id="24"/>
      <w:bookmarkEnd w:id="25"/>
      <w:bookmarkEnd w:id="26"/>
      <w:bookmarkEnd w:id="27"/>
      <w:bookmarkEnd w:id="28"/>
    </w:p>
    <w:bookmarkEnd w:id="18"/>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3.1 投标人应依法设立并具备承担本招标项目的如下条件：</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3.1.1 投标人资质要求：</w:t>
      </w:r>
      <w:r>
        <w:rPr>
          <w:rFonts w:hint="eastAsia" w:ascii="仿宋" w:hAnsi="仿宋" w:eastAsia="仿宋" w:cs="Calibri"/>
          <w:kern w:val="2"/>
          <w:sz w:val="28"/>
          <w:szCs w:val="28"/>
          <w:highlight w:val="none"/>
        </w:rPr>
        <w:t>具有电子与智能化工程专业承包贰级及以上资质，以及有效的安全生产许可证。</w:t>
      </w:r>
    </w:p>
    <w:p>
      <w:pPr>
        <w:keepNext w:val="0"/>
        <w:keepLines w:val="0"/>
        <w:pageBreakBefore w:val="0"/>
        <w:kinsoku/>
        <w:wordWrap/>
        <w:overflowPunct/>
        <w:topLinePunct w:val="0"/>
        <w:autoSpaceDE/>
        <w:autoSpaceDN/>
        <w:bidi w:val="0"/>
        <w:adjustRightInd/>
        <w:snapToGrid/>
        <w:spacing w:line="560" w:lineRule="exact"/>
        <w:ind w:firstLine="437"/>
        <w:jc w:val="left"/>
        <w:textAlignment w:val="auto"/>
        <w:rPr>
          <w:rFonts w:ascii="仿宋" w:hAnsi="仿宋" w:eastAsia="仿宋" w:cs="宋体"/>
          <w:bCs/>
          <w:snapToGrid w:val="0"/>
          <w:sz w:val="28"/>
          <w:szCs w:val="28"/>
          <w:highlight w:val="none"/>
        </w:rPr>
      </w:pPr>
      <w:r>
        <w:rPr>
          <w:rFonts w:hint="eastAsia" w:ascii="仿宋" w:hAnsi="仿宋" w:eastAsia="仿宋" w:cs="宋体"/>
          <w:sz w:val="28"/>
          <w:szCs w:val="28"/>
          <w:highlight w:val="none"/>
        </w:rPr>
        <w:t>3.1.2 项目负责人资格要求</w:t>
      </w:r>
      <w:r>
        <w:rPr>
          <w:rFonts w:hint="eastAsia" w:ascii="仿宋" w:hAnsi="仿宋" w:eastAsia="仿宋" w:cs="宋体"/>
          <w:bCs/>
          <w:snapToGrid w:val="0"/>
          <w:sz w:val="28"/>
          <w:szCs w:val="28"/>
          <w:highlight w:val="none"/>
        </w:rPr>
        <w:t>：拟委任的项目负责人具有机电工程专业二级及以上或通信与广电工程专业一级注册建造师资格，具备住房和城乡建设行政主管部门颁发的安全生产考核合格证书（B证），目前未在其他项目上任职或虽在其他项目上任职但本项目中标后能够从该项目撤离。</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bCs/>
          <w:snapToGrid w:val="0"/>
          <w:sz w:val="28"/>
          <w:szCs w:val="28"/>
          <w:highlight w:val="none"/>
        </w:rPr>
      </w:pPr>
      <w:r>
        <w:rPr>
          <w:rFonts w:hint="eastAsia" w:ascii="仿宋" w:hAnsi="仿宋" w:eastAsia="仿宋" w:cs="宋体"/>
          <w:sz w:val="28"/>
          <w:szCs w:val="28"/>
          <w:highlight w:val="none"/>
        </w:rPr>
        <w:t xml:space="preserve">3.1.3 </w:t>
      </w:r>
      <w:r>
        <w:rPr>
          <w:rFonts w:hint="eastAsia" w:ascii="仿宋" w:hAnsi="仿宋" w:eastAsia="仿宋" w:cs="宋体"/>
          <w:bCs/>
          <w:snapToGrid w:val="0"/>
          <w:sz w:val="28"/>
          <w:szCs w:val="28"/>
          <w:highlight w:val="none"/>
        </w:rPr>
        <w:t>投标人业绩要求：无</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437"/>
        <w:jc w:val="left"/>
        <w:textAlignment w:val="auto"/>
        <w:rPr>
          <w:rFonts w:ascii="仿宋" w:hAnsi="仿宋" w:eastAsia="仿宋" w:cs="宋体"/>
          <w:sz w:val="28"/>
          <w:szCs w:val="28"/>
          <w:highlight w:val="none"/>
        </w:rPr>
      </w:pPr>
      <w:r>
        <w:rPr>
          <w:rFonts w:hint="eastAsia" w:ascii="仿宋" w:hAnsi="仿宋" w:eastAsia="仿宋" w:cs="宋体"/>
          <w:sz w:val="28"/>
          <w:szCs w:val="28"/>
          <w:highlight w:val="none"/>
        </w:rPr>
        <w:t xml:space="preserve">3.1.4 </w:t>
      </w:r>
      <w:r>
        <w:rPr>
          <w:rFonts w:hint="eastAsia" w:ascii="仿宋" w:hAnsi="仿宋" w:eastAsia="仿宋" w:cs="宋体"/>
          <w:bCs/>
          <w:snapToGrid w:val="0"/>
          <w:sz w:val="28"/>
          <w:szCs w:val="28"/>
          <w:highlight w:val="none"/>
        </w:rPr>
        <w:t>项目负责人业绩要求：无</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437"/>
        <w:jc w:val="left"/>
        <w:textAlignment w:val="auto"/>
        <w:rPr>
          <w:rFonts w:ascii="仿宋" w:hAnsi="仿宋" w:eastAsia="仿宋" w:cs="宋体"/>
          <w:sz w:val="28"/>
          <w:szCs w:val="28"/>
          <w:highlight w:val="none"/>
        </w:rPr>
      </w:pPr>
      <w:r>
        <w:rPr>
          <w:rFonts w:hint="eastAsia" w:ascii="仿宋" w:hAnsi="仿宋" w:eastAsia="仿宋" w:cs="宋体"/>
          <w:sz w:val="28"/>
          <w:szCs w:val="28"/>
          <w:highlight w:val="none"/>
        </w:rPr>
        <w:t>3.1.5 财务要求：无。</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3.1.6 信誉要求：投标人未被合肥市及其所辖县（市）、区（开发区）公共资源交易监督管理部门记不良行为记录的；或被记不良行为记录（以公布日期为准），但同时符合下列情形的：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（1）开标日前（含当日）6个月内记分累计未满10分的；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（2）开标日前（含当日）12个月内记分累计未满15分的；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（3）开标日前（含当日）18个月内记分累计未满20分的；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（4）开标日前（含当日）24个月内记分累计未满25分的。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3.1.7本招标项目不接受联合体投标。</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 xml:space="preserve">3.2 </w:t>
      </w:r>
      <w:r>
        <w:rPr>
          <w:rFonts w:hint="eastAsia" w:ascii="仿宋" w:hAnsi="仿宋" w:eastAsia="仿宋" w:cs="宋体"/>
          <w:bCs/>
          <w:snapToGrid w:val="0"/>
          <w:sz w:val="28"/>
          <w:szCs w:val="28"/>
          <w:highlight w:val="none"/>
        </w:rPr>
        <w:t>一个制造商对同一品牌同一型号的货物，仅能委托一个代理商参加投标。（本项目不采用）</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3.3 投标人不得存在招标文件第二章投标人须知第1.4.3项、第1.4.4项规定的情形。</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3.4 其他要求：无。</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29" w:name="_Toc30498"/>
      <w:bookmarkStart w:id="30" w:name="_Toc14271"/>
      <w:bookmarkStart w:id="31" w:name="_Toc6851"/>
      <w:bookmarkStart w:id="32" w:name="_Toc140069385"/>
      <w:bookmarkStart w:id="33" w:name="_Toc25429"/>
      <w:bookmarkStart w:id="34" w:name="_Toc7194"/>
      <w:bookmarkStart w:id="35" w:name="_Toc81"/>
      <w:r>
        <w:rPr>
          <w:rFonts w:hint="eastAsia" w:ascii="黑体" w:hAnsi="黑体" w:eastAsia="黑体"/>
          <w:sz w:val="28"/>
          <w:szCs w:val="28"/>
          <w:highlight w:val="none"/>
        </w:rPr>
        <w:t>4.招标文件的获取</w:t>
      </w:r>
      <w:bookmarkEnd w:id="29"/>
      <w:bookmarkEnd w:id="30"/>
      <w:bookmarkEnd w:id="31"/>
      <w:bookmarkEnd w:id="32"/>
      <w:bookmarkEnd w:id="33"/>
      <w:bookmarkEnd w:id="34"/>
      <w:bookmarkEnd w:id="35"/>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bookmarkStart w:id="36" w:name="_Toc2764"/>
      <w:bookmarkStart w:id="37" w:name="_Toc9512"/>
      <w:bookmarkStart w:id="38" w:name="_Toc27382"/>
      <w:bookmarkStart w:id="39" w:name="_Toc14443"/>
      <w:r>
        <w:rPr>
          <w:rFonts w:hint="eastAsia" w:ascii="仿宋" w:hAnsi="仿宋" w:eastAsia="仿宋" w:cs="宋体"/>
          <w:sz w:val="28"/>
          <w:szCs w:val="28"/>
          <w:highlight w:val="none"/>
        </w:rPr>
        <w:t>4.1 获取时间：202</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年</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月</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日至投标截止时间。</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4.2 获取方式：</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（1）本招标项目实行全流程电子化交易。</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（2）潜在投标人可登录安徽合肥公共资源交易电子服务系统（以下简称“电子服务系统”）查阅招标文件，如参与投标，则须在本条第4.1款规定的招标文件获取时间内通过安徽公共资源交易</w:t>
      </w:r>
      <w:r>
        <w:rPr>
          <w:rFonts w:hint="eastAsia" w:ascii="仿宋" w:hAnsi="仿宋" w:eastAsia="仿宋" w:cs="宋体"/>
          <w:sz w:val="28"/>
          <w:szCs w:val="28"/>
          <w:highlight w:val="none"/>
          <w:lang w:val="en-US" w:eastAsia="zh-CN"/>
        </w:rPr>
        <w:t>中心</w:t>
      </w:r>
      <w:r>
        <w:rPr>
          <w:rFonts w:hint="eastAsia" w:ascii="仿宋" w:hAnsi="仿宋" w:eastAsia="仿宋" w:cs="宋体"/>
          <w:sz w:val="28"/>
          <w:szCs w:val="28"/>
          <w:highlight w:val="none"/>
        </w:rPr>
        <w:t>电子交易系统获取招标文件。</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（3）招标文件获取过程中有任何疑问，请在工作时间（9:00-17:30，节假日休息）拨打技术支持热线（非项目咨询）：0512-58188516。项目咨询请拨打电话：0551-677587</w:t>
      </w:r>
      <w:r>
        <w:rPr>
          <w:rFonts w:hint="eastAsia" w:ascii="仿宋" w:hAnsi="仿宋" w:eastAsia="仿宋" w:cs="宋体"/>
          <w:sz w:val="28"/>
          <w:szCs w:val="28"/>
          <w:highlight w:val="none"/>
          <w:lang w:val="en-US" w:eastAsia="zh-CN"/>
        </w:rPr>
        <w:t>60</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4.3 招标文件价格：每套人民币0元。</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40" w:name="_Toc1160"/>
      <w:bookmarkStart w:id="41" w:name="_Toc14532"/>
      <w:bookmarkStart w:id="42" w:name="_Toc140069386"/>
      <w:r>
        <w:rPr>
          <w:rFonts w:hint="eastAsia" w:ascii="黑体" w:hAnsi="黑体" w:eastAsia="黑体"/>
          <w:sz w:val="28"/>
          <w:szCs w:val="28"/>
          <w:highlight w:val="none"/>
        </w:rPr>
        <w:t>5.投标文件的递交</w:t>
      </w:r>
      <w:bookmarkEnd w:id="36"/>
      <w:bookmarkEnd w:id="37"/>
      <w:bookmarkEnd w:id="38"/>
      <w:bookmarkEnd w:id="39"/>
      <w:bookmarkEnd w:id="40"/>
      <w:bookmarkEnd w:id="41"/>
      <w:bookmarkEnd w:id="42"/>
    </w:p>
    <w:p>
      <w:pPr>
        <w:pStyle w:val="4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楷体"/>
          <w:bCs/>
          <w:snapToGrid w:val="0"/>
          <w:color w:val="auto"/>
          <w:sz w:val="28"/>
          <w:szCs w:val="28"/>
          <w:highlight w:val="none"/>
        </w:rPr>
      </w:pPr>
      <w:r>
        <w:rPr>
          <w:rFonts w:hint="eastAsia" w:ascii="仿宋" w:hAnsi="仿宋" w:eastAsia="仿宋" w:cs="楷体"/>
          <w:bCs/>
          <w:snapToGrid w:val="0"/>
          <w:color w:val="auto"/>
          <w:sz w:val="28"/>
          <w:szCs w:val="28"/>
          <w:highlight w:val="none"/>
        </w:rPr>
        <w:t>投标文件递交的截止时间(投标截止时间，下同）为2024年</w:t>
      </w:r>
      <w:r>
        <w:rPr>
          <w:rFonts w:hint="eastAsia" w:ascii="仿宋" w:hAnsi="仿宋" w:eastAsia="仿宋" w:cs="楷体"/>
          <w:bCs/>
          <w:snapToGrid w:val="0"/>
          <w:color w:val="auto"/>
          <w:sz w:val="28"/>
          <w:szCs w:val="28"/>
          <w:highlight w:val="none"/>
          <w:lang w:val="en-US" w:eastAsia="zh-CN"/>
        </w:rPr>
        <w:t xml:space="preserve"> </w:t>
      </w:r>
      <w:r>
        <w:rPr>
          <w:rFonts w:hint="eastAsia" w:ascii="仿宋" w:hAnsi="仿宋" w:eastAsia="仿宋" w:cs="楷体"/>
          <w:bCs/>
          <w:snapToGrid w:val="0"/>
          <w:color w:val="auto"/>
          <w:sz w:val="28"/>
          <w:szCs w:val="28"/>
          <w:highlight w:val="none"/>
        </w:rPr>
        <w:t>月</w:t>
      </w:r>
      <w:r>
        <w:rPr>
          <w:rFonts w:hint="eastAsia" w:ascii="仿宋" w:hAnsi="仿宋" w:eastAsia="仿宋" w:cs="楷体"/>
          <w:bCs/>
          <w:snapToGrid w:val="0"/>
          <w:color w:val="auto"/>
          <w:sz w:val="28"/>
          <w:szCs w:val="28"/>
          <w:highlight w:val="none"/>
          <w:lang w:val="en-US" w:eastAsia="zh-CN"/>
        </w:rPr>
        <w:t xml:space="preserve"> </w:t>
      </w:r>
      <w:r>
        <w:rPr>
          <w:rFonts w:hint="eastAsia" w:ascii="仿宋" w:hAnsi="仿宋" w:eastAsia="仿宋" w:cs="楷体"/>
          <w:bCs/>
          <w:snapToGrid w:val="0"/>
          <w:color w:val="auto"/>
          <w:sz w:val="28"/>
          <w:szCs w:val="28"/>
          <w:highlight w:val="none"/>
        </w:rPr>
        <w:t>日</w:t>
      </w:r>
      <w:r>
        <w:rPr>
          <w:rFonts w:hint="eastAsia" w:ascii="仿宋" w:hAnsi="仿宋" w:eastAsia="仿宋" w:cs="楷体"/>
          <w:bCs/>
          <w:snapToGrid w:val="0"/>
          <w:color w:val="auto"/>
          <w:sz w:val="28"/>
          <w:szCs w:val="28"/>
          <w:highlight w:val="none"/>
          <w:lang w:val="en-US" w:eastAsia="zh-CN"/>
        </w:rPr>
        <w:t>10</w:t>
      </w:r>
      <w:r>
        <w:rPr>
          <w:rFonts w:hint="eastAsia" w:ascii="仿宋" w:hAnsi="仿宋" w:eastAsia="仿宋" w:cs="楷体"/>
          <w:bCs/>
          <w:snapToGrid w:val="0"/>
          <w:color w:val="auto"/>
          <w:sz w:val="28"/>
          <w:szCs w:val="28"/>
          <w:highlight w:val="none"/>
        </w:rPr>
        <w:t>时00分，投标人应在投标截止时间前通过安徽合肥公共资源交易中心电子交易系统递交电子投标文件。</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43" w:name="_Toc19396"/>
      <w:bookmarkStart w:id="44" w:name="_Toc12441"/>
      <w:bookmarkStart w:id="45" w:name="_Toc29133"/>
      <w:bookmarkStart w:id="46" w:name="_Toc140069387"/>
      <w:bookmarkStart w:id="47" w:name="_Toc28141"/>
      <w:bookmarkStart w:id="48" w:name="_Toc783"/>
      <w:bookmarkStart w:id="49" w:name="_Toc25669"/>
      <w:r>
        <w:rPr>
          <w:rFonts w:hint="eastAsia" w:ascii="黑体" w:hAnsi="黑体" w:eastAsia="黑体"/>
          <w:sz w:val="28"/>
          <w:szCs w:val="28"/>
          <w:highlight w:val="none"/>
        </w:rPr>
        <w:t>6.资格审查方式</w:t>
      </w:r>
      <w:bookmarkEnd w:id="43"/>
      <w:bookmarkEnd w:id="44"/>
      <w:bookmarkEnd w:id="45"/>
      <w:bookmarkEnd w:id="46"/>
      <w:bookmarkEnd w:id="47"/>
      <w:bookmarkEnd w:id="48"/>
      <w:bookmarkEnd w:id="49"/>
    </w:p>
    <w:p>
      <w:pPr>
        <w:pStyle w:val="4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楷体"/>
          <w:bCs/>
          <w:snapToGrid w:val="0"/>
          <w:color w:val="auto"/>
          <w:sz w:val="28"/>
          <w:szCs w:val="28"/>
          <w:highlight w:val="none"/>
        </w:rPr>
      </w:pPr>
      <w:bookmarkStart w:id="50" w:name="_Toc32394"/>
      <w:bookmarkStart w:id="51" w:name="_Toc11112"/>
      <w:bookmarkStart w:id="52" w:name="_Toc8268"/>
      <w:bookmarkStart w:id="53" w:name="_Toc25618"/>
      <w:bookmarkStart w:id="54" w:name="_Toc18375"/>
      <w:bookmarkStart w:id="55" w:name="_Toc140069388"/>
      <w:r>
        <w:rPr>
          <w:rFonts w:hint="eastAsia" w:ascii="仿宋" w:hAnsi="仿宋" w:eastAsia="仿宋" w:cs="楷体"/>
          <w:bCs/>
          <w:snapToGrid w:val="0"/>
          <w:color w:val="auto"/>
          <w:sz w:val="28"/>
          <w:szCs w:val="28"/>
          <w:highlight w:val="none"/>
        </w:rPr>
        <w:t>本项目采用资格后审方式进行资格审查。</w:t>
      </w:r>
      <w:bookmarkEnd w:id="50"/>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56" w:name="_Toc30509"/>
      <w:bookmarkStart w:id="57" w:name="_Toc22963"/>
      <w:r>
        <w:rPr>
          <w:rFonts w:hint="eastAsia" w:ascii="黑体" w:hAnsi="黑体" w:eastAsia="黑体"/>
          <w:sz w:val="28"/>
          <w:szCs w:val="28"/>
          <w:highlight w:val="none"/>
        </w:rPr>
        <w:t>7.评标办法</w:t>
      </w:r>
      <w:bookmarkEnd w:id="51"/>
      <w:bookmarkEnd w:id="52"/>
      <w:bookmarkEnd w:id="53"/>
      <w:bookmarkEnd w:id="54"/>
      <w:bookmarkEnd w:id="55"/>
      <w:bookmarkEnd w:id="56"/>
      <w:bookmarkEnd w:id="57"/>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本招标项目评标办法采用</w:t>
      </w:r>
      <w:bookmarkStart w:id="58" w:name="_Hlk110266409"/>
      <w:r>
        <w:rPr>
          <w:rFonts w:hint="eastAsia" w:ascii="仿宋" w:hAnsi="仿宋" w:eastAsia="仿宋" w:cs="Calibri"/>
          <w:kern w:val="2"/>
          <w:sz w:val="28"/>
          <w:szCs w:val="28"/>
          <w:highlight w:val="none"/>
        </w:rPr>
        <w:t>综合评估法（一次平均）。（见招标文件第三章“评标办法”</w:t>
      </w:r>
      <w:bookmarkEnd w:id="58"/>
      <w:r>
        <w:rPr>
          <w:rFonts w:hint="eastAsia" w:ascii="仿宋" w:hAnsi="仿宋" w:eastAsia="仿宋" w:cs="Calibri"/>
          <w:kern w:val="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59" w:name="_Toc30763"/>
      <w:bookmarkStart w:id="60" w:name="_Toc2185"/>
      <w:bookmarkStart w:id="61" w:name="_Toc3588"/>
      <w:bookmarkStart w:id="62" w:name="_Toc4043"/>
      <w:bookmarkStart w:id="63" w:name="_Toc12816"/>
      <w:bookmarkStart w:id="64" w:name="_Toc140069389"/>
      <w:bookmarkStart w:id="65" w:name="_Toc9230"/>
      <w:r>
        <w:rPr>
          <w:rFonts w:hint="eastAsia" w:ascii="黑体" w:hAnsi="黑体" w:eastAsia="黑体"/>
          <w:sz w:val="28"/>
          <w:szCs w:val="28"/>
          <w:highlight w:val="none"/>
        </w:rPr>
        <w:t>8.开标时间及地点</w:t>
      </w:r>
      <w:bookmarkEnd w:id="59"/>
      <w:bookmarkEnd w:id="60"/>
      <w:bookmarkEnd w:id="61"/>
      <w:bookmarkEnd w:id="62"/>
      <w:bookmarkEnd w:id="63"/>
      <w:bookmarkEnd w:id="64"/>
      <w:bookmarkEnd w:id="65"/>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8.1 开标时间：202</w:t>
      </w:r>
      <w:r>
        <w:rPr>
          <w:rFonts w:hint="eastAsia" w:ascii="仿宋" w:hAnsi="仿宋" w:eastAsia="仿宋" w:cs="Calibri"/>
          <w:kern w:val="2"/>
          <w:sz w:val="28"/>
          <w:szCs w:val="28"/>
          <w:highlight w:val="none"/>
          <w:lang w:val="en-US" w:eastAsia="zh-CN"/>
        </w:rPr>
        <w:t>4</w:t>
      </w:r>
      <w:r>
        <w:rPr>
          <w:rFonts w:hint="eastAsia" w:ascii="仿宋" w:hAnsi="仿宋" w:eastAsia="仿宋" w:cs="Calibri"/>
          <w:kern w:val="2"/>
          <w:sz w:val="28"/>
          <w:szCs w:val="28"/>
          <w:highlight w:val="none"/>
        </w:rPr>
        <w:t>年</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月</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日</w:t>
      </w:r>
      <w:r>
        <w:rPr>
          <w:rFonts w:hint="eastAsia" w:ascii="仿宋" w:hAnsi="仿宋" w:eastAsia="仿宋" w:cs="Calibri"/>
          <w:kern w:val="2"/>
          <w:sz w:val="28"/>
          <w:szCs w:val="28"/>
          <w:highlight w:val="none"/>
          <w:lang w:val="en-US" w:eastAsia="zh-CN"/>
        </w:rPr>
        <w:t>10</w:t>
      </w:r>
      <w:r>
        <w:rPr>
          <w:rFonts w:hint="eastAsia" w:ascii="仿宋" w:hAnsi="仿宋" w:eastAsia="仿宋" w:cs="Calibri"/>
          <w:kern w:val="2"/>
          <w:sz w:val="28"/>
          <w:szCs w:val="28"/>
          <w:highlight w:val="none"/>
        </w:rPr>
        <w:t xml:space="preserve">时00分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8.2 开标地点：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MS Mincho" w:hAnsi="MS Mincho" w:eastAsia="MS Mincho" w:cs="MS Mincho"/>
          <w:kern w:val="2"/>
          <w:sz w:val="28"/>
          <w:szCs w:val="28"/>
          <w:highlight w:val="none"/>
        </w:rPr>
        <w:t>☑</w:t>
      </w:r>
      <w:r>
        <w:rPr>
          <w:rFonts w:ascii="仿宋" w:hAnsi="仿宋" w:eastAsia="仿宋" w:cs="Calibri"/>
          <w:kern w:val="2"/>
          <w:sz w:val="28"/>
          <w:szCs w:val="28"/>
          <w:highlight w:val="none"/>
        </w:rPr>
        <w:t xml:space="preserve"> </w:t>
      </w:r>
      <w:r>
        <w:rPr>
          <w:rFonts w:hint="eastAsia" w:ascii="仿宋" w:hAnsi="仿宋" w:eastAsia="仿宋" w:cs="Calibri"/>
          <w:kern w:val="2"/>
          <w:sz w:val="28"/>
          <w:szCs w:val="28"/>
          <w:highlight w:val="none"/>
        </w:rPr>
        <w:t>合肥市肥东县店埠镇深秀路</w:t>
      </w:r>
      <w:r>
        <w:rPr>
          <w:rFonts w:ascii="仿宋" w:hAnsi="仿宋" w:eastAsia="仿宋" w:cs="Calibri"/>
          <w:kern w:val="2"/>
          <w:sz w:val="28"/>
          <w:szCs w:val="28"/>
          <w:highlight w:val="none"/>
        </w:rPr>
        <w:t>2</w:t>
      </w:r>
      <w:r>
        <w:rPr>
          <w:rFonts w:hint="eastAsia" w:ascii="仿宋" w:hAnsi="仿宋" w:eastAsia="仿宋" w:cs="Calibri"/>
          <w:kern w:val="2"/>
          <w:sz w:val="28"/>
          <w:szCs w:val="28"/>
          <w:highlight w:val="none"/>
        </w:rPr>
        <w:t>号肥东政务服务中心四楼</w:t>
      </w:r>
      <w:r>
        <w:rPr>
          <w:rFonts w:ascii="仿宋" w:hAnsi="仿宋" w:eastAsia="仿宋" w:cs="Calibri"/>
          <w:kern w:val="2"/>
          <w:sz w:val="28"/>
          <w:szCs w:val="28"/>
          <w:highlight w:val="none"/>
        </w:rPr>
        <w:t>C</w:t>
      </w:r>
      <w:r>
        <w:rPr>
          <w:rFonts w:hint="eastAsia" w:ascii="仿宋" w:hAnsi="仿宋" w:eastAsia="仿宋" w:cs="Calibri"/>
          <w:kern w:val="2"/>
          <w:sz w:val="28"/>
          <w:szCs w:val="28"/>
          <w:highlight w:val="none"/>
        </w:rPr>
        <w:t>区</w:t>
      </w:r>
      <w:r>
        <w:rPr>
          <w:rFonts w:ascii="仿宋" w:hAnsi="仿宋" w:eastAsia="仿宋" w:cs="Calibri"/>
          <w:kern w:val="2"/>
          <w:sz w:val="28"/>
          <w:szCs w:val="28"/>
          <w:highlight w:val="none"/>
        </w:rPr>
        <w:t>4</w:t>
      </w:r>
      <w:r>
        <w:rPr>
          <w:rFonts w:hint="eastAsia" w:ascii="仿宋" w:hAnsi="仿宋" w:eastAsia="仿宋" w:cs="Calibri"/>
          <w:kern w:val="2"/>
          <w:sz w:val="28"/>
          <w:szCs w:val="28"/>
          <w:highlight w:val="none"/>
        </w:rPr>
        <w:t>楼</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号开标室</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bCs/>
          <w:snapToGrid w:val="0"/>
          <w:sz w:val="28"/>
          <w:szCs w:val="28"/>
          <w:highlight w:val="none"/>
        </w:rPr>
      </w:pPr>
      <w:r>
        <w:rPr>
          <w:rFonts w:hint="eastAsia" w:ascii="MS Mincho" w:hAnsi="MS Mincho" w:eastAsia="MS Mincho" w:cs="MS Mincho"/>
          <w:kern w:val="2"/>
          <w:sz w:val="28"/>
          <w:szCs w:val="28"/>
          <w:highlight w:val="none"/>
        </w:rPr>
        <w:t>☑</w:t>
      </w:r>
      <w:r>
        <w:rPr>
          <w:rFonts w:ascii="仿宋" w:hAnsi="仿宋" w:eastAsia="仿宋" w:cs="Calibri"/>
          <w:kern w:val="2"/>
          <w:sz w:val="28"/>
          <w:szCs w:val="28"/>
          <w:highlight w:val="none"/>
        </w:rPr>
        <w:t xml:space="preserve"> </w:t>
      </w:r>
      <w:r>
        <w:rPr>
          <w:rFonts w:hint="eastAsia" w:ascii="仿宋" w:hAnsi="仿宋" w:eastAsia="仿宋" w:cs="Calibri"/>
          <w:kern w:val="2"/>
          <w:sz w:val="28"/>
          <w:szCs w:val="28"/>
          <w:highlight w:val="none"/>
        </w:rPr>
        <w:t>本招标项目采用“云上开标大厅”方式开标</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66" w:name="_Toc5604"/>
      <w:bookmarkStart w:id="67" w:name="_Toc15010"/>
      <w:bookmarkStart w:id="68" w:name="_Toc13767"/>
      <w:bookmarkStart w:id="69" w:name="_Toc28548"/>
      <w:bookmarkStart w:id="70" w:name="_Toc23375"/>
      <w:bookmarkStart w:id="71" w:name="_Toc140069390"/>
      <w:bookmarkStart w:id="72" w:name="_Toc23540"/>
      <w:r>
        <w:rPr>
          <w:rFonts w:hint="eastAsia" w:ascii="黑体" w:hAnsi="黑体" w:eastAsia="黑体"/>
          <w:sz w:val="28"/>
          <w:szCs w:val="28"/>
          <w:highlight w:val="none"/>
        </w:rPr>
        <w:t>9.招标文件的异议</w:t>
      </w:r>
      <w:bookmarkEnd w:id="66"/>
      <w:bookmarkEnd w:id="67"/>
      <w:bookmarkEnd w:id="68"/>
      <w:bookmarkEnd w:id="69"/>
      <w:r>
        <w:rPr>
          <w:rFonts w:hint="eastAsia" w:ascii="黑体" w:hAnsi="黑体" w:eastAsia="黑体"/>
          <w:sz w:val="28"/>
          <w:szCs w:val="28"/>
          <w:highlight w:val="none"/>
        </w:rPr>
        <w:t>、投诉</w:t>
      </w:r>
      <w:bookmarkEnd w:id="70"/>
      <w:bookmarkEnd w:id="71"/>
      <w:bookmarkEnd w:id="72"/>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9.1</w:t>
      </w:r>
      <w:r>
        <w:rPr>
          <w:rFonts w:hint="eastAsia" w:ascii="仿宋" w:hAnsi="仿宋" w:eastAsia="仿宋" w:cs="楷体"/>
          <w:bCs/>
          <w:snapToGrid w:val="0"/>
          <w:sz w:val="28"/>
          <w:szCs w:val="28"/>
          <w:highlight w:val="none"/>
          <w:lang w:val="en-US" w:eastAsia="zh-CN"/>
        </w:rPr>
        <w:t xml:space="preserve"> </w:t>
      </w:r>
      <w:r>
        <w:rPr>
          <w:rFonts w:hint="eastAsia" w:ascii="仿宋" w:hAnsi="仿宋" w:eastAsia="仿宋" w:cs="楷体"/>
          <w:bCs/>
          <w:snapToGrid w:val="0"/>
          <w:sz w:val="28"/>
          <w:szCs w:val="28"/>
          <w:highlight w:val="none"/>
        </w:rPr>
        <w:t>投标人或者其他利害关系人对招标文件有异议的，应当在规定时间通过电子交易系统在线提出或以其他书面形式提出。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9.2</w:t>
      </w:r>
      <w:r>
        <w:rPr>
          <w:rFonts w:hint="eastAsia" w:ascii="仿宋" w:hAnsi="仿宋" w:eastAsia="仿宋" w:cs="楷体"/>
          <w:bCs/>
          <w:snapToGrid w:val="0"/>
          <w:sz w:val="28"/>
          <w:szCs w:val="28"/>
          <w:highlight w:val="none"/>
          <w:lang w:val="en-US" w:eastAsia="zh-CN"/>
        </w:rPr>
        <w:t xml:space="preserve"> </w:t>
      </w:r>
      <w:r>
        <w:rPr>
          <w:rFonts w:hint="eastAsia" w:ascii="仿宋" w:hAnsi="仿宋" w:eastAsia="仿宋" w:cs="楷体"/>
          <w:bCs/>
          <w:snapToGrid w:val="0"/>
          <w:sz w:val="28"/>
          <w:szCs w:val="28"/>
          <w:highlight w:val="none"/>
        </w:rPr>
        <w:t>投标人或者其他利害关系人对招标人、招标代理机构的答复不满意，或者招标人、招标代理机构未在规定时间内作出答复的，可以在规定时间内通过网上投诉系统或以其他书面形式向监管部门提出投诉。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9.3</w:t>
      </w:r>
      <w:r>
        <w:rPr>
          <w:rFonts w:hint="eastAsia" w:ascii="仿宋" w:hAnsi="仿宋" w:eastAsia="仿宋" w:cs="楷体"/>
          <w:bCs/>
          <w:snapToGrid w:val="0"/>
          <w:sz w:val="28"/>
          <w:szCs w:val="28"/>
          <w:highlight w:val="none"/>
          <w:lang w:val="en-US" w:eastAsia="zh-CN"/>
        </w:rPr>
        <w:t xml:space="preserve"> </w:t>
      </w:r>
      <w:r>
        <w:rPr>
          <w:rFonts w:hint="eastAsia" w:ascii="仿宋" w:hAnsi="仿宋" w:eastAsia="仿宋" w:cs="楷体"/>
          <w:bCs/>
          <w:snapToGrid w:val="0"/>
          <w:sz w:val="28"/>
          <w:szCs w:val="28"/>
          <w:highlight w:val="none"/>
        </w:rPr>
        <w:t>受理异议的联系人和联系方式见招标公告11.1和11.2。</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73" w:name="_Toc140069391"/>
      <w:bookmarkStart w:id="74" w:name="_Toc13051"/>
      <w:bookmarkStart w:id="75" w:name="_Toc10280"/>
      <w:bookmarkStart w:id="76" w:name="_Toc10175"/>
      <w:bookmarkStart w:id="77" w:name="_Toc6145"/>
      <w:bookmarkStart w:id="78" w:name="_Toc1330"/>
      <w:bookmarkStart w:id="79" w:name="_Toc8395"/>
      <w:r>
        <w:rPr>
          <w:rFonts w:hint="eastAsia" w:ascii="黑体" w:hAnsi="黑体" w:eastAsia="黑体"/>
          <w:sz w:val="28"/>
          <w:szCs w:val="28"/>
          <w:highlight w:val="none"/>
        </w:rPr>
        <w:t>10.发布公告的媒介</w:t>
      </w:r>
      <w:bookmarkEnd w:id="73"/>
      <w:bookmarkEnd w:id="74"/>
      <w:bookmarkEnd w:id="75"/>
      <w:bookmarkEnd w:id="76"/>
      <w:bookmarkEnd w:id="77"/>
      <w:bookmarkEnd w:id="78"/>
      <w:bookmarkEnd w:id="79"/>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1"/>
        <w:rPr>
          <w:rFonts w:ascii="仿宋" w:hAnsi="仿宋" w:eastAsia="仿宋"/>
          <w:sz w:val="28"/>
          <w:szCs w:val="28"/>
          <w:highlight w:val="none"/>
        </w:rPr>
      </w:pPr>
      <w:bookmarkStart w:id="80" w:name="_Toc12911"/>
      <w:bookmarkStart w:id="81" w:name="_Toc140069392"/>
      <w:bookmarkStart w:id="82" w:name="_Toc4986"/>
      <w:bookmarkStart w:id="83" w:name="_Toc3970"/>
      <w:bookmarkStart w:id="84" w:name="_Toc16920"/>
      <w:bookmarkStart w:id="85" w:name="_Toc29323"/>
      <w:bookmarkStart w:id="86" w:name="_Toc1444"/>
      <w:r>
        <w:rPr>
          <w:rFonts w:hint="eastAsia" w:ascii="仿宋" w:hAnsi="仿宋" w:eastAsia="仿宋"/>
          <w:sz w:val="28"/>
          <w:szCs w:val="28"/>
          <w:highlight w:val="none"/>
        </w:rPr>
        <w:t>本次招标公告在安徽合肥公共资源交易中心网站、安徽省公共资源交易监管网、全国公共资源交易平台上发布。</w:t>
      </w:r>
      <w:bookmarkEnd w:id="80"/>
      <w:bookmarkEnd w:id="81"/>
      <w:bookmarkEnd w:id="82"/>
    </w:p>
    <w:bookmarkEnd w:id="83"/>
    <w:bookmarkEnd w:id="84"/>
    <w:bookmarkEnd w:id="85"/>
    <w:bookmarkEnd w:id="86"/>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sz w:val="28"/>
          <w:szCs w:val="28"/>
          <w:highlight w:val="none"/>
        </w:rPr>
      </w:pPr>
      <w:bookmarkStart w:id="87" w:name="_Toc13588"/>
      <w:bookmarkStart w:id="88" w:name="_Toc21278"/>
      <w:bookmarkStart w:id="89" w:name="_Toc24221"/>
      <w:r>
        <w:rPr>
          <w:rFonts w:hint="eastAsia" w:ascii="黑体" w:hAnsi="黑体" w:eastAsia="黑体"/>
          <w:sz w:val="28"/>
          <w:szCs w:val="28"/>
          <w:highlight w:val="none"/>
        </w:rPr>
        <w:t>11.联系方式</w:t>
      </w:r>
      <w:bookmarkEnd w:id="87"/>
      <w:bookmarkEnd w:id="88"/>
      <w:bookmarkEnd w:id="89"/>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11.1 招标人</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招 标 人：</w:t>
      </w:r>
      <w:r>
        <w:rPr>
          <w:rFonts w:hint="eastAsia" w:ascii="仿宋" w:hAnsi="仿宋" w:eastAsia="仿宋" w:cs="Calibri"/>
          <w:kern w:val="2"/>
          <w:sz w:val="28"/>
          <w:szCs w:val="28"/>
          <w:highlight w:val="none"/>
          <w:lang w:eastAsia="zh-CN"/>
        </w:rPr>
        <w:t>肥东县重点工程建设管理中心</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地    址：</w:t>
      </w:r>
      <w:r>
        <w:rPr>
          <w:rFonts w:hint="eastAsia" w:ascii="仿宋" w:hAnsi="仿宋" w:eastAsia="仿宋" w:cs="Calibri"/>
          <w:kern w:val="2"/>
          <w:sz w:val="28"/>
          <w:szCs w:val="28"/>
          <w:highlight w:val="none"/>
          <w:lang w:val="en-US" w:eastAsia="zh-CN"/>
        </w:rPr>
        <w:t xml:space="preserve">安徽省合肥市肥东县店埠镇得心路与四顶山路交口东南角双创中心大厦13楼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邮    编：231600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联 系 人：</w:t>
      </w:r>
      <w:r>
        <w:rPr>
          <w:rFonts w:hint="eastAsia" w:ascii="仿宋" w:hAnsi="仿宋" w:eastAsia="仿宋" w:cs="Calibri"/>
          <w:kern w:val="2"/>
          <w:sz w:val="28"/>
          <w:szCs w:val="28"/>
          <w:highlight w:val="none"/>
          <w:lang w:val="en-US" w:eastAsia="zh-CN"/>
        </w:rPr>
        <w:t>王玮</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电    话：0551-67</w:t>
      </w:r>
      <w:r>
        <w:rPr>
          <w:rFonts w:hint="eastAsia" w:ascii="仿宋" w:hAnsi="仿宋" w:eastAsia="仿宋" w:cs="Calibri"/>
          <w:kern w:val="2"/>
          <w:sz w:val="28"/>
          <w:szCs w:val="28"/>
          <w:highlight w:val="none"/>
          <w:lang w:val="en-US" w:eastAsia="zh-CN"/>
        </w:rPr>
        <w:t>896658</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11.2 招标代理机构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招标代理机构：肥东县公共资源交易有限公司</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地    址：</w:t>
      </w:r>
      <w:r>
        <w:rPr>
          <w:rFonts w:hint="eastAsia" w:ascii="仿宋" w:hAnsi="仿宋" w:eastAsia="仿宋" w:cs="Calibri"/>
          <w:kern w:val="2"/>
          <w:sz w:val="28"/>
          <w:szCs w:val="28"/>
          <w:highlight w:val="none"/>
          <w:lang w:val="en-US" w:eastAsia="zh-CN"/>
        </w:rPr>
        <w:t>安徽省</w:t>
      </w:r>
      <w:r>
        <w:rPr>
          <w:rFonts w:hint="eastAsia" w:ascii="仿宋" w:hAnsi="仿宋" w:eastAsia="仿宋" w:cs="Calibri"/>
          <w:kern w:val="2"/>
          <w:sz w:val="28"/>
          <w:szCs w:val="28"/>
          <w:highlight w:val="none"/>
        </w:rPr>
        <w:t>合肥市肥东县店埠镇深秀路2号肥东县政务服务中心四楼B区</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邮    编：231600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联 系 人：</w:t>
      </w:r>
      <w:r>
        <w:rPr>
          <w:rFonts w:hint="eastAsia" w:ascii="仿宋" w:hAnsi="仿宋" w:eastAsia="仿宋" w:cs="Calibri"/>
          <w:kern w:val="2"/>
          <w:sz w:val="28"/>
          <w:szCs w:val="28"/>
          <w:highlight w:val="none"/>
          <w:lang w:val="en-US" w:eastAsia="zh-CN"/>
        </w:rPr>
        <w:t>孙运龙</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电    话：0551-677587</w:t>
      </w:r>
      <w:r>
        <w:rPr>
          <w:rFonts w:hint="eastAsia" w:ascii="仿宋" w:hAnsi="仿宋" w:eastAsia="仿宋" w:cs="Calibri"/>
          <w:kern w:val="2"/>
          <w:sz w:val="28"/>
          <w:szCs w:val="28"/>
          <w:highlight w:val="none"/>
          <w:lang w:val="en-US" w:eastAsia="zh-CN"/>
        </w:rPr>
        <w:t>60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11.3 电子交易系统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电子交易系统名称：安徽合肥公共资源交易中心电子交易系统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电子交易系统电话：0512-58188516</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11.4 电子服务系统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电子服务系统名称：安徽合肥公共资源交易电子服务系统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电子服务系统电话：</w:t>
      </w:r>
      <w:r>
        <w:rPr>
          <w:rFonts w:ascii="仿宋" w:hAnsi="仿宋" w:eastAsia="仿宋" w:cs="Calibri"/>
          <w:kern w:val="2"/>
          <w:sz w:val="28"/>
          <w:szCs w:val="28"/>
          <w:highlight w:val="none"/>
        </w:rPr>
        <w:t>0551-12345</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11.5 公共资源交易监督管理部门</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公共资源交易监督管理部门：肥东县发展和改革委员会</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地    址：</w:t>
      </w:r>
      <w:r>
        <w:rPr>
          <w:rFonts w:hint="eastAsia" w:ascii="仿宋" w:hAnsi="仿宋" w:eastAsia="仿宋" w:cs="Calibri"/>
          <w:kern w:val="2"/>
          <w:sz w:val="28"/>
          <w:szCs w:val="28"/>
          <w:highlight w:val="none"/>
          <w:lang w:val="en-US" w:eastAsia="zh-CN"/>
        </w:rPr>
        <w:t>安徽省</w:t>
      </w:r>
      <w:r>
        <w:rPr>
          <w:rFonts w:hint="eastAsia" w:ascii="仿宋" w:hAnsi="仿宋" w:eastAsia="仿宋" w:cs="Calibri"/>
          <w:kern w:val="2"/>
          <w:sz w:val="28"/>
          <w:szCs w:val="28"/>
          <w:highlight w:val="none"/>
        </w:rPr>
        <w:t>合肥市肥东县店埠镇龙泉路8号</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    话：0551-67711296</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90" w:name="_Toc10284"/>
      <w:bookmarkStart w:id="91" w:name="_Toc7062"/>
      <w:bookmarkStart w:id="92" w:name="_Toc14370"/>
      <w:bookmarkStart w:id="93" w:name="_Toc31524"/>
      <w:bookmarkStart w:id="94" w:name="_Toc140069394"/>
      <w:bookmarkStart w:id="95" w:name="_Toc4638"/>
      <w:bookmarkStart w:id="96" w:name="_Toc24737"/>
      <w:r>
        <w:rPr>
          <w:rFonts w:hint="eastAsia" w:ascii="黑体" w:hAnsi="黑体" w:eastAsia="黑体"/>
          <w:sz w:val="28"/>
          <w:szCs w:val="28"/>
          <w:highlight w:val="none"/>
        </w:rPr>
        <w:t>12.其他事项说明</w:t>
      </w:r>
      <w:bookmarkEnd w:id="90"/>
      <w:bookmarkEnd w:id="91"/>
      <w:bookmarkEnd w:id="92"/>
      <w:bookmarkEnd w:id="93"/>
      <w:bookmarkEnd w:id="94"/>
      <w:bookmarkEnd w:id="95"/>
      <w:bookmarkEnd w:id="96"/>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97" w:name="_Toc3874"/>
      <w:bookmarkStart w:id="98" w:name="_Toc30094"/>
      <w:bookmarkStart w:id="99" w:name="_Toc10307"/>
      <w:bookmarkStart w:id="100" w:name="_Toc8187"/>
      <w:r>
        <w:rPr>
          <w:rFonts w:hint="eastAsia" w:ascii="仿宋" w:hAnsi="仿宋" w:eastAsia="仿宋" w:cs="Calibri"/>
          <w:kern w:val="2"/>
          <w:sz w:val="28"/>
          <w:szCs w:val="28"/>
          <w:highlight w:val="none"/>
        </w:rPr>
        <w:t>投标人应合理安排招标文件获取时间，特别是网络速度慢的地区防止在系统关闭前网络拥堵无法操作。如果因计算机及网络故障造成无法完成招标文件获取，责任自负。</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1"/>
        <w:rPr>
          <w:rFonts w:hint="eastAsia" w:ascii="黑体" w:hAnsi="黑体" w:eastAsia="黑体"/>
          <w:sz w:val="28"/>
          <w:szCs w:val="28"/>
          <w:highlight w:val="none"/>
        </w:rPr>
      </w:pPr>
      <w:bookmarkStart w:id="101" w:name="_Toc29792"/>
      <w:bookmarkStart w:id="102" w:name="_Toc140069395"/>
      <w:bookmarkStart w:id="103" w:name="_Toc16370"/>
      <w:r>
        <w:rPr>
          <w:rFonts w:hint="eastAsia" w:ascii="黑体" w:hAnsi="黑体" w:eastAsia="黑体" w:cs="Times New Roman"/>
          <w:sz w:val="28"/>
          <w:szCs w:val="28"/>
          <w:highlight w:val="none"/>
          <w:lang w:val="en-US" w:eastAsia="zh-CN" w:bidi="ar-SA"/>
        </w:rPr>
        <w:t>13.</w:t>
      </w:r>
      <w:r>
        <w:rPr>
          <w:rFonts w:hint="eastAsia" w:ascii="黑体" w:hAnsi="黑体" w:eastAsia="黑体"/>
          <w:sz w:val="28"/>
          <w:szCs w:val="28"/>
          <w:highlight w:val="none"/>
        </w:rPr>
        <w:t>投标保证金账户</w:t>
      </w:r>
      <w:bookmarkEnd w:id="97"/>
      <w:bookmarkEnd w:id="98"/>
      <w:bookmarkEnd w:id="99"/>
      <w:bookmarkEnd w:id="100"/>
      <w:r>
        <w:rPr>
          <w:rFonts w:hint="eastAsia" w:ascii="黑体" w:hAnsi="黑体" w:eastAsia="黑体"/>
          <w:sz w:val="28"/>
          <w:szCs w:val="28"/>
          <w:highlight w:val="none"/>
        </w:rPr>
        <w:t>：</w:t>
      </w:r>
      <w:bookmarkEnd w:id="101"/>
      <w:bookmarkEnd w:id="102"/>
      <w:bookmarkEnd w:id="103"/>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04" w:name="_Toc9693"/>
      <w:bookmarkStart w:id="105" w:name="_Toc9076"/>
      <w:r>
        <w:rPr>
          <w:rFonts w:hint="eastAsia" w:ascii="仿宋" w:hAnsi="仿宋" w:eastAsia="仿宋" w:cs="Calibri"/>
          <w:kern w:val="2"/>
          <w:sz w:val="28"/>
          <w:szCs w:val="28"/>
          <w:highlight w:val="none"/>
        </w:rPr>
        <w:t>标段简称:1标段</w:t>
      </w:r>
      <w:bookmarkEnd w:id="104"/>
      <w:bookmarkEnd w:id="105"/>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06" w:name="_Toc22088"/>
      <w:bookmarkStart w:id="107" w:name="_Toc28723"/>
      <w:r>
        <w:rPr>
          <w:rFonts w:hint="eastAsia" w:ascii="仿宋" w:hAnsi="仿宋" w:eastAsia="仿宋" w:cs="Calibri"/>
          <w:kern w:val="2"/>
          <w:sz w:val="28"/>
          <w:szCs w:val="28"/>
          <w:highlight w:val="none"/>
        </w:rPr>
        <w:t>民生银行</w:t>
      </w:r>
      <w:bookmarkEnd w:id="106"/>
      <w:bookmarkEnd w:id="107"/>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08" w:name="_Toc28980"/>
      <w:bookmarkStart w:id="109" w:name="_Toc24814"/>
      <w:r>
        <w:rPr>
          <w:rFonts w:hint="eastAsia" w:ascii="仿宋" w:hAnsi="仿宋" w:eastAsia="仿宋" w:cs="Calibri"/>
          <w:kern w:val="2"/>
          <w:sz w:val="28"/>
          <w:szCs w:val="28"/>
          <w:highlight w:val="none"/>
        </w:rPr>
        <w:t>户名：肥东县公共资源交易中心</w:t>
      </w:r>
      <w:bookmarkEnd w:id="108"/>
      <w:bookmarkEnd w:id="109"/>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bookmarkStart w:id="110" w:name="_Toc6375"/>
      <w:bookmarkStart w:id="111" w:name="_Toc26107"/>
      <w:r>
        <w:rPr>
          <w:rFonts w:hint="eastAsia" w:ascii="仿宋" w:hAnsi="仿宋" w:eastAsia="仿宋" w:cs="Calibri"/>
          <w:kern w:val="2"/>
          <w:sz w:val="28"/>
          <w:szCs w:val="28"/>
          <w:highlight w:val="none"/>
        </w:rPr>
        <w:t>账号：</w:t>
      </w:r>
      <w:bookmarkEnd w:id="110"/>
      <w:bookmarkEnd w:id="111"/>
      <w:r>
        <w:rPr>
          <w:rFonts w:hint="eastAsia" w:ascii="仿宋" w:hAnsi="仿宋" w:eastAsia="仿宋" w:cs="Calibri"/>
          <w:kern w:val="2"/>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12" w:name="_Toc15821"/>
      <w:bookmarkStart w:id="113" w:name="_Toc16470"/>
      <w:r>
        <w:rPr>
          <w:rFonts w:hint="eastAsia" w:ascii="仿宋" w:hAnsi="仿宋" w:eastAsia="仿宋" w:cs="Calibri"/>
          <w:kern w:val="2"/>
          <w:sz w:val="28"/>
          <w:szCs w:val="28"/>
          <w:highlight w:val="none"/>
        </w:rPr>
        <w:t>开户银行：中国民生银行股份有限公司肥东支行</w:t>
      </w:r>
      <w:bookmarkEnd w:id="112"/>
      <w:bookmarkEnd w:id="113"/>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14" w:name="_Toc21089"/>
      <w:bookmarkStart w:id="115" w:name="_Toc16280"/>
      <w:r>
        <w:rPr>
          <w:rFonts w:hint="eastAsia" w:ascii="仿宋" w:hAnsi="仿宋" w:eastAsia="仿宋" w:cs="Calibri"/>
          <w:kern w:val="2"/>
          <w:sz w:val="28"/>
          <w:szCs w:val="28"/>
          <w:highlight w:val="none"/>
        </w:rPr>
        <w:t>中国银行</w:t>
      </w:r>
      <w:bookmarkEnd w:id="114"/>
      <w:bookmarkEnd w:id="115"/>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16" w:name="_Toc9185"/>
      <w:bookmarkStart w:id="117" w:name="_Toc5994"/>
      <w:r>
        <w:rPr>
          <w:rFonts w:hint="eastAsia" w:ascii="仿宋" w:hAnsi="仿宋" w:eastAsia="仿宋" w:cs="Calibri"/>
          <w:kern w:val="2"/>
          <w:sz w:val="28"/>
          <w:szCs w:val="28"/>
          <w:highlight w:val="none"/>
        </w:rPr>
        <w:t>户名：肥东县公共资源交易中心</w:t>
      </w:r>
      <w:bookmarkEnd w:id="116"/>
      <w:bookmarkEnd w:id="117"/>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bookmarkStart w:id="118" w:name="_Toc23106"/>
      <w:bookmarkStart w:id="119" w:name="_Toc27067"/>
      <w:r>
        <w:rPr>
          <w:rFonts w:hint="eastAsia" w:ascii="仿宋" w:hAnsi="仿宋" w:eastAsia="仿宋" w:cs="Calibri"/>
          <w:kern w:val="2"/>
          <w:sz w:val="28"/>
          <w:szCs w:val="28"/>
          <w:highlight w:val="none"/>
        </w:rPr>
        <w:t>账号：</w:t>
      </w:r>
      <w:bookmarkEnd w:id="118"/>
      <w:bookmarkEnd w:id="119"/>
      <w:r>
        <w:rPr>
          <w:rFonts w:hint="eastAsia" w:ascii="仿宋" w:hAnsi="仿宋" w:eastAsia="仿宋" w:cs="Calibri"/>
          <w:kern w:val="2"/>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20" w:name="_Toc4501"/>
      <w:bookmarkStart w:id="121" w:name="_Toc28920"/>
      <w:r>
        <w:rPr>
          <w:rFonts w:hint="eastAsia" w:ascii="仿宋" w:hAnsi="仿宋" w:eastAsia="仿宋" w:cs="Calibri"/>
          <w:kern w:val="2"/>
          <w:sz w:val="28"/>
          <w:szCs w:val="28"/>
          <w:highlight w:val="none"/>
        </w:rPr>
        <w:t>开户银行：中国银行肥东支行</w:t>
      </w:r>
      <w:bookmarkEnd w:id="120"/>
      <w:bookmarkEnd w:id="121"/>
    </w:p>
    <w:bookmarkEnd w:id="6"/>
    <w:p>
      <w:pPr>
        <w:pStyle w:val="3"/>
        <w:spacing w:beforeLines="100" w:afterLines="100" w:line="240" w:lineRule="auto"/>
        <w:jc w:val="center"/>
        <w:rPr>
          <w:rFonts w:ascii="黑体" w:hAnsi="黑体" w:eastAsia="黑体" w:cs="黑体"/>
          <w:b w:val="0"/>
          <w:bCs w:val="0"/>
          <w:highlight w:val="none"/>
        </w:rPr>
      </w:pPr>
      <w:bookmarkStart w:id="122" w:name="_Toc26865"/>
      <w:bookmarkStart w:id="123" w:name="_Toc179632546"/>
      <w:bookmarkStart w:id="124" w:name="_Toc144974497"/>
      <w:bookmarkStart w:id="125" w:name="_Toc152042305"/>
      <w:bookmarkStart w:id="126" w:name="_Toc152045529"/>
      <w:bookmarkStart w:id="127" w:name="_Toc38879324"/>
      <w:r>
        <w:rPr>
          <w:rFonts w:hint="eastAsia"/>
          <w:b w:val="0"/>
          <w:highlight w:val="none"/>
        </w:rPr>
        <w:br w:type="page"/>
      </w:r>
      <w:bookmarkStart w:id="128" w:name="_Toc9906"/>
      <w:r>
        <w:rPr>
          <w:rFonts w:hint="eastAsia" w:ascii="黑体" w:hAnsi="黑体" w:eastAsia="黑体" w:cs="黑体"/>
          <w:b w:val="0"/>
          <w:bCs w:val="0"/>
          <w:highlight w:val="none"/>
        </w:rPr>
        <w:t>第二章  投标人须知</w:t>
      </w:r>
      <w:bookmarkEnd w:id="128"/>
    </w:p>
    <w:p>
      <w:pPr>
        <w:pStyle w:val="4"/>
        <w:spacing w:beforeLines="100" w:afterLines="100" w:line="240" w:lineRule="auto"/>
        <w:jc w:val="center"/>
        <w:rPr>
          <w:rFonts w:ascii="Times New Roman" w:hAnsi="Times New Roman"/>
          <w:b w:val="0"/>
          <w:highlight w:val="none"/>
        </w:rPr>
      </w:pPr>
      <w:bookmarkStart w:id="129" w:name="_Toc25475"/>
      <w:bookmarkStart w:id="130" w:name="_Toc21419"/>
      <w:bookmarkStart w:id="131" w:name="_Toc9182"/>
      <w:bookmarkStart w:id="132" w:name="_Toc140069398"/>
      <w:bookmarkStart w:id="133" w:name="_Toc38879315"/>
      <w:r>
        <w:rPr>
          <w:rFonts w:hint="eastAsia" w:ascii="黑体" w:hAnsi="黑体" w:eastAsia="黑体" w:cs="黑体"/>
          <w:b w:val="0"/>
          <w:bCs w:val="0"/>
          <w:highlight w:val="none"/>
        </w:rPr>
        <w:t>投标人须知前附表</w:t>
      </w:r>
      <w:bookmarkEnd w:id="129"/>
      <w:bookmarkEnd w:id="130"/>
      <w:bookmarkEnd w:id="131"/>
      <w:bookmarkEnd w:id="132"/>
      <w:bookmarkEnd w:id="13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776"/>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条款号</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条款名称</w:t>
            </w:r>
          </w:p>
        </w:tc>
        <w:tc>
          <w:tcPr>
            <w:tcW w:w="5684" w:type="dxa"/>
            <w:vAlign w:val="center"/>
          </w:tcPr>
          <w:p>
            <w:pPr>
              <w:snapToGrid w:val="0"/>
              <w:spacing w:line="360" w:lineRule="auto"/>
              <w:jc w:val="center"/>
              <w:rPr>
                <w:rFonts w:hAnsi="宋体" w:cs="宋体"/>
                <w:highlight w:val="none"/>
              </w:rPr>
            </w:pPr>
            <w:r>
              <w:rPr>
                <w:rFonts w:hint="eastAsia" w:hAnsi="宋体" w:cs="宋体"/>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1.3.4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技术性能指标</w:t>
            </w:r>
          </w:p>
        </w:tc>
        <w:tc>
          <w:tcPr>
            <w:tcW w:w="5684" w:type="dxa"/>
            <w:vAlign w:val="center"/>
          </w:tcPr>
          <w:p>
            <w:pPr>
              <w:snapToGrid w:val="0"/>
              <w:spacing w:line="360" w:lineRule="auto"/>
              <w:rPr>
                <w:rFonts w:hAnsi="宋体" w:cs="宋体"/>
                <w:highlight w:val="none"/>
              </w:rPr>
            </w:pPr>
            <w:r>
              <w:rPr>
                <w:rFonts w:hint="eastAsia" w:hAnsi="宋体" w:cs="宋体"/>
                <w:highlight w:val="none"/>
              </w:rPr>
              <w:t>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投标人资质条件、能力和信誉</w:t>
            </w:r>
          </w:p>
        </w:tc>
        <w:tc>
          <w:tcPr>
            <w:tcW w:w="5684" w:type="dxa"/>
            <w:vAlign w:val="center"/>
          </w:tcPr>
          <w:p>
            <w:pPr>
              <w:snapToGrid w:val="0"/>
              <w:spacing w:line="360" w:lineRule="auto"/>
              <w:rPr>
                <w:rFonts w:hAnsi="宋体" w:cs="宋体"/>
                <w:highlight w:val="none"/>
              </w:rPr>
            </w:pPr>
            <w:r>
              <w:rPr>
                <w:rFonts w:hint="eastAsia" w:hAnsi="宋体" w:cs="宋体"/>
                <w:highlight w:val="none"/>
              </w:rPr>
              <w:t>（1）资质条件：见附录1</w:t>
            </w:r>
          </w:p>
          <w:p>
            <w:pPr>
              <w:snapToGrid w:val="0"/>
              <w:spacing w:line="360" w:lineRule="auto"/>
              <w:rPr>
                <w:rFonts w:hAnsi="宋体" w:cs="宋体"/>
                <w:highlight w:val="none"/>
              </w:rPr>
            </w:pPr>
            <w:r>
              <w:rPr>
                <w:rFonts w:hint="eastAsia" w:hAnsi="宋体" w:cs="宋体"/>
                <w:highlight w:val="none"/>
              </w:rPr>
              <w:t>（2）财务要求：见附录2</w:t>
            </w:r>
          </w:p>
          <w:p>
            <w:pPr>
              <w:snapToGrid w:val="0"/>
              <w:spacing w:line="360" w:lineRule="auto"/>
              <w:rPr>
                <w:rFonts w:hAnsi="宋体" w:cs="宋体"/>
                <w:highlight w:val="none"/>
              </w:rPr>
            </w:pPr>
            <w:r>
              <w:rPr>
                <w:rFonts w:hint="eastAsia" w:hAnsi="宋体" w:cs="宋体"/>
                <w:highlight w:val="none"/>
              </w:rPr>
              <w:t>（3）业绩要求：见附录3</w:t>
            </w:r>
          </w:p>
          <w:p>
            <w:pPr>
              <w:snapToGrid w:val="0"/>
              <w:spacing w:line="360" w:lineRule="auto"/>
              <w:rPr>
                <w:rFonts w:hAnsi="宋体" w:cs="宋体"/>
                <w:highlight w:val="none"/>
              </w:rPr>
            </w:pPr>
            <w:r>
              <w:rPr>
                <w:rFonts w:hint="eastAsia" w:hAnsi="宋体" w:cs="宋体"/>
                <w:highlight w:val="none"/>
              </w:rPr>
              <w:t>（4）信誉要求：见附录4</w:t>
            </w:r>
          </w:p>
          <w:p>
            <w:pPr>
              <w:snapToGrid w:val="0"/>
              <w:spacing w:line="360" w:lineRule="auto"/>
              <w:rPr>
                <w:rFonts w:hAnsi="宋体" w:cs="宋体"/>
                <w:highlight w:val="none"/>
              </w:rPr>
            </w:pPr>
            <w:r>
              <w:rPr>
                <w:rFonts w:hint="eastAsia" w:hAnsi="宋体" w:cs="宋体"/>
                <w:highlight w:val="none"/>
              </w:rPr>
              <w:t>（5）项目负责人要求：见附录5</w:t>
            </w:r>
          </w:p>
          <w:p>
            <w:pPr>
              <w:snapToGrid w:val="0"/>
              <w:spacing w:line="360" w:lineRule="auto"/>
              <w:rPr>
                <w:rFonts w:hAnsi="宋体" w:cs="宋体"/>
                <w:highlight w:val="none"/>
              </w:rPr>
            </w:pPr>
            <w:r>
              <w:rPr>
                <w:rFonts w:hint="eastAsia" w:hAnsi="宋体" w:cs="宋体"/>
                <w:highlight w:val="none"/>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是否接受联合体投标</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不接受</w:t>
            </w:r>
          </w:p>
          <w:p>
            <w:pPr>
              <w:snapToGrid w:val="0"/>
              <w:spacing w:line="360" w:lineRule="auto"/>
              <w:rPr>
                <w:rFonts w:hAnsi="宋体" w:cs="宋体"/>
                <w:highlight w:val="none"/>
              </w:rPr>
            </w:pPr>
            <w:r>
              <w:rPr>
                <w:rFonts w:hint="eastAsia" w:hAnsi="宋体" w:cs="宋体"/>
                <w:highlight w:val="none"/>
              </w:rPr>
              <w:t>□接受，应满足下列要求：</w:t>
            </w: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1.4.3（17）</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投标人不得存在的其他情形</w:t>
            </w:r>
          </w:p>
        </w:tc>
        <w:tc>
          <w:tcPr>
            <w:tcW w:w="5684" w:type="dxa"/>
            <w:vAlign w:val="center"/>
          </w:tcPr>
          <w:p>
            <w:pPr>
              <w:snapToGrid w:val="0"/>
              <w:spacing w:line="360" w:lineRule="auto"/>
              <w:rPr>
                <w:rFonts w:hAnsi="宋体" w:cs="宋体"/>
                <w:highlight w:val="none"/>
              </w:rPr>
            </w:pPr>
            <w:r>
              <w:rPr>
                <w:rFonts w:hint="eastAsia" w:hAnsi="宋体" w:cs="宋体"/>
                <w:highlight w:val="none"/>
                <w:lang w:eastAsia="zh-CN"/>
              </w:rPr>
              <w:t>□</w:t>
            </w:r>
            <w:r>
              <w:rPr>
                <w:rFonts w:hint="eastAsia" w:hAnsi="宋体" w:cs="宋体"/>
                <w:highlight w:val="none"/>
              </w:rPr>
              <w:t xml:space="preserve">与本标段的其他投标人代理同一个制造商同一品牌同一型号的货物投标；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1.4.4（4）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投标人不得存在的其他不良状况或不良信用记录</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1）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p>
            <w:pPr>
              <w:snapToGrid w:val="0"/>
              <w:spacing w:line="360" w:lineRule="auto"/>
              <w:rPr>
                <w:rFonts w:hAnsi="宋体" w:cs="宋体"/>
                <w:highlight w:val="none"/>
              </w:rPr>
            </w:pPr>
            <w:r>
              <w:rPr>
                <w:rFonts w:hint="eastAsia" w:hAnsi="宋体" w:cs="宋体"/>
                <w:bCs/>
                <w:snapToGrid w:val="0"/>
                <w:highlight w:val="none"/>
              </w:rPr>
              <w:t>（2）查询要求：评标委员会仅通过“电子服务系统”查询拟推荐中标候选人是否存在上述情形，并将查询截图及查询结果在评标报告中予以记录。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1.9.1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踏勘现场</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不组织，投标人自行踏勘</w:t>
            </w:r>
          </w:p>
          <w:p>
            <w:pPr>
              <w:snapToGrid w:val="0"/>
              <w:spacing w:line="360" w:lineRule="auto"/>
              <w:rPr>
                <w:rFonts w:hAnsi="宋体" w:cs="宋体"/>
                <w:highlight w:val="none"/>
              </w:rPr>
            </w:pPr>
            <w:r>
              <w:rPr>
                <w:rFonts w:hint="eastAsia" w:hAnsi="宋体" w:cs="宋体"/>
                <w:highlight w:val="none"/>
              </w:rPr>
              <w:t>□组织，踏勘时间：</w:t>
            </w:r>
          </w:p>
          <w:p>
            <w:pPr>
              <w:snapToGrid w:val="0"/>
              <w:spacing w:line="360" w:lineRule="auto"/>
              <w:rPr>
                <w:rFonts w:hAnsi="宋体" w:cs="宋体"/>
                <w:highlight w:val="none"/>
              </w:rPr>
            </w:pPr>
            <w:r>
              <w:rPr>
                <w:rFonts w:hint="eastAsia" w:hAnsi="宋体" w:cs="宋体"/>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1.10.1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投标预备会</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不召开</w:t>
            </w:r>
          </w:p>
          <w:p>
            <w:pPr>
              <w:snapToGrid w:val="0"/>
              <w:spacing w:line="360" w:lineRule="auto"/>
              <w:rPr>
                <w:rFonts w:hAnsi="宋体" w:cs="宋体"/>
                <w:highlight w:val="none"/>
              </w:rPr>
            </w:pPr>
            <w:r>
              <w:rPr>
                <w:rFonts w:hint="eastAsia" w:hAnsi="宋体" w:cs="宋体"/>
                <w:highlight w:val="none"/>
              </w:rPr>
              <w:t>□召开，召开时间：</w:t>
            </w:r>
          </w:p>
          <w:p>
            <w:pPr>
              <w:snapToGrid w:val="0"/>
              <w:spacing w:line="360" w:lineRule="auto"/>
              <w:rPr>
                <w:rFonts w:hAnsi="宋体" w:cs="宋体"/>
                <w:highlight w:val="none"/>
              </w:rPr>
            </w:pPr>
            <w:r>
              <w:rPr>
                <w:rFonts w:hint="eastAsia" w:hAnsi="宋体" w:cs="宋体"/>
                <w:highlight w:val="none"/>
              </w:rPr>
              <w:t xml:space="preserve">        召开形式：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1.10.2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投标人在投标预备会前提出问题</w:t>
            </w:r>
          </w:p>
        </w:tc>
        <w:tc>
          <w:tcPr>
            <w:tcW w:w="5684" w:type="dxa"/>
            <w:vAlign w:val="center"/>
          </w:tcPr>
          <w:p>
            <w:pPr>
              <w:snapToGrid w:val="0"/>
              <w:spacing w:line="360" w:lineRule="auto"/>
              <w:rPr>
                <w:rFonts w:hAnsi="宋体" w:cs="宋体"/>
                <w:highlight w:val="none"/>
              </w:rPr>
            </w:pPr>
            <w:r>
              <w:rPr>
                <w:rFonts w:hint="eastAsia" w:hAnsi="宋体" w:cs="宋体"/>
                <w:highlight w:val="none"/>
              </w:rPr>
              <w:t>时间：</w:t>
            </w:r>
            <w:r>
              <w:rPr>
                <w:rFonts w:hint="eastAsia" w:hAnsi="宋体" w:cs="宋体"/>
                <w:bCs/>
                <w:snapToGrid w:val="0"/>
                <w:highlight w:val="none"/>
                <w:u w:val="single"/>
              </w:rPr>
              <w:t xml:space="preserve">   /   </w:t>
            </w:r>
          </w:p>
          <w:p>
            <w:pPr>
              <w:snapToGrid w:val="0"/>
              <w:spacing w:line="360" w:lineRule="auto"/>
              <w:rPr>
                <w:rFonts w:hAnsi="宋体" w:cs="宋体"/>
                <w:highlight w:val="none"/>
              </w:rPr>
            </w:pPr>
            <w:r>
              <w:rPr>
                <w:rFonts w:hint="eastAsia" w:hAnsi="宋体" w:cs="宋体"/>
                <w:highlight w:val="none"/>
              </w:rPr>
              <w:t>形式：</w:t>
            </w: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1.11.1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分包</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snapToGrid w:val="0"/>
              <w:spacing w:line="360" w:lineRule="auto"/>
              <w:rPr>
                <w:rFonts w:hAnsi="宋体" w:cs="宋体"/>
                <w:highlight w:val="none"/>
              </w:rPr>
            </w:pPr>
            <w:r>
              <w:rPr>
                <w:rFonts w:hint="eastAsia" w:hAnsi="宋体" w:cs="宋体"/>
                <w:highlight w:val="none"/>
              </w:rPr>
              <w:t>□允许，分包内容要求：</w:t>
            </w:r>
          </w:p>
          <w:p>
            <w:pPr>
              <w:snapToGrid w:val="0"/>
              <w:spacing w:line="360" w:lineRule="auto"/>
              <w:rPr>
                <w:rFonts w:hAnsi="宋体" w:cs="宋体"/>
                <w:highlight w:val="none"/>
              </w:rPr>
            </w:pPr>
            <w:r>
              <w:rPr>
                <w:rFonts w:hint="eastAsia" w:hAnsi="宋体" w:cs="宋体"/>
                <w:highlight w:val="none"/>
              </w:rPr>
              <w:t xml:space="preserve">        分包金额要求：</w:t>
            </w:r>
          </w:p>
          <w:p>
            <w:pPr>
              <w:snapToGrid w:val="0"/>
              <w:spacing w:line="360" w:lineRule="auto"/>
              <w:rPr>
                <w:rFonts w:hAnsi="宋体" w:cs="宋体"/>
                <w:highlight w:val="none"/>
              </w:rPr>
            </w:pPr>
            <w:r>
              <w:rPr>
                <w:rFonts w:hint="eastAsia" w:hAnsi="宋体" w:cs="宋体"/>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实质性要求和条件</w:t>
            </w:r>
          </w:p>
        </w:tc>
        <w:tc>
          <w:tcPr>
            <w:tcW w:w="5684" w:type="dxa"/>
            <w:vAlign w:val="center"/>
          </w:tcPr>
          <w:p>
            <w:pPr>
              <w:snapToGrid w:val="0"/>
              <w:spacing w:line="360" w:lineRule="auto"/>
              <w:rPr>
                <w:rFonts w:hAnsi="宋体" w:cs="宋体"/>
                <w:highlight w:val="none"/>
              </w:rPr>
            </w:pP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1.12.3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其他可以被接受的技术支持资料</w:t>
            </w:r>
          </w:p>
        </w:tc>
        <w:tc>
          <w:tcPr>
            <w:tcW w:w="5684" w:type="dxa"/>
            <w:vAlign w:val="center"/>
          </w:tcPr>
          <w:p>
            <w:pPr>
              <w:pStyle w:val="18"/>
              <w:topLinePunct/>
              <w:spacing w:line="360" w:lineRule="auto"/>
              <w:rPr>
                <w:rFonts w:ascii="宋体" w:eastAsia="宋体" w:cs="宋体"/>
                <w:bCs w:val="0"/>
                <w:color w:val="auto"/>
                <w:kern w:val="0"/>
                <w:szCs w:val="24"/>
                <w:highlight w:val="none"/>
              </w:rPr>
            </w:pPr>
            <w:r>
              <w:rPr>
                <w:rFonts w:hint="eastAsia" w:ascii="宋体" w:eastAsia="宋体" w:cs="宋体"/>
                <w:bCs w:val="0"/>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1.12.4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偏差</w:t>
            </w:r>
          </w:p>
        </w:tc>
        <w:tc>
          <w:tcPr>
            <w:tcW w:w="5684" w:type="dxa"/>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snapToGrid w:val="0"/>
              <w:spacing w:line="360" w:lineRule="auto"/>
              <w:rPr>
                <w:rFonts w:hAnsi="宋体" w:cs="宋体"/>
                <w:highlight w:val="none"/>
              </w:rPr>
            </w:pPr>
            <w:r>
              <w:rPr>
                <w:rFonts w:hint="eastAsia" w:hAnsi="宋体" w:cs="宋体"/>
                <w:highlight w:val="none"/>
                <w:lang w:eastAsia="zh-CN"/>
              </w:rPr>
              <w:t>□</w:t>
            </w:r>
            <w:r>
              <w:rPr>
                <w:rFonts w:hint="eastAsia" w:hAnsi="宋体" w:cs="宋体"/>
                <w:highlight w:val="none"/>
              </w:rPr>
              <w:t>允许，偏差范围：见招标文件第五章“供货要求”</w:t>
            </w:r>
          </w:p>
          <w:p>
            <w:pPr>
              <w:snapToGrid w:val="0"/>
              <w:spacing w:line="360" w:lineRule="auto"/>
              <w:ind w:firstLine="960" w:firstLineChars="400"/>
              <w:rPr>
                <w:rFonts w:hAnsi="宋体" w:cs="宋体"/>
                <w:highlight w:val="none"/>
              </w:rPr>
            </w:pPr>
            <w:r>
              <w:rPr>
                <w:rFonts w:hint="eastAsia" w:hAnsi="宋体" w:cs="宋体"/>
                <w:highlight w:val="none"/>
              </w:rPr>
              <w:t>最高项数：见招标文件第五章“供货要求”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2.1（7）</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构成招标文件的其他材料</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rPr>
              <w:t>☑</w:t>
            </w:r>
            <w:r>
              <w:rPr>
                <w:rFonts w:hint="eastAsia" w:hAnsi="宋体"/>
                <w:bCs/>
                <w:snapToGrid w:val="0"/>
                <w:szCs w:val="21"/>
              </w:rPr>
              <w:t xml:space="preserve">澄清（如有） </w:t>
            </w:r>
            <w:r>
              <w:rPr>
                <w:rFonts w:hint="eastAsia" w:ascii="MS Mincho" w:hAnsi="MS Mincho" w:cs="MS Mincho"/>
                <w:lang w:eastAsia="zh-CN"/>
              </w:rPr>
              <w:t>☑</w:t>
            </w:r>
            <w:r>
              <w:rPr>
                <w:rFonts w:hint="eastAsia" w:hAnsi="宋体"/>
                <w:bCs/>
                <w:snapToGrid w:val="0"/>
                <w:szCs w:val="21"/>
              </w:rPr>
              <w:t xml:space="preserve">图纸   </w:t>
            </w:r>
            <w:r>
              <w:rPr>
                <w:rFonts w:hint="eastAsia" w:hAnsi="宋体"/>
                <w:bCs/>
                <w:snapToGrid w:val="0"/>
                <w:szCs w:val="21"/>
                <w:lang w:eastAsia="zh-CN"/>
              </w:rPr>
              <w:t>☑</w:t>
            </w:r>
            <w:r>
              <w:rPr>
                <w:rFonts w:hint="eastAsia" w:hAnsi="宋体"/>
                <w:bCs/>
                <w:snapToGrid w:val="0"/>
                <w:szCs w:val="21"/>
                <w:lang w:val="en-US" w:eastAsia="zh-CN"/>
              </w:rPr>
              <w:t xml:space="preserve">技术规范书 </w:t>
            </w:r>
            <w:r>
              <w:rPr>
                <w:rFonts w:hint="eastAsia" w:hAnsi="宋体" w:cs="宋体"/>
                <w:highlight w:val="none"/>
                <w:lang w:eastAsia="zh-CN"/>
              </w:rPr>
              <w:t>☑</w:t>
            </w:r>
            <w:r>
              <w:rPr>
                <w:rFonts w:hint="eastAsia" w:hAnsi="宋体" w:cs="宋体"/>
                <w:highlight w:val="none"/>
                <w:lang w:val="en-US" w:eastAsia="zh-CN"/>
              </w:rPr>
              <w:t xml:space="preserve">初步设计方案  </w:t>
            </w:r>
            <w:r>
              <w:rPr>
                <w:rFonts w:hint="eastAsia" w:hAnsi="宋体" w:cs="宋体"/>
                <w:highlight w:val="none"/>
                <w:lang w:eastAsia="zh-CN"/>
              </w:rPr>
              <w:t>□</w:t>
            </w:r>
            <w:r>
              <w:rPr>
                <w:rFonts w:hint="eastAsia" w:hAnsi="宋体"/>
                <w:bCs/>
                <w:snapToGrid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投标人要求澄清招标文件</w:t>
            </w:r>
          </w:p>
        </w:tc>
        <w:tc>
          <w:tcPr>
            <w:tcW w:w="5684" w:type="dxa"/>
            <w:vAlign w:val="center"/>
          </w:tcPr>
          <w:p>
            <w:pPr>
              <w:snapToGrid w:val="0"/>
              <w:spacing w:line="360" w:lineRule="auto"/>
              <w:rPr>
                <w:rFonts w:hAnsi="宋体" w:cs="宋体"/>
                <w:highlight w:val="none"/>
              </w:rPr>
            </w:pPr>
            <w:r>
              <w:rPr>
                <w:rFonts w:hint="eastAsia" w:hAnsi="宋体" w:cs="宋体"/>
                <w:highlight w:val="none"/>
              </w:rPr>
              <w:t>时间：</w:t>
            </w:r>
            <w:r>
              <w:rPr>
                <w:rFonts w:hint="eastAsia" w:hAnsi="宋体" w:cs="宋体"/>
                <w:bCs/>
                <w:snapToGrid w:val="0"/>
                <w:highlight w:val="none"/>
                <w:u w:val="single"/>
              </w:rPr>
              <w:t>202</w:t>
            </w:r>
            <w:r>
              <w:rPr>
                <w:rFonts w:hint="eastAsia" w:hAnsi="宋体" w:cs="宋体"/>
                <w:bCs/>
                <w:snapToGrid w:val="0"/>
                <w:highlight w:val="none"/>
                <w:u w:val="single"/>
                <w:lang w:val="en-US" w:eastAsia="zh-CN"/>
              </w:rPr>
              <w:t>4</w:t>
            </w:r>
            <w:r>
              <w:rPr>
                <w:rFonts w:hint="eastAsia" w:hAnsi="宋体" w:cs="宋体"/>
                <w:bCs/>
                <w:snapToGrid w:val="0"/>
                <w:highlight w:val="none"/>
              </w:rPr>
              <w:t>年</w:t>
            </w:r>
            <w:r>
              <w:rPr>
                <w:rFonts w:hint="eastAsia" w:hAnsi="宋体" w:cs="宋体"/>
                <w:bCs/>
                <w:snapToGrid w:val="0"/>
                <w:highlight w:val="none"/>
                <w:u w:val="single"/>
                <w:lang w:val="en-US" w:eastAsia="zh-CN"/>
              </w:rPr>
              <w:t xml:space="preserve">  </w:t>
            </w:r>
            <w:r>
              <w:rPr>
                <w:rFonts w:hint="eastAsia" w:hAnsi="宋体" w:cs="宋体"/>
                <w:bCs/>
                <w:snapToGrid w:val="0"/>
                <w:highlight w:val="none"/>
              </w:rPr>
              <w:t>月</w:t>
            </w:r>
            <w:r>
              <w:rPr>
                <w:rFonts w:hint="eastAsia" w:hAnsi="宋体" w:cs="宋体"/>
                <w:bCs/>
                <w:snapToGrid w:val="0"/>
                <w:highlight w:val="none"/>
                <w:u w:val="single"/>
                <w:lang w:val="en-US" w:eastAsia="zh-CN"/>
              </w:rPr>
              <w:t xml:space="preserve">  </w:t>
            </w:r>
            <w:r>
              <w:rPr>
                <w:rFonts w:hint="eastAsia" w:hAnsi="宋体" w:cs="宋体"/>
                <w:bCs/>
                <w:snapToGrid w:val="0"/>
                <w:highlight w:val="none"/>
              </w:rPr>
              <w:t>日</w:t>
            </w:r>
            <w:r>
              <w:rPr>
                <w:rFonts w:hint="eastAsia" w:hAnsi="宋体" w:cs="宋体"/>
                <w:bCs/>
                <w:snapToGrid w:val="0"/>
                <w:highlight w:val="none"/>
                <w:u w:val="single"/>
              </w:rPr>
              <w:t>17</w:t>
            </w:r>
            <w:r>
              <w:rPr>
                <w:rFonts w:hint="eastAsia" w:hAnsi="宋体" w:cs="宋体"/>
                <w:bCs/>
                <w:snapToGrid w:val="0"/>
                <w:highlight w:val="none"/>
              </w:rPr>
              <w:t>时</w:t>
            </w:r>
            <w:r>
              <w:rPr>
                <w:rFonts w:hint="eastAsia" w:hAnsi="宋体" w:cs="宋体"/>
                <w:bCs/>
                <w:snapToGrid w:val="0"/>
                <w:highlight w:val="none"/>
                <w:u w:val="single"/>
              </w:rPr>
              <w:t>30</w:t>
            </w:r>
            <w:r>
              <w:rPr>
                <w:rFonts w:hint="eastAsia" w:hAnsi="宋体" w:cs="宋体"/>
                <w:bCs/>
                <w:snapToGrid w:val="0"/>
                <w:highlight w:val="none"/>
              </w:rPr>
              <w:t>分前。</w:t>
            </w:r>
          </w:p>
          <w:p>
            <w:pPr>
              <w:snapToGrid w:val="0"/>
              <w:spacing w:line="360" w:lineRule="auto"/>
              <w:rPr>
                <w:rFonts w:hAnsi="宋体" w:cs="宋体"/>
                <w:highlight w:val="none"/>
              </w:rPr>
            </w:pPr>
            <w:r>
              <w:rPr>
                <w:rFonts w:hint="eastAsia" w:hAnsi="宋体" w:cs="宋体"/>
                <w:bCs/>
                <w:snapToGrid w:val="0"/>
                <w:highlight w:val="none"/>
              </w:rPr>
              <w:t>形式：通过电子交易系统在线提出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2.2.2</w:t>
            </w:r>
          </w:p>
        </w:tc>
        <w:tc>
          <w:tcPr>
            <w:tcW w:w="1776" w:type="dxa"/>
            <w:vAlign w:val="center"/>
          </w:tcPr>
          <w:p>
            <w:pPr>
              <w:snapToGrid w:val="0"/>
              <w:spacing w:line="360" w:lineRule="auto"/>
              <w:jc w:val="center"/>
              <w:rPr>
                <w:rFonts w:hAnsi="宋体" w:cs="宋体"/>
                <w:highlight w:val="none"/>
              </w:rPr>
            </w:pPr>
            <w:r>
              <w:rPr>
                <w:rFonts w:hint="eastAsia" w:hAnsi="宋体" w:cs="宋体"/>
                <w:snapToGrid w:val="0"/>
                <w:highlight w:val="none"/>
              </w:rPr>
              <w:t>招标文件澄清发出的形式</w:t>
            </w:r>
          </w:p>
        </w:tc>
        <w:tc>
          <w:tcPr>
            <w:tcW w:w="5684" w:type="dxa"/>
            <w:vAlign w:val="center"/>
          </w:tcPr>
          <w:p>
            <w:pPr>
              <w:snapToGrid w:val="0"/>
              <w:spacing w:line="360" w:lineRule="auto"/>
              <w:rPr>
                <w:rFonts w:hAnsi="宋体" w:cs="宋体"/>
                <w:highlight w:val="none"/>
              </w:rPr>
            </w:pPr>
            <w:r>
              <w:rPr>
                <w:rFonts w:hint="eastAsia" w:hAnsi="宋体" w:cs="宋体"/>
                <w:snapToGrid w:val="0"/>
                <w:highlight w:val="none"/>
              </w:rPr>
              <w:t>通过</w:t>
            </w:r>
            <w:r>
              <w:rPr>
                <w:rFonts w:hint="eastAsia" w:hAnsi="宋体" w:cs="宋体"/>
                <w:bCs/>
                <w:snapToGrid w:val="0"/>
                <w:highlight w:val="none"/>
              </w:rPr>
              <w:t>电子服务系统</w:t>
            </w:r>
            <w:r>
              <w:rPr>
                <w:rFonts w:hint="eastAsia" w:hAnsi="宋体" w:cs="宋体"/>
                <w:snapToGrid w:val="0"/>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ind w:left="120" w:leftChars="50" w:right="120" w:rightChars="50"/>
              <w:jc w:val="center"/>
              <w:rPr>
                <w:rFonts w:hAnsi="宋体" w:cs="宋体"/>
                <w:snapToGrid w:val="0"/>
                <w:highlight w:val="none"/>
              </w:rPr>
            </w:pPr>
            <w:r>
              <w:rPr>
                <w:rFonts w:hint="eastAsia" w:hAnsi="宋体" w:cs="宋体"/>
                <w:snapToGrid w:val="0"/>
                <w:highlight w:val="none"/>
              </w:rPr>
              <w:t>2.3.1</w:t>
            </w:r>
          </w:p>
        </w:tc>
        <w:tc>
          <w:tcPr>
            <w:tcW w:w="1776" w:type="dxa"/>
            <w:vAlign w:val="center"/>
          </w:tcPr>
          <w:p>
            <w:pPr>
              <w:kinsoku w:val="0"/>
              <w:overflowPunct w:val="0"/>
              <w:autoSpaceDE w:val="0"/>
              <w:autoSpaceDN w:val="0"/>
              <w:adjustRightInd w:val="0"/>
              <w:snapToGrid w:val="0"/>
              <w:spacing w:line="360" w:lineRule="auto"/>
              <w:ind w:right="-120" w:rightChars="-50"/>
              <w:jc w:val="center"/>
              <w:rPr>
                <w:rFonts w:hAnsi="宋体" w:cs="宋体"/>
                <w:snapToGrid w:val="0"/>
                <w:highlight w:val="none"/>
              </w:rPr>
            </w:pPr>
            <w:r>
              <w:rPr>
                <w:rFonts w:hint="eastAsia" w:hAnsi="宋体" w:cs="宋体"/>
                <w:snapToGrid w:val="0"/>
                <w:highlight w:val="none"/>
              </w:rPr>
              <w:t>招标文件修改发出的形式</w:t>
            </w:r>
          </w:p>
        </w:tc>
        <w:tc>
          <w:tcPr>
            <w:tcW w:w="5684" w:type="dxa"/>
            <w:vAlign w:val="center"/>
          </w:tcPr>
          <w:p>
            <w:pPr>
              <w:autoSpaceDE w:val="0"/>
              <w:autoSpaceDN w:val="0"/>
              <w:adjustRightInd w:val="0"/>
              <w:snapToGrid w:val="0"/>
              <w:spacing w:line="360" w:lineRule="auto"/>
              <w:ind w:right="120" w:rightChars="50"/>
              <w:jc w:val="left"/>
              <w:rPr>
                <w:rFonts w:hAnsi="宋体" w:cs="宋体"/>
                <w:snapToGrid w:val="0"/>
                <w:highlight w:val="none"/>
              </w:rPr>
            </w:pPr>
            <w:r>
              <w:rPr>
                <w:rFonts w:hint="eastAsia" w:hAnsi="宋体" w:cs="宋体"/>
                <w:snapToGrid w:val="0"/>
                <w:highlight w:val="none"/>
              </w:rPr>
              <w:t>通过</w:t>
            </w:r>
            <w:r>
              <w:rPr>
                <w:rFonts w:hint="eastAsia" w:hAnsi="宋体" w:cs="宋体"/>
                <w:bCs/>
                <w:snapToGrid w:val="0"/>
                <w:highlight w:val="none"/>
              </w:rPr>
              <w:t>电子服务系统</w:t>
            </w:r>
            <w:r>
              <w:rPr>
                <w:rFonts w:hint="eastAsia" w:hAnsi="宋体" w:cs="宋体"/>
                <w:snapToGrid w:val="0"/>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增值税税金相关要求</w:t>
            </w:r>
          </w:p>
        </w:tc>
        <w:tc>
          <w:tcPr>
            <w:tcW w:w="5684" w:type="dxa"/>
            <w:vAlign w:val="center"/>
          </w:tcPr>
          <w:p>
            <w:pPr>
              <w:snapToGrid w:val="0"/>
              <w:spacing w:line="360" w:lineRule="auto"/>
              <w:rPr>
                <w:rFonts w:hAnsi="宋体" w:cs="宋体"/>
                <w:bCs/>
                <w:snapToGrid w:val="0"/>
                <w:highlight w:val="none"/>
              </w:rPr>
            </w:pPr>
            <w:r>
              <w:rPr>
                <w:rFonts w:hint="eastAsia" w:ascii="Times New Roman" w:cs="宋体"/>
                <w:bCs/>
                <w:snapToGrid w:val="0"/>
                <w:szCs w:val="24"/>
                <w:highlight w:val="none"/>
              </w:rPr>
              <w:t>（1）</w:t>
            </w:r>
            <w:r>
              <w:rPr>
                <w:rFonts w:hint="eastAsia" w:hAnsi="宋体" w:cs="宋体"/>
                <w:bCs/>
                <w:snapToGrid w:val="0"/>
                <w:highlight w:val="none"/>
              </w:rPr>
              <w:t>计税方法：</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一般计税方法</w:t>
            </w:r>
          </w:p>
          <w:p>
            <w:pPr>
              <w:snapToGrid w:val="0"/>
              <w:spacing w:line="360" w:lineRule="auto"/>
              <w:rPr>
                <w:rFonts w:hAnsi="宋体" w:cs="宋体"/>
                <w:bCs/>
                <w:snapToGrid w:val="0"/>
                <w:highlight w:val="none"/>
              </w:rPr>
            </w:pPr>
            <w:r>
              <w:rPr>
                <w:rFonts w:hint="eastAsia" w:hAnsi="宋体" w:cs="宋体"/>
                <w:bCs/>
                <w:snapToGrid w:val="0"/>
                <w:highlight w:val="none"/>
              </w:rPr>
              <w:t xml:space="preserve">□简易计算方法 </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（2）</w:t>
            </w:r>
            <w:r>
              <w:rPr>
                <w:rFonts w:hint="eastAsia" w:hAnsi="宋体" w:cs="宋体"/>
                <w:bCs/>
                <w:snapToGrid w:val="0"/>
                <w:highlight w:val="none"/>
              </w:rPr>
              <w:t>发票类型：</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增值税专用发票</w:t>
            </w:r>
          </w:p>
          <w:p>
            <w:pPr>
              <w:snapToGrid w:val="0"/>
              <w:spacing w:line="360" w:lineRule="auto"/>
              <w:rPr>
                <w:rFonts w:hAnsi="宋体" w:cs="宋体"/>
                <w:bCs/>
                <w:snapToGrid w:val="0"/>
                <w:highlight w:val="none"/>
              </w:rPr>
            </w:pPr>
            <w:r>
              <w:rPr>
                <w:rFonts w:hint="eastAsia" w:hAnsi="宋体" w:cs="宋体"/>
                <w:bCs/>
                <w:snapToGrid w:val="0"/>
                <w:highlight w:val="none"/>
              </w:rPr>
              <w:t>□增值税普通发票</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（3）</w:t>
            </w:r>
            <w:r>
              <w:rPr>
                <w:rFonts w:hint="eastAsia" w:hAnsi="宋体" w:cs="宋体"/>
                <w:bCs/>
                <w:snapToGrid w:val="0"/>
                <w:highlight w:val="none"/>
              </w:rPr>
              <w:t>增值税税率按照国家有关规定执行。</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（4）</w:t>
            </w:r>
            <w:r>
              <w:rPr>
                <w:rFonts w:hint="eastAsia" w:hAnsi="宋体" w:cs="宋体"/>
                <w:bCs/>
                <w:snapToGrid w:val="0"/>
                <w:highlight w:val="none"/>
              </w:rPr>
              <w:t>注册地不在合肥市行政区域范围（含四县一市）的中标人，应按照国家税务总局规定，在建筑服务发生地及时足额预缴增值税。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最高投标限价</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□无</w:t>
            </w:r>
          </w:p>
          <w:p>
            <w:pPr>
              <w:snapToGrid w:val="0"/>
              <w:spacing w:line="360" w:lineRule="auto"/>
              <w:rPr>
                <w:rFonts w:hint="eastAsia" w:hAnsi="宋体" w:eastAsia="宋体" w:cs="宋体"/>
                <w:bCs/>
                <w:snapToGrid w:val="0"/>
                <w:highlight w:val="none"/>
                <w:lang w:val="en-US" w:eastAsia="zh-CN"/>
              </w:rPr>
            </w:pPr>
            <w:r>
              <w:rPr>
                <w:rFonts w:hint="eastAsia" w:ascii="MS Mincho" w:hAnsi="MS Mincho" w:eastAsia="MS Mincho" w:cs="MS Mincho"/>
                <w:highlight w:val="none"/>
              </w:rPr>
              <w:t>☑</w:t>
            </w:r>
            <w:r>
              <w:rPr>
                <w:rFonts w:hint="eastAsia" w:hAnsi="宋体" w:cs="宋体"/>
                <w:bCs/>
                <w:snapToGrid w:val="0"/>
                <w:highlight w:val="none"/>
              </w:rPr>
              <w:t>有，最高投标限价：</w:t>
            </w:r>
            <w:r>
              <w:rPr>
                <w:rFonts w:hint="eastAsia" w:hAnsi="宋体" w:cs="宋体"/>
                <w:bCs/>
                <w:snapToGrid w:val="0"/>
                <w:highlight w:val="none"/>
                <w:u w:val="single"/>
                <w:lang w:val="en-US" w:eastAsia="zh-CN"/>
              </w:rPr>
              <w:t>1145.1947</w:t>
            </w:r>
            <w:r>
              <w:rPr>
                <w:rFonts w:hint="eastAsia" w:hAnsi="宋体" w:cs="宋体"/>
                <w:bCs/>
                <w:snapToGrid w:val="0"/>
                <w:highlight w:val="none"/>
                <w:u w:val="none"/>
              </w:rPr>
              <w:t>万元</w:t>
            </w:r>
            <w:r>
              <w:rPr>
                <w:rFonts w:hint="eastAsia" w:hAnsi="宋体" w:cs="宋体"/>
                <w:bCs/>
                <w:snapToGrid w:val="0"/>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3.2.5</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投标报价的其他要求</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3.3.1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投标有效期</w:t>
            </w:r>
          </w:p>
        </w:tc>
        <w:tc>
          <w:tcPr>
            <w:tcW w:w="5684" w:type="dxa"/>
            <w:vAlign w:val="center"/>
          </w:tcPr>
          <w:p>
            <w:pPr>
              <w:snapToGrid w:val="0"/>
              <w:spacing w:line="360" w:lineRule="auto"/>
              <w:rPr>
                <w:rFonts w:hAnsi="宋体" w:cs="宋体"/>
                <w:snapToGrid w:val="0"/>
                <w:highlight w:val="none"/>
              </w:rPr>
            </w:pPr>
            <w:r>
              <w:rPr>
                <w:rFonts w:hint="eastAsia" w:hAnsi="宋体" w:cs="宋体"/>
                <w:snapToGrid w:val="0"/>
                <w:highlight w:val="none"/>
              </w:rPr>
              <w:t>自投标人递交投标文件截止之日起计算</w:t>
            </w:r>
            <w:r>
              <w:rPr>
                <w:rFonts w:hint="eastAsia" w:hAnsi="宋体" w:cs="宋体"/>
                <w:bCs/>
                <w:snapToGrid w:val="0"/>
                <w:highlight w:val="none"/>
                <w:u w:val="single"/>
              </w:rPr>
              <w:t xml:space="preserve"> 120 </w:t>
            </w:r>
            <w:r>
              <w:rPr>
                <w:rFonts w:hint="eastAsia" w:hAnsi="宋体" w:cs="宋体"/>
                <w:snapToGrid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3.4.1</w:t>
            </w:r>
          </w:p>
        </w:tc>
        <w:tc>
          <w:tcPr>
            <w:tcW w:w="1776" w:type="dxa"/>
            <w:vAlign w:val="center"/>
          </w:tcPr>
          <w:p>
            <w:pPr>
              <w:snapToGrid w:val="0"/>
              <w:spacing w:line="360" w:lineRule="auto"/>
              <w:jc w:val="center"/>
              <w:rPr>
                <w:rFonts w:hAnsi="宋体" w:cs="宋体"/>
                <w:highlight w:val="none"/>
              </w:rPr>
            </w:pPr>
            <w:r>
              <w:rPr>
                <w:rFonts w:hint="eastAsia" w:hAnsi="宋体" w:cs="宋体"/>
                <w:bCs/>
                <w:szCs w:val="24"/>
                <w:highlight w:val="none"/>
              </w:rPr>
              <w:t>投标保证金</w:t>
            </w:r>
          </w:p>
        </w:tc>
        <w:tc>
          <w:tcPr>
            <w:tcW w:w="5684" w:type="dxa"/>
            <w:vAlign w:val="center"/>
          </w:tcPr>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是否要求投标人提交投标保证金：</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A3"/>
            </w:r>
            <w:r>
              <w:rPr>
                <w:rFonts w:hint="eastAsia" w:ascii="Times New Roman" w:cs="宋体"/>
                <w:bCs/>
                <w:sz w:val="24"/>
                <w:szCs w:val="24"/>
                <w:highlight w:val="none"/>
              </w:rPr>
              <w:t>不要求</w:t>
            </w:r>
          </w:p>
          <w:p>
            <w:pPr>
              <w:snapToGrid w:val="0"/>
              <w:spacing w:line="360" w:lineRule="auto"/>
              <w:rPr>
                <w:rFonts w:hint="eastAsia" w:ascii="Times New Roman" w:cs="宋体"/>
                <w:bCs/>
                <w:sz w:val="24"/>
                <w:szCs w:val="24"/>
                <w:highlight w:val="none"/>
              </w:rPr>
            </w:pPr>
            <w:r>
              <w:rPr>
                <w:rFonts w:hint="eastAsia" w:hAnsi="宋体"/>
                <w:b/>
                <w:bCs/>
                <w:szCs w:val="21"/>
                <w:highlight w:val="none"/>
              </w:rPr>
              <w:sym w:font="Wingdings" w:char="F0FE"/>
            </w:r>
            <w:r>
              <w:rPr>
                <w:rFonts w:hint="eastAsia" w:ascii="Times New Roman" w:cs="宋体"/>
                <w:bCs/>
                <w:sz w:val="24"/>
                <w:szCs w:val="24"/>
                <w:highlight w:val="none"/>
              </w:rPr>
              <w:t>要求，具体如下：</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（1）投标保证金的金额：</w:t>
            </w:r>
            <w:r>
              <w:rPr>
                <w:rFonts w:hint="eastAsia" w:ascii="Times New Roman" w:cs="宋体"/>
                <w:bCs/>
                <w:sz w:val="24"/>
                <w:szCs w:val="24"/>
                <w:highlight w:val="none"/>
                <w:u w:val="single"/>
                <w:lang w:val="en-US" w:eastAsia="zh-CN"/>
              </w:rPr>
              <w:t>20</w:t>
            </w:r>
            <w:r>
              <w:rPr>
                <w:rFonts w:hint="eastAsia" w:ascii="Times New Roman" w:cs="宋体"/>
                <w:bCs/>
                <w:sz w:val="24"/>
                <w:szCs w:val="24"/>
                <w:highlight w:val="none"/>
                <w:u w:val="single"/>
              </w:rPr>
              <w:t>万元</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（2）投标保证金的形式：</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电子保函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现金（银行转账、银行电汇）</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纸质保函（纸质银行保函、纸质担保机构担保、纸质保证保险）</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（3）具体要求：</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②采用纸质银行保函的，应为投标人基本存款账户开户行出具的不可撤销、不可转让的见索即付独立保函。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③采用纸质担保机构担保的，应为经安徽省地方金融监督管理局审查批准，依法取得融资担保业务经营许可证的融资担保机构出具的不可撤销、不可转让的见索即付独立保函。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④采用纸质保证保险的，应为保险公司出具的不可撤销、不可转让的见索即付保证保险。</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⑤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扫描件、保函（或保证保险）扫描件编入投标文件中，由评标委员会在评标时审查认定。未提交或未完整提交的视为未按规定提交投标保证金。</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⑥采用电子保函的，请登录全国公共资源交易平台（安徽省•合肥市）（安徽合肥公共资源交易中心网站）“电子保函”栏目查看《合肥市（信易贷）电子保函平台投标保函操作手册》并按照操作手册规定内容办理。</w:t>
            </w:r>
          </w:p>
          <w:p>
            <w:pPr>
              <w:pStyle w:val="2"/>
              <w:spacing w:before="0" w:after="0" w:line="360" w:lineRule="auto"/>
              <w:ind w:firstLine="118"/>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（4）是否适用免缴投标保证金政策：</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A3"/>
            </w:r>
            <w:r>
              <w:rPr>
                <w:rFonts w:hint="eastAsia" w:ascii="Times New Roman" w:cs="宋体"/>
                <w:bCs/>
                <w:sz w:val="24"/>
                <w:szCs w:val="24"/>
                <w:highlight w:val="none"/>
              </w:rPr>
              <w:t>不适用</w:t>
            </w:r>
          </w:p>
          <w:p>
            <w:pPr>
              <w:pStyle w:val="19"/>
              <w:spacing w:after="0" w:line="360" w:lineRule="auto"/>
              <w:rPr>
                <w:rFonts w:hint="eastAsia" w:cs="宋体"/>
                <w:bCs/>
                <w:sz w:val="24"/>
                <w:szCs w:val="24"/>
                <w:highlight w:val="none"/>
                <w:lang w:val="en-US" w:eastAsia="zh-CN"/>
              </w:rPr>
            </w:pPr>
            <w:r>
              <w:rPr>
                <w:rFonts w:hint="eastAsia" w:cs="宋体"/>
                <w:b/>
                <w:bCs/>
                <w:sz w:val="24"/>
                <w:szCs w:val="24"/>
                <w:highlight w:val="none"/>
                <w:lang w:val="en-US" w:eastAsia="zh-CN"/>
              </w:rPr>
              <w:sym w:font="Wingdings" w:char="F0FE"/>
            </w:r>
            <w:r>
              <w:rPr>
                <w:rFonts w:hint="eastAsia" w:cs="宋体"/>
                <w:bCs/>
                <w:sz w:val="24"/>
                <w:szCs w:val="24"/>
                <w:highlight w:val="none"/>
                <w:lang w:val="en-US" w:eastAsia="zh-CN"/>
              </w:rPr>
              <w:t>适用，适用免缴投标保证金的情形：</w:t>
            </w:r>
            <w:r>
              <w:rPr>
                <w:rFonts w:hint="eastAsia" w:cs="宋体"/>
                <w:b/>
                <w:bCs/>
                <w:sz w:val="24"/>
                <w:szCs w:val="24"/>
                <w:highlight w:val="none"/>
                <w:u w:val="single"/>
                <w:lang w:val="en-US" w:eastAsia="zh-CN"/>
              </w:rPr>
              <w:t>投标人按招标文件第六章“投标人免缴投标保证金信用承诺函”格式进行承诺后，免缴投标保证金。</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（5）其他要求：</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①特别提醒</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投标人采用保函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②投标保证金弄虚作假情形</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pPr>
              <w:snapToGrid w:val="0"/>
              <w:spacing w:line="360" w:lineRule="auto"/>
              <w:rPr>
                <w:rFonts w:hint="eastAsia" w:ascii="Times New Roman" w:cs="宋体"/>
                <w:bCs/>
                <w:sz w:val="24"/>
                <w:szCs w:val="24"/>
                <w:highlight w:val="none"/>
                <w:u w:val="single"/>
              </w:rPr>
            </w:pPr>
            <w:r>
              <w:rPr>
                <w:rFonts w:hint="eastAsia" w:ascii="Times New Roman" w:cs="宋体"/>
                <w:bCs/>
                <w:sz w:val="24"/>
                <w:szCs w:val="24"/>
                <w:highlight w:val="none"/>
              </w:rPr>
              <w:t>（6）投标保证金注意事项：</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①投标人采用纸质保函形式的，须提供明确有效的查询途径（网址链接及查询方式），否则无效。</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②保函存在明显异常情形的（如多家投标人的保函编号相同；保函存在明显伪造痕迹、内容前后矛盾等情形），评标委员会应根据投标人提供的查询途径进行核查，并在评标报告中予以记录。</w:t>
            </w:r>
          </w:p>
          <w:p>
            <w:pPr>
              <w:snapToGrid w:val="0"/>
              <w:spacing w:line="360" w:lineRule="auto"/>
              <w:rPr>
                <w:rFonts w:hAnsi="宋体" w:cs="宋体"/>
                <w:bCs/>
                <w:szCs w:val="24"/>
                <w:highlight w:val="none"/>
                <w:u w:val="single"/>
              </w:rPr>
            </w:pPr>
            <w:r>
              <w:rPr>
                <w:rFonts w:hint="eastAsia" w:ascii="Times New Roman" w:cs="宋体"/>
                <w:bCs/>
                <w:sz w:val="24"/>
                <w:szCs w:val="24"/>
                <w:highlight w:val="none"/>
              </w:rPr>
              <w:t>③中标候选人须在中标候选人公示期间将其开具至本招标项目的纸质保函原件提交招标人（或招标代理机构），且原件须与投标文件中提供的扫描件一致，如存在未按照规定提交或提交内容不一致，或发现弄虚作假的，招标人（或招标代理机构）应报公共资源交易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ascii="Times New Roman" w:cs="宋体"/>
                <w:bCs/>
                <w:szCs w:val="24"/>
                <w:highlight w:val="none"/>
              </w:rPr>
            </w:pPr>
            <w:r>
              <w:rPr>
                <w:rFonts w:hint="eastAsia" w:ascii="Times New Roman" w:cs="宋体"/>
                <w:bCs/>
                <w:szCs w:val="24"/>
                <w:highlight w:val="none"/>
              </w:rPr>
              <w:t>3.4.3</w:t>
            </w:r>
          </w:p>
        </w:tc>
        <w:tc>
          <w:tcPr>
            <w:tcW w:w="1776" w:type="dxa"/>
            <w:vAlign w:val="center"/>
          </w:tcPr>
          <w:p>
            <w:pPr>
              <w:snapToGrid w:val="0"/>
              <w:spacing w:line="360" w:lineRule="auto"/>
              <w:jc w:val="center"/>
              <w:rPr>
                <w:rFonts w:ascii="Times New Roman" w:cs="宋体"/>
                <w:bCs/>
                <w:szCs w:val="24"/>
                <w:highlight w:val="none"/>
              </w:rPr>
            </w:pPr>
            <w:r>
              <w:rPr>
                <w:rFonts w:hint="eastAsia" w:ascii="Times New Roman" w:cs="宋体"/>
                <w:bCs/>
                <w:szCs w:val="24"/>
                <w:highlight w:val="none"/>
              </w:rPr>
              <w:t>投标保证金的退还</w:t>
            </w:r>
          </w:p>
        </w:tc>
        <w:tc>
          <w:tcPr>
            <w:tcW w:w="5684" w:type="dxa"/>
            <w:vAlign w:val="center"/>
          </w:tcPr>
          <w:p>
            <w:pPr>
              <w:snapToGrid w:val="0"/>
              <w:spacing w:line="360" w:lineRule="auto"/>
              <w:rPr>
                <w:rFonts w:ascii="Times New Roman" w:cs="宋体"/>
                <w:bCs/>
                <w:szCs w:val="24"/>
                <w:highlight w:val="none"/>
              </w:rPr>
            </w:pPr>
            <w:r>
              <w:rPr>
                <w:rFonts w:hint="eastAsia" w:ascii="Times New Roman" w:cs="宋体"/>
                <w:bCs/>
                <w:szCs w:val="24"/>
                <w:highlight w:val="none"/>
              </w:rPr>
              <w:t>按照安徽合肥公共资源交易中心《关于进一步优化投标保证金退还流程的通知》（合公中心〔2023〕3号）执行。</w:t>
            </w:r>
          </w:p>
          <w:p>
            <w:pPr>
              <w:snapToGrid w:val="0"/>
              <w:spacing w:line="360" w:lineRule="auto"/>
              <w:rPr>
                <w:rFonts w:ascii="Times New Roman" w:cs="宋体"/>
                <w:bCs/>
                <w:szCs w:val="24"/>
                <w:highlight w:val="none"/>
              </w:rPr>
            </w:pPr>
            <w:r>
              <w:rPr>
                <w:rFonts w:hint="eastAsia" w:ascii="Times New Roman" w:cs="宋体"/>
                <w:bCs/>
                <w:szCs w:val="24"/>
                <w:highlight w:val="none"/>
              </w:rPr>
              <w:t>（如有最新规定，按照最新规定执行）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3.4.4（3）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其他不予退还投标保证金的情形</w:t>
            </w:r>
          </w:p>
        </w:tc>
        <w:tc>
          <w:tcPr>
            <w:tcW w:w="5684" w:type="dxa"/>
            <w:vAlign w:val="center"/>
          </w:tcPr>
          <w:p>
            <w:pPr>
              <w:snapToGrid w:val="0"/>
              <w:spacing w:line="360" w:lineRule="auto"/>
              <w:rPr>
                <w:rFonts w:hAnsi="宋体" w:cs="宋体"/>
                <w:highlight w:val="none"/>
                <w:u w:val="single"/>
              </w:rPr>
            </w:pPr>
            <w:r>
              <w:rPr>
                <w:rFonts w:hint="eastAsia" w:ascii="Times New Roman"/>
                <w:bCs/>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3.6.1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是否允许递交备选投标方案</w:t>
            </w:r>
          </w:p>
        </w:tc>
        <w:tc>
          <w:tcPr>
            <w:tcW w:w="5684" w:type="dxa"/>
            <w:vAlign w:val="center"/>
          </w:tcPr>
          <w:p>
            <w:pPr>
              <w:adjustRightInd w:val="0"/>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adjustRightInd w:val="0"/>
              <w:snapToGrid w:val="0"/>
              <w:spacing w:line="360" w:lineRule="auto"/>
              <w:rPr>
                <w:rFonts w:hAnsi="宋体" w:cs="宋体"/>
                <w:snapToGrid w:val="0"/>
                <w:highlight w:val="none"/>
                <w:shd w:val="clear" w:color="auto" w:fill="FFFFFF"/>
              </w:rPr>
            </w:pPr>
            <w:r>
              <w:rPr>
                <w:rFonts w:hint="eastAsia" w:hAnsi="宋体" w:cs="宋体"/>
                <w:highlight w:val="none"/>
              </w:rPr>
              <w:t>□允许，具体要求：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3.7.4</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非加密投标文件递交</w:t>
            </w:r>
          </w:p>
        </w:tc>
        <w:tc>
          <w:tcPr>
            <w:tcW w:w="5684" w:type="dxa"/>
            <w:vAlign w:val="center"/>
          </w:tcPr>
          <w:p>
            <w:pPr>
              <w:adjustRightInd w:val="0"/>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□允许，具体要求如下：</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非加密投标文件由投标人自行确定是否递交。</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如递交，应在投标截止时间前在开标地点递交，并提供以下证明材料，否则招标人不予接收。</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（1）法定代表人亲自递交的，应提供法定代表人身份证明和法定代表人的有效身份证件；</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（2）委托代理人递交的，应提供授权委托书和委托代理人的有效身份证件。</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非加密投标文件介质：光盘或U盘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4.1.2</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非加密投标文件密封和标记要求</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非加密投标文件封套：</w:t>
            </w:r>
          </w:p>
          <w:p>
            <w:pPr>
              <w:snapToGrid w:val="0"/>
              <w:spacing w:line="360" w:lineRule="auto"/>
              <w:rPr>
                <w:rFonts w:hAnsi="宋体" w:cs="宋体"/>
                <w:bCs/>
                <w:snapToGrid w:val="0"/>
                <w:highlight w:val="none"/>
              </w:rPr>
            </w:pPr>
            <w:r>
              <w:rPr>
                <w:rFonts w:hint="eastAsia" w:hAnsi="宋体" w:cs="宋体"/>
                <w:bCs/>
                <w:snapToGrid w:val="0"/>
                <w:highlight w:val="none"/>
              </w:rPr>
              <w:t>投标人名称：</w:t>
            </w:r>
          </w:p>
          <w:p>
            <w:pPr>
              <w:snapToGrid w:val="0"/>
              <w:spacing w:line="360" w:lineRule="auto"/>
              <w:rPr>
                <w:rFonts w:hAnsi="宋体" w:cs="宋体"/>
                <w:bCs/>
                <w:snapToGrid w:val="0"/>
                <w:highlight w:val="none"/>
              </w:rPr>
            </w:pPr>
            <w:r>
              <w:rPr>
                <w:rFonts w:hint="eastAsia" w:hAnsi="宋体" w:cs="宋体"/>
                <w:bCs/>
                <w:snapToGrid w:val="0"/>
                <w:highlight w:val="none"/>
                <w:u w:val="single"/>
              </w:rPr>
              <w:t>（招标项目名称）</w:t>
            </w:r>
            <w:r>
              <w:rPr>
                <w:rFonts w:hint="eastAsia" w:hAnsi="宋体" w:cs="宋体"/>
                <w:bCs/>
                <w:snapToGrid w:val="0"/>
                <w:highlight w:val="none"/>
              </w:rPr>
              <w:t>标段投标文件</w:t>
            </w:r>
          </w:p>
          <w:p>
            <w:pPr>
              <w:snapToGrid w:val="0"/>
              <w:spacing w:line="360" w:lineRule="auto"/>
              <w:rPr>
                <w:rFonts w:hAnsi="宋体" w:cs="宋体"/>
                <w:bCs/>
                <w:snapToGrid w:val="0"/>
                <w:highlight w:val="none"/>
              </w:rPr>
            </w:pPr>
            <w:r>
              <w:rPr>
                <w:rFonts w:hint="eastAsia" w:hAnsi="宋体" w:cs="宋体"/>
                <w:bCs/>
                <w:snapToGrid w:val="0"/>
                <w:highlight w:val="none"/>
              </w:rPr>
              <w:t>（非加密投标文件）</w:t>
            </w:r>
          </w:p>
          <w:p>
            <w:pPr>
              <w:snapToGrid w:val="0"/>
              <w:spacing w:line="360" w:lineRule="auto"/>
              <w:rPr>
                <w:rFonts w:hAnsi="宋体" w:cs="宋体"/>
                <w:highlight w:val="none"/>
              </w:rPr>
            </w:pPr>
            <w:r>
              <w:rPr>
                <w:rFonts w:hint="eastAsia" w:hAnsi="宋体" w:cs="宋体"/>
                <w:bCs/>
                <w:snapToGrid w:val="0"/>
                <w:highlight w:val="none"/>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4.2.2</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递交非加密投标文件地点</w:t>
            </w:r>
          </w:p>
        </w:tc>
        <w:tc>
          <w:tcPr>
            <w:tcW w:w="5684" w:type="dxa"/>
            <w:vAlign w:val="center"/>
          </w:tcPr>
          <w:p>
            <w:pPr>
              <w:snapToGrid w:val="0"/>
              <w:spacing w:line="360" w:lineRule="auto"/>
              <w:rPr>
                <w:rFonts w:hAnsi="宋体" w:cs="宋体"/>
                <w:bCs/>
                <w:snapToGrid w:val="0"/>
                <w:szCs w:val="24"/>
                <w:highlight w:val="none"/>
              </w:rPr>
            </w:pPr>
            <w:r>
              <w:rPr>
                <w:rFonts w:hint="eastAsia" w:hAnsi="宋体" w:cs="宋体"/>
                <w:bCs/>
                <w:snapToGrid w:val="0"/>
                <w:highlight w:val="none"/>
              </w:rPr>
              <w:t>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4.2.3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是否退还投标文件</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否</w:t>
            </w:r>
          </w:p>
          <w:p>
            <w:pPr>
              <w:snapToGrid w:val="0"/>
              <w:spacing w:line="360" w:lineRule="auto"/>
              <w:rPr>
                <w:rFonts w:hAnsi="宋体" w:cs="宋体"/>
                <w:highlight w:val="none"/>
                <w:u w:val="single"/>
              </w:rPr>
            </w:pPr>
            <w:r>
              <w:rPr>
                <w:rFonts w:hint="eastAsia" w:hAnsi="宋体" w:cs="宋体"/>
                <w:highlight w:val="none"/>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5.1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开标时间和地点</w:t>
            </w:r>
          </w:p>
        </w:tc>
        <w:tc>
          <w:tcPr>
            <w:tcW w:w="5684" w:type="dxa"/>
            <w:vAlign w:val="center"/>
          </w:tcPr>
          <w:p>
            <w:pPr>
              <w:snapToGrid w:val="0"/>
              <w:spacing w:line="360" w:lineRule="auto"/>
              <w:rPr>
                <w:rFonts w:hAnsi="宋体" w:cs="宋体"/>
                <w:highlight w:val="none"/>
              </w:rPr>
            </w:pPr>
            <w:r>
              <w:rPr>
                <w:rFonts w:hint="eastAsia" w:hAnsi="宋体" w:cs="宋体"/>
                <w:highlight w:val="none"/>
              </w:rPr>
              <w:t>开标时间：同投标截止时间</w:t>
            </w:r>
          </w:p>
          <w:p>
            <w:pPr>
              <w:snapToGrid w:val="0"/>
              <w:spacing w:line="360" w:lineRule="auto"/>
              <w:rPr>
                <w:rFonts w:hAnsi="宋体" w:cs="宋体"/>
                <w:highlight w:val="none"/>
              </w:rPr>
            </w:pPr>
            <w:r>
              <w:rPr>
                <w:rFonts w:hint="eastAsia" w:hAnsi="宋体" w:cs="宋体"/>
                <w:highlight w:val="none"/>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5.2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开标程序</w:t>
            </w:r>
          </w:p>
        </w:tc>
        <w:tc>
          <w:tcPr>
            <w:tcW w:w="5684" w:type="dxa"/>
            <w:vAlign w:val="center"/>
          </w:tcPr>
          <w:p>
            <w:pPr>
              <w:snapToGrid w:val="0"/>
              <w:spacing w:line="360" w:lineRule="auto"/>
              <w:rPr>
                <w:rFonts w:hAnsi="宋体" w:cs="宋体"/>
                <w:bCs/>
                <w:snapToGrid w:val="0"/>
                <w:highlight w:val="none"/>
              </w:rPr>
            </w:pPr>
            <w:r>
              <w:rPr>
                <w:rFonts w:hint="eastAsia" w:hAnsi="宋体" w:cs="宋体"/>
                <w:highlight w:val="none"/>
              </w:rPr>
              <w:t>（3）解密时间：</w:t>
            </w:r>
            <w:r>
              <w:rPr>
                <w:rFonts w:hint="eastAsia" w:hAnsi="宋体" w:cs="宋体"/>
                <w:highlight w:val="none"/>
                <w:u w:val="single"/>
              </w:rPr>
              <w:t>30</w:t>
            </w:r>
            <w:r>
              <w:rPr>
                <w:rFonts w:hint="eastAsia" w:hAnsi="宋体" w:cs="宋体"/>
                <w:highlight w:val="none"/>
              </w:rPr>
              <w:t>分钟</w:t>
            </w:r>
            <w:r>
              <w:rPr>
                <w:rFonts w:hint="eastAsia" w:hAnsi="宋体" w:cs="宋体"/>
                <w:bCs/>
                <w:snapToGrid w:val="0"/>
                <w:highlight w:val="none"/>
              </w:rPr>
              <w:t>（以电子交易系统解密倒计时为准）；</w:t>
            </w:r>
          </w:p>
          <w:p>
            <w:pPr>
              <w:snapToGrid w:val="0"/>
              <w:spacing w:line="360" w:lineRule="auto"/>
              <w:rPr>
                <w:rFonts w:hAnsi="宋体" w:cs="宋体"/>
                <w:highlight w:val="none"/>
              </w:rPr>
            </w:pPr>
            <w:r>
              <w:rPr>
                <w:rFonts w:hint="eastAsia" w:hAnsi="宋体" w:cs="宋体"/>
                <w:highlight w:val="none"/>
              </w:rPr>
              <w:t>□（5）公布投标人名称、标段名称、投标报价。</w:t>
            </w:r>
          </w:p>
          <w:p>
            <w:pPr>
              <w:snapToGrid w:val="0"/>
              <w:spacing w:line="360" w:lineRule="auto"/>
              <w:jc w:val="left"/>
              <w:rPr>
                <w:rFonts w:ascii="Times New Roman" w:cs="宋体"/>
                <w:szCs w:val="24"/>
                <w:highlight w:val="none"/>
              </w:rPr>
            </w:pPr>
            <w:r>
              <w:rPr>
                <w:rFonts w:hint="eastAsia" w:ascii="MS Mincho" w:hAnsi="MS Mincho" w:eastAsia="MS Mincho" w:cs="MS Mincho"/>
                <w:highlight w:val="none"/>
              </w:rPr>
              <w:t>☑</w:t>
            </w:r>
            <w:r>
              <w:rPr>
                <w:rFonts w:hint="eastAsia" w:hAnsi="宋体" w:cs="宋体"/>
                <w:highlight w:val="none"/>
              </w:rPr>
              <w:t>（5）公布投标人名称、标段名称；商务、技术文件评审完成后，根据第三章“评标办法”的规定再公布所有投标人的投标报价。</w:t>
            </w:r>
          </w:p>
          <w:p>
            <w:pPr>
              <w:snapToGrid w:val="0"/>
              <w:spacing w:line="360" w:lineRule="auto"/>
              <w:rPr>
                <w:rFonts w:hAnsi="宋体" w:cs="宋体"/>
                <w:highlight w:val="none"/>
              </w:rPr>
            </w:pPr>
            <w:r>
              <w:rPr>
                <w:rFonts w:hint="eastAsia" w:hAnsi="宋体" w:cs="宋体"/>
                <w:bCs/>
                <w:highlight w:val="none"/>
              </w:rPr>
              <w:t>多标段开标顺序：/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6.3.2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评标委员会推荐中标候选人的数量</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u w:val="singl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6.4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中标候选人公示媒介、期限及其他要求</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rPr>
              <w:t>（1）</w:t>
            </w:r>
            <w:r>
              <w:rPr>
                <w:rFonts w:hint="eastAsia" w:hAnsi="宋体" w:cs="宋体"/>
                <w:highlight w:val="none"/>
              </w:rPr>
              <w:t>公示媒介：同招标公告发布媒介</w:t>
            </w:r>
          </w:p>
          <w:p>
            <w:pPr>
              <w:snapToGrid w:val="0"/>
              <w:spacing w:line="360" w:lineRule="auto"/>
              <w:rPr>
                <w:rFonts w:hAnsi="宋体" w:cs="宋体"/>
                <w:highlight w:val="none"/>
                <w:u w:val="single"/>
              </w:rPr>
            </w:pPr>
            <w:r>
              <w:rPr>
                <w:rFonts w:hint="eastAsia" w:ascii="Times New Roman" w:cs="宋体"/>
                <w:bCs/>
                <w:szCs w:val="24"/>
                <w:highlight w:val="none"/>
              </w:rPr>
              <w:t>（2）</w:t>
            </w:r>
            <w:r>
              <w:rPr>
                <w:rFonts w:hint="eastAsia" w:hAnsi="宋体" w:cs="宋体"/>
                <w:highlight w:val="none"/>
              </w:rPr>
              <w:t>公示期限：</w:t>
            </w:r>
            <w:r>
              <w:rPr>
                <w:rFonts w:hint="eastAsia" w:hAnsi="宋体" w:cs="宋体"/>
                <w:highlight w:val="none"/>
                <w:u w:val="single"/>
              </w:rPr>
              <w:t>3</w:t>
            </w:r>
            <w:r>
              <w:rPr>
                <w:rFonts w:hint="eastAsia" w:hAnsi="宋体" w:cs="宋体"/>
                <w:highlight w:val="none"/>
              </w:rPr>
              <w:t>日（公示期截止时间在法定休息日的应顺延至首个工作日）</w:t>
            </w:r>
          </w:p>
          <w:p>
            <w:pPr>
              <w:snapToGrid w:val="0"/>
              <w:spacing w:line="360" w:lineRule="auto"/>
              <w:rPr>
                <w:rFonts w:ascii="Times New Roman" w:cs="宋体"/>
                <w:bCs/>
                <w:szCs w:val="24"/>
                <w:highlight w:val="none"/>
                <w:u w:val="single"/>
              </w:rPr>
            </w:pPr>
            <w:r>
              <w:rPr>
                <w:rFonts w:hint="eastAsia" w:ascii="Times New Roman" w:cs="宋体"/>
                <w:bCs/>
                <w:szCs w:val="24"/>
                <w:highlight w:val="none"/>
              </w:rPr>
              <w:t>（3）其他要求：</w:t>
            </w:r>
          </w:p>
          <w:p>
            <w:pPr>
              <w:snapToGrid w:val="0"/>
              <w:spacing w:line="360" w:lineRule="auto"/>
              <w:rPr>
                <w:rFonts w:ascii="Times New Roman" w:cs="宋体"/>
                <w:bCs/>
                <w:szCs w:val="24"/>
                <w:highlight w:val="none"/>
              </w:rPr>
            </w:pPr>
            <w:r>
              <w:rPr>
                <w:rFonts w:hint="eastAsia" w:ascii="Times New Roman" w:cs="宋体"/>
                <w:bCs/>
                <w:szCs w:val="24"/>
                <w:highlight w:val="none"/>
              </w:rPr>
              <w:t>①招标人（或委托代理机构）在发布中标候选人公示时应当同时公开以下评标情况：</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a.投标人名称、投标报价、投标文件被否决的原因及依据；</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b.评标委员会的评分情况。包括商务文件、技术文件、报价文件评分，其中技术文件还需公开采用编码标注的各评标委员会成员评分；</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c.中标候选人经评审通过的拟任项目负责人（如有）：</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项目负责人姓名；注册证书注册编号；</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d.中标候选人经评审通过的项目负责人业绩（如有，</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含资格审查用业绩和商务文件评分用业绩）：项目名</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称；</w:t>
            </w:r>
          </w:p>
          <w:p>
            <w:pPr>
              <w:snapToGrid w:val="0"/>
              <w:spacing w:line="360" w:lineRule="auto"/>
              <w:rPr>
                <w:rFonts w:ascii="宋体" w:hAnsi="Times New Roman" w:eastAsia="宋体"/>
                <w:bCs w:val="0"/>
                <w:kern w:val="0"/>
                <w:szCs w:val="20"/>
                <w:highlight w:val="none"/>
              </w:rPr>
            </w:pPr>
            <w:r>
              <w:rPr>
                <w:rFonts w:hint="eastAsia" w:ascii="Times New Roman" w:eastAsia="宋体" w:cs="宋体"/>
                <w:bCs/>
                <w:szCs w:val="24"/>
                <w:highlight w:val="none"/>
              </w:rPr>
              <w:t>e.中标候选人经评审通过的投标人业绩（如有，含资格审查用业绩和商务文件评分用业绩）：项目名称；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是否授权评标委员会确定中标人</w:t>
            </w:r>
          </w:p>
        </w:tc>
        <w:tc>
          <w:tcPr>
            <w:tcW w:w="5684" w:type="dxa"/>
            <w:vAlign w:val="center"/>
          </w:tcPr>
          <w:p>
            <w:pPr>
              <w:snapToGrid w:val="0"/>
              <w:spacing w:line="360" w:lineRule="auto"/>
              <w:rPr>
                <w:highlight w:val="none"/>
              </w:rPr>
            </w:pPr>
            <w:r>
              <w:rPr>
                <w:rFonts w:hint="eastAsia" w:ascii="MS Mincho" w:hAnsi="MS Mincho" w:eastAsia="MS Mincho" w:cs="MS Mincho"/>
                <w:highlight w:val="none"/>
              </w:rPr>
              <w:t>☑</w:t>
            </w:r>
            <w:r>
              <w:rPr>
                <w:rFonts w:hint="eastAsia"/>
                <w:highlight w:val="none"/>
              </w:rPr>
              <w:t>是</w:t>
            </w:r>
          </w:p>
          <w:p>
            <w:pPr>
              <w:snapToGrid w:val="0"/>
              <w:spacing w:line="360" w:lineRule="auto"/>
              <w:rPr>
                <w:highlight w:val="none"/>
              </w:rPr>
            </w:pPr>
            <w:r>
              <w:rPr>
                <w:rFonts w:hint="eastAsia"/>
                <w:highlight w:val="none"/>
              </w:rPr>
              <w:sym w:font="Wingdings 2" w:char="00A3"/>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中标结果公示媒介</w:t>
            </w:r>
          </w:p>
        </w:tc>
        <w:tc>
          <w:tcPr>
            <w:tcW w:w="5684" w:type="dxa"/>
            <w:vAlign w:val="center"/>
          </w:tcPr>
          <w:p>
            <w:pPr>
              <w:snapToGrid w:val="0"/>
              <w:spacing w:line="360" w:lineRule="auto"/>
              <w:rPr>
                <w:rFonts w:hAnsi="宋体" w:cs="宋体"/>
                <w:highlight w:val="none"/>
              </w:rPr>
            </w:pPr>
            <w:r>
              <w:rPr>
                <w:rFonts w:hint="eastAsia" w:hAnsi="宋体" w:cs="宋体"/>
                <w:highlight w:val="none"/>
              </w:rPr>
              <w:t>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中标通知书和中标结果通知发出的形式</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rPr>
              <w:t>（1）</w:t>
            </w:r>
            <w:r>
              <w:rPr>
                <w:rFonts w:hint="eastAsia" w:hAnsi="宋体" w:cs="宋体"/>
                <w:highlight w:val="none"/>
              </w:rPr>
              <w:t>中标通知书发出的形式：</w:t>
            </w:r>
            <w:r>
              <w:rPr>
                <w:rFonts w:hint="eastAsia" w:hAnsi="宋体" w:cs="宋体"/>
                <w:highlight w:val="none"/>
              </w:rPr>
              <w:sym w:font="Wingdings 2" w:char="0052"/>
            </w:r>
            <w:r>
              <w:rPr>
                <w:rFonts w:hint="eastAsia" w:hAnsi="宋体" w:cs="宋体"/>
                <w:highlight w:val="none"/>
              </w:rPr>
              <w:t xml:space="preserve">数据电文  </w:t>
            </w:r>
            <w:r>
              <w:rPr>
                <w:rFonts w:hint="eastAsia" w:hAnsi="宋体" w:cs="宋体"/>
                <w:highlight w:val="none"/>
              </w:rPr>
              <w:sym w:font="Wingdings 2" w:char="00A3"/>
            </w:r>
            <w:r>
              <w:rPr>
                <w:rFonts w:hint="eastAsia" w:hAnsi="宋体" w:cs="宋体"/>
                <w:highlight w:val="none"/>
              </w:rPr>
              <w:t>纸质</w:t>
            </w:r>
          </w:p>
          <w:p>
            <w:pPr>
              <w:snapToGrid w:val="0"/>
              <w:spacing w:line="360" w:lineRule="auto"/>
              <w:rPr>
                <w:rFonts w:hAnsi="宋体" w:cs="宋体"/>
                <w:highlight w:val="none"/>
              </w:rPr>
            </w:pPr>
            <w:r>
              <w:rPr>
                <w:rFonts w:hint="eastAsia" w:ascii="Times New Roman" w:cs="宋体"/>
                <w:bCs/>
                <w:szCs w:val="24"/>
                <w:highlight w:val="none"/>
              </w:rPr>
              <w:t>（2）</w:t>
            </w:r>
            <w:r>
              <w:rPr>
                <w:rFonts w:hint="eastAsia" w:hAnsi="宋体" w:cs="宋体"/>
                <w:highlight w:val="none"/>
              </w:rPr>
              <w:t>中标结果通知发出的形式：</w:t>
            </w:r>
            <w:r>
              <w:rPr>
                <w:rFonts w:hint="eastAsia" w:hAnsi="宋体" w:cs="宋体"/>
                <w:highlight w:val="none"/>
              </w:rPr>
              <w:sym w:font="Wingdings 2" w:char="0052"/>
            </w:r>
            <w:r>
              <w:rPr>
                <w:rFonts w:hint="eastAsia" w:hAnsi="宋体" w:cs="宋体"/>
                <w:highlight w:val="none"/>
              </w:rPr>
              <w:t xml:space="preserve">数据电文 </w:t>
            </w:r>
            <w:r>
              <w:rPr>
                <w:rFonts w:hint="eastAsia" w:hAnsi="宋体" w:cs="宋体"/>
                <w:highlight w:val="none"/>
              </w:rPr>
              <w:sym w:font="Wingdings 2" w:char="00A3"/>
            </w:r>
            <w:r>
              <w:rPr>
                <w:rFonts w:hint="eastAsia" w:hAnsi="宋体" w:cs="宋体"/>
                <w:highlight w:val="none"/>
              </w:rPr>
              <w:t>纸质</w:t>
            </w:r>
          </w:p>
          <w:p>
            <w:pPr>
              <w:snapToGrid w:val="0"/>
              <w:spacing w:line="360" w:lineRule="auto"/>
              <w:rPr>
                <w:rFonts w:hAnsi="宋体" w:cs="宋体"/>
                <w:highlight w:val="none"/>
              </w:rPr>
            </w:pPr>
            <w:r>
              <w:rPr>
                <w:rFonts w:hint="eastAsia" w:hAnsi="宋体" w:cs="宋体"/>
                <w:highlight w:val="none"/>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8.1.1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履约保证金</w:t>
            </w:r>
          </w:p>
        </w:tc>
        <w:tc>
          <w:tcPr>
            <w:tcW w:w="5684" w:type="dxa"/>
            <w:vAlign w:val="center"/>
          </w:tcPr>
          <w:p>
            <w:pPr>
              <w:snapToGrid w:val="0"/>
              <w:spacing w:line="360" w:lineRule="auto"/>
              <w:rPr>
                <w:rFonts w:hAnsi="宋体" w:cs="宋体"/>
                <w:bCs/>
                <w:snapToGrid w:val="0"/>
                <w:highlight w:val="none"/>
              </w:rPr>
            </w:pPr>
            <w:r>
              <w:rPr>
                <w:rFonts w:hint="eastAsia" w:hAnsi="宋体" w:cs="宋体"/>
                <w:snapToGrid w:val="0"/>
                <w:highlight w:val="none"/>
              </w:rPr>
              <w:t>是否要求投标人递交</w:t>
            </w:r>
            <w:r>
              <w:rPr>
                <w:rFonts w:hint="eastAsia" w:hAnsi="宋体" w:cs="宋体"/>
                <w:highlight w:val="none"/>
              </w:rPr>
              <w:t>履约保证金</w:t>
            </w:r>
            <w:r>
              <w:rPr>
                <w:rFonts w:hint="eastAsia" w:hAnsi="宋体" w:cs="宋体"/>
                <w:snapToGrid w:val="0"/>
                <w:highlight w:val="none"/>
              </w:rPr>
              <w:t>：</w:t>
            </w:r>
          </w:p>
          <w:p>
            <w:pPr>
              <w:snapToGrid w:val="0"/>
              <w:spacing w:line="360" w:lineRule="auto"/>
              <w:rPr>
                <w:rFonts w:hAnsi="宋体" w:cs="宋体"/>
                <w:snapToGrid w:val="0"/>
                <w:highlight w:val="none"/>
              </w:rPr>
            </w:pPr>
            <w:r>
              <w:rPr>
                <w:rFonts w:hint="eastAsia" w:hAnsi="宋体" w:cs="宋体"/>
                <w:snapToGrid w:val="0"/>
                <w:highlight w:val="none"/>
              </w:rPr>
              <w:sym w:font="Wingdings 2" w:char="00A3"/>
            </w:r>
            <w:r>
              <w:rPr>
                <w:rFonts w:hint="eastAsia" w:hAnsi="宋体" w:cs="宋体"/>
                <w:snapToGrid w:val="0"/>
                <w:highlight w:val="none"/>
              </w:rPr>
              <w:t>不要求</w:t>
            </w:r>
          </w:p>
          <w:p>
            <w:pPr>
              <w:snapToGrid w:val="0"/>
              <w:spacing w:line="360" w:lineRule="auto"/>
              <w:rPr>
                <w:rFonts w:hAnsi="宋体" w:cs="宋体"/>
                <w:snapToGrid w:val="0"/>
                <w:highlight w:val="none"/>
              </w:rPr>
            </w:pPr>
            <w:r>
              <w:rPr>
                <w:rFonts w:hint="eastAsia" w:ascii="MS Mincho" w:hAnsi="MS Mincho" w:eastAsia="MS Mincho" w:cs="MS Mincho"/>
                <w:highlight w:val="none"/>
              </w:rPr>
              <w:t>☑</w:t>
            </w:r>
            <w:r>
              <w:rPr>
                <w:rFonts w:hint="eastAsia" w:hAnsi="宋体" w:cs="宋体"/>
                <w:snapToGrid w:val="0"/>
                <w:highlight w:val="none"/>
              </w:rPr>
              <w:t>要求，具体如下：</w:t>
            </w:r>
          </w:p>
          <w:p>
            <w:pPr>
              <w:snapToGrid w:val="0"/>
              <w:spacing w:line="360" w:lineRule="auto"/>
              <w:rPr>
                <w:rFonts w:hAnsi="宋体" w:cs="宋体"/>
                <w:bCs/>
                <w:snapToGrid w:val="0"/>
                <w:highlight w:val="none"/>
              </w:rPr>
            </w:pPr>
            <w:r>
              <w:rPr>
                <w:rFonts w:hint="eastAsia" w:hAnsi="宋体" w:cs="宋体"/>
                <w:bCs/>
                <w:snapToGrid w:val="0"/>
                <w:highlight w:val="none"/>
              </w:rPr>
              <w:t>（1）履约保证金金额：</w:t>
            </w:r>
            <w:r>
              <w:rPr>
                <w:rFonts w:hint="eastAsia" w:hAnsi="宋体" w:cs="宋体"/>
                <w:bCs/>
                <w:snapToGrid w:val="0"/>
                <w:highlight w:val="none"/>
                <w:u w:val="single"/>
              </w:rPr>
              <w:t>中标金额的2%</w:t>
            </w:r>
          </w:p>
          <w:p>
            <w:pPr>
              <w:snapToGrid w:val="0"/>
              <w:spacing w:line="360" w:lineRule="auto"/>
              <w:rPr>
                <w:rFonts w:hAnsi="宋体" w:cs="宋体"/>
                <w:highlight w:val="none"/>
              </w:rPr>
            </w:pPr>
            <w:r>
              <w:rPr>
                <w:rFonts w:hint="eastAsia" w:hAnsi="宋体" w:cs="宋体"/>
                <w:bCs/>
                <w:snapToGrid w:val="0"/>
                <w:highlight w:val="none"/>
              </w:rPr>
              <w:t>（2）履约保证金形式</w:t>
            </w:r>
            <w:r>
              <w:rPr>
                <w:rFonts w:hint="eastAsia" w:hAnsi="宋体" w:cs="宋体"/>
                <w:highlight w:val="none"/>
              </w:rPr>
              <w:t>：</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电子保函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现金（银行转账、银行电汇）</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纸质保函（纸质银行保函、纸质担保机构担保、纸质保证保险）</w:t>
            </w:r>
          </w:p>
          <w:p>
            <w:pPr>
              <w:snapToGrid w:val="0"/>
              <w:spacing w:line="360" w:lineRule="auto"/>
              <w:rPr>
                <w:rFonts w:hAnsi="宋体" w:cs="宋体"/>
                <w:highlight w:val="none"/>
              </w:rPr>
            </w:pPr>
            <w:r>
              <w:rPr>
                <w:rFonts w:hint="eastAsia" w:ascii="Times New Roman" w:cs="宋体"/>
                <w:bCs/>
                <w:szCs w:val="24"/>
                <w:highlight w:val="none"/>
              </w:rPr>
              <w:t>（3）</w:t>
            </w:r>
            <w:r>
              <w:rPr>
                <w:rFonts w:hint="eastAsia" w:hAnsi="宋体" w:cs="宋体"/>
                <w:highlight w:val="none"/>
              </w:rPr>
              <w:t>具体要求：</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①采用纸质银行保函的，应为不可撤销、不可转让的见索即付独立保函。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②采用纸质担保机构担保的，应为经安徽省地方金融监督管理局审查批准，依法取得融资担保业务经营许可证的融资担保机构出具的不可撤销、不可转让的见索即付独立保函。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③采用纸质保证保险的，应为保险公司出具的不可撤销、不可转让的见索即付保证保险。</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④采用电子保函的，请登录全国公共资源交易平台（安徽省•合肥市）（安徽合肥公共资源交易中心网站）“电子保函”栏目查看《合肥市（信易贷）电子保函平台履约保函操作手册》并按照操作手册规定内容办理。</w:t>
            </w:r>
          </w:p>
          <w:p>
            <w:pPr>
              <w:spacing w:line="360" w:lineRule="auto"/>
              <w:rPr>
                <w:rFonts w:hAnsi="宋体" w:cs="宋体"/>
                <w:bCs/>
                <w:highlight w:val="none"/>
              </w:rPr>
            </w:pPr>
            <w:r>
              <w:rPr>
                <w:rFonts w:hint="eastAsia" w:ascii="Times New Roman" w:cs="宋体"/>
                <w:bCs/>
                <w:szCs w:val="24"/>
                <w:highlight w:val="none"/>
              </w:rPr>
              <w:t>（4）</w:t>
            </w:r>
            <w:r>
              <w:rPr>
                <w:rFonts w:hint="eastAsia" w:hAnsi="宋体" w:cs="宋体"/>
                <w:bCs/>
                <w:highlight w:val="none"/>
              </w:rPr>
              <w:t>本招标项目是否减免履约保证金：</w:t>
            </w:r>
          </w:p>
          <w:p>
            <w:pPr>
              <w:spacing w:line="360" w:lineRule="auto"/>
              <w:rPr>
                <w:rFonts w:hAnsi="宋体" w:cs="宋体"/>
                <w:bCs/>
                <w:highlight w:val="none"/>
              </w:rPr>
            </w:pPr>
            <w:r>
              <w:rPr>
                <w:rFonts w:hint="eastAsia" w:ascii="MS Mincho" w:hAnsi="MS Mincho" w:eastAsia="MS Mincho" w:cs="MS Mincho"/>
                <w:highlight w:val="none"/>
              </w:rPr>
              <w:t>☑</w:t>
            </w:r>
            <w:r>
              <w:rPr>
                <w:rFonts w:hint="eastAsia" w:hAnsi="宋体" w:cs="宋体"/>
                <w:bCs/>
                <w:highlight w:val="none"/>
              </w:rPr>
              <w:t>不减免</w:t>
            </w:r>
          </w:p>
          <w:p>
            <w:pPr>
              <w:spacing w:line="360" w:lineRule="auto"/>
              <w:rPr>
                <w:rFonts w:hAnsi="宋体" w:cs="宋体"/>
                <w:highlight w:val="none"/>
                <w:u w:val="single"/>
              </w:rPr>
            </w:pPr>
            <w:r>
              <w:rPr>
                <w:rFonts w:hint="eastAsia" w:hAnsi="宋体" w:cs="宋体"/>
                <w:bCs/>
                <w:highlight w:val="none"/>
              </w:rPr>
              <w:t>□减免，</w:t>
            </w:r>
            <w:r>
              <w:rPr>
                <w:rFonts w:hint="eastAsia" w:hAnsi="宋体" w:cs="宋体"/>
                <w:highlight w:val="none"/>
              </w:rPr>
              <w:t>适用减免履约保证金的情形：</w:t>
            </w:r>
          </w:p>
          <w:p>
            <w:pPr>
              <w:spacing w:line="360" w:lineRule="auto"/>
              <w:rPr>
                <w:rFonts w:hAnsi="宋体" w:cs="宋体"/>
                <w:highlight w:val="none"/>
              </w:rPr>
            </w:pPr>
            <w:r>
              <w:rPr>
                <w:rFonts w:hint="eastAsia" w:ascii="Times New Roman" w:cs="宋体"/>
                <w:bCs/>
                <w:szCs w:val="24"/>
                <w:highlight w:val="none"/>
              </w:rPr>
              <w:t>（5）</w:t>
            </w:r>
            <w:r>
              <w:rPr>
                <w:rFonts w:hint="eastAsia" w:hAnsi="宋体" w:cs="宋体"/>
                <w:highlight w:val="none"/>
              </w:rPr>
              <w:t>其他要求：</w:t>
            </w:r>
            <w:r>
              <w:rPr>
                <w:rFonts w:hint="eastAsia" w:hAnsi="宋体" w:cs="宋体"/>
                <w:highlight w:val="none"/>
                <w:u w:val="single"/>
                <w:lang w:val="en-US" w:eastAsia="zh-CN"/>
              </w:rPr>
              <w:t>如</w:t>
            </w:r>
            <w:r>
              <w:rPr>
                <w:rFonts w:hint="eastAsia" w:hAnsi="宋体" w:cs="宋体"/>
                <w:bCs/>
                <w:snapToGrid w:val="0"/>
                <w:highlight w:val="none"/>
                <w:u w:val="single"/>
              </w:rPr>
              <w:t>投标人采用现金（银行转账、银行电汇）形式提交履约保证金的，同时退还银行同期活期存款利息。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6" w:type="dxa"/>
            <w:gridSpan w:val="3"/>
            <w:vAlign w:val="center"/>
          </w:tcPr>
          <w:p>
            <w:pPr>
              <w:snapToGrid w:val="0"/>
              <w:spacing w:line="360" w:lineRule="auto"/>
              <w:jc w:val="left"/>
              <w:rPr>
                <w:rFonts w:hAnsi="宋体" w:cs="宋体"/>
                <w:highlight w:val="none"/>
              </w:rPr>
            </w:pPr>
            <w:r>
              <w:rPr>
                <w:rFonts w:hint="eastAsia" w:hAnsi="宋体" w:cs="宋体"/>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10.1</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获取与查看通知</w:t>
            </w:r>
          </w:p>
        </w:tc>
        <w:tc>
          <w:tcPr>
            <w:tcW w:w="5684" w:type="dxa"/>
            <w:vAlign w:val="center"/>
          </w:tcPr>
          <w:p>
            <w:pPr>
              <w:widowControl/>
              <w:snapToGrid w:val="0"/>
              <w:spacing w:line="360" w:lineRule="auto"/>
              <w:jc w:val="left"/>
              <w:rPr>
                <w:rFonts w:hAnsi="宋体" w:cs="宋体"/>
                <w:highlight w:val="none"/>
              </w:rPr>
            </w:pPr>
            <w:r>
              <w:rPr>
                <w:rFonts w:hint="eastAsia" w:ascii="Times New Roman" w:cs="宋体"/>
                <w:bCs/>
                <w:szCs w:val="24"/>
                <w:highlight w:val="none"/>
              </w:rPr>
              <w:t>本招标项目的招标文件、图纸、工程量清单、最高投标限价、澄清及修改等相关资料均通过电子服务系统发布；投标人应当及时登录电子服务系统自行查看并下载。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10.2</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电子招标</w:t>
            </w:r>
          </w:p>
        </w:tc>
        <w:tc>
          <w:tcPr>
            <w:tcW w:w="5684" w:type="dxa"/>
            <w:vAlign w:val="center"/>
          </w:tcPr>
          <w:p>
            <w:pPr>
              <w:widowControl/>
              <w:snapToGrid w:val="0"/>
              <w:spacing w:line="360" w:lineRule="auto"/>
              <w:jc w:val="left"/>
              <w:rPr>
                <w:rFonts w:hAnsi="宋体" w:cs="宋体"/>
                <w:highlight w:val="none"/>
              </w:rPr>
            </w:pPr>
            <w:r>
              <w:rPr>
                <w:rFonts w:hint="eastAsia" w:hAnsi="宋体" w:cs="宋体"/>
                <w:highlight w:val="none"/>
              </w:rPr>
              <w:t>本招标项目实行全流程电子化交易，除招标文件另有规定外，电子招标投标操作要求见本章附件《合肥市公共资源交易电子招标投标操作规程》。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10.3</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相关政策要求</w:t>
            </w:r>
          </w:p>
        </w:tc>
        <w:tc>
          <w:tcPr>
            <w:tcW w:w="5684" w:type="dxa"/>
            <w:vAlign w:val="center"/>
          </w:tcPr>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lang w:eastAsia="zh-CN"/>
              </w:rPr>
              <w:t>（</w:t>
            </w:r>
            <w:r>
              <w:rPr>
                <w:rFonts w:hint="eastAsia" w:ascii="Times New Roman" w:cs="宋体"/>
                <w:bCs/>
                <w:szCs w:val="24"/>
                <w:highlight w:val="none"/>
                <w:lang w:val="en-US" w:eastAsia="zh-CN"/>
              </w:rPr>
              <w:t>1</w:t>
            </w:r>
            <w:r>
              <w:rPr>
                <w:rFonts w:hint="eastAsia" w:ascii="Times New Roman" w:cs="宋体"/>
                <w:bCs/>
                <w:szCs w:val="24"/>
                <w:highlight w:val="none"/>
                <w:lang w:eastAsia="zh-CN"/>
              </w:rPr>
              <w:t>）</w:t>
            </w:r>
            <w:r>
              <w:rPr>
                <w:rFonts w:hint="eastAsia" w:ascii="Times New Roman" w:cs="宋体"/>
                <w:bCs/>
                <w:szCs w:val="24"/>
                <w:highlight w:val="none"/>
              </w:rPr>
              <w:t>省外建设工程企业按照《关于优化进皖建设工程企业信息登记服务和管理有关工作的通知》（建市函〔2022〕580 号）进行相关信息登记。</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w:t>
            </w:r>
            <w:r>
              <w:rPr>
                <w:rFonts w:hint="eastAsia" w:ascii="Times New Roman" w:cs="宋体"/>
                <w:bCs/>
                <w:szCs w:val="24"/>
                <w:highlight w:val="none"/>
                <w:lang w:val="en-US" w:eastAsia="zh-CN"/>
              </w:rPr>
              <w:t>1</w:t>
            </w:r>
            <w:r>
              <w:rPr>
                <w:rFonts w:hint="eastAsia" w:ascii="Times New Roman" w:cs="宋体"/>
                <w:bCs/>
                <w:szCs w:val="24"/>
                <w:highlight w:val="none"/>
              </w:rPr>
              <w:t>）工程质量保证金执行《关于以保函等方式替代工程质量保证金的通知》（合建〔2020〕29 号）。</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w:t>
            </w:r>
            <w:r>
              <w:rPr>
                <w:rFonts w:hint="eastAsia" w:ascii="Times New Roman" w:cs="宋体"/>
                <w:bCs/>
                <w:szCs w:val="24"/>
                <w:highlight w:val="none"/>
                <w:lang w:val="en-US" w:eastAsia="zh-CN"/>
              </w:rPr>
              <w:t>2</w:t>
            </w:r>
            <w:r>
              <w:rPr>
                <w:rFonts w:hint="eastAsia" w:ascii="Times New Roman" w:cs="宋体"/>
                <w:bCs/>
                <w:szCs w:val="24"/>
                <w:highlight w:val="none"/>
              </w:rPr>
              <w:t>）关于投标保证金、履约保证金、工程质量保证金执行《关于加快推进房屋建筑和市政基础设施工程实行工程担保制度的通知》（建市〔2020〕84 号）。</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w:t>
            </w:r>
            <w:r>
              <w:rPr>
                <w:rFonts w:hint="eastAsia" w:ascii="Times New Roman" w:cs="宋体"/>
                <w:bCs/>
                <w:szCs w:val="24"/>
                <w:highlight w:val="none"/>
                <w:lang w:val="en-US" w:eastAsia="zh-CN"/>
              </w:rPr>
              <w:t>3</w:t>
            </w:r>
            <w:r>
              <w:rPr>
                <w:rFonts w:hint="eastAsia" w:ascii="Times New Roman" w:cs="宋体"/>
                <w:bCs/>
                <w:szCs w:val="24"/>
                <w:highlight w:val="none"/>
              </w:rPr>
              <w:t>）保证保险产品应按《中国银保监会办公厅关于进一步加强和改进财产保险公司产品监管有关问题</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的通知》执行。</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lang w:val="en-US" w:eastAsia="zh-CN"/>
              </w:rPr>
              <w:t>（4）</w:t>
            </w:r>
            <w:r>
              <w:rPr>
                <w:rFonts w:hint="eastAsia" w:ascii="Times New Roman" w:cs="宋体"/>
                <w:bCs/>
                <w:szCs w:val="24"/>
                <w:highlight w:val="none"/>
              </w:rPr>
              <w:t>采用一级建造师投标的应按《住房和城乡建设部办公厅关于全面实行一级建造师电子注册证书的通知》（建办市〔2021〕40 号）执行。</w:t>
            </w:r>
          </w:p>
          <w:p>
            <w:pPr>
              <w:widowControl/>
              <w:snapToGrid w:val="0"/>
              <w:spacing w:line="360" w:lineRule="auto"/>
              <w:jc w:val="left"/>
              <w:rPr>
                <w:rFonts w:hint="default" w:ascii="Times New Roman" w:cs="宋体"/>
                <w:bCs/>
                <w:szCs w:val="24"/>
                <w:highlight w:val="none"/>
                <w:lang w:val="en-US" w:eastAsia="zh-CN"/>
              </w:rPr>
            </w:pPr>
            <w:r>
              <w:rPr>
                <w:rFonts w:hint="eastAsia" w:ascii="Times New Roman" w:cs="宋体"/>
                <w:bCs/>
                <w:szCs w:val="24"/>
                <w:highlight w:val="none"/>
                <w:lang w:val="en-US" w:eastAsia="zh-CN"/>
              </w:rPr>
              <w:t>（5）采用安徽省二级建造师投标的应按《关于加强二级建造师事中事后监管工作的通知》（建市函〔2024〕137号）执行，2024年8月31日之前新旧二级建造师电子证书具有同等法律效力。自2024年9月1日起，旧二级建造师电子证书失效。二级建造师打印电子证书后，应在个人签名处手写本人签名，未手写签名或与签名图像笔迹不一致的，该电子证书无效。</w:t>
            </w:r>
          </w:p>
          <w:p>
            <w:pPr>
              <w:widowControl/>
              <w:snapToGrid w:val="0"/>
              <w:spacing w:line="360" w:lineRule="auto"/>
              <w:jc w:val="left"/>
              <w:rPr>
                <w:rFonts w:hAnsi="宋体" w:cs="宋体"/>
                <w:highlight w:val="none"/>
              </w:rPr>
            </w:pPr>
            <w:r>
              <w:rPr>
                <w:rFonts w:hint="eastAsia" w:ascii="Times New Roman" w:cs="宋体"/>
                <w:bCs/>
                <w:szCs w:val="24"/>
                <w:highlight w:val="none"/>
              </w:rPr>
              <w:t>注：未列明的按照国家、省、市相关政策执行。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10.4</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评标过程中的澄清、说明或补正</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（1）评标委员会通过电子交易系统将需要澄清、说明或补正的内容以询标函的形式发送给投标人，投标人应安排专人登录电子交易系统并保持在线状态，以便及时接收评标委员会可能发出的询标函。</w:t>
            </w:r>
          </w:p>
          <w:p>
            <w:pPr>
              <w:widowControl/>
              <w:snapToGrid w:val="0"/>
              <w:spacing w:line="360" w:lineRule="auto"/>
              <w:jc w:val="left"/>
              <w:rPr>
                <w:rFonts w:hAnsi="宋体" w:cs="宋体"/>
                <w:bCs/>
                <w:snapToGrid w:val="0"/>
                <w:highlight w:val="none"/>
              </w:rPr>
            </w:pPr>
            <w:r>
              <w:rPr>
                <w:rFonts w:hint="eastAsia" w:ascii="Times New Roman" w:cs="宋体"/>
                <w:bCs/>
                <w:szCs w:val="24"/>
                <w:highlight w:val="none"/>
              </w:rPr>
              <w:t>（2）因投标人未登录电子交易系统导致无法及时接收询标函（远程网上询标）或未在规定时间（</w:t>
            </w:r>
            <w:r>
              <w:rPr>
                <w:rFonts w:hint="eastAsia" w:ascii="Times New Roman" w:cs="宋体"/>
                <w:bCs/>
                <w:szCs w:val="24"/>
                <w:highlight w:val="none"/>
                <w:u w:val="single"/>
              </w:rPr>
              <w:t>15</w:t>
            </w:r>
            <w:r>
              <w:rPr>
                <w:rFonts w:hint="eastAsia" w:ascii="Times New Roman" w:cs="宋体"/>
                <w:bCs/>
                <w:szCs w:val="24"/>
                <w:highlight w:val="none"/>
              </w:rPr>
              <w:t>分钟）内按照评标委员会要求进行澄清、说明或补正内容的，视同投标人放弃澄清、说明或补正内容的权利，评标委员会可按照对投标人不利的解释进行判定。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szCs w:val="24"/>
                <w:highlight w:val="none"/>
              </w:rPr>
            </w:pPr>
            <w:r>
              <w:rPr>
                <w:rFonts w:hint="eastAsia" w:hAnsi="宋体" w:cs="宋体"/>
                <w:bCs/>
                <w:szCs w:val="24"/>
                <w:highlight w:val="none"/>
              </w:rPr>
              <w:t>10.5</w:t>
            </w:r>
          </w:p>
        </w:tc>
        <w:tc>
          <w:tcPr>
            <w:tcW w:w="1776" w:type="dxa"/>
            <w:vAlign w:val="center"/>
          </w:tcPr>
          <w:p>
            <w:pPr>
              <w:snapToGrid w:val="0"/>
              <w:spacing w:line="360" w:lineRule="auto"/>
              <w:jc w:val="center"/>
              <w:rPr>
                <w:rFonts w:hAnsi="宋体" w:cs="宋体"/>
                <w:bCs/>
                <w:snapToGrid w:val="0"/>
                <w:szCs w:val="24"/>
                <w:highlight w:val="none"/>
              </w:rPr>
            </w:pPr>
            <w:r>
              <w:rPr>
                <w:rFonts w:hint="eastAsia" w:hAnsi="宋体" w:cs="宋体"/>
                <w:bCs/>
                <w:snapToGrid w:val="0"/>
                <w:szCs w:val="24"/>
                <w:highlight w:val="none"/>
              </w:rPr>
              <w:t>投标人对所提供材料应承担的责任</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（1）投标人提供虚假材料谋取中标的，公共资源交易监督管理部门将依法处理，并记入不良行为记录，予以披露。</w:t>
            </w:r>
          </w:p>
          <w:p>
            <w:pPr>
              <w:widowControl/>
              <w:snapToGrid w:val="0"/>
              <w:spacing w:line="360" w:lineRule="auto"/>
              <w:jc w:val="left"/>
              <w:rPr>
                <w:rFonts w:hAnsi="宋体" w:cs="宋体"/>
                <w:szCs w:val="24"/>
                <w:highlight w:val="none"/>
              </w:rPr>
            </w:pPr>
            <w:r>
              <w:rPr>
                <w:rFonts w:hint="eastAsia" w:ascii="Times New Roman" w:cs="宋体"/>
                <w:bCs/>
                <w:szCs w:val="24"/>
                <w:highlight w:val="none"/>
              </w:rPr>
              <w:t>（2）投标人对所提供的材料承担缔约过失责任和法律责任。若投诉人或举报人对前述材料存在争议，进行有效投诉或举报，被投诉人、被举报人应当主动配合公共资源交易监督管理部门调查，并在规定期限内举证，提供有关证明材料；拒绝配合</w:t>
            </w:r>
            <w:r>
              <w:rPr>
                <w:rFonts w:ascii="Times New Roman" w:cs="宋体"/>
                <w:bCs/>
                <w:szCs w:val="24"/>
                <w:highlight w:val="none"/>
              </w:rPr>
              <w:t>调查</w:t>
            </w:r>
            <w:r>
              <w:rPr>
                <w:rFonts w:hint="eastAsia" w:ascii="Times New Roman" w:cs="宋体"/>
                <w:bCs/>
                <w:szCs w:val="24"/>
                <w:highlight w:val="none"/>
              </w:rPr>
              <w:t>，且未在规定期限内举证、提供证明材料的，公共资源交易监督管理部门将依法处理。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10.6</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中标人未履行相关义务的责任</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中标人未履行相关义务的，公共资源交易监督管理部门将依法对中标人进行处理，追究相关责任：</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（1）中标后，中标人被公共资源交易监督管理部门查实存在违法行为，不满足中标条件的，由招标人取消其中标资格，并做好项目后续工作；</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（2）中标人应在规定期限内提交履约保证金并与招标人签订合同，若中标人未能在规定期限内提交履约保证金或签订合同，招标人有权取消其中标资格，并报公共资源交易监督管理部门；</w:t>
            </w:r>
          </w:p>
          <w:p>
            <w:pPr>
              <w:widowControl/>
              <w:snapToGrid w:val="0"/>
              <w:spacing w:line="360" w:lineRule="auto"/>
              <w:jc w:val="left"/>
              <w:rPr>
                <w:rFonts w:hAnsi="宋体" w:cs="宋体"/>
                <w:highlight w:val="none"/>
              </w:rPr>
            </w:pPr>
            <w:r>
              <w:rPr>
                <w:rFonts w:hint="eastAsia" w:ascii="Times New Roman" w:cs="宋体"/>
                <w:bCs/>
                <w:szCs w:val="24"/>
                <w:highlight w:val="none"/>
              </w:rPr>
              <w:t>（3）合同签订后，中标人存在规定时间内不组织人员进场开工、不履行合同义务等情况，招标人有权解除合同，追究其违约责任，并报公共资源交易监督管理部门。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10.7</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同义词语</w:t>
            </w:r>
          </w:p>
        </w:tc>
        <w:tc>
          <w:tcPr>
            <w:tcW w:w="5684" w:type="dxa"/>
            <w:vAlign w:val="center"/>
          </w:tcPr>
          <w:p>
            <w:pPr>
              <w:widowControl/>
              <w:snapToGrid w:val="0"/>
              <w:spacing w:line="360" w:lineRule="auto"/>
              <w:jc w:val="left"/>
              <w:rPr>
                <w:rFonts w:hAnsi="宋体" w:cs="宋体"/>
                <w:highlight w:val="none"/>
              </w:rPr>
            </w:pPr>
            <w:r>
              <w:rPr>
                <w:rFonts w:hint="eastAsia" w:hAnsi="宋体" w:cs="宋体"/>
                <w:highlight w:val="none"/>
              </w:rPr>
              <w:t>构成招标文件组成部分的“通用合同条款”、“专用合同条款”和“供货要求”等章节中“买方”和“卖方”，等同于招标投标阶段的“招标人”和“投标人/中标人”。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10.8</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解释权</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（1）构成本招标文件的各个组成文件应互为解释，互为说明；</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（2）同一组成文件中就同一事项的规定或约定不一致的，以编排顺序在后者为准；</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（3）如有不明确或不一致，构成合同文件组成内容的，以合同文件约定内容为准，且以专用合同条款约定的合同文件优先顺序解释；</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（4）除招标文件中有特别规定外，仅适用于招标投标阶段的规定，按照招标公告、投标人须知、评标办法、投标文件格式的先后顺序解释；</w:t>
            </w:r>
          </w:p>
          <w:p>
            <w:pPr>
              <w:widowControl/>
              <w:snapToGrid w:val="0"/>
              <w:spacing w:line="360" w:lineRule="auto"/>
              <w:jc w:val="left"/>
              <w:rPr>
                <w:rFonts w:hAnsi="宋体" w:cs="宋体"/>
                <w:highlight w:val="none"/>
              </w:rPr>
            </w:pPr>
            <w:r>
              <w:rPr>
                <w:rFonts w:hint="eastAsia" w:ascii="Times New Roman" w:cs="宋体"/>
                <w:bCs/>
                <w:szCs w:val="24"/>
                <w:highlight w:val="none"/>
              </w:rPr>
              <w:t>（5）按照本款前述规定仍不能形成结论的，由招标人负责解释。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10.9</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异议提出方式</w:t>
            </w:r>
          </w:p>
        </w:tc>
        <w:tc>
          <w:tcPr>
            <w:tcW w:w="5684" w:type="dxa"/>
            <w:vAlign w:val="center"/>
          </w:tcPr>
          <w:p>
            <w:pPr>
              <w:widowControl/>
              <w:snapToGrid w:val="0"/>
              <w:spacing w:line="360" w:lineRule="auto"/>
              <w:jc w:val="left"/>
              <w:rPr>
                <w:rFonts w:hAnsi="宋体" w:cs="宋体"/>
                <w:bCs/>
                <w:snapToGrid w:val="0"/>
                <w:highlight w:val="none"/>
              </w:rPr>
            </w:pPr>
            <w:r>
              <w:rPr>
                <w:rFonts w:hint="eastAsia" w:hAnsi="宋体" w:cs="宋体"/>
                <w:highlight w:val="none"/>
              </w:rPr>
              <w:t>通过电子交易系统在线提出或以其他书面形式提出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bCs/>
                <w:snapToGrid w:val="0"/>
                <w:highlight w:val="none"/>
              </w:rPr>
              <w:t>10.10</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招标代理服务费及工程量清单和最高投标限价（招标控制价）编制费</w:t>
            </w:r>
          </w:p>
        </w:tc>
        <w:tc>
          <w:tcPr>
            <w:tcW w:w="5684" w:type="dxa"/>
            <w:vAlign w:val="center"/>
          </w:tcPr>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1、中标人须向肥东县公共资源交易有限公司缴纳招标代理服务费，可以采用转账方式。</w:t>
            </w:r>
          </w:p>
          <w:p>
            <w:pPr>
              <w:pStyle w:val="133"/>
              <w:widowControl/>
              <w:spacing w:line="360" w:lineRule="auto"/>
              <w:jc w:val="left"/>
              <w:rPr>
                <w:rFonts w:ascii="Times New Roman" w:cs="宋体"/>
                <w:bCs/>
                <w:szCs w:val="24"/>
                <w:highlight w:val="none"/>
              </w:rPr>
            </w:pPr>
            <w:r>
              <w:rPr>
                <w:rFonts w:hint="eastAsia" w:ascii="Times New Roman" w:hAnsi="Times New Roman" w:cs="宋体"/>
                <w:bCs/>
                <w:kern w:val="0"/>
                <w:sz w:val="24"/>
                <w:szCs w:val="24"/>
                <w:highlight w:val="none"/>
              </w:rPr>
              <w:t>2、招标代理服务费：以中标价为计算基数按照差额定率累进法，分标段按下表收费标准收取。</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3"/>
              <w:gridCol w:w="1248"/>
              <w:gridCol w:w="1171"/>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中标金额</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货物招标</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服务招标</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100万元以下（含100万元）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100万元-500万元（含500万元）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1.1%</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0.8%</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500万元-1000万元（含1000万元）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0.8%</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0.45%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1000万元-5000万元（含5000万元）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5000万元-1亿元（含1亿元）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0.1%</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1亿元-10亿元（含10亿元）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10亿元以上</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r>
          </w:tbl>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注：招标代理服务费按差额定率累进法计算。例如：某工程招标代理业务中标金额为6000万元，计算招标代理服务费如下：</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 万元×1.0％＝1万元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（500－100）万元×0.7％＝2.8万元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（1000－500）万元×0.55％×＝2.75万元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（5000－1000）万元×0.35％＝14万元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（6000－5000）万元×0.2％＝2万元</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合计收费＝1＋2.8＋2.75＋14＋2＝22.55(万元)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10.11</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投标所需资料</w:t>
            </w:r>
          </w:p>
        </w:tc>
        <w:tc>
          <w:tcPr>
            <w:tcW w:w="5684" w:type="dxa"/>
            <w:vAlign w:val="center"/>
          </w:tcPr>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投标人按照招标文件要求编制投标文件并对投标文件进行电子签章并使用数字证书加密，并于招标文件规定的投标截止时间前通过电子交易系统完成上传。投标人应合理安排投标文件递交时间，特别是网络速度慢的地区防止在系统关闭前网络拥堵无法操作。如果因计算机及网络故障造成无法完成投标文件递交情形，责任自负。</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（2）投标人应及时查看上传的相关资料，如出现上传的相应投标资料不全、模糊不清、超出有效期等情况，评标委员会将作出对投标人不利的认定，由此产生的一切后果由投标人自行承担。</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3）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（4）采用一级建造师投标的应符合《住房和城乡建设部办公厅关于全面实行一级建造师电子注册证书的通知》(建办市〔2021〕40 号)规定，投标文件应提供一级建造师电子注册证书，且应在个人签名处手写本人签名，未手写签名或与签名图像笔迹不一致的，该电子证书无效。</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w:t>
            </w:r>
            <w:r>
              <w:rPr>
                <w:rFonts w:hint="eastAsia" w:ascii="Times New Roman" w:hAnsi="Times New Roman" w:cs="宋体"/>
                <w:bCs/>
                <w:kern w:val="0"/>
                <w:sz w:val="24"/>
                <w:szCs w:val="24"/>
                <w:highlight w:val="none"/>
                <w:lang w:val="en-US" w:eastAsia="zh-CN"/>
              </w:rPr>
              <w:t>5</w:t>
            </w:r>
            <w:r>
              <w:rPr>
                <w:rFonts w:hint="eastAsia" w:ascii="Times New Roman" w:hAnsi="Times New Roman" w:cs="宋体"/>
                <w:bCs/>
                <w:kern w:val="0"/>
                <w:sz w:val="24"/>
                <w:szCs w:val="24"/>
                <w:highlight w:val="none"/>
              </w:rPr>
              <w:t>）具体资料以第三章“评标办法”和第六章“投标文件格式”要求为准。</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注：请投标人务必对照招标文件内容及要求制作投标文件，若遇到投标文件模板格式与招标文件格式不一致时一律以招标文件格式为准。招标文件中未出现而投标文件模板中存在的内容，无需提供。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10.12</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招标人补充的</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其他内容</w:t>
            </w:r>
          </w:p>
        </w:tc>
        <w:tc>
          <w:tcPr>
            <w:tcW w:w="5684" w:type="dxa"/>
            <w:vAlign w:val="center"/>
          </w:tcPr>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投标人投标文件中填报人员及投标人按招标文件提出的最低要求填报派驻投标标段的其他管理和技术人员，经招标人审核后不得进行更换。除非招标文件另有约定，投标人派驻投标标段的项目负责人及项目管理机构主要人员均应为投标单位在职人员（不含外聘人员、返聘人员、临时聘用人员），否则招标人有权取消其中标资格。</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（2）因电子服务系统或电子交易系统出现软件设计或功能缺陷、运行异常等情况，可能影响招投标活动公平、公正进行的，招标人（或招标代理机构）有权中止或终止招投标活动，招投标各方免责。</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（3）唱标信息内容与投标函中不一致的，以投标函中内容为准。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10.13</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招标人其他要求</w:t>
            </w:r>
          </w:p>
        </w:tc>
        <w:tc>
          <w:tcPr>
            <w:tcW w:w="5684" w:type="dxa"/>
            <w:vAlign w:val="center"/>
          </w:tcPr>
          <w:p>
            <w:pPr>
              <w:pStyle w:val="133"/>
              <w:widowControl/>
              <w:snapToGrid w:val="0"/>
              <w:spacing w:line="360" w:lineRule="auto"/>
              <w:jc w:val="left"/>
              <w:rPr>
                <w:rFonts w:hint="eastAsia" w:ascii="Times New Roman" w:hAnsi="Times New Roman" w:eastAsia="宋体" w:cs="宋体"/>
                <w:bCs/>
                <w:kern w:val="0"/>
                <w:sz w:val="24"/>
                <w:szCs w:val="24"/>
                <w:highlight w:val="none"/>
                <w:lang w:eastAsia="zh-CN"/>
              </w:rPr>
            </w:pPr>
            <w:r>
              <w:rPr>
                <w:rFonts w:hint="eastAsia" w:ascii="Times New Roman" w:hAnsi="Times New Roman" w:cs="宋体"/>
                <w:bCs/>
                <w:kern w:val="0"/>
                <w:sz w:val="24"/>
                <w:szCs w:val="24"/>
                <w:highlight w:val="none"/>
                <w:lang w:val="en-US" w:eastAsia="zh-CN"/>
              </w:rPr>
              <w:t>无</w:t>
            </w:r>
          </w:p>
        </w:tc>
      </w:tr>
    </w:tbl>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eastAsia="黑体"/>
          <w:b w:val="0"/>
          <w:sz w:val="28"/>
          <w:szCs w:val="28"/>
          <w:highlight w:val="none"/>
        </w:rPr>
        <w:br w:type="page"/>
      </w:r>
      <w:bookmarkStart w:id="134" w:name="_Toc24682"/>
      <w:bookmarkStart w:id="135" w:name="_Toc511"/>
      <w:bookmarkStart w:id="136" w:name="_Toc11078137"/>
      <w:bookmarkStart w:id="137" w:name="_Toc24087"/>
      <w:bookmarkStart w:id="138" w:name="_Toc460660062"/>
      <w:bookmarkStart w:id="139" w:name="_Toc140069399"/>
      <w:bookmarkStart w:id="140" w:name="_Toc460226720"/>
      <w:bookmarkStart w:id="141" w:name="_Toc21574"/>
      <w:bookmarkStart w:id="142" w:name="_Toc460226989"/>
      <w:bookmarkStart w:id="143" w:name="_Toc421916975"/>
      <w:bookmarkStart w:id="144" w:name="_Toc14420"/>
      <w:bookmarkStart w:id="145" w:name="_Toc38879316"/>
      <w:bookmarkStart w:id="146" w:name="_Toc283798416"/>
      <w:bookmarkStart w:id="147" w:name="_Toc184635071"/>
      <w:r>
        <w:rPr>
          <w:rFonts w:hint="eastAsia" w:ascii="Times New Roman" w:hAnsi="Times New Roman" w:eastAsia="黑体"/>
          <w:b w:val="0"/>
          <w:bCs w:val="0"/>
          <w:highlight w:val="none"/>
        </w:rPr>
        <w:t>附录1  资格审查条件（资质最低条件）</w:t>
      </w:r>
      <w:bookmarkEnd w:id="134"/>
      <w:bookmarkEnd w:id="135"/>
      <w:bookmarkEnd w:id="136"/>
      <w:bookmarkEnd w:id="137"/>
      <w:bookmarkEnd w:id="138"/>
      <w:bookmarkEnd w:id="139"/>
      <w:bookmarkEnd w:id="140"/>
      <w:bookmarkEnd w:id="141"/>
      <w:bookmarkEnd w:id="142"/>
      <w:bookmarkEnd w:id="143"/>
      <w:bookmarkEnd w:id="144"/>
      <w:bookmarkEnd w:id="145"/>
      <w:bookmarkEnd w:id="146"/>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tcPr>
          <w:p>
            <w:pPr>
              <w:pStyle w:val="167"/>
              <w:adjustRightInd w:val="0"/>
              <w:snapToGrid w:val="0"/>
              <w:spacing w:beforeLines="50" w:line="360" w:lineRule="auto"/>
              <w:rPr>
                <w:rFonts w:ascii="Times New Roman" w:hAnsi="Times New Roman"/>
                <w:bCs/>
                <w:snapToGrid w:val="0"/>
                <w:kern w:val="0"/>
                <w:sz w:val="24"/>
                <w:szCs w:val="24"/>
                <w:highlight w:val="none"/>
              </w:rPr>
            </w:pPr>
            <w:r>
              <w:rPr>
                <w:rFonts w:hint="eastAsia" w:ascii="Times New Roman" w:hAnsi="Times New Roman"/>
                <w:bCs/>
                <w:snapToGrid w:val="0"/>
                <w:kern w:val="0"/>
                <w:sz w:val="24"/>
                <w:szCs w:val="24"/>
                <w:highlight w:val="none"/>
              </w:rPr>
              <w:t>1.具备有效的营业执照。</w:t>
            </w:r>
          </w:p>
          <w:p>
            <w:pPr>
              <w:pStyle w:val="167"/>
              <w:adjustRightInd w:val="0"/>
              <w:snapToGrid w:val="0"/>
              <w:spacing w:beforeLines="50" w:line="360" w:lineRule="auto"/>
              <w:rPr>
                <w:rFonts w:ascii="Times New Roman" w:hAnsi="Times New Roman"/>
                <w:bCs/>
                <w:snapToGrid w:val="0"/>
                <w:sz w:val="24"/>
                <w:szCs w:val="24"/>
                <w:highlight w:val="none"/>
              </w:rPr>
            </w:pPr>
            <w:r>
              <w:rPr>
                <w:rFonts w:hint="eastAsia" w:ascii="Times New Roman" w:hAnsi="Times New Roman"/>
                <w:bCs/>
                <w:snapToGrid w:val="0"/>
                <w:sz w:val="24"/>
                <w:szCs w:val="24"/>
                <w:highlight w:val="none"/>
              </w:rPr>
              <w:t>2.具备有效的资质证书，安全生产许可证。（见招标公告）</w:t>
            </w:r>
          </w:p>
        </w:tc>
      </w:tr>
    </w:tbl>
    <w:p>
      <w:pPr>
        <w:pStyle w:val="167"/>
        <w:adjustRightInd w:val="0"/>
        <w:snapToGrid w:val="0"/>
        <w:spacing w:line="300" w:lineRule="exact"/>
        <w:ind w:firstLine="480" w:firstLineChars="200"/>
        <w:rPr>
          <w:rFonts w:ascii="Times New Roman" w:hAnsi="Times New Roman"/>
          <w:bCs/>
          <w:snapToGrid w:val="0"/>
          <w:kern w:val="0"/>
          <w:sz w:val="24"/>
          <w:szCs w:val="24"/>
          <w:highlight w:val="none"/>
        </w:rPr>
      </w:pPr>
      <w:r>
        <w:rPr>
          <w:rFonts w:hint="eastAsia" w:ascii="Times New Roman" w:hAnsi="Times New Roman"/>
          <w:bCs/>
          <w:snapToGrid w:val="0"/>
          <w:kern w:val="0"/>
          <w:sz w:val="24"/>
          <w:szCs w:val="24"/>
          <w:highlight w:val="none"/>
        </w:rPr>
        <w:t>注：投标人应提供营业执照、资质证书</w:t>
      </w:r>
      <w:bookmarkStart w:id="148" w:name="_Toc460226990"/>
      <w:bookmarkStart w:id="149" w:name="_Toc460660063"/>
      <w:bookmarkStart w:id="150" w:name="_Toc460226721"/>
      <w:bookmarkStart w:id="151" w:name="_Toc421916976"/>
      <w:bookmarkStart w:id="152" w:name="_Toc283798417"/>
      <w:r>
        <w:rPr>
          <w:rFonts w:hint="eastAsia" w:ascii="Times New Roman" w:hAnsi="Times New Roman"/>
          <w:bCs/>
          <w:snapToGrid w:val="0"/>
          <w:kern w:val="0"/>
          <w:sz w:val="24"/>
          <w:szCs w:val="24"/>
          <w:highlight w:val="none"/>
        </w:rPr>
        <w:t>等材料扫描件。</w:t>
      </w:r>
    </w:p>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eastAsia="仿宋"/>
          <w:b w:val="0"/>
          <w:highlight w:val="none"/>
        </w:rPr>
        <w:br w:type="page"/>
      </w:r>
      <w:bookmarkStart w:id="153" w:name="_Toc38879317"/>
      <w:bookmarkStart w:id="154" w:name="_Toc140069400"/>
      <w:bookmarkStart w:id="155" w:name="_Toc4559"/>
      <w:bookmarkStart w:id="156" w:name="_Toc2068"/>
      <w:bookmarkStart w:id="157" w:name="_Toc13564"/>
      <w:bookmarkStart w:id="158" w:name="_Toc11078138"/>
      <w:bookmarkStart w:id="159" w:name="_Toc23161"/>
      <w:bookmarkStart w:id="160" w:name="_Toc697"/>
      <w:r>
        <w:rPr>
          <w:rFonts w:hint="eastAsia" w:ascii="Times New Roman" w:hAnsi="Times New Roman" w:eastAsia="黑体"/>
          <w:b w:val="0"/>
          <w:bCs w:val="0"/>
          <w:highlight w:val="none"/>
        </w:rPr>
        <w:t>附录2  资格审查条件（财务最低要求）</w:t>
      </w:r>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spacing w:line="360" w:lineRule="auto"/>
              <w:jc w:val="left"/>
              <w:rPr>
                <w:rFonts w:ascii="Times New Roman" w:hAnsi="Times New Roman"/>
                <w:bCs/>
                <w:sz w:val="24"/>
                <w:szCs w:val="24"/>
                <w:highlight w:val="none"/>
              </w:rPr>
            </w:pPr>
            <w:r>
              <w:rPr>
                <w:rFonts w:hint="eastAsia" w:ascii="MS Mincho" w:hAnsi="MS Mincho" w:eastAsia="MS Mincho" w:cs="MS Mincho"/>
                <w:highlight w:val="none"/>
              </w:rPr>
              <w:t>☑</w:t>
            </w:r>
            <w:r>
              <w:rPr>
                <w:rFonts w:hint="eastAsia" w:ascii="Times New Roman" w:hAnsi="Times New Roman"/>
                <w:bCs/>
                <w:sz w:val="24"/>
                <w:szCs w:val="24"/>
                <w:highlight w:val="none"/>
              </w:rPr>
              <w:t>无需提供。</w:t>
            </w:r>
          </w:p>
          <w:p>
            <w:pPr>
              <w:pStyle w:val="167"/>
              <w:adjustRightInd w:val="0"/>
              <w:snapToGrid w:val="0"/>
              <w:spacing w:line="360" w:lineRule="auto"/>
              <w:jc w:val="left"/>
              <w:rPr>
                <w:rFonts w:ascii="Times New Roman" w:hAnsi="Times New Roman"/>
                <w:bCs/>
                <w:sz w:val="24"/>
                <w:szCs w:val="24"/>
                <w:highlight w:val="none"/>
              </w:rPr>
            </w:pPr>
            <w:r>
              <w:rPr>
                <w:rFonts w:hint="eastAsia" w:ascii="Times New Roman" w:hAnsi="Times New Roman"/>
                <w:bCs/>
                <w:sz w:val="24"/>
                <w:szCs w:val="24"/>
                <w:highlight w:val="none"/>
              </w:rPr>
              <w:t>□需提供以下材料：</w:t>
            </w:r>
          </w:p>
          <w:p>
            <w:pPr>
              <w:pStyle w:val="167"/>
              <w:adjustRightInd w:val="0"/>
              <w:snapToGrid w:val="0"/>
              <w:spacing w:line="360" w:lineRule="auto"/>
              <w:jc w:val="left"/>
              <w:rPr>
                <w:rFonts w:ascii="Times New Roman" w:hAnsi="Times New Roman"/>
                <w:bCs/>
                <w:sz w:val="24"/>
                <w:szCs w:val="24"/>
                <w:highlight w:val="none"/>
              </w:rPr>
            </w:pPr>
            <w:r>
              <w:rPr>
                <w:rFonts w:hint="eastAsia" w:ascii="Times New Roman" w:hAnsi="Times New Roman"/>
                <w:bCs/>
                <w:sz w:val="24"/>
                <w:szCs w:val="24"/>
                <w:highlight w:val="none"/>
              </w:rPr>
              <w:t>经会计师事务所或审计机构审计的财务会计报表，包括资产负债表、现金流量表、利润表、财务情况说明书。</w:t>
            </w:r>
          </w:p>
        </w:tc>
      </w:tr>
    </w:tbl>
    <w:p>
      <w:pPr>
        <w:pStyle w:val="167"/>
        <w:adjustRightInd w:val="0"/>
        <w:snapToGrid w:val="0"/>
        <w:spacing w:line="300" w:lineRule="exact"/>
        <w:ind w:firstLine="480" w:firstLineChars="200"/>
        <w:rPr>
          <w:rFonts w:ascii="Times New Roman" w:hAnsi="Times New Roman"/>
          <w:bCs/>
          <w:snapToGrid w:val="0"/>
          <w:kern w:val="0"/>
          <w:sz w:val="24"/>
          <w:szCs w:val="24"/>
          <w:highlight w:val="none"/>
        </w:rPr>
      </w:pPr>
      <w:r>
        <w:rPr>
          <w:rFonts w:hint="eastAsia" w:ascii="Times New Roman" w:hAnsi="Times New Roman"/>
          <w:bCs/>
          <w:kern w:val="0"/>
          <w:sz w:val="24"/>
          <w:szCs w:val="24"/>
          <w:highlight w:val="none"/>
        </w:rPr>
        <w:t>注：</w:t>
      </w:r>
      <w:r>
        <w:rPr>
          <w:rFonts w:hint="eastAsia" w:ascii="Times New Roman" w:hAnsi="Times New Roman"/>
          <w:bCs/>
          <w:snapToGrid w:val="0"/>
          <w:kern w:val="0"/>
          <w:sz w:val="24"/>
          <w:szCs w:val="24"/>
          <w:highlight w:val="none"/>
        </w:rPr>
        <w:t>证明材料</w:t>
      </w:r>
      <w:r>
        <w:rPr>
          <w:rFonts w:hint="eastAsia" w:ascii="Times New Roman" w:hAnsi="Times New Roman"/>
          <w:bCs/>
          <w:kern w:val="0"/>
          <w:sz w:val="24"/>
          <w:szCs w:val="24"/>
          <w:highlight w:val="none"/>
        </w:rPr>
        <w:t>的信息应完整或能充分证明满足评审需要</w:t>
      </w:r>
      <w:r>
        <w:rPr>
          <w:rFonts w:hint="eastAsia" w:ascii="Times New Roman" w:hAnsi="Times New Roman"/>
          <w:bCs/>
          <w:snapToGrid w:val="0"/>
          <w:kern w:val="0"/>
          <w:sz w:val="24"/>
          <w:szCs w:val="24"/>
          <w:highlight w:val="none"/>
        </w:rPr>
        <w:t>。</w:t>
      </w:r>
    </w:p>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b w:val="0"/>
          <w:bCs w:val="0"/>
          <w:szCs w:val="21"/>
          <w:highlight w:val="none"/>
        </w:rPr>
        <w:br w:type="page"/>
      </w:r>
      <w:bookmarkStart w:id="161" w:name="_Toc460226722"/>
      <w:bookmarkStart w:id="162" w:name="_Toc38879318"/>
      <w:bookmarkStart w:id="163" w:name="_Toc421916977"/>
      <w:bookmarkStart w:id="164" w:name="_Toc28740"/>
      <w:bookmarkStart w:id="165" w:name="_Toc460226991"/>
      <w:bookmarkStart w:id="166" w:name="_Toc8062"/>
      <w:bookmarkStart w:id="167" w:name="_Toc19832"/>
      <w:bookmarkStart w:id="168" w:name="_Toc283798418"/>
      <w:bookmarkStart w:id="169" w:name="_Toc11078139"/>
      <w:bookmarkStart w:id="170" w:name="_Toc460660064"/>
      <w:bookmarkStart w:id="171" w:name="_Toc4724"/>
      <w:bookmarkStart w:id="172" w:name="_Toc10041"/>
      <w:bookmarkStart w:id="173" w:name="_Toc140069401"/>
      <w:r>
        <w:rPr>
          <w:rFonts w:hint="eastAsia" w:ascii="Times New Roman" w:hAnsi="Times New Roman" w:eastAsia="黑体"/>
          <w:b w:val="0"/>
          <w:bCs w:val="0"/>
          <w:highlight w:val="none"/>
        </w:rPr>
        <w:t>附录3  资格审查条件</w:t>
      </w:r>
      <w:bookmarkEnd w:id="161"/>
      <w:bookmarkEnd w:id="162"/>
      <w:bookmarkEnd w:id="163"/>
      <w:bookmarkEnd w:id="164"/>
      <w:bookmarkEnd w:id="165"/>
      <w:bookmarkEnd w:id="166"/>
      <w:bookmarkEnd w:id="167"/>
      <w:bookmarkEnd w:id="168"/>
      <w:bookmarkEnd w:id="169"/>
      <w:bookmarkEnd w:id="170"/>
      <w:r>
        <w:rPr>
          <w:rFonts w:hint="eastAsia" w:ascii="Times New Roman" w:hAnsi="Times New Roman" w:eastAsia="黑体"/>
          <w:b w:val="0"/>
          <w:bCs w:val="0"/>
          <w:highlight w:val="none"/>
        </w:rPr>
        <w:t>（业绩最低要求）</w:t>
      </w:r>
      <w:bookmarkEnd w:id="171"/>
      <w:bookmarkEnd w:id="172"/>
      <w:bookmarkEnd w:id="173"/>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ascii="Times New Roman" w:hAnsi="Times New Roman"/>
                <w:bCs/>
                <w:sz w:val="24"/>
                <w:szCs w:val="24"/>
                <w:highlight w:val="none"/>
              </w:rPr>
              <w:t>投标人</w:t>
            </w:r>
            <w:r>
              <w:rPr>
                <w:rFonts w:hint="eastAsia" w:ascii="Times New Roman" w:hAnsi="Times New Roman"/>
                <w:bCs/>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bCs/>
                <w:szCs w:val="24"/>
                <w:highlight w:val="none"/>
              </w:rPr>
            </w:pPr>
            <w:r>
              <w:rPr>
                <w:rFonts w:hint="eastAsia" w:ascii="Times New Roman"/>
                <w:bCs/>
                <w:szCs w:val="24"/>
                <w:highlight w:val="none"/>
              </w:rPr>
              <w:t>见招标公告。</w:t>
            </w:r>
          </w:p>
        </w:tc>
      </w:tr>
    </w:tbl>
    <w:p>
      <w:pPr>
        <w:adjustRightInd w:val="0"/>
        <w:snapToGrid w:val="0"/>
        <w:spacing w:line="360" w:lineRule="auto"/>
        <w:ind w:firstLine="480" w:firstLineChars="200"/>
        <w:rPr>
          <w:rFonts w:hAnsi="宋体" w:cs="宋体"/>
          <w:bCs/>
          <w:snapToGrid w:val="0"/>
          <w:highlight w:val="none"/>
        </w:rPr>
      </w:pPr>
      <w:r>
        <w:rPr>
          <w:rFonts w:hint="eastAsia" w:hAnsi="宋体" w:cs="宋体"/>
          <w:bCs/>
          <w:snapToGrid w:val="0"/>
          <w:highlight w:val="none"/>
        </w:rPr>
        <w:t>注：</w:t>
      </w:r>
    </w:p>
    <w:p>
      <w:pPr>
        <w:spacing w:line="360" w:lineRule="auto"/>
        <w:ind w:firstLine="480" w:firstLineChars="200"/>
        <w:rPr>
          <w:rFonts w:hAnsi="宋体" w:cs="宋体"/>
          <w:bCs/>
          <w:highlight w:val="none"/>
        </w:rPr>
      </w:pPr>
      <w:r>
        <w:rPr>
          <w:rFonts w:hint="eastAsia" w:hAnsi="宋体" w:cs="宋体"/>
          <w:bCs/>
          <w:highlight w:val="none"/>
        </w:rPr>
        <w:t>1.</w:t>
      </w:r>
      <w:r>
        <w:rPr>
          <w:rFonts w:hint="eastAsia" w:hAnsi="宋体"/>
          <w:highlight w:val="none"/>
        </w:rPr>
        <w:t>投标人应提供下列勾选的业绩证明材料</w:t>
      </w:r>
      <w:r>
        <w:rPr>
          <w:rFonts w:hint="eastAsia" w:hAnsi="宋体" w:cs="宋体"/>
          <w:bCs/>
          <w:highlight w:val="none"/>
        </w:rPr>
        <w:t>：</w:t>
      </w:r>
    </w:p>
    <w:p>
      <w:pPr>
        <w:spacing w:line="360" w:lineRule="auto"/>
        <w:ind w:firstLine="480" w:firstLineChars="200"/>
        <w:rPr>
          <w:rFonts w:hAnsi="宋体" w:cs="宋体"/>
          <w:bCs/>
          <w:highlight w:val="none"/>
        </w:rPr>
      </w:pPr>
      <w:r>
        <w:rPr>
          <w:rFonts w:hint="eastAsia" w:hAnsi="宋体" w:cs="宋体"/>
          <w:bCs/>
          <w:highlight w:val="none"/>
        </w:rPr>
        <w:t>□（1）合同；</w:t>
      </w:r>
    </w:p>
    <w:p>
      <w:pPr>
        <w:spacing w:line="360" w:lineRule="auto"/>
        <w:ind w:firstLine="480" w:firstLineChars="200"/>
        <w:rPr>
          <w:rFonts w:hAnsi="宋体" w:cs="宋体"/>
          <w:bCs/>
          <w:highlight w:val="none"/>
        </w:rPr>
      </w:pPr>
      <w:r>
        <w:rPr>
          <w:rFonts w:hint="eastAsia" w:hAnsi="宋体" w:cs="宋体"/>
          <w:bCs/>
          <w:highlight w:val="none"/>
        </w:rPr>
        <w:t>□（2）供货安装完毕并验收合格的相关证明文件（如验收证书或合同甲方开具的证明等）；</w:t>
      </w:r>
    </w:p>
    <w:p>
      <w:pPr>
        <w:adjustRightInd w:val="0"/>
        <w:snapToGrid w:val="0"/>
        <w:spacing w:line="360" w:lineRule="auto"/>
        <w:ind w:firstLine="480" w:firstLineChars="200"/>
        <w:rPr>
          <w:rFonts w:hAnsi="宋体" w:cs="宋体"/>
          <w:bCs/>
          <w:snapToGrid w:val="0"/>
          <w:highlight w:val="none"/>
        </w:rPr>
      </w:pPr>
      <w:r>
        <w:rPr>
          <w:rFonts w:hint="eastAsia" w:hAnsi="宋体" w:cs="宋体"/>
          <w:highlight w:val="none"/>
        </w:rPr>
        <w:t>□（3）其他材料：</w:t>
      </w:r>
      <w:r>
        <w:rPr>
          <w:rFonts w:hint="eastAsia" w:hAnsi="宋体" w:cs="宋体"/>
          <w:highlight w:val="none"/>
          <w:u w:val="single"/>
        </w:rPr>
        <w:t xml:space="preserve">  /    </w:t>
      </w:r>
    </w:p>
    <w:p>
      <w:pPr>
        <w:adjustRightInd w:val="0"/>
        <w:snapToGrid w:val="0"/>
        <w:spacing w:line="360" w:lineRule="auto"/>
        <w:ind w:firstLine="480" w:firstLineChars="200"/>
        <w:rPr>
          <w:rFonts w:ascii="Times New Roman"/>
          <w:szCs w:val="21"/>
          <w:highlight w:val="none"/>
        </w:rPr>
      </w:pPr>
      <w:r>
        <w:rPr>
          <w:rFonts w:hint="eastAsia" w:hAnsi="宋体" w:cs="宋体"/>
          <w:highlight w:val="none"/>
        </w:rPr>
        <w:t>2.业绩需在商务文件中“资格审查资料”栏“投标人业绩情况表（资格审查）”中注明并提供相关证明材料。如投标人提供的上述业绩证明材料未能完整或充分反映评审因素（如</w:t>
      </w:r>
      <w:r>
        <w:rPr>
          <w:rFonts w:hint="eastAsia" w:hAnsi="宋体" w:cs="宋体"/>
          <w:highlight w:val="none"/>
          <w:u w:val="single"/>
        </w:rPr>
        <w:t xml:space="preserve">  /    </w:t>
      </w:r>
      <w:r>
        <w:rPr>
          <w:rFonts w:hint="eastAsia" w:hAnsi="宋体" w:cs="宋体"/>
          <w:highlight w:val="none"/>
        </w:rPr>
        <w:t>）的，应另附合同甲方证明材料（须加盖合同甲方单位章）予以明确说明，否则评标委员会不予认可</w:t>
      </w:r>
      <w:r>
        <w:rPr>
          <w:rFonts w:hint="eastAsia" w:ascii="Times New Roman"/>
          <w:szCs w:val="21"/>
          <w:highlight w:val="none"/>
        </w:rPr>
        <w:t>。</w:t>
      </w:r>
    </w:p>
    <w:p>
      <w:pPr>
        <w:spacing w:line="360" w:lineRule="auto"/>
        <w:ind w:firstLine="480" w:firstLineChars="200"/>
        <w:rPr>
          <w:rFonts w:hAnsi="宋体" w:cs="宋体"/>
          <w:bCs/>
          <w:highlight w:val="none"/>
        </w:rPr>
      </w:pPr>
      <w:r>
        <w:rPr>
          <w:rFonts w:hint="eastAsia" w:hAnsi="宋体" w:cs="宋体"/>
          <w:bCs/>
          <w:highlight w:val="none"/>
        </w:rPr>
        <w:t>3.本招标项目投标人业绩(资格审查)数量:</w:t>
      </w:r>
      <w:r>
        <w:rPr>
          <w:rFonts w:hint="eastAsia" w:hAnsi="宋体" w:cs="宋体"/>
          <w:bCs/>
          <w:highlight w:val="none"/>
          <w:u w:val="single"/>
        </w:rPr>
        <w:t xml:space="preserve">   0   </w:t>
      </w:r>
      <w:r>
        <w:rPr>
          <w:rFonts w:hint="eastAsia" w:hAnsi="宋体" w:cs="宋体"/>
          <w:bCs/>
          <w:highlight w:val="none"/>
        </w:rPr>
        <w:t>个。</w:t>
      </w:r>
    </w:p>
    <w:p>
      <w:pPr>
        <w:rPr>
          <w:highlight w:val="none"/>
        </w:rPr>
      </w:pPr>
    </w:p>
    <w:p>
      <w:pPr>
        <w:rPr>
          <w:highlight w:val="none"/>
        </w:rPr>
      </w:pPr>
    </w:p>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b w:val="0"/>
          <w:snapToGrid w:val="0"/>
          <w:sz w:val="21"/>
          <w:szCs w:val="21"/>
          <w:highlight w:val="none"/>
        </w:rPr>
        <w:br w:type="page"/>
      </w:r>
      <w:bookmarkStart w:id="174" w:name="_Toc38879319"/>
      <w:bookmarkStart w:id="175" w:name="_Toc13372"/>
      <w:bookmarkStart w:id="176" w:name="_Toc10084"/>
      <w:bookmarkStart w:id="177" w:name="_Toc18379"/>
      <w:bookmarkStart w:id="178" w:name="_Toc140069402"/>
      <w:bookmarkStart w:id="179" w:name="_Toc30200"/>
      <w:bookmarkStart w:id="180" w:name="_Toc11078140"/>
      <w:bookmarkStart w:id="181" w:name="_Toc4225"/>
      <w:bookmarkStart w:id="182" w:name="_Toc421916978"/>
      <w:bookmarkStart w:id="183" w:name="_Toc460226992"/>
      <w:bookmarkStart w:id="184" w:name="_Toc460226723"/>
      <w:r>
        <w:rPr>
          <w:rFonts w:hint="eastAsia" w:ascii="Times New Roman" w:hAnsi="Times New Roman" w:eastAsia="黑体"/>
          <w:b w:val="0"/>
          <w:bCs w:val="0"/>
          <w:highlight w:val="none"/>
        </w:rPr>
        <w:t>附录4  资格审查条件（信誉最低要求）</w:t>
      </w:r>
      <w:bookmarkEnd w:id="174"/>
      <w:bookmarkEnd w:id="175"/>
      <w:bookmarkEnd w:id="176"/>
      <w:bookmarkEnd w:id="177"/>
      <w:bookmarkEnd w:id="178"/>
      <w:bookmarkEnd w:id="179"/>
      <w:bookmarkEnd w:id="180"/>
      <w:bookmarkEnd w:id="181"/>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bCs/>
                <w:szCs w:val="24"/>
                <w:highlight w:val="none"/>
              </w:rPr>
            </w:pPr>
            <w:r>
              <w:rPr>
                <w:rFonts w:hint="eastAsia" w:ascii="Times New Roman"/>
                <w:bCs/>
                <w:highlight w:val="none"/>
              </w:rPr>
              <w:t>见招标公告。</w:t>
            </w:r>
          </w:p>
        </w:tc>
      </w:tr>
    </w:tbl>
    <w:p>
      <w:pPr>
        <w:pStyle w:val="167"/>
        <w:adjustRightInd w:val="0"/>
        <w:snapToGrid w:val="0"/>
        <w:spacing w:line="360" w:lineRule="auto"/>
        <w:ind w:firstLine="480" w:firstLineChars="200"/>
        <w:rPr>
          <w:rFonts w:ascii="Times New Roman" w:hAnsi="Times New Roman"/>
          <w:bCs/>
          <w:snapToGrid w:val="0"/>
          <w:kern w:val="0"/>
          <w:sz w:val="24"/>
          <w:szCs w:val="24"/>
          <w:highlight w:val="none"/>
        </w:rPr>
      </w:pPr>
      <w:bookmarkStart w:id="185" w:name="_Toc38879320"/>
      <w:bookmarkStart w:id="186" w:name="_Toc460660065"/>
      <w:bookmarkStart w:id="187" w:name="_Toc11078141"/>
      <w:r>
        <w:rPr>
          <w:rFonts w:hint="eastAsia" w:ascii="Times New Roman" w:hAnsi="Times New Roman"/>
          <w:bCs/>
          <w:snapToGrid w:val="0"/>
          <w:kern w:val="0"/>
          <w:sz w:val="24"/>
          <w:szCs w:val="24"/>
          <w:highlight w:val="none"/>
        </w:rPr>
        <w:t>注：投标人无需提供证明材料，由评标委员会通过电子服务系统查询。</w:t>
      </w:r>
    </w:p>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eastAsia="黑体"/>
          <w:b w:val="0"/>
          <w:highlight w:val="none"/>
        </w:rPr>
        <w:br w:type="page"/>
      </w:r>
      <w:bookmarkStart w:id="188" w:name="_Toc30197"/>
      <w:bookmarkStart w:id="189" w:name="_Toc2606"/>
      <w:bookmarkStart w:id="190" w:name="_Toc140069403"/>
      <w:bookmarkStart w:id="191" w:name="_Toc22030"/>
      <w:bookmarkStart w:id="192" w:name="_Toc32043"/>
      <w:bookmarkStart w:id="193" w:name="_Toc8964"/>
      <w:r>
        <w:rPr>
          <w:rFonts w:hint="eastAsia" w:ascii="Times New Roman" w:hAnsi="Times New Roman" w:eastAsia="黑体"/>
          <w:b w:val="0"/>
          <w:bCs w:val="0"/>
          <w:highlight w:val="none"/>
        </w:rPr>
        <w:t>附录5  资格审查条件（</w:t>
      </w:r>
      <w:r>
        <w:rPr>
          <w:rFonts w:hint="eastAsia" w:ascii="黑体" w:hAnsi="黑体" w:eastAsia="黑体" w:cs="黑体"/>
          <w:b w:val="0"/>
          <w:highlight w:val="none"/>
        </w:rPr>
        <w:t>项目负责人最低要求</w:t>
      </w:r>
      <w:r>
        <w:rPr>
          <w:rFonts w:hint="eastAsia" w:ascii="Times New Roman" w:hAnsi="Times New Roman" w:eastAsia="黑体"/>
          <w:b w:val="0"/>
          <w:bCs w:val="0"/>
          <w:highlight w:val="none"/>
        </w:rPr>
        <w:t>）</w:t>
      </w:r>
      <w:bookmarkEnd w:id="182"/>
      <w:bookmarkEnd w:id="183"/>
      <w:bookmarkEnd w:id="184"/>
      <w:bookmarkEnd w:id="185"/>
      <w:bookmarkEnd w:id="186"/>
      <w:bookmarkEnd w:id="187"/>
      <w:bookmarkEnd w:id="188"/>
      <w:bookmarkEnd w:id="189"/>
      <w:bookmarkEnd w:id="190"/>
      <w:bookmarkEnd w:id="191"/>
      <w:bookmarkEnd w:id="192"/>
      <w:bookmarkEnd w:id="193"/>
    </w:p>
    <w:tbl>
      <w:tblPr>
        <w:tblStyle w:val="53"/>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widowControl/>
              <w:spacing w:line="360" w:lineRule="auto"/>
              <w:jc w:val="left"/>
              <w:rPr>
                <w:rFonts w:ascii="宋体" w:hAnsi="宋体" w:cs="宋体"/>
                <w:bCs/>
                <w:snapToGrid w:val="0"/>
                <w:kern w:val="0"/>
                <w:sz w:val="24"/>
                <w:szCs w:val="24"/>
                <w:highlight w:val="none"/>
              </w:rPr>
            </w:pPr>
            <w:r>
              <w:rPr>
                <w:rFonts w:hint="eastAsia" w:ascii="宋体" w:hAnsi="宋体" w:cs="宋体"/>
                <w:sz w:val="24"/>
                <w:highlight w:val="none"/>
              </w:rPr>
              <w:t>1.</w:t>
            </w:r>
            <w:r>
              <w:rPr>
                <w:rFonts w:hint="eastAsia" w:ascii="宋体" w:hAnsi="宋体" w:cs="宋体"/>
                <w:bCs/>
                <w:snapToGrid w:val="0"/>
                <w:kern w:val="0"/>
                <w:sz w:val="24"/>
                <w:szCs w:val="24"/>
                <w:highlight w:val="none"/>
              </w:rPr>
              <w:t>项目负责人资格条件见招标公告，且必须是本单位人员（招标公告中要求的注册证书注册单位应当与投标人名称一致</w:t>
            </w:r>
            <w:r>
              <w:rPr>
                <w:rFonts w:hint="eastAsia" w:ascii="Times New Roman" w:hAnsi="Times New Roman" w:cs="楷体"/>
                <w:bCs/>
                <w:snapToGrid w:val="0"/>
                <w:kern w:val="0"/>
                <w:sz w:val="24"/>
                <w:szCs w:val="24"/>
                <w:highlight w:val="none"/>
              </w:rPr>
              <w:t>）</w:t>
            </w:r>
            <w:r>
              <w:rPr>
                <w:rFonts w:hint="eastAsia" w:ascii="宋体" w:hAnsi="宋体" w:cs="宋体"/>
                <w:bCs/>
                <w:snapToGrid w:val="0"/>
                <w:kern w:val="0"/>
                <w:sz w:val="24"/>
                <w:szCs w:val="24"/>
                <w:highlight w:val="none"/>
              </w:rPr>
              <w:t>。</w:t>
            </w:r>
          </w:p>
          <w:p>
            <w:pPr>
              <w:widowControl/>
              <w:spacing w:line="360" w:lineRule="auto"/>
              <w:jc w:val="left"/>
              <w:rPr>
                <w:rFonts w:hAnsi="宋体" w:cs="宋体"/>
                <w:bCs/>
                <w:snapToGrid w:val="0"/>
                <w:highlight w:val="none"/>
              </w:rPr>
            </w:pPr>
            <w:r>
              <w:rPr>
                <w:rFonts w:hint="eastAsia" w:hAnsi="宋体" w:cs="宋体"/>
                <w:bCs/>
                <w:highlight w:val="none"/>
              </w:rPr>
              <w:t>2.</w:t>
            </w:r>
            <w:r>
              <w:rPr>
                <w:rFonts w:hint="eastAsia" w:hAnsi="宋体" w:cs="宋体"/>
                <w:bCs/>
                <w:snapToGrid w:val="0"/>
                <w:highlight w:val="none"/>
              </w:rPr>
              <w:t>项目负责人业绩具体要求见招标公告。</w:t>
            </w:r>
          </w:p>
          <w:p>
            <w:pPr>
              <w:spacing w:line="360" w:lineRule="auto"/>
              <w:rPr>
                <w:rFonts w:ascii="Times New Roman" w:cs="楷体"/>
                <w:bCs/>
                <w:snapToGrid w:val="0"/>
                <w:szCs w:val="24"/>
                <w:highlight w:val="none"/>
              </w:rPr>
            </w:pPr>
            <w:r>
              <w:rPr>
                <w:rFonts w:hint="eastAsia" w:ascii="MS Mincho" w:hAnsi="MS Mincho" w:eastAsia="MS Mincho" w:cs="MS Mincho"/>
                <w:highlight w:val="none"/>
              </w:rPr>
              <w:t>☑</w:t>
            </w:r>
            <w:r>
              <w:rPr>
                <w:rFonts w:hint="eastAsia" w:hAnsi="宋体" w:cs="宋体"/>
                <w:bCs/>
                <w:snapToGrid w:val="0"/>
                <w:highlight w:val="none"/>
              </w:rPr>
              <w:t>社保要求：</w:t>
            </w:r>
            <w:r>
              <w:rPr>
                <w:rFonts w:hint="eastAsia" w:ascii="Times New Roman" w:cs="楷体"/>
                <w:bCs/>
                <w:snapToGrid w:val="0"/>
                <w:szCs w:val="24"/>
                <w:highlight w:val="none"/>
              </w:rPr>
              <w:t>提供投标人所属社保机构出具的项目负责人</w:t>
            </w:r>
            <w:r>
              <w:rPr>
                <w:rFonts w:hint="eastAsia" w:ascii="Times New Roman" w:cs="楷体"/>
                <w:bCs/>
                <w:snapToGrid w:val="0"/>
                <w:szCs w:val="24"/>
                <w:highlight w:val="none"/>
                <w:u w:val="single"/>
              </w:rPr>
              <w:t>自202</w:t>
            </w:r>
            <w:r>
              <w:rPr>
                <w:rFonts w:hint="eastAsia" w:ascii="Times New Roman" w:cs="楷体"/>
                <w:bCs/>
                <w:snapToGrid w:val="0"/>
                <w:szCs w:val="24"/>
                <w:highlight w:val="none"/>
                <w:u w:val="single"/>
                <w:lang w:val="en-US" w:eastAsia="zh-CN"/>
              </w:rPr>
              <w:t>4</w:t>
            </w:r>
            <w:r>
              <w:rPr>
                <w:rFonts w:hint="eastAsia" w:ascii="Times New Roman" w:cs="楷体"/>
                <w:bCs/>
                <w:snapToGrid w:val="0"/>
                <w:szCs w:val="24"/>
                <w:highlight w:val="none"/>
                <w:u w:val="single"/>
              </w:rPr>
              <w:t>年</w:t>
            </w:r>
            <w:r>
              <w:rPr>
                <w:rFonts w:hint="eastAsia" w:ascii="Times New Roman" w:cs="楷体"/>
                <w:bCs/>
                <w:snapToGrid w:val="0"/>
                <w:szCs w:val="24"/>
                <w:highlight w:val="none"/>
                <w:u w:val="single"/>
                <w:lang w:val="en-US" w:eastAsia="zh-CN"/>
              </w:rPr>
              <w:t>1</w:t>
            </w:r>
            <w:r>
              <w:rPr>
                <w:rFonts w:hint="eastAsia" w:ascii="Times New Roman" w:cs="楷体"/>
                <w:bCs/>
                <w:snapToGrid w:val="0"/>
                <w:szCs w:val="24"/>
                <w:highlight w:val="none"/>
                <w:u w:val="single"/>
              </w:rPr>
              <w:t>月1日以来任意连续三个月的</w:t>
            </w:r>
            <w:r>
              <w:rPr>
                <w:rFonts w:hint="eastAsia" w:ascii="Times New Roman" w:cs="楷体"/>
                <w:bCs/>
                <w:snapToGrid w:val="0"/>
                <w:szCs w:val="24"/>
                <w:highlight w:val="none"/>
              </w:rPr>
              <w:t>社保缴费证明（或其他能够证明项目负责人参加社保的有效证明）材料，项目负责人的社保缴纳单位应当是投标人或者投标人不具备独立法人资格的分支机构。</w:t>
            </w:r>
          </w:p>
          <w:p>
            <w:pPr>
              <w:spacing w:line="360" w:lineRule="auto"/>
              <w:rPr>
                <w:highlight w:val="none"/>
              </w:rPr>
            </w:pPr>
            <w:r>
              <w:rPr>
                <w:rFonts w:hint="eastAsia" w:ascii="Times New Roman" w:cs="楷体"/>
                <w:bCs/>
                <w:snapToGrid w:val="0"/>
                <w:szCs w:val="24"/>
                <w:highlight w:val="none"/>
              </w:rPr>
              <w:t>（社保缴费证明或社保的有效证明材料至少含养老保险）</w:t>
            </w:r>
          </w:p>
        </w:tc>
      </w:tr>
    </w:tbl>
    <w:p>
      <w:pPr>
        <w:pStyle w:val="167"/>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注：</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w:t>
      </w:r>
      <w:r>
        <w:rPr>
          <w:rFonts w:hint="eastAsia" w:ascii="Times New Roman"/>
          <w:szCs w:val="21"/>
          <w:highlight w:val="none"/>
        </w:rPr>
        <w:t>投标人应提供</w:t>
      </w:r>
      <w:r>
        <w:rPr>
          <w:rFonts w:hint="eastAsia" w:hAnsi="宋体" w:cs="宋体"/>
          <w:highlight w:val="none"/>
        </w:rPr>
        <w:t>项目负责人</w:t>
      </w:r>
      <w:r>
        <w:rPr>
          <w:rFonts w:hint="eastAsia" w:ascii="Times New Roman" w:cs="宋体"/>
          <w:bCs/>
          <w:szCs w:val="24"/>
          <w:highlight w:val="none"/>
        </w:rPr>
        <w:t>相关证书</w:t>
      </w:r>
      <w:r>
        <w:rPr>
          <w:rFonts w:hint="eastAsia" w:ascii="Times New Roman"/>
          <w:szCs w:val="21"/>
          <w:highlight w:val="none"/>
        </w:rPr>
        <w:t>、参加社保的有效证明材料（如要求）。</w:t>
      </w:r>
    </w:p>
    <w:p>
      <w:pPr>
        <w:spacing w:line="360" w:lineRule="auto"/>
        <w:ind w:firstLine="480" w:firstLineChars="200"/>
        <w:rPr>
          <w:rFonts w:hAnsi="宋体" w:cs="宋体"/>
          <w:highlight w:val="none"/>
        </w:rPr>
      </w:pPr>
      <w:r>
        <w:rPr>
          <w:rFonts w:hint="eastAsia" w:hAnsi="宋体" w:cs="宋体"/>
          <w:bCs/>
          <w:snapToGrid w:val="0"/>
          <w:highlight w:val="none"/>
        </w:rPr>
        <w:t>2.</w:t>
      </w:r>
      <w:r>
        <w:rPr>
          <w:rFonts w:hint="eastAsia" w:ascii="Times New Roman"/>
          <w:szCs w:val="24"/>
          <w:highlight w:val="none"/>
        </w:rPr>
        <w:t>投标人应提供下列类别勾选的业绩证明材料：</w:t>
      </w:r>
    </w:p>
    <w:p>
      <w:pPr>
        <w:spacing w:line="360" w:lineRule="auto"/>
        <w:ind w:firstLine="480" w:firstLineChars="200"/>
        <w:rPr>
          <w:rFonts w:hAnsi="宋体" w:cs="宋体"/>
          <w:bCs/>
          <w:highlight w:val="none"/>
        </w:rPr>
      </w:pPr>
      <w:r>
        <w:rPr>
          <w:rFonts w:hint="eastAsia" w:hAnsi="宋体" w:cs="宋体"/>
          <w:bCs/>
          <w:highlight w:val="none"/>
        </w:rPr>
        <w:t>□（1）合同；</w:t>
      </w:r>
    </w:p>
    <w:p>
      <w:pPr>
        <w:spacing w:line="360" w:lineRule="auto"/>
        <w:ind w:firstLine="480" w:firstLineChars="200"/>
        <w:rPr>
          <w:rFonts w:hAnsi="宋体" w:cs="宋体"/>
          <w:bCs/>
          <w:highlight w:val="none"/>
        </w:rPr>
      </w:pPr>
      <w:r>
        <w:rPr>
          <w:rFonts w:hint="eastAsia" w:hAnsi="宋体" w:cs="宋体"/>
          <w:bCs/>
          <w:highlight w:val="none"/>
        </w:rPr>
        <w:t>□（2）供货安装完毕并验收合格的相关证明文件（如验收证书或合同甲方开具的证明等）；</w:t>
      </w:r>
    </w:p>
    <w:p>
      <w:pPr>
        <w:spacing w:line="360" w:lineRule="auto"/>
        <w:ind w:firstLine="480" w:firstLineChars="200"/>
        <w:rPr>
          <w:rFonts w:hAnsi="宋体" w:cs="宋体"/>
          <w:highlight w:val="none"/>
          <w:u w:val="single"/>
        </w:rPr>
      </w:pPr>
      <w:r>
        <w:rPr>
          <w:rFonts w:hint="eastAsia" w:hAnsi="宋体" w:cs="宋体"/>
          <w:highlight w:val="none"/>
        </w:rPr>
        <w:t>□（3）其他材料：</w:t>
      </w:r>
      <w:r>
        <w:rPr>
          <w:rFonts w:hint="eastAsia" w:hAnsi="宋体" w:cs="宋体"/>
          <w:highlight w:val="none"/>
          <w:u w:val="single"/>
        </w:rPr>
        <w:t xml:space="preserve">   /   </w:t>
      </w:r>
    </w:p>
    <w:p>
      <w:pPr>
        <w:adjustRightInd w:val="0"/>
        <w:snapToGrid w:val="0"/>
        <w:spacing w:line="360" w:lineRule="auto"/>
        <w:ind w:firstLine="480" w:firstLineChars="200"/>
        <w:rPr>
          <w:rFonts w:ascii="Times New Roman"/>
          <w:szCs w:val="24"/>
          <w:highlight w:val="none"/>
        </w:rPr>
      </w:pPr>
      <w:r>
        <w:rPr>
          <w:rFonts w:hint="eastAsia" w:hAnsi="宋体" w:cs="宋体"/>
          <w:highlight w:val="none"/>
        </w:rPr>
        <w:t>注：</w:t>
      </w:r>
      <w:r>
        <w:rPr>
          <w:rFonts w:hint="eastAsia" w:ascii="Times New Roman"/>
          <w:szCs w:val="24"/>
          <w:highlight w:val="none"/>
        </w:rPr>
        <w:t>业绩需在商务文件中“资格审查资料”栏“项目负责人业绩情况表（资格审查）”中注明并提供相关证明材料。如投标人提供的上述业绩证明材料未能完整或充分反映评审因素（如</w:t>
      </w:r>
      <w:r>
        <w:rPr>
          <w:rFonts w:hint="eastAsia" w:ascii="Times New Roman"/>
          <w:szCs w:val="24"/>
          <w:highlight w:val="none"/>
          <w:u w:val="single"/>
        </w:rPr>
        <w:t xml:space="preserve">  /    </w:t>
      </w:r>
      <w:r>
        <w:rPr>
          <w:rFonts w:hint="eastAsia" w:ascii="Times New Roman"/>
          <w:szCs w:val="24"/>
          <w:highlight w:val="none"/>
        </w:rPr>
        <w:t>）的，应另附合同甲方证明材料（须加盖合同甲方单位章）予以明确说明，否则评标委员会不予认可。</w:t>
      </w:r>
    </w:p>
    <w:p>
      <w:pPr>
        <w:adjustRightInd w:val="0"/>
        <w:snapToGrid w:val="0"/>
        <w:spacing w:line="360" w:lineRule="auto"/>
        <w:ind w:firstLine="480" w:firstLineChars="200"/>
        <w:rPr>
          <w:rFonts w:ascii="Times New Roman"/>
          <w:szCs w:val="24"/>
          <w:highlight w:val="none"/>
        </w:rPr>
      </w:pPr>
      <w:r>
        <w:rPr>
          <w:rFonts w:hint="eastAsia" w:ascii="Times New Roman"/>
          <w:szCs w:val="24"/>
          <w:highlight w:val="none"/>
        </w:rPr>
        <w:t>3.投标人提供的项目负责人业绩证明材料应反映出本招标项目的项目负责人在此业绩中担任过</w:t>
      </w:r>
      <w:r>
        <w:rPr>
          <w:rFonts w:hint="eastAsia" w:ascii="Times New Roman"/>
          <w:szCs w:val="24"/>
          <w:highlight w:val="none"/>
          <w:u w:val="single"/>
        </w:rPr>
        <w:t xml:space="preserve">   /   </w:t>
      </w:r>
      <w:r>
        <w:rPr>
          <w:rFonts w:hint="eastAsia" w:ascii="Times New Roman"/>
          <w:szCs w:val="24"/>
          <w:highlight w:val="none"/>
        </w:rPr>
        <w:t>的岗位。</w:t>
      </w:r>
    </w:p>
    <w:p>
      <w:pPr>
        <w:spacing w:line="360" w:lineRule="auto"/>
        <w:ind w:firstLine="480" w:firstLineChars="200"/>
        <w:rPr>
          <w:rFonts w:hAnsi="宋体" w:cs="宋体"/>
          <w:bCs/>
          <w:highlight w:val="none"/>
        </w:rPr>
      </w:pPr>
      <w:r>
        <w:rPr>
          <w:rFonts w:hint="eastAsia" w:hAnsi="宋体" w:cs="宋体"/>
          <w:bCs/>
          <w:highlight w:val="none"/>
        </w:rPr>
        <w:t>4.本招标项目的项目负责人业绩(资格审查)数量:</w:t>
      </w:r>
      <w:r>
        <w:rPr>
          <w:rFonts w:hint="eastAsia" w:hAnsi="宋体" w:cs="宋体"/>
          <w:bCs/>
          <w:highlight w:val="none"/>
          <w:u w:val="single"/>
        </w:rPr>
        <w:t xml:space="preserve">   0   </w:t>
      </w:r>
      <w:r>
        <w:rPr>
          <w:rFonts w:hint="eastAsia" w:hAnsi="宋体" w:cs="宋体"/>
          <w:bCs/>
          <w:highlight w:val="none"/>
        </w:rPr>
        <w:t>个。</w:t>
      </w:r>
    </w:p>
    <w:p>
      <w:pPr>
        <w:rPr>
          <w:highlight w:val="none"/>
        </w:rPr>
      </w:pPr>
    </w:p>
    <w:p>
      <w:pPr>
        <w:rPr>
          <w:highlight w:val="none"/>
        </w:rPr>
      </w:pPr>
    </w:p>
    <w:p>
      <w:pPr>
        <w:pStyle w:val="4"/>
        <w:spacing w:beforeLines="100" w:afterLines="100" w:line="240" w:lineRule="auto"/>
        <w:jc w:val="center"/>
        <w:rPr>
          <w:rFonts w:ascii="Times New Roman" w:hAnsi="Times New Roman" w:eastAsia="黑体"/>
          <w:b w:val="0"/>
          <w:bCs w:val="0"/>
          <w:highlight w:val="none"/>
        </w:rPr>
      </w:pPr>
      <w:r>
        <w:rPr>
          <w:rFonts w:hint="eastAsia" w:ascii="Times New Roman" w:hAnsi="Times New Roman" w:eastAsia="黑体"/>
          <w:b w:val="0"/>
          <w:bCs w:val="0"/>
          <w:highlight w:val="none"/>
        </w:rPr>
        <w:br w:type="page"/>
      </w:r>
      <w:bookmarkStart w:id="194" w:name="_Toc30146"/>
      <w:bookmarkStart w:id="195" w:name="_Toc2867"/>
      <w:bookmarkStart w:id="196" w:name="_Toc140069404"/>
      <w:r>
        <w:rPr>
          <w:rFonts w:hint="eastAsia" w:ascii="Times New Roman" w:hAnsi="Times New Roman" w:eastAsia="黑体"/>
          <w:b w:val="0"/>
          <w:bCs w:val="0"/>
          <w:highlight w:val="none"/>
        </w:rPr>
        <w:t>附录6  资格审查条件（</w:t>
      </w:r>
      <w:r>
        <w:rPr>
          <w:rFonts w:hint="eastAsia" w:ascii="Times New Roman" w:hAnsi="Times New Roman" w:eastAsia="黑体"/>
          <w:b w:val="0"/>
          <w:highlight w:val="none"/>
        </w:rPr>
        <w:t>其他要求</w:t>
      </w:r>
      <w:r>
        <w:rPr>
          <w:rFonts w:hint="eastAsia" w:ascii="Times New Roman" w:hAnsi="Times New Roman" w:eastAsia="黑体"/>
          <w:b w:val="0"/>
          <w:bCs w:val="0"/>
          <w:highlight w:val="none"/>
        </w:rPr>
        <w:t>）</w:t>
      </w:r>
      <w:bookmarkEnd w:id="194"/>
      <w:bookmarkEnd w:id="195"/>
      <w:bookmarkEnd w:id="196"/>
    </w:p>
    <w:tbl>
      <w:tblPr>
        <w:tblStyle w:val="53"/>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highlight w:val="none"/>
              </w:rPr>
            </w:pPr>
            <w:r>
              <w:rPr>
                <w:rFonts w:hint="eastAsia" w:hAnsi="宋体" w:cs="宋体"/>
                <w:highlight w:val="none"/>
              </w:rPr>
              <w:t>1.投标人不得存在招标文件第二章投标人须知第1.4.3项、第1.4.4项规定的情形。</w:t>
            </w:r>
          </w:p>
          <w:p>
            <w:pPr>
              <w:pStyle w:val="2"/>
              <w:spacing w:before="0" w:after="0"/>
              <w:rPr>
                <w:kern w:val="0"/>
                <w:szCs w:val="20"/>
                <w:highlight w:val="none"/>
              </w:rPr>
            </w:pPr>
            <w:r>
              <w:rPr>
                <w:rFonts w:hint="eastAsia" w:ascii="宋体" w:hAnsi="宋体" w:eastAsia="宋体" w:cs="宋体"/>
                <w:kern w:val="0"/>
                <w:szCs w:val="20"/>
                <w:highlight w:val="none"/>
              </w:rPr>
              <w:t>2.其他要求：</w:t>
            </w:r>
            <w:r>
              <w:rPr>
                <w:rFonts w:hint="eastAsia" w:ascii="宋体" w:hAnsi="宋体" w:eastAsia="宋体" w:cs="宋体"/>
                <w:kern w:val="0"/>
                <w:szCs w:val="20"/>
                <w:highlight w:val="none"/>
                <w:u w:val="single"/>
              </w:rPr>
              <w:t xml:space="preserve">   /   </w:t>
            </w:r>
          </w:p>
        </w:tc>
      </w:tr>
    </w:tbl>
    <w:p>
      <w:pPr>
        <w:pStyle w:val="167"/>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注：</w:t>
      </w:r>
    </w:p>
    <w:p>
      <w:pPr>
        <w:adjustRightInd w:val="0"/>
        <w:snapToGrid w:val="0"/>
        <w:spacing w:line="360" w:lineRule="auto"/>
        <w:ind w:firstLine="437"/>
        <w:rPr>
          <w:rFonts w:hAnsi="宋体" w:cs="宋体"/>
          <w:highlight w:val="none"/>
        </w:rPr>
      </w:pPr>
      <w:r>
        <w:rPr>
          <w:rFonts w:hint="eastAsia" w:hAnsi="宋体" w:cs="宋体"/>
          <w:highlight w:val="none"/>
        </w:rPr>
        <w:t>1.投标人应按照第六章“投标文件格式”的“诚信投标承诺书”承诺。如投标人承诺与实际不符，招标人有权取消其中标（或中标候选）资格，并报公共资源交易监督管理部门。</w:t>
      </w:r>
    </w:p>
    <w:p>
      <w:pPr>
        <w:rPr>
          <w:highlight w:val="none"/>
        </w:rPr>
      </w:pPr>
    </w:p>
    <w:p>
      <w:pPr>
        <w:rPr>
          <w:highlight w:val="none"/>
        </w:rPr>
      </w:pPr>
    </w:p>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b w:val="0"/>
          <w:szCs w:val="21"/>
          <w:highlight w:val="none"/>
        </w:rPr>
        <w:br w:type="page"/>
      </w:r>
      <w:bookmarkEnd w:id="147"/>
      <w:bookmarkStart w:id="197" w:name="_Toc283798422"/>
      <w:bookmarkStart w:id="198" w:name="_Toc16061"/>
      <w:bookmarkStart w:id="199" w:name="_Toc25831"/>
      <w:bookmarkStart w:id="200" w:name="_Toc140069405"/>
      <w:bookmarkStart w:id="201" w:name="_Toc2985"/>
      <w:bookmarkStart w:id="202" w:name="_Toc38879323"/>
      <w:bookmarkStart w:id="203" w:name="_Toc8098"/>
      <w:bookmarkStart w:id="204" w:name="_Toc2958"/>
      <w:bookmarkStart w:id="205" w:name="_Toc31252"/>
      <w:bookmarkStart w:id="206" w:name="_Toc299"/>
      <w:bookmarkStart w:id="207" w:name="_Toc5852"/>
      <w:bookmarkStart w:id="208" w:name="_Toc17783"/>
      <w:bookmarkStart w:id="209" w:name="_Toc16515"/>
      <w:r>
        <w:rPr>
          <w:rFonts w:hint="eastAsia" w:ascii="Times New Roman" w:hAnsi="Times New Roman" w:eastAsia="黑体"/>
          <w:b w:val="0"/>
          <w:bCs w:val="0"/>
          <w:highlight w:val="none"/>
        </w:rPr>
        <w:t>投标人须知</w:t>
      </w:r>
      <w:bookmarkEnd w:id="197"/>
      <w:r>
        <w:rPr>
          <w:rFonts w:hint="eastAsia" w:ascii="Times New Roman" w:hAnsi="Times New Roman" w:eastAsia="黑体"/>
          <w:b w:val="0"/>
          <w:bCs w:val="0"/>
          <w:highlight w:val="none"/>
        </w:rPr>
        <w:t>正文修改一览表</w:t>
      </w:r>
      <w:bookmarkEnd w:id="198"/>
      <w:bookmarkEnd w:id="199"/>
      <w:bookmarkEnd w:id="200"/>
      <w:bookmarkEnd w:id="201"/>
      <w:bookmarkEnd w:id="202"/>
      <w:bookmarkEnd w:id="203"/>
      <w:bookmarkEnd w:id="204"/>
      <w:bookmarkEnd w:id="205"/>
      <w:bookmarkEnd w:id="206"/>
      <w:bookmarkEnd w:id="207"/>
      <w:bookmarkEnd w:id="208"/>
      <w:bookmarkEnd w:id="209"/>
    </w:p>
    <w:p>
      <w:pPr>
        <w:pStyle w:val="131"/>
        <w:spacing w:line="360" w:lineRule="auto"/>
        <w:rPr>
          <w:kern w:val="0"/>
          <w:sz w:val="24"/>
          <w:highlight w:val="none"/>
        </w:rPr>
      </w:pPr>
      <w:r>
        <w:rPr>
          <w:rFonts w:hint="eastAsia"/>
          <w:kern w:val="0"/>
          <w:sz w:val="24"/>
          <w:highlight w:val="none"/>
        </w:rPr>
        <w:t>投标人须知正文条款内容修改如下：</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849"/>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pStyle w:val="131"/>
              <w:jc w:val="center"/>
              <w:rPr>
                <w:sz w:val="24"/>
                <w:highlight w:val="none"/>
              </w:rPr>
            </w:pPr>
            <w:r>
              <w:rPr>
                <w:rFonts w:hint="eastAsia"/>
                <w:sz w:val="24"/>
                <w:highlight w:val="none"/>
              </w:rPr>
              <w:t>条款</w:t>
            </w:r>
          </w:p>
          <w:p>
            <w:pPr>
              <w:pStyle w:val="131"/>
              <w:jc w:val="center"/>
              <w:rPr>
                <w:sz w:val="24"/>
                <w:highlight w:val="none"/>
              </w:rPr>
            </w:pPr>
            <w:r>
              <w:rPr>
                <w:rFonts w:hint="eastAsia"/>
                <w:sz w:val="24"/>
                <w:highlight w:val="none"/>
              </w:rPr>
              <w:t>编号</w:t>
            </w:r>
          </w:p>
        </w:tc>
        <w:tc>
          <w:tcPr>
            <w:tcW w:w="2849" w:type="dxa"/>
            <w:tcBorders>
              <w:top w:val="single" w:color="auto" w:sz="4" w:space="0"/>
              <w:left w:val="single" w:color="auto" w:sz="4" w:space="0"/>
              <w:bottom w:val="single" w:color="auto" w:sz="4" w:space="0"/>
              <w:right w:val="single" w:color="auto" w:sz="4" w:space="0"/>
            </w:tcBorders>
            <w:vAlign w:val="center"/>
          </w:tcPr>
          <w:p>
            <w:pPr>
              <w:pStyle w:val="131"/>
              <w:jc w:val="center"/>
              <w:rPr>
                <w:sz w:val="24"/>
                <w:highlight w:val="none"/>
              </w:rPr>
            </w:pPr>
            <w:r>
              <w:rPr>
                <w:rFonts w:hint="eastAsia"/>
                <w:sz w:val="24"/>
                <w:highlight w:val="none"/>
              </w:rPr>
              <w:t>示范文本中条款内容</w:t>
            </w:r>
          </w:p>
        </w:tc>
        <w:tc>
          <w:tcPr>
            <w:tcW w:w="4687" w:type="dxa"/>
            <w:tcBorders>
              <w:top w:val="single" w:color="auto" w:sz="4" w:space="0"/>
              <w:left w:val="single" w:color="auto" w:sz="4" w:space="0"/>
              <w:bottom w:val="single" w:color="auto" w:sz="4" w:space="0"/>
              <w:right w:val="single" w:color="auto" w:sz="4" w:space="0"/>
            </w:tcBorders>
            <w:vAlign w:val="center"/>
          </w:tcPr>
          <w:p>
            <w:pPr>
              <w:pStyle w:val="131"/>
              <w:jc w:val="center"/>
              <w:rPr>
                <w:sz w:val="24"/>
                <w:highlight w:val="none"/>
              </w:rPr>
            </w:pPr>
            <w:r>
              <w:rPr>
                <w:rFonts w:hint="eastAsia"/>
                <w:sz w:val="24"/>
                <w:highlight w:val="none"/>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2849" w:type="dxa"/>
            <w:tcBorders>
              <w:top w:val="single" w:color="auto" w:sz="4" w:space="0"/>
              <w:left w:val="single" w:color="auto" w:sz="4" w:space="0"/>
              <w:bottom w:val="single" w:color="auto" w:sz="4" w:space="0"/>
              <w:right w:val="single" w:color="auto" w:sz="4" w:space="0"/>
            </w:tcBorders>
            <w:vAlign w:val="center"/>
          </w:tcPr>
          <w:p>
            <w:pPr>
              <w:pStyle w:val="131"/>
              <w:jc w:val="center"/>
              <w:rPr>
                <w:rFonts w:ascii="宋体" w:hAnsi="宋体"/>
                <w:kern w:val="0"/>
                <w:sz w:val="24"/>
                <w:szCs w:val="20"/>
                <w:highlight w:val="none"/>
              </w:rPr>
            </w:pPr>
            <w:r>
              <w:rPr>
                <w:rFonts w:hint="eastAsia" w:ascii="宋体" w:hAnsi="宋体"/>
                <w:kern w:val="0"/>
                <w:sz w:val="24"/>
                <w:szCs w:val="20"/>
                <w:highlight w:val="none"/>
              </w:rPr>
              <w:t>/</w:t>
            </w:r>
          </w:p>
        </w:tc>
        <w:tc>
          <w:tcPr>
            <w:tcW w:w="4687" w:type="dxa"/>
            <w:tcBorders>
              <w:top w:val="single" w:color="auto" w:sz="4" w:space="0"/>
              <w:left w:val="single" w:color="auto" w:sz="4" w:space="0"/>
              <w:bottom w:val="single" w:color="auto" w:sz="4" w:space="0"/>
              <w:right w:val="single" w:color="auto" w:sz="4" w:space="0"/>
            </w:tcBorders>
            <w:vAlign w:val="center"/>
          </w:tcPr>
          <w:p>
            <w:pPr>
              <w:jc w:val="lef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2849"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4687" w:type="dxa"/>
            <w:tcBorders>
              <w:top w:val="single" w:color="auto" w:sz="4" w:space="0"/>
              <w:left w:val="single" w:color="auto" w:sz="4" w:space="0"/>
              <w:bottom w:val="single" w:color="auto" w:sz="4" w:space="0"/>
              <w:right w:val="single" w:color="auto" w:sz="4" w:space="0"/>
            </w:tcBorders>
            <w:vAlign w:val="center"/>
          </w:tcPr>
          <w:p>
            <w:pPr>
              <w:snapToGrid w:val="0"/>
              <w:rPr>
                <w:rFonts w:hAnsi="宋体"/>
                <w:highlight w:val="none"/>
              </w:rPr>
            </w:pPr>
            <w:r>
              <w:rPr>
                <w:rFonts w:hint="eastAsia" w:hAnsi="宋体"/>
                <w:highlight w:val="none"/>
              </w:rPr>
              <w:t>/</w:t>
            </w:r>
          </w:p>
        </w:tc>
      </w:tr>
      <w:bookmarkEnd w:id="122"/>
      <w:bookmarkEnd w:id="123"/>
      <w:bookmarkEnd w:id="124"/>
      <w:bookmarkEnd w:id="125"/>
      <w:bookmarkEnd w:id="126"/>
      <w:bookmarkEnd w:id="127"/>
    </w:tbl>
    <w:p>
      <w:pPr>
        <w:pStyle w:val="4"/>
        <w:numPr>
          <w:ilvl w:val="0"/>
          <w:numId w:val="2"/>
        </w:numPr>
        <w:spacing w:beforeLines="100" w:afterLines="100" w:line="240" w:lineRule="auto"/>
        <w:rPr>
          <w:rFonts w:ascii="黑体" w:hAnsi="黑体" w:eastAsia="黑体" w:cs="黑体"/>
          <w:b w:val="0"/>
          <w:bCs w:val="0"/>
          <w:highlight w:val="none"/>
        </w:rPr>
      </w:pPr>
      <w:bookmarkStart w:id="210" w:name="_Toc1641"/>
      <w:bookmarkStart w:id="211" w:name="_Toc63412030"/>
      <w:bookmarkStart w:id="212" w:name="_Toc38879335"/>
      <w:r>
        <w:rPr>
          <w:rFonts w:hint="eastAsia" w:ascii="Times New Roman" w:hAnsi="Times New Roman" w:eastAsia="黑体"/>
          <w:b w:val="0"/>
          <w:highlight w:val="none"/>
        </w:rPr>
        <w:br w:type="page"/>
      </w:r>
      <w:bookmarkEnd w:id="210"/>
      <w:bookmarkStart w:id="213" w:name="_Toc601"/>
      <w:bookmarkStart w:id="214" w:name="_Toc7255"/>
      <w:bookmarkStart w:id="215" w:name="_Toc5339"/>
      <w:bookmarkStart w:id="216" w:name="_Toc140069406"/>
      <w:r>
        <w:rPr>
          <w:rFonts w:hint="eastAsia" w:ascii="黑体" w:hAnsi="黑体" w:eastAsia="黑体" w:cs="黑体"/>
          <w:b w:val="0"/>
          <w:bCs w:val="0"/>
          <w:highlight w:val="none"/>
        </w:rPr>
        <w:t>总则</w:t>
      </w:r>
      <w:bookmarkEnd w:id="213"/>
      <w:bookmarkEnd w:id="214"/>
      <w:bookmarkEnd w:id="215"/>
      <w:bookmarkEnd w:id="216"/>
    </w:p>
    <w:p>
      <w:pPr>
        <w:pStyle w:val="2"/>
        <w:spacing w:beforeLines="100" w:afterLines="100" w:line="240" w:lineRule="auto"/>
        <w:rPr>
          <w:rFonts w:cs="黑体"/>
          <w:snapToGrid w:val="0"/>
          <w:highlight w:val="none"/>
          <w:shd w:val="clear" w:color="auto" w:fill="FFFFFF"/>
          <w:lang w:val="zh-CN"/>
        </w:rPr>
      </w:pPr>
      <w:bookmarkStart w:id="217" w:name="_Toc144974498"/>
      <w:bookmarkStart w:id="218" w:name="_Toc152045530"/>
      <w:bookmarkStart w:id="219" w:name="_Toc152042306"/>
      <w:bookmarkStart w:id="220" w:name="_Toc179632547"/>
      <w:r>
        <w:rPr>
          <w:rFonts w:hint="eastAsia" w:cs="黑体"/>
          <w:snapToGrid w:val="0"/>
          <w:highlight w:val="none"/>
          <w:shd w:val="clear" w:color="auto" w:fill="FFFFFF"/>
          <w:lang w:val="zh-CN"/>
        </w:rPr>
        <w:t>1.1项目概况</w:t>
      </w:r>
      <w:bookmarkEnd w:id="217"/>
      <w:bookmarkEnd w:id="218"/>
      <w:bookmarkEnd w:id="219"/>
      <w:bookmarkEnd w:id="220"/>
    </w:p>
    <w:p>
      <w:pPr>
        <w:spacing w:line="360" w:lineRule="auto"/>
        <w:ind w:firstLine="480" w:firstLineChars="200"/>
        <w:rPr>
          <w:rFonts w:hAnsi="宋体" w:cs="宋体"/>
          <w:highlight w:val="none"/>
        </w:rPr>
      </w:pPr>
      <w:r>
        <w:rPr>
          <w:rFonts w:hint="eastAsia" w:hAnsi="宋体" w:cs="宋体"/>
          <w:highlight w:val="none"/>
        </w:rPr>
        <w:t>1.1.1根据《中华人民共和国招标投标法》《中华人民共和国招标投标法实施条例》等有关法律、法规和规章的规定，本招标项目已具备招标条件，现对本招标项目进行招标。</w:t>
      </w:r>
    </w:p>
    <w:p>
      <w:pPr>
        <w:spacing w:line="360" w:lineRule="auto"/>
        <w:ind w:firstLine="480" w:firstLineChars="200"/>
        <w:rPr>
          <w:rFonts w:hAnsi="宋体" w:cs="宋体"/>
          <w:highlight w:val="none"/>
        </w:rPr>
      </w:pPr>
      <w:r>
        <w:rPr>
          <w:rFonts w:hint="eastAsia" w:hAnsi="宋体" w:cs="宋体"/>
          <w:highlight w:val="none"/>
        </w:rPr>
        <w:t>1.1.2招标人：见招标公告。</w:t>
      </w:r>
    </w:p>
    <w:p>
      <w:pPr>
        <w:spacing w:line="360" w:lineRule="auto"/>
        <w:ind w:firstLine="480" w:firstLineChars="200"/>
        <w:rPr>
          <w:rFonts w:hAnsi="宋体" w:cs="宋体"/>
          <w:highlight w:val="none"/>
        </w:rPr>
      </w:pPr>
      <w:r>
        <w:rPr>
          <w:rFonts w:hint="eastAsia" w:hAnsi="宋体" w:cs="宋体"/>
          <w:highlight w:val="none"/>
        </w:rPr>
        <w:t>1.1.3 招标代理机构：见招标公告。</w:t>
      </w:r>
    </w:p>
    <w:p>
      <w:pPr>
        <w:spacing w:line="360" w:lineRule="auto"/>
        <w:ind w:firstLine="480" w:firstLineChars="200"/>
        <w:rPr>
          <w:rFonts w:hAnsi="宋体" w:cs="宋体"/>
          <w:highlight w:val="none"/>
        </w:rPr>
      </w:pPr>
      <w:r>
        <w:rPr>
          <w:rFonts w:hint="eastAsia" w:hAnsi="宋体" w:cs="宋体"/>
          <w:highlight w:val="none"/>
        </w:rPr>
        <w:t>1.1.4 招标项目名称：见招标公告。</w:t>
      </w:r>
    </w:p>
    <w:p>
      <w:pPr>
        <w:spacing w:line="360" w:lineRule="auto"/>
        <w:ind w:firstLine="480" w:firstLineChars="200"/>
        <w:rPr>
          <w:rFonts w:hAnsi="宋体" w:cs="宋体"/>
          <w:highlight w:val="none"/>
        </w:rPr>
      </w:pPr>
      <w:r>
        <w:rPr>
          <w:rFonts w:hint="eastAsia" w:hAnsi="宋体" w:cs="宋体"/>
          <w:highlight w:val="none"/>
        </w:rPr>
        <w:t>1.1.5 建设地点：见招标公告。</w:t>
      </w:r>
    </w:p>
    <w:p>
      <w:pPr>
        <w:pStyle w:val="2"/>
        <w:spacing w:beforeLines="100" w:afterLines="100" w:line="240" w:lineRule="auto"/>
        <w:rPr>
          <w:rFonts w:cs="黑体"/>
          <w:snapToGrid w:val="0"/>
          <w:highlight w:val="none"/>
          <w:shd w:val="clear" w:color="auto" w:fill="FFFFFF"/>
          <w:lang w:val="zh-CN"/>
        </w:rPr>
      </w:pPr>
      <w:bookmarkStart w:id="221" w:name="_Toc144974499"/>
      <w:bookmarkStart w:id="222" w:name="_Toc179632548"/>
      <w:bookmarkStart w:id="223" w:name="_Toc152045531"/>
      <w:bookmarkStart w:id="224" w:name="_Toc152042307"/>
      <w:r>
        <w:rPr>
          <w:rFonts w:hint="eastAsia" w:cs="黑体"/>
          <w:snapToGrid w:val="0"/>
          <w:highlight w:val="none"/>
          <w:shd w:val="clear" w:color="auto" w:fill="FFFFFF"/>
          <w:lang w:val="zh-CN"/>
        </w:rPr>
        <w:t>1.2资金来源和落实情况</w:t>
      </w:r>
      <w:bookmarkEnd w:id="221"/>
      <w:bookmarkEnd w:id="222"/>
      <w:bookmarkEnd w:id="223"/>
      <w:bookmarkEnd w:id="224"/>
    </w:p>
    <w:p>
      <w:pPr>
        <w:spacing w:line="360" w:lineRule="auto"/>
        <w:ind w:firstLine="480" w:firstLineChars="200"/>
        <w:rPr>
          <w:rFonts w:hAnsi="宋体" w:cs="宋体"/>
          <w:highlight w:val="none"/>
        </w:rPr>
      </w:pPr>
      <w:r>
        <w:rPr>
          <w:rFonts w:hint="eastAsia" w:hAnsi="宋体" w:cs="宋体"/>
          <w:highlight w:val="none"/>
        </w:rPr>
        <w:t>1.2.1 资金来源：见招标公告。</w:t>
      </w:r>
    </w:p>
    <w:p>
      <w:pPr>
        <w:spacing w:line="360" w:lineRule="auto"/>
        <w:ind w:firstLine="480" w:firstLineChars="200"/>
        <w:rPr>
          <w:rFonts w:hAnsi="宋体" w:cs="宋体"/>
          <w:highlight w:val="none"/>
        </w:rPr>
      </w:pPr>
      <w:r>
        <w:rPr>
          <w:rFonts w:hint="eastAsia" w:hAnsi="宋体" w:cs="宋体"/>
          <w:highlight w:val="none"/>
        </w:rPr>
        <w:t>1.2.2 出资比例：见招标公告。</w:t>
      </w:r>
    </w:p>
    <w:p>
      <w:pPr>
        <w:spacing w:line="360" w:lineRule="auto"/>
        <w:ind w:firstLine="480" w:firstLineChars="200"/>
        <w:rPr>
          <w:rFonts w:hAnsi="宋体" w:cs="宋体"/>
          <w:highlight w:val="none"/>
        </w:rPr>
      </w:pPr>
      <w:r>
        <w:rPr>
          <w:rFonts w:hint="eastAsia" w:hAnsi="宋体" w:cs="宋体"/>
          <w:highlight w:val="none"/>
        </w:rPr>
        <w:t>1.2.3 资金落实情况：见招标公告。</w:t>
      </w:r>
    </w:p>
    <w:p>
      <w:pPr>
        <w:pStyle w:val="2"/>
        <w:spacing w:beforeLines="100" w:afterLines="100" w:line="240" w:lineRule="auto"/>
        <w:rPr>
          <w:rFonts w:cs="黑体"/>
          <w:snapToGrid w:val="0"/>
          <w:highlight w:val="none"/>
          <w:shd w:val="clear" w:color="auto" w:fill="FFFFFF"/>
          <w:lang w:val="zh-CN"/>
        </w:rPr>
      </w:pPr>
      <w:bookmarkStart w:id="225" w:name="_Toc179632549"/>
      <w:bookmarkStart w:id="226" w:name="_Toc152045532"/>
      <w:bookmarkStart w:id="227" w:name="_Toc152042308"/>
      <w:bookmarkStart w:id="228" w:name="_Toc144974500"/>
      <w:r>
        <w:rPr>
          <w:rFonts w:hint="eastAsia" w:cs="黑体"/>
          <w:snapToGrid w:val="0"/>
          <w:highlight w:val="none"/>
          <w:shd w:val="clear" w:color="auto" w:fill="FFFFFF"/>
          <w:lang w:val="zh-CN"/>
        </w:rPr>
        <w:t>1.3招标范围、交货及安装周期、交货及安装地点</w:t>
      </w:r>
      <w:r>
        <w:rPr>
          <w:rFonts w:hint="eastAsia" w:cs="黑体"/>
          <w:snapToGrid w:val="0"/>
          <w:highlight w:val="none"/>
          <w:shd w:val="clear" w:color="auto" w:fill="FFFFFF"/>
        </w:rPr>
        <w:t>和</w:t>
      </w:r>
      <w:r>
        <w:rPr>
          <w:rFonts w:hint="eastAsia" w:cs="黑体"/>
          <w:snapToGrid w:val="0"/>
          <w:highlight w:val="none"/>
          <w:shd w:val="clear" w:color="auto" w:fill="FFFFFF"/>
          <w:lang w:val="zh-CN"/>
        </w:rPr>
        <w:t>技术性能指标</w:t>
      </w:r>
      <w:bookmarkEnd w:id="225"/>
      <w:bookmarkEnd w:id="226"/>
      <w:bookmarkEnd w:id="227"/>
      <w:bookmarkEnd w:id="228"/>
    </w:p>
    <w:p>
      <w:pPr>
        <w:spacing w:line="360" w:lineRule="auto"/>
        <w:ind w:firstLine="480" w:firstLineChars="200"/>
        <w:rPr>
          <w:rFonts w:hAnsi="宋体" w:cs="宋体"/>
          <w:highlight w:val="none"/>
        </w:rPr>
      </w:pPr>
      <w:r>
        <w:rPr>
          <w:rFonts w:hint="eastAsia" w:hAnsi="宋体" w:cs="宋体"/>
          <w:highlight w:val="none"/>
        </w:rPr>
        <w:t>1.3.1 招标范围：见招标公告。</w:t>
      </w:r>
    </w:p>
    <w:p>
      <w:pPr>
        <w:spacing w:line="360" w:lineRule="auto"/>
        <w:ind w:firstLine="480" w:firstLineChars="200"/>
        <w:rPr>
          <w:rFonts w:hAnsi="宋体" w:cs="宋体"/>
          <w:highlight w:val="none"/>
        </w:rPr>
      </w:pPr>
      <w:r>
        <w:rPr>
          <w:rFonts w:hint="eastAsia" w:hAnsi="宋体" w:cs="宋体"/>
          <w:highlight w:val="none"/>
        </w:rPr>
        <w:t>1.3.2交货及安装周期：见招标公告。</w:t>
      </w:r>
    </w:p>
    <w:p>
      <w:pPr>
        <w:spacing w:line="360" w:lineRule="auto"/>
        <w:ind w:firstLine="480" w:firstLineChars="200"/>
        <w:rPr>
          <w:rFonts w:hAnsi="宋体" w:cs="宋体"/>
          <w:highlight w:val="none"/>
        </w:rPr>
      </w:pPr>
      <w:r>
        <w:rPr>
          <w:rFonts w:hint="eastAsia" w:hAnsi="宋体" w:cs="宋体"/>
          <w:highlight w:val="none"/>
        </w:rPr>
        <w:t>1.3.3交货及安装地点：见招标公告。</w:t>
      </w:r>
    </w:p>
    <w:p>
      <w:pPr>
        <w:spacing w:line="360" w:lineRule="auto"/>
        <w:ind w:firstLine="480" w:firstLineChars="200"/>
        <w:rPr>
          <w:rFonts w:hAnsi="宋体" w:cs="宋体"/>
          <w:highlight w:val="none"/>
        </w:rPr>
      </w:pPr>
      <w:r>
        <w:rPr>
          <w:rFonts w:hint="eastAsia" w:hAnsi="宋体" w:cs="宋体"/>
          <w:highlight w:val="none"/>
        </w:rPr>
        <w:t>1.3.4技术性能指标：见投标人须知前附表。</w:t>
      </w:r>
    </w:p>
    <w:p>
      <w:pPr>
        <w:pStyle w:val="2"/>
        <w:spacing w:beforeLines="100" w:afterLines="100" w:line="240" w:lineRule="auto"/>
        <w:rPr>
          <w:rFonts w:cs="黑体"/>
          <w:snapToGrid w:val="0"/>
          <w:highlight w:val="none"/>
          <w:shd w:val="clear" w:color="auto" w:fill="FFFFFF"/>
          <w:lang w:val="zh-CN"/>
        </w:rPr>
      </w:pPr>
      <w:bookmarkStart w:id="229" w:name="_Toc144974502"/>
      <w:bookmarkStart w:id="230" w:name="_Toc152045534"/>
      <w:bookmarkStart w:id="231" w:name="_Toc152042310"/>
      <w:bookmarkStart w:id="232" w:name="_Toc179632551"/>
      <w:r>
        <w:rPr>
          <w:rFonts w:hint="eastAsia" w:cs="黑体"/>
          <w:snapToGrid w:val="0"/>
          <w:highlight w:val="none"/>
          <w:shd w:val="clear" w:color="auto" w:fill="FFFFFF"/>
          <w:lang w:val="zh-CN"/>
        </w:rPr>
        <w:t>1.4投标人资格要求</w:t>
      </w:r>
      <w:bookmarkEnd w:id="229"/>
      <w:bookmarkEnd w:id="230"/>
      <w:bookmarkEnd w:id="231"/>
      <w:bookmarkEnd w:id="232"/>
    </w:p>
    <w:p>
      <w:pPr>
        <w:spacing w:line="360" w:lineRule="auto"/>
        <w:ind w:firstLine="480" w:firstLineChars="200"/>
        <w:rPr>
          <w:rFonts w:hAnsi="宋体" w:cs="宋体"/>
          <w:highlight w:val="none"/>
        </w:rPr>
      </w:pPr>
      <w:r>
        <w:rPr>
          <w:rFonts w:hint="eastAsia" w:hAnsi="宋体" w:cs="宋体"/>
          <w:highlight w:val="none"/>
        </w:rPr>
        <w:t>1.4.1投标人应具备承担本标段的资质条件、能力和信誉：</w:t>
      </w:r>
    </w:p>
    <w:p>
      <w:pPr>
        <w:spacing w:line="360" w:lineRule="auto"/>
        <w:ind w:firstLine="480" w:firstLineChars="200"/>
        <w:rPr>
          <w:rFonts w:hAnsi="宋体" w:cs="宋体"/>
          <w:highlight w:val="none"/>
        </w:rPr>
      </w:pPr>
      <w:r>
        <w:rPr>
          <w:rFonts w:hint="eastAsia" w:hAnsi="宋体" w:cs="宋体"/>
          <w:highlight w:val="none"/>
        </w:rPr>
        <w:t xml:space="preserve">（1）资质条件：见投标人须知前附表； </w:t>
      </w:r>
    </w:p>
    <w:p>
      <w:pPr>
        <w:spacing w:line="360" w:lineRule="auto"/>
        <w:ind w:firstLine="480" w:firstLineChars="200"/>
        <w:rPr>
          <w:rFonts w:hAnsi="宋体" w:cs="宋体"/>
          <w:highlight w:val="none"/>
        </w:rPr>
      </w:pPr>
      <w:r>
        <w:rPr>
          <w:rFonts w:hint="eastAsia" w:hAnsi="宋体" w:cs="宋体"/>
          <w:highlight w:val="none"/>
        </w:rPr>
        <w:t>（2）财务要求：见投标人须知前附表；</w:t>
      </w:r>
    </w:p>
    <w:p>
      <w:pPr>
        <w:spacing w:line="360" w:lineRule="auto"/>
        <w:ind w:firstLine="480" w:firstLineChars="200"/>
        <w:rPr>
          <w:rFonts w:hAnsi="宋体" w:cs="宋体"/>
          <w:highlight w:val="none"/>
        </w:rPr>
      </w:pPr>
      <w:r>
        <w:rPr>
          <w:rFonts w:hint="eastAsia" w:hAnsi="宋体" w:cs="宋体"/>
          <w:highlight w:val="none"/>
        </w:rPr>
        <w:t>（3）业绩要求：见投标人须知前附表；</w:t>
      </w:r>
    </w:p>
    <w:p>
      <w:pPr>
        <w:spacing w:line="360" w:lineRule="auto"/>
        <w:ind w:firstLine="480" w:firstLineChars="200"/>
        <w:rPr>
          <w:rFonts w:hAnsi="宋体" w:cs="宋体"/>
          <w:highlight w:val="none"/>
        </w:rPr>
      </w:pPr>
      <w:r>
        <w:rPr>
          <w:rFonts w:hint="eastAsia" w:hAnsi="宋体" w:cs="宋体"/>
          <w:highlight w:val="none"/>
        </w:rPr>
        <w:t>（4）信誉要求：见投标人须知前附表；</w:t>
      </w:r>
    </w:p>
    <w:p>
      <w:pPr>
        <w:spacing w:line="360" w:lineRule="auto"/>
        <w:ind w:firstLine="480" w:firstLineChars="200"/>
        <w:rPr>
          <w:rFonts w:hAnsi="宋体" w:cs="宋体"/>
          <w:highlight w:val="none"/>
        </w:rPr>
      </w:pPr>
      <w:r>
        <w:rPr>
          <w:rFonts w:hint="eastAsia" w:hAnsi="宋体" w:cs="宋体"/>
          <w:highlight w:val="none"/>
        </w:rPr>
        <w:t>（5）项目负责人资格：见投标人须知前附表；</w:t>
      </w:r>
    </w:p>
    <w:p>
      <w:pPr>
        <w:spacing w:line="360" w:lineRule="auto"/>
        <w:ind w:firstLine="480" w:firstLineChars="200"/>
        <w:rPr>
          <w:highlight w:val="none"/>
        </w:rPr>
      </w:pPr>
      <w:r>
        <w:rPr>
          <w:rFonts w:hint="eastAsia" w:hAnsi="宋体" w:cs="宋体"/>
          <w:highlight w:val="none"/>
        </w:rPr>
        <w:t>（6）其他要求：见投标人须知前附表。</w:t>
      </w:r>
    </w:p>
    <w:p>
      <w:pPr>
        <w:spacing w:line="360" w:lineRule="auto"/>
        <w:ind w:firstLine="480" w:firstLineChars="200"/>
        <w:rPr>
          <w:rFonts w:hAnsi="宋体" w:cs="宋体"/>
          <w:highlight w:val="none"/>
        </w:rPr>
      </w:pPr>
      <w:r>
        <w:rPr>
          <w:rFonts w:hint="eastAsia" w:hAnsi="宋体" w:cs="宋体"/>
          <w:highlight w:val="none"/>
        </w:rPr>
        <w:t>投标人为代理经销商的，对投标人的资质要求可包含对制造商的资质要求，对投标人的业绩要求可包含对投标货物的业绩要求。</w:t>
      </w:r>
    </w:p>
    <w:p>
      <w:pPr>
        <w:spacing w:line="360" w:lineRule="auto"/>
        <w:ind w:firstLine="480" w:firstLineChars="200"/>
        <w:rPr>
          <w:rFonts w:hAnsi="宋体" w:cs="宋体"/>
          <w:highlight w:val="none"/>
        </w:rPr>
      </w:pPr>
      <w:r>
        <w:rPr>
          <w:rFonts w:hint="eastAsia" w:hAnsi="宋体" w:cs="宋体"/>
          <w:highlight w:val="none"/>
        </w:rPr>
        <w:t>需要提交的相关证明材料见本章第3.5款的规定。</w:t>
      </w:r>
    </w:p>
    <w:p>
      <w:pPr>
        <w:spacing w:line="360" w:lineRule="auto"/>
        <w:ind w:firstLine="480" w:firstLineChars="200"/>
        <w:rPr>
          <w:rFonts w:hAnsi="宋体" w:cs="宋体"/>
          <w:highlight w:val="none"/>
        </w:rPr>
      </w:pPr>
      <w:r>
        <w:rPr>
          <w:rFonts w:hint="eastAsia" w:hAnsi="宋体" w:cs="宋体"/>
          <w:highlight w:val="none"/>
        </w:rPr>
        <w:t>1.4.2 投标人须知前附表规定接受联合体投标的，联合体除应符合本章第1.4.1项和投标人须知前附表的要求外，还应遵守以下规定：</w:t>
      </w:r>
    </w:p>
    <w:p>
      <w:pPr>
        <w:spacing w:line="360" w:lineRule="auto"/>
        <w:ind w:firstLine="480" w:firstLineChars="200"/>
        <w:rPr>
          <w:rFonts w:hAnsi="宋体" w:cs="宋体"/>
          <w:highlight w:val="none"/>
        </w:rPr>
      </w:pPr>
      <w:r>
        <w:rPr>
          <w:rFonts w:hint="eastAsia" w:hAnsi="宋体" w:cs="宋体"/>
          <w:highlight w:val="none"/>
        </w:rPr>
        <w:t xml:space="preserve">（1）联合体各方应按照招标文件提供的格式签订联合体协议书，明确联合体牵头人和各方权利义务，并承诺就中标项目向招标人承担连带责任； </w:t>
      </w:r>
    </w:p>
    <w:p>
      <w:pPr>
        <w:spacing w:line="360" w:lineRule="auto"/>
        <w:ind w:firstLine="480" w:firstLineChars="200"/>
        <w:rPr>
          <w:rFonts w:hAnsi="宋体" w:cs="宋体"/>
          <w:highlight w:val="none"/>
        </w:rPr>
      </w:pPr>
      <w:r>
        <w:rPr>
          <w:rFonts w:hint="eastAsia" w:hAnsi="宋体" w:cs="宋体"/>
          <w:highlight w:val="none"/>
        </w:rPr>
        <w:t>（2）联合体协议约定同一专业分工由两个以上成员共同承担的，按照承担该专业工作的资质等级最低的成员确定联合体该专业的资质；不同专业分工由不同成员分别承担的，按照各自的专业资质确定联合体的资质；</w:t>
      </w:r>
    </w:p>
    <w:p>
      <w:pPr>
        <w:spacing w:line="360" w:lineRule="auto"/>
        <w:ind w:firstLine="480" w:firstLineChars="200"/>
        <w:rPr>
          <w:rFonts w:hAnsi="宋体" w:cs="宋体"/>
          <w:highlight w:val="none"/>
        </w:rPr>
      </w:pPr>
      <w:r>
        <w:rPr>
          <w:rFonts w:hint="eastAsia" w:hAnsi="宋体" w:cs="宋体"/>
          <w:highlight w:val="none"/>
        </w:rPr>
        <w:t>（3）联合体各方不得再以自己名义单独或参加其他联合体在同一标段中投标。</w:t>
      </w:r>
    </w:p>
    <w:p>
      <w:pPr>
        <w:spacing w:line="360" w:lineRule="auto"/>
        <w:ind w:firstLine="480" w:firstLineChars="200"/>
        <w:rPr>
          <w:rFonts w:hAnsi="宋体" w:cs="宋体"/>
          <w:highlight w:val="none"/>
        </w:rPr>
      </w:pPr>
      <w:r>
        <w:rPr>
          <w:rFonts w:hint="eastAsia" w:hAnsi="宋体" w:cs="宋体"/>
          <w:highlight w:val="none"/>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360" w:lineRule="auto"/>
        <w:ind w:firstLine="480" w:firstLineChars="200"/>
        <w:rPr>
          <w:rFonts w:hAnsi="宋体" w:cs="宋体"/>
          <w:highlight w:val="none"/>
        </w:rPr>
      </w:pPr>
      <w:r>
        <w:rPr>
          <w:rFonts w:hint="eastAsia" w:hAnsi="宋体" w:cs="宋体"/>
          <w:highlight w:val="none"/>
        </w:rPr>
        <w:t>（5）尽管委任了联合体牵头人，但联合体各成员在投标、签约与履行合同过程中，仍负有连带的和各自的法律责任。</w:t>
      </w:r>
    </w:p>
    <w:p>
      <w:pPr>
        <w:spacing w:line="360" w:lineRule="auto"/>
        <w:ind w:firstLine="480" w:firstLineChars="200"/>
        <w:rPr>
          <w:rFonts w:hAnsi="宋体" w:cs="宋体"/>
          <w:highlight w:val="none"/>
        </w:rPr>
      </w:pPr>
      <w:r>
        <w:rPr>
          <w:rFonts w:hint="eastAsia" w:hAnsi="宋体" w:cs="宋体"/>
          <w:highlight w:val="none"/>
        </w:rPr>
        <w:t>1.4.3</w:t>
      </w:r>
      <w:r>
        <w:rPr>
          <w:rFonts w:hint="eastAsia" w:ascii="Times New Roman"/>
          <w:highlight w:val="none"/>
        </w:rPr>
        <w:t>投标人（包括联合体各成员）不得存在下列情形：</w:t>
      </w:r>
    </w:p>
    <w:p>
      <w:pPr>
        <w:spacing w:line="360" w:lineRule="auto"/>
        <w:ind w:firstLine="480" w:firstLineChars="200"/>
        <w:rPr>
          <w:rFonts w:hAnsi="宋体" w:cs="宋体"/>
          <w:highlight w:val="none"/>
        </w:rPr>
      </w:pPr>
      <w:r>
        <w:rPr>
          <w:rFonts w:hint="eastAsia" w:hAnsi="宋体" w:cs="宋体"/>
          <w:highlight w:val="none"/>
          <w:lang w:val="zh-CN"/>
        </w:rPr>
        <w:t>（1）为招标人不具有独立法人资格的附属机构（单位</w:t>
      </w:r>
      <w:r>
        <w:rPr>
          <w:rFonts w:hint="eastAsia" w:hAnsi="宋体" w:cs="宋体"/>
          <w:highlight w:val="none"/>
        </w:rPr>
        <w:t xml:space="preserve">）； </w:t>
      </w:r>
    </w:p>
    <w:p>
      <w:pPr>
        <w:spacing w:line="360" w:lineRule="auto"/>
        <w:ind w:firstLine="480" w:firstLineChars="200"/>
        <w:rPr>
          <w:rFonts w:hAnsi="宋体" w:cs="宋体"/>
          <w:highlight w:val="none"/>
        </w:rPr>
      </w:pPr>
      <w:r>
        <w:rPr>
          <w:rFonts w:hint="eastAsia" w:hAnsi="宋体" w:cs="宋体"/>
          <w:highlight w:val="none"/>
          <w:lang w:val="zh-CN"/>
        </w:rPr>
        <w:t>（2）与招标人存在利害关系且可能影响招标公正性；</w:t>
      </w:r>
    </w:p>
    <w:p>
      <w:pPr>
        <w:spacing w:line="360" w:lineRule="auto"/>
        <w:ind w:firstLine="480" w:firstLineChars="200"/>
        <w:rPr>
          <w:rFonts w:hAnsi="宋体" w:cs="宋体"/>
          <w:highlight w:val="none"/>
        </w:rPr>
      </w:pPr>
      <w:r>
        <w:rPr>
          <w:rFonts w:hint="eastAsia" w:hAnsi="宋体" w:cs="宋体"/>
          <w:highlight w:val="none"/>
          <w:lang w:val="zh-CN"/>
        </w:rPr>
        <w:t>（3）</w:t>
      </w:r>
      <w:r>
        <w:rPr>
          <w:rFonts w:hint="eastAsia" w:ascii="Times New Roman"/>
          <w:highlight w:val="none"/>
        </w:rPr>
        <w:t>与本标段其他投标人的单位负责人为同一人</w:t>
      </w:r>
      <w:r>
        <w:rPr>
          <w:rFonts w:hint="eastAsia" w:hAnsi="宋体" w:cs="宋体"/>
          <w:highlight w:val="none"/>
          <w:lang w:val="zh-CN"/>
        </w:rPr>
        <w:t>；</w:t>
      </w:r>
    </w:p>
    <w:p>
      <w:pPr>
        <w:spacing w:line="360" w:lineRule="auto"/>
        <w:ind w:firstLine="480" w:firstLineChars="200"/>
        <w:rPr>
          <w:rFonts w:hAnsi="宋体" w:cs="宋体"/>
          <w:highlight w:val="none"/>
          <w:lang w:val="zh-CN"/>
        </w:rPr>
      </w:pPr>
      <w:r>
        <w:rPr>
          <w:rFonts w:hint="eastAsia" w:hAnsi="宋体" w:cs="宋体"/>
          <w:highlight w:val="none"/>
          <w:lang w:val="zh-CN"/>
        </w:rPr>
        <w:t>（4）与本标段的其他投标人存在控股、管理关系；</w:t>
      </w:r>
    </w:p>
    <w:p>
      <w:pPr>
        <w:spacing w:line="360" w:lineRule="auto"/>
        <w:ind w:firstLine="480" w:firstLineChars="200"/>
        <w:rPr>
          <w:rFonts w:hAnsi="宋体" w:cs="宋体"/>
          <w:highlight w:val="none"/>
        </w:rPr>
      </w:pPr>
      <w:r>
        <w:rPr>
          <w:rFonts w:hint="eastAsia" w:hAnsi="宋体" w:cs="宋体"/>
          <w:highlight w:val="none"/>
        </w:rPr>
        <w:t xml:space="preserve">（5）为本标段前期准备提供过设计、编制技术规范和其他文件的咨询服务； </w:t>
      </w:r>
    </w:p>
    <w:p>
      <w:pPr>
        <w:spacing w:line="360" w:lineRule="auto"/>
        <w:ind w:firstLine="480" w:firstLineChars="200"/>
        <w:rPr>
          <w:rFonts w:hAnsi="宋体" w:cs="宋体"/>
          <w:highlight w:val="none"/>
          <w:lang w:val="zh-CN"/>
        </w:rPr>
      </w:pPr>
      <w:r>
        <w:rPr>
          <w:rFonts w:hint="eastAsia" w:hAnsi="宋体" w:cs="宋体"/>
          <w:highlight w:val="none"/>
        </w:rPr>
        <w:t xml:space="preserve">（6）为本工程项目的监理人，或者与本工程项目的监理人存在隶属关系或者其他利害关系； </w:t>
      </w:r>
    </w:p>
    <w:p>
      <w:pPr>
        <w:spacing w:line="360" w:lineRule="auto"/>
        <w:ind w:firstLine="480" w:firstLineChars="200"/>
        <w:rPr>
          <w:rFonts w:hAnsi="宋体" w:cs="宋体"/>
          <w:highlight w:val="none"/>
        </w:rPr>
      </w:pPr>
      <w:r>
        <w:rPr>
          <w:rFonts w:hint="eastAsia" w:hAnsi="宋体" w:cs="宋体"/>
          <w:highlight w:val="none"/>
          <w:lang w:val="zh-CN"/>
        </w:rPr>
        <w:t>（7）为本标段的代建人；</w:t>
      </w:r>
    </w:p>
    <w:p>
      <w:pPr>
        <w:spacing w:line="360" w:lineRule="auto"/>
        <w:ind w:firstLine="480" w:firstLineChars="200"/>
        <w:rPr>
          <w:rFonts w:hAnsi="宋体" w:cs="宋体"/>
          <w:highlight w:val="none"/>
        </w:rPr>
      </w:pPr>
      <w:r>
        <w:rPr>
          <w:rFonts w:hint="eastAsia" w:hAnsi="宋体" w:cs="宋体"/>
          <w:highlight w:val="none"/>
          <w:lang w:val="zh-CN"/>
        </w:rPr>
        <w:t>（8）为本标段的招标代理机构；</w:t>
      </w:r>
    </w:p>
    <w:p>
      <w:pPr>
        <w:spacing w:line="360" w:lineRule="auto"/>
        <w:ind w:firstLine="480" w:firstLineChars="200"/>
        <w:rPr>
          <w:rFonts w:hAnsi="宋体" w:cs="宋体"/>
          <w:highlight w:val="none"/>
        </w:rPr>
      </w:pPr>
      <w:r>
        <w:rPr>
          <w:rFonts w:hint="eastAsia" w:hAnsi="宋体" w:cs="宋体"/>
          <w:highlight w:val="none"/>
          <w:lang w:val="zh-CN"/>
        </w:rPr>
        <w:t>（9）与本标段的监理人或代建人或招标代理机构同为一个法定代表人；</w:t>
      </w:r>
    </w:p>
    <w:p>
      <w:pPr>
        <w:spacing w:line="360" w:lineRule="auto"/>
        <w:ind w:firstLine="480" w:firstLineChars="200"/>
        <w:rPr>
          <w:rFonts w:hAnsi="宋体" w:cs="宋体"/>
          <w:highlight w:val="none"/>
          <w:lang w:val="zh-CN"/>
        </w:rPr>
      </w:pPr>
      <w:r>
        <w:rPr>
          <w:rFonts w:hint="eastAsia" w:hAnsi="宋体" w:cs="宋体"/>
          <w:highlight w:val="none"/>
          <w:lang w:val="zh-CN"/>
        </w:rPr>
        <w:t>（10）与本标段的监理人或代建人或招标代理机构存在控股或参股关系；</w:t>
      </w:r>
    </w:p>
    <w:p>
      <w:pPr>
        <w:spacing w:line="360" w:lineRule="auto"/>
        <w:ind w:firstLine="480" w:firstLineChars="200"/>
        <w:rPr>
          <w:rFonts w:hAnsi="宋体" w:cs="宋体"/>
          <w:highlight w:val="none"/>
        </w:rPr>
      </w:pPr>
      <w:bookmarkStart w:id="233" w:name="_Toc152045535"/>
      <w:bookmarkStart w:id="234" w:name="_Toc152042311"/>
      <w:bookmarkStart w:id="235" w:name="_Toc144974503"/>
      <w:bookmarkStart w:id="236" w:name="_Toc179632552"/>
      <w:r>
        <w:rPr>
          <w:rFonts w:hint="eastAsia" w:hAnsi="宋体" w:cs="宋体"/>
          <w:highlight w:val="none"/>
          <w:lang w:val="zh-CN"/>
        </w:rPr>
        <w:t>（1</w:t>
      </w:r>
      <w:r>
        <w:rPr>
          <w:rFonts w:hint="eastAsia" w:hAnsi="宋体" w:cs="宋体"/>
          <w:highlight w:val="none"/>
        </w:rPr>
        <w:t>1</w:t>
      </w:r>
      <w:r>
        <w:rPr>
          <w:rFonts w:hint="eastAsia" w:hAnsi="宋体" w:cs="宋体"/>
          <w:highlight w:val="none"/>
          <w:lang w:val="zh-CN"/>
        </w:rPr>
        <w:t>）</w:t>
      </w:r>
      <w:r>
        <w:rPr>
          <w:rFonts w:hint="eastAsia" w:ascii="Times New Roman"/>
          <w:highlight w:val="none"/>
        </w:rPr>
        <w:t>被依法暂停或者取消投标资格，且在处罚期和处罚范围内（以有关行政管理部门的行政处罚决定或司法机关出具的有关法律文书为准）</w:t>
      </w:r>
      <w:r>
        <w:rPr>
          <w:rFonts w:hint="eastAsia" w:hAnsi="宋体" w:cs="宋体"/>
          <w:highlight w:val="none"/>
        </w:rPr>
        <w:t xml:space="preserve">； </w:t>
      </w:r>
    </w:p>
    <w:p>
      <w:pPr>
        <w:spacing w:line="360" w:lineRule="auto"/>
        <w:ind w:firstLine="480" w:firstLineChars="200"/>
        <w:rPr>
          <w:rFonts w:hAnsi="宋体" w:cs="宋体"/>
          <w:highlight w:val="none"/>
        </w:rPr>
      </w:pPr>
      <w:r>
        <w:rPr>
          <w:rFonts w:hint="eastAsia" w:hAnsi="宋体" w:cs="宋体"/>
          <w:highlight w:val="none"/>
        </w:rPr>
        <w:t>（12）在最近三年内（自投标截止之日向前追溯3年）有骗取中标或串通投标或严重违约或发生重大产品质量问题的（以相关行业主管部门的行政处罚决定或司法机关出具的有关法律文书为准），前述行政处罚已完成信用修复的，但自行政处罚作出机关或信用修复主管部门同意修复之日起满一年的，不受三年期限限制；</w:t>
      </w:r>
    </w:p>
    <w:p>
      <w:pPr>
        <w:spacing w:line="360" w:lineRule="auto"/>
        <w:ind w:firstLine="480" w:firstLineChars="200"/>
        <w:rPr>
          <w:rFonts w:hAnsi="宋体" w:cs="宋体"/>
          <w:highlight w:val="none"/>
        </w:rPr>
      </w:pPr>
      <w:r>
        <w:rPr>
          <w:rFonts w:hint="eastAsia" w:hAnsi="宋体" w:cs="宋体"/>
          <w:highlight w:val="none"/>
        </w:rPr>
        <w:t xml:space="preserve">（13）被责令停产停业，暂扣或吊销执照，或吊销资质证书； </w:t>
      </w:r>
    </w:p>
    <w:p>
      <w:pPr>
        <w:spacing w:line="360" w:lineRule="auto"/>
        <w:ind w:firstLine="480" w:firstLineChars="200"/>
        <w:rPr>
          <w:rFonts w:hAnsi="宋体" w:cs="宋体"/>
          <w:highlight w:val="none"/>
        </w:rPr>
      </w:pPr>
      <w:r>
        <w:rPr>
          <w:rFonts w:hint="eastAsia" w:hAnsi="宋体" w:cs="宋体"/>
          <w:highlight w:val="none"/>
        </w:rPr>
        <w:t>（14）进入清算程序，或被宣告破产，或其他丧失履约能力的情形；</w:t>
      </w:r>
    </w:p>
    <w:p>
      <w:pPr>
        <w:spacing w:line="360" w:lineRule="auto"/>
        <w:ind w:firstLine="480" w:firstLineChars="200"/>
        <w:rPr>
          <w:rFonts w:hAnsi="宋体" w:cs="宋体"/>
          <w:highlight w:val="none"/>
          <w:lang w:val="zh-CN"/>
        </w:rPr>
      </w:pPr>
      <w:r>
        <w:rPr>
          <w:rFonts w:hint="eastAsia" w:hAnsi="宋体" w:cs="宋体"/>
          <w:highlight w:val="none"/>
        </w:rPr>
        <w:t>（15）</w:t>
      </w:r>
      <w:r>
        <w:rPr>
          <w:rFonts w:hint="eastAsia" w:ascii="Times New Roman"/>
          <w:highlight w:val="none"/>
        </w:rPr>
        <w:t>投标人或其法定代表人、项目负责人在近三年内（自投标截止之日向前追溯3年）有行贿犯罪行为</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（16）法律法规规定的其他禁止投标的情形；</w:t>
      </w:r>
    </w:p>
    <w:p>
      <w:pPr>
        <w:spacing w:line="360" w:lineRule="auto"/>
        <w:ind w:firstLine="480" w:firstLineChars="200"/>
        <w:rPr>
          <w:rFonts w:hAnsi="宋体" w:cs="宋体"/>
          <w:highlight w:val="none"/>
        </w:rPr>
      </w:pPr>
      <w:r>
        <w:rPr>
          <w:rFonts w:hint="eastAsia" w:hAnsi="宋体" w:cs="宋体"/>
          <w:highlight w:val="none"/>
        </w:rPr>
        <w:t>（17）投标人须知前附表规定的其他情形。</w:t>
      </w:r>
    </w:p>
    <w:p>
      <w:pPr>
        <w:spacing w:line="360" w:lineRule="auto"/>
        <w:ind w:firstLine="480" w:firstLineChars="200"/>
        <w:rPr>
          <w:rFonts w:hAnsi="宋体" w:cs="宋体"/>
          <w:highlight w:val="none"/>
        </w:rPr>
      </w:pPr>
      <w:r>
        <w:rPr>
          <w:rFonts w:hint="eastAsia" w:hAnsi="宋体" w:cs="宋体"/>
          <w:highlight w:val="none"/>
        </w:rPr>
        <w:t xml:space="preserve">1.4.4 投标人（包括联合体各成员）不得存在下列不良状况或不良信用记录：  </w:t>
      </w:r>
    </w:p>
    <w:p>
      <w:pPr>
        <w:spacing w:line="360" w:lineRule="auto"/>
        <w:ind w:firstLine="480" w:firstLineChars="200"/>
        <w:rPr>
          <w:rFonts w:ascii="Times New Roman"/>
          <w:highlight w:val="none"/>
        </w:rPr>
      </w:pPr>
      <w:r>
        <w:rPr>
          <w:rFonts w:hint="eastAsia" w:ascii="Times New Roman"/>
          <w:highlight w:val="none"/>
        </w:rPr>
        <w:t>（1）在国家企业信用信息公示系统（http://www.gsxt.gov.cn/）中被列入严重违法失信企业名单；</w:t>
      </w:r>
    </w:p>
    <w:p>
      <w:pPr>
        <w:spacing w:line="360" w:lineRule="auto"/>
        <w:ind w:firstLine="480" w:firstLineChars="200"/>
        <w:rPr>
          <w:rFonts w:ascii="Times New Roman"/>
          <w:highlight w:val="none"/>
        </w:rPr>
      </w:pPr>
      <w:r>
        <w:rPr>
          <w:rFonts w:hint="eastAsia" w:ascii="Times New Roman"/>
          <w:highlight w:val="none"/>
        </w:rPr>
        <w:t>（2）在“信用中国”网站（http://www.creditchina.gov.cn/）中被列入失信被执行人名单；</w:t>
      </w:r>
    </w:p>
    <w:p>
      <w:pPr>
        <w:spacing w:line="360" w:lineRule="auto"/>
        <w:ind w:firstLine="480" w:firstLineChars="200"/>
        <w:rPr>
          <w:rFonts w:ascii="Times New Roman"/>
          <w:highlight w:val="none"/>
        </w:rPr>
      </w:pPr>
      <w:r>
        <w:rPr>
          <w:rFonts w:hint="eastAsia" w:ascii="Times New Roman"/>
          <w:highlight w:val="none"/>
        </w:rPr>
        <w:t>（3）在“信用中国”网站（http://www.creditchina.gov.cn/）中被列入重大税收违法失信主体名单；</w:t>
      </w:r>
    </w:p>
    <w:p>
      <w:pPr>
        <w:spacing w:line="360" w:lineRule="auto"/>
        <w:ind w:firstLine="480" w:firstLineChars="200"/>
        <w:rPr>
          <w:rFonts w:hAnsi="宋体" w:cs="宋体"/>
          <w:highlight w:val="none"/>
        </w:rPr>
      </w:pPr>
      <w:r>
        <w:rPr>
          <w:rFonts w:hint="eastAsia" w:ascii="Times New Roman"/>
          <w:highlight w:val="none"/>
        </w:rPr>
        <w:t>（4）投标人须知前附表规定的其他情形</w:t>
      </w:r>
      <w:r>
        <w:rPr>
          <w:rFonts w:hint="eastAsia" w:hAnsi="宋体" w:cs="宋体"/>
          <w:highlight w:val="none"/>
        </w:rPr>
        <w:t>。</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1.5费用承担</w:t>
      </w:r>
      <w:bookmarkEnd w:id="233"/>
      <w:bookmarkEnd w:id="234"/>
      <w:bookmarkEnd w:id="235"/>
      <w:bookmarkEnd w:id="236"/>
    </w:p>
    <w:p>
      <w:pPr>
        <w:spacing w:line="360" w:lineRule="auto"/>
        <w:ind w:firstLine="480" w:firstLineChars="200"/>
        <w:rPr>
          <w:rFonts w:hAnsi="宋体" w:cs="宋体"/>
          <w:highlight w:val="none"/>
        </w:rPr>
      </w:pPr>
      <w:r>
        <w:rPr>
          <w:rFonts w:hint="eastAsia" w:hAnsi="宋体" w:cs="宋体"/>
          <w:highlight w:val="none"/>
        </w:rPr>
        <w:t>投标人准备和参加投标活动发生的费用自理。</w:t>
      </w:r>
    </w:p>
    <w:p>
      <w:pPr>
        <w:pStyle w:val="2"/>
        <w:spacing w:beforeLines="100" w:afterLines="100" w:line="240" w:lineRule="auto"/>
        <w:rPr>
          <w:rFonts w:cs="黑体"/>
          <w:snapToGrid w:val="0"/>
          <w:highlight w:val="none"/>
          <w:shd w:val="clear" w:color="auto" w:fill="FFFFFF"/>
          <w:lang w:val="zh-CN"/>
        </w:rPr>
      </w:pPr>
      <w:bookmarkStart w:id="237" w:name="_Toc144974504"/>
      <w:bookmarkStart w:id="238" w:name="_Toc152045536"/>
      <w:bookmarkStart w:id="239" w:name="_Toc179632553"/>
      <w:bookmarkStart w:id="240" w:name="_Toc152042312"/>
      <w:r>
        <w:rPr>
          <w:rFonts w:hint="eastAsia" w:cs="黑体"/>
          <w:snapToGrid w:val="0"/>
          <w:highlight w:val="none"/>
          <w:shd w:val="clear" w:color="auto" w:fill="FFFFFF"/>
          <w:lang w:val="zh-CN"/>
        </w:rPr>
        <w:t>1.6保密</w:t>
      </w:r>
      <w:bookmarkEnd w:id="237"/>
      <w:bookmarkEnd w:id="238"/>
      <w:bookmarkEnd w:id="239"/>
      <w:bookmarkEnd w:id="240"/>
    </w:p>
    <w:p>
      <w:pPr>
        <w:spacing w:line="360" w:lineRule="auto"/>
        <w:ind w:firstLine="480" w:firstLineChars="200"/>
        <w:rPr>
          <w:rFonts w:hAnsi="宋体" w:cs="宋体"/>
          <w:highlight w:val="none"/>
        </w:rPr>
      </w:pPr>
      <w:bookmarkStart w:id="241" w:name="_Toc144974505"/>
      <w:bookmarkStart w:id="242" w:name="_Toc179632554"/>
      <w:bookmarkStart w:id="243" w:name="_Toc152045537"/>
      <w:bookmarkStart w:id="244" w:name="_Toc152042313"/>
      <w:r>
        <w:rPr>
          <w:rFonts w:hint="eastAsia" w:hAnsi="宋体" w:cs="宋体"/>
          <w:highlight w:val="none"/>
        </w:rPr>
        <w:t>参与招标投标活动的各方应对招标文件和投标文件中的商业和技术等秘密保密，否则应承担相应的法律责任。</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1.7语言</w:t>
      </w:r>
      <w:bookmarkEnd w:id="241"/>
      <w:r>
        <w:rPr>
          <w:rFonts w:hint="eastAsia" w:cs="黑体"/>
          <w:snapToGrid w:val="0"/>
          <w:highlight w:val="none"/>
          <w:shd w:val="clear" w:color="auto" w:fill="FFFFFF"/>
          <w:lang w:val="zh-CN"/>
        </w:rPr>
        <w:t>文字</w:t>
      </w:r>
      <w:bookmarkEnd w:id="242"/>
      <w:bookmarkEnd w:id="243"/>
      <w:bookmarkEnd w:id="244"/>
    </w:p>
    <w:p>
      <w:pPr>
        <w:spacing w:line="360" w:lineRule="auto"/>
        <w:ind w:firstLine="480" w:firstLineChars="200"/>
        <w:rPr>
          <w:rFonts w:hAnsi="宋体" w:cs="宋体"/>
          <w:highlight w:val="none"/>
        </w:rPr>
      </w:pPr>
      <w:bookmarkStart w:id="245" w:name="_Toc152042314"/>
      <w:bookmarkStart w:id="246" w:name="_Toc179632555"/>
      <w:bookmarkStart w:id="247" w:name="_Toc144974506"/>
      <w:bookmarkStart w:id="248" w:name="_Toc152045538"/>
      <w:r>
        <w:rPr>
          <w:rFonts w:hint="eastAsia" w:hAnsi="宋体" w:cs="宋体"/>
          <w:highlight w:val="none"/>
        </w:rPr>
        <w:t>招标投标文件使用的语言文字为中文。专用术语使用外文的，应附有中文注释。</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1.8计量单位</w:t>
      </w:r>
      <w:bookmarkEnd w:id="245"/>
      <w:bookmarkEnd w:id="246"/>
      <w:bookmarkEnd w:id="247"/>
      <w:bookmarkEnd w:id="248"/>
    </w:p>
    <w:p>
      <w:pPr>
        <w:spacing w:line="360" w:lineRule="auto"/>
        <w:ind w:firstLine="480" w:firstLineChars="200"/>
        <w:rPr>
          <w:rFonts w:hAnsi="宋体" w:cs="宋体"/>
          <w:highlight w:val="none"/>
        </w:rPr>
      </w:pPr>
      <w:r>
        <w:rPr>
          <w:rFonts w:hint="eastAsia" w:hAnsi="宋体" w:cs="宋体"/>
          <w:highlight w:val="none"/>
        </w:rPr>
        <w:t>所有计量均采用中华人民共和国法定计量单位。</w:t>
      </w:r>
    </w:p>
    <w:p>
      <w:pPr>
        <w:pStyle w:val="2"/>
        <w:spacing w:beforeLines="100" w:afterLines="100" w:line="240" w:lineRule="auto"/>
        <w:rPr>
          <w:rFonts w:cs="黑体"/>
          <w:snapToGrid w:val="0"/>
          <w:highlight w:val="none"/>
          <w:shd w:val="clear" w:color="auto" w:fill="FFFFFF"/>
          <w:lang w:val="zh-CN"/>
        </w:rPr>
      </w:pPr>
      <w:bookmarkStart w:id="249" w:name="_Toc144974507"/>
      <w:bookmarkStart w:id="250" w:name="_Toc179632556"/>
      <w:bookmarkStart w:id="251" w:name="_Toc152045539"/>
      <w:bookmarkStart w:id="252" w:name="_Toc152042315"/>
      <w:r>
        <w:rPr>
          <w:rFonts w:hint="eastAsia" w:cs="黑体"/>
          <w:snapToGrid w:val="0"/>
          <w:highlight w:val="none"/>
          <w:shd w:val="clear" w:color="auto" w:fill="FFFFFF"/>
          <w:lang w:val="zh-CN"/>
        </w:rPr>
        <w:t>1.9踏勘现场</w:t>
      </w:r>
      <w:bookmarkEnd w:id="249"/>
      <w:bookmarkEnd w:id="250"/>
      <w:bookmarkEnd w:id="251"/>
      <w:bookmarkEnd w:id="252"/>
    </w:p>
    <w:p>
      <w:pPr>
        <w:spacing w:line="360" w:lineRule="auto"/>
        <w:ind w:firstLine="480" w:firstLineChars="200"/>
        <w:rPr>
          <w:rFonts w:hAnsi="宋体" w:cs="宋体"/>
          <w:highlight w:val="none"/>
        </w:rPr>
      </w:pPr>
      <w:r>
        <w:rPr>
          <w:rFonts w:hint="eastAsia" w:hAnsi="宋体" w:cs="宋体"/>
          <w:highlight w:val="none"/>
        </w:rPr>
        <w:t>1.9.1 投标人须知前附表规定组织踏勘现场的，招标人</w:t>
      </w:r>
      <w:r>
        <w:rPr>
          <w:rFonts w:hint="eastAsia" w:hAnsi="宋体" w:cs="宋体"/>
          <w:bCs/>
          <w:snapToGrid w:val="0"/>
          <w:highlight w:val="none"/>
        </w:rPr>
        <w:t>按</w:t>
      </w:r>
      <w:r>
        <w:rPr>
          <w:rFonts w:hint="eastAsia" w:hAnsi="宋体" w:cs="宋体"/>
          <w:highlight w:val="none"/>
        </w:rPr>
        <w:t>投标人须知前附表规定的时间、地点组织投标人踏勘项目现场。部分投标人未按时参加踏勘现场的，不影响踏勘现场的正常进行。招标人不得组织单个或部分投标人踏勘项目现场。</w:t>
      </w:r>
    </w:p>
    <w:p>
      <w:pPr>
        <w:spacing w:line="360" w:lineRule="auto"/>
        <w:ind w:firstLine="480" w:firstLineChars="200"/>
        <w:rPr>
          <w:rFonts w:hAnsi="宋体" w:cs="宋体"/>
          <w:highlight w:val="none"/>
        </w:rPr>
      </w:pPr>
      <w:r>
        <w:rPr>
          <w:rFonts w:hint="eastAsia" w:hAnsi="宋体" w:cs="宋体"/>
          <w:highlight w:val="none"/>
        </w:rPr>
        <w:t>1.9.2 投标人踏勘现场发生的费用自理。</w:t>
      </w:r>
    </w:p>
    <w:p>
      <w:pPr>
        <w:spacing w:line="360" w:lineRule="auto"/>
        <w:ind w:firstLine="480" w:firstLineChars="200"/>
        <w:rPr>
          <w:rFonts w:hAnsi="宋体" w:cs="宋体"/>
          <w:highlight w:val="none"/>
        </w:rPr>
      </w:pPr>
      <w:r>
        <w:rPr>
          <w:rFonts w:hint="eastAsia" w:hAnsi="宋体" w:cs="宋体"/>
          <w:highlight w:val="none"/>
        </w:rPr>
        <w:t>1.9.3 除招标人的原因外，投标人自行负责在踏勘现场中所发生的人员伤亡和财产损失。</w:t>
      </w:r>
    </w:p>
    <w:p>
      <w:pPr>
        <w:spacing w:line="360" w:lineRule="auto"/>
        <w:ind w:firstLine="480" w:firstLineChars="200"/>
        <w:rPr>
          <w:rFonts w:hAnsi="宋体" w:cs="宋体"/>
          <w:highlight w:val="none"/>
        </w:rPr>
      </w:pPr>
      <w:r>
        <w:rPr>
          <w:rFonts w:hint="eastAsia" w:hAnsi="宋体" w:cs="宋体"/>
          <w:highlight w:val="none"/>
        </w:rPr>
        <w:t>1.9.4 招标人在踏勘现场中介绍的项目场地和相关的周边环境情况，供投标人在编制投标文件时参考，招标人不对投标人据此作出的判断和决策负责。</w:t>
      </w:r>
    </w:p>
    <w:p>
      <w:pPr>
        <w:spacing w:line="360" w:lineRule="auto"/>
        <w:ind w:firstLine="480" w:firstLineChars="200"/>
        <w:rPr>
          <w:rFonts w:hAnsi="宋体" w:cs="宋体"/>
          <w:highlight w:val="none"/>
        </w:rPr>
      </w:pPr>
      <w:r>
        <w:rPr>
          <w:rFonts w:hint="eastAsia" w:hAnsi="宋体" w:cs="宋体"/>
          <w:highlight w:val="none"/>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2"/>
        <w:spacing w:beforeLines="100" w:afterLines="100" w:line="240" w:lineRule="auto"/>
        <w:rPr>
          <w:rFonts w:cs="黑体"/>
          <w:snapToGrid w:val="0"/>
          <w:highlight w:val="none"/>
          <w:shd w:val="clear" w:color="auto" w:fill="FFFFFF"/>
          <w:lang w:val="zh-CN"/>
        </w:rPr>
      </w:pPr>
      <w:bookmarkStart w:id="253" w:name="_Toc152045540"/>
      <w:bookmarkStart w:id="254" w:name="_Toc179632557"/>
      <w:bookmarkStart w:id="255" w:name="_Toc152042316"/>
      <w:bookmarkStart w:id="256" w:name="_Toc144974508"/>
      <w:r>
        <w:rPr>
          <w:rFonts w:hint="eastAsia" w:cs="黑体"/>
          <w:snapToGrid w:val="0"/>
          <w:highlight w:val="none"/>
          <w:shd w:val="clear" w:color="auto" w:fill="FFFFFF"/>
          <w:lang w:val="zh-CN"/>
        </w:rPr>
        <w:t>1.10 投标预备会</w:t>
      </w:r>
      <w:bookmarkEnd w:id="253"/>
      <w:bookmarkEnd w:id="254"/>
      <w:bookmarkEnd w:id="255"/>
      <w:bookmarkEnd w:id="256"/>
    </w:p>
    <w:p>
      <w:pPr>
        <w:spacing w:line="360" w:lineRule="auto"/>
        <w:ind w:firstLine="480" w:firstLineChars="200"/>
        <w:rPr>
          <w:rFonts w:hAnsi="宋体" w:cs="宋体"/>
          <w:highlight w:val="none"/>
        </w:rPr>
      </w:pPr>
      <w:r>
        <w:rPr>
          <w:rFonts w:hint="eastAsia" w:hAnsi="宋体" w:cs="宋体"/>
          <w:highlight w:val="none"/>
        </w:rPr>
        <w:t>1.10.1 投标人须知前附表规定召开投标预备会的，招标人按照投标人须知前附表规定的时间和形式召开投标预备会，澄清投标人提出的问题。</w:t>
      </w:r>
    </w:p>
    <w:p>
      <w:pPr>
        <w:spacing w:line="360" w:lineRule="auto"/>
        <w:ind w:firstLine="480" w:firstLineChars="200"/>
        <w:rPr>
          <w:rFonts w:hAnsi="宋体" w:cs="宋体"/>
          <w:highlight w:val="none"/>
        </w:rPr>
      </w:pPr>
      <w:r>
        <w:rPr>
          <w:rFonts w:hint="eastAsia" w:hAnsi="宋体" w:cs="宋体"/>
          <w:highlight w:val="none"/>
        </w:rPr>
        <w:t>1.10.2 投标人应按照投标人须知前附表规定的时间和形式将提出的问题送达招标人，以便招标人在会议期间澄清。</w:t>
      </w:r>
    </w:p>
    <w:p>
      <w:pPr>
        <w:spacing w:line="360" w:lineRule="auto"/>
        <w:ind w:firstLine="480" w:firstLineChars="200"/>
        <w:rPr>
          <w:rFonts w:hAnsi="宋体" w:cs="宋体"/>
          <w:highlight w:val="none"/>
        </w:rPr>
      </w:pPr>
      <w:r>
        <w:rPr>
          <w:rFonts w:hint="eastAsia" w:hAnsi="宋体" w:cs="宋体"/>
          <w:highlight w:val="none"/>
        </w:rPr>
        <w:t>1.10.3 投标预备会后，招标人将对投标人所提问题的澄清，按照本章第2.2款规定的时间和形式通知所有获取招标文件的投标人。该澄清内容为招标文件的组成部分。</w:t>
      </w:r>
    </w:p>
    <w:p>
      <w:pPr>
        <w:pStyle w:val="2"/>
        <w:spacing w:beforeLines="100" w:afterLines="100" w:line="240" w:lineRule="auto"/>
        <w:rPr>
          <w:rFonts w:cs="黑体"/>
          <w:snapToGrid w:val="0"/>
          <w:highlight w:val="none"/>
          <w:shd w:val="clear" w:color="auto" w:fill="FFFFFF"/>
          <w:lang w:val="zh-CN"/>
        </w:rPr>
      </w:pPr>
      <w:bookmarkStart w:id="257" w:name="_Toc152042317"/>
      <w:bookmarkStart w:id="258" w:name="_Toc179632558"/>
      <w:bookmarkStart w:id="259" w:name="_Toc152045541"/>
      <w:bookmarkStart w:id="260" w:name="_Toc144974509"/>
      <w:r>
        <w:rPr>
          <w:rFonts w:hint="eastAsia" w:cs="黑体"/>
          <w:snapToGrid w:val="0"/>
          <w:highlight w:val="none"/>
          <w:shd w:val="clear" w:color="auto" w:fill="FFFFFF"/>
          <w:lang w:val="zh-CN"/>
        </w:rPr>
        <w:t>1.11分包</w:t>
      </w:r>
      <w:bookmarkEnd w:id="257"/>
      <w:bookmarkEnd w:id="258"/>
      <w:bookmarkEnd w:id="259"/>
      <w:bookmarkEnd w:id="260"/>
    </w:p>
    <w:p>
      <w:pPr>
        <w:spacing w:line="360" w:lineRule="auto"/>
        <w:ind w:firstLine="480" w:firstLineChars="200"/>
        <w:rPr>
          <w:rFonts w:hAnsi="宋体" w:cs="宋体"/>
          <w:highlight w:val="none"/>
        </w:rPr>
      </w:pPr>
      <w:r>
        <w:rPr>
          <w:rFonts w:hint="eastAsia" w:hAnsi="宋体" w:cs="宋体"/>
          <w:highlight w:val="none"/>
        </w:rPr>
        <w:t>1.11.1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360" w:lineRule="auto"/>
        <w:ind w:firstLine="480" w:firstLineChars="200"/>
        <w:rPr>
          <w:rFonts w:hAnsi="宋体" w:cs="宋体"/>
          <w:highlight w:val="none"/>
        </w:rPr>
      </w:pPr>
      <w:r>
        <w:rPr>
          <w:rFonts w:hint="eastAsia" w:hAnsi="宋体" w:cs="宋体"/>
          <w:highlight w:val="none"/>
        </w:rPr>
        <w:t>1.11.2 中标人不得向他人转让中标项目，接受分包的人不得再次分包。中标人应就分包项目向招标人负责，接受分包的人就分包项目承担连带责任。</w:t>
      </w:r>
    </w:p>
    <w:p>
      <w:pPr>
        <w:pStyle w:val="2"/>
        <w:spacing w:beforeLines="100" w:afterLines="100" w:line="240" w:lineRule="auto"/>
        <w:rPr>
          <w:rFonts w:cs="黑体"/>
          <w:snapToGrid w:val="0"/>
          <w:highlight w:val="none"/>
          <w:shd w:val="clear" w:color="auto" w:fill="FFFFFF"/>
          <w:lang w:val="zh-CN"/>
        </w:rPr>
      </w:pPr>
      <w:bookmarkStart w:id="261" w:name="_Toc179632559"/>
      <w:r>
        <w:rPr>
          <w:rFonts w:hint="eastAsia" w:cs="黑体"/>
          <w:snapToGrid w:val="0"/>
          <w:highlight w:val="none"/>
          <w:shd w:val="clear" w:color="auto" w:fill="FFFFFF"/>
          <w:lang w:val="zh-CN"/>
        </w:rPr>
        <w:t>1.12</w:t>
      </w:r>
      <w:bookmarkEnd w:id="261"/>
      <w:r>
        <w:rPr>
          <w:rFonts w:hint="eastAsia" w:cs="黑体"/>
          <w:snapToGrid w:val="0"/>
          <w:highlight w:val="none"/>
          <w:shd w:val="clear" w:color="auto" w:fill="FFFFFF"/>
          <w:lang w:val="zh-CN"/>
        </w:rPr>
        <w:t>响应和偏差</w:t>
      </w:r>
    </w:p>
    <w:p>
      <w:pPr>
        <w:spacing w:line="360" w:lineRule="auto"/>
        <w:ind w:firstLine="480" w:firstLineChars="200"/>
        <w:rPr>
          <w:rFonts w:hAnsi="宋体" w:cs="宋体"/>
          <w:highlight w:val="none"/>
        </w:rPr>
      </w:pPr>
      <w:r>
        <w:rPr>
          <w:rFonts w:hint="eastAsia" w:hAnsi="宋体" w:cs="宋体"/>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hAnsi="宋体" w:cs="宋体"/>
          <w:highlight w:val="none"/>
        </w:rPr>
      </w:pPr>
      <w:r>
        <w:rPr>
          <w:rFonts w:hint="eastAsia" w:hAnsi="宋体" w:cs="宋体"/>
          <w:highlight w:val="none"/>
        </w:rPr>
        <w:t>1.12.2 投标人应根据招标文件的要求提供投标货物技术性能指标的详细描述、技术支持资料及技术服务和质保期服务计划等内容已对招标文件作出响应。</w:t>
      </w:r>
    </w:p>
    <w:p>
      <w:pPr>
        <w:spacing w:line="360" w:lineRule="auto"/>
        <w:ind w:firstLine="480" w:firstLineChars="200"/>
        <w:rPr>
          <w:rFonts w:hAnsi="宋体" w:cs="宋体"/>
          <w:highlight w:val="none"/>
        </w:rPr>
      </w:pPr>
      <w:r>
        <w:rPr>
          <w:rFonts w:hint="eastAsia" w:hAnsi="宋体" w:cs="宋体"/>
          <w:highlight w:val="none"/>
        </w:rPr>
        <w:t>1.12.3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360" w:lineRule="auto"/>
        <w:ind w:firstLine="480" w:firstLineChars="200"/>
        <w:rPr>
          <w:rFonts w:hAnsi="宋体" w:cs="宋体"/>
          <w:highlight w:val="none"/>
        </w:rPr>
      </w:pPr>
      <w:r>
        <w:rPr>
          <w:rFonts w:hint="eastAsia" w:hAnsi="宋体" w:cs="宋体"/>
          <w:highlight w:val="none"/>
        </w:rPr>
        <w:t>1.12.4 投标人须知前附表规定了可以偏差的范围和最高偏差项数的，偏差应当符合投标人须知前附表规定的偏差范围和最高项数，超出偏差范围和最高偏差项数的投标将被否决。</w:t>
      </w:r>
    </w:p>
    <w:p>
      <w:pPr>
        <w:spacing w:line="360" w:lineRule="auto"/>
        <w:ind w:firstLine="480" w:firstLineChars="200"/>
        <w:rPr>
          <w:rFonts w:hAnsi="宋体" w:cs="宋体"/>
          <w:highlight w:val="none"/>
        </w:rPr>
      </w:pPr>
      <w:r>
        <w:rPr>
          <w:rFonts w:hint="eastAsia" w:hAnsi="宋体" w:cs="宋体"/>
          <w:highlight w:val="none"/>
        </w:rPr>
        <w:t>1.12.5 投标文件对招标文件的全部偏差，均应在投标文件的商务和技术偏差表中列明，除列明的内容外，视为投标人响应招标文件的全部要求。</w:t>
      </w:r>
    </w:p>
    <w:p>
      <w:pPr>
        <w:pStyle w:val="4"/>
        <w:spacing w:beforeLines="100" w:afterLines="100" w:line="240" w:lineRule="auto"/>
        <w:rPr>
          <w:rFonts w:ascii="黑体" w:hAnsi="黑体" w:eastAsia="黑体" w:cs="黑体"/>
          <w:b w:val="0"/>
          <w:bCs w:val="0"/>
          <w:highlight w:val="none"/>
        </w:rPr>
      </w:pPr>
      <w:bookmarkStart w:id="262" w:name="_Toc16611"/>
      <w:bookmarkStart w:id="263" w:name="_Toc152045542"/>
      <w:bookmarkStart w:id="264" w:name="_Toc9056"/>
      <w:bookmarkStart w:id="265" w:name="_Toc179632560"/>
      <w:bookmarkStart w:id="266" w:name="_Toc24897"/>
      <w:bookmarkStart w:id="267" w:name="_Toc140069407"/>
      <w:bookmarkStart w:id="268" w:name="_Toc144974510"/>
      <w:bookmarkStart w:id="269" w:name="_Toc152042318"/>
      <w:r>
        <w:rPr>
          <w:rFonts w:hint="eastAsia" w:ascii="黑体" w:hAnsi="黑体" w:eastAsia="黑体" w:cs="黑体"/>
          <w:b w:val="0"/>
          <w:bCs w:val="0"/>
          <w:highlight w:val="none"/>
        </w:rPr>
        <w:t>2. 招标文件</w:t>
      </w:r>
      <w:bookmarkEnd w:id="262"/>
      <w:bookmarkEnd w:id="263"/>
      <w:bookmarkEnd w:id="264"/>
      <w:bookmarkEnd w:id="265"/>
      <w:bookmarkEnd w:id="266"/>
      <w:bookmarkEnd w:id="267"/>
      <w:bookmarkEnd w:id="268"/>
      <w:bookmarkEnd w:id="269"/>
    </w:p>
    <w:p>
      <w:pPr>
        <w:pStyle w:val="2"/>
        <w:spacing w:beforeLines="100" w:afterLines="100" w:line="240" w:lineRule="auto"/>
        <w:rPr>
          <w:rFonts w:cs="黑体"/>
          <w:snapToGrid w:val="0"/>
          <w:highlight w:val="none"/>
          <w:shd w:val="clear" w:color="auto" w:fill="FFFFFF"/>
          <w:lang w:val="zh-CN"/>
        </w:rPr>
      </w:pPr>
      <w:bookmarkStart w:id="270" w:name="_Toc179632561"/>
      <w:bookmarkStart w:id="271" w:name="_Toc152042319"/>
      <w:bookmarkStart w:id="272" w:name="_Toc152045543"/>
      <w:bookmarkStart w:id="273" w:name="_Toc144974511"/>
      <w:r>
        <w:rPr>
          <w:rFonts w:hint="eastAsia" w:cs="黑体"/>
          <w:snapToGrid w:val="0"/>
          <w:highlight w:val="none"/>
          <w:shd w:val="clear" w:color="auto" w:fill="FFFFFF"/>
          <w:lang w:val="zh-CN"/>
        </w:rPr>
        <w:t>2.1招标文件的组成</w:t>
      </w:r>
      <w:bookmarkEnd w:id="270"/>
      <w:bookmarkEnd w:id="271"/>
      <w:bookmarkEnd w:id="272"/>
      <w:bookmarkEnd w:id="273"/>
    </w:p>
    <w:p>
      <w:pPr>
        <w:spacing w:line="360" w:lineRule="auto"/>
        <w:ind w:firstLine="480" w:firstLineChars="200"/>
        <w:rPr>
          <w:rFonts w:hAnsi="宋体" w:cs="宋体"/>
          <w:highlight w:val="none"/>
        </w:rPr>
      </w:pPr>
      <w:r>
        <w:rPr>
          <w:rFonts w:hint="eastAsia" w:hAnsi="宋体" w:cs="宋体"/>
          <w:highlight w:val="none"/>
        </w:rPr>
        <w:t>本招标文件包括：</w:t>
      </w:r>
    </w:p>
    <w:p>
      <w:pPr>
        <w:spacing w:line="360" w:lineRule="auto"/>
        <w:ind w:firstLine="480" w:firstLineChars="200"/>
        <w:rPr>
          <w:rFonts w:hAnsi="宋体" w:cs="宋体"/>
          <w:highlight w:val="none"/>
        </w:rPr>
      </w:pPr>
      <w:r>
        <w:rPr>
          <w:rFonts w:hint="eastAsia" w:hAnsi="宋体" w:cs="宋体"/>
          <w:highlight w:val="none"/>
        </w:rPr>
        <w:t>（1）招标公告；</w:t>
      </w:r>
    </w:p>
    <w:p>
      <w:pPr>
        <w:spacing w:line="360" w:lineRule="auto"/>
        <w:ind w:firstLine="480" w:firstLineChars="200"/>
        <w:rPr>
          <w:rFonts w:hAnsi="宋体" w:cs="宋体"/>
          <w:highlight w:val="none"/>
        </w:rPr>
      </w:pPr>
      <w:r>
        <w:rPr>
          <w:rFonts w:hint="eastAsia" w:hAnsi="宋体" w:cs="宋体"/>
          <w:highlight w:val="none"/>
        </w:rPr>
        <w:t>（2）投标人须知；</w:t>
      </w:r>
    </w:p>
    <w:p>
      <w:pPr>
        <w:spacing w:line="360" w:lineRule="auto"/>
        <w:ind w:firstLine="480" w:firstLineChars="200"/>
        <w:rPr>
          <w:rFonts w:hAnsi="宋体" w:cs="宋体"/>
          <w:highlight w:val="none"/>
        </w:rPr>
      </w:pPr>
      <w:r>
        <w:rPr>
          <w:rFonts w:hint="eastAsia" w:hAnsi="宋体" w:cs="宋体"/>
          <w:highlight w:val="none"/>
        </w:rPr>
        <w:t>（3）评标办法；</w:t>
      </w:r>
    </w:p>
    <w:p>
      <w:pPr>
        <w:spacing w:line="360" w:lineRule="auto"/>
        <w:ind w:firstLine="480" w:firstLineChars="200"/>
        <w:rPr>
          <w:rFonts w:hAnsi="宋体" w:cs="宋体"/>
          <w:highlight w:val="none"/>
        </w:rPr>
      </w:pPr>
      <w:r>
        <w:rPr>
          <w:rFonts w:hint="eastAsia" w:hAnsi="宋体" w:cs="宋体"/>
          <w:highlight w:val="none"/>
        </w:rPr>
        <w:t>（4）合同条款及格式；</w:t>
      </w:r>
    </w:p>
    <w:p>
      <w:pPr>
        <w:spacing w:line="360" w:lineRule="auto"/>
        <w:ind w:firstLine="480" w:firstLineChars="200"/>
        <w:rPr>
          <w:rFonts w:hAnsi="宋体" w:cs="宋体"/>
          <w:highlight w:val="none"/>
        </w:rPr>
      </w:pPr>
      <w:r>
        <w:rPr>
          <w:rFonts w:hint="eastAsia" w:hAnsi="宋体" w:cs="宋体"/>
          <w:highlight w:val="none"/>
        </w:rPr>
        <w:t>（5）供货要求；</w:t>
      </w:r>
    </w:p>
    <w:p>
      <w:pPr>
        <w:spacing w:line="360" w:lineRule="auto"/>
        <w:ind w:firstLine="480" w:firstLineChars="200"/>
        <w:rPr>
          <w:rFonts w:hAnsi="宋体" w:cs="宋体"/>
          <w:highlight w:val="none"/>
        </w:rPr>
      </w:pPr>
      <w:r>
        <w:rPr>
          <w:rFonts w:hint="eastAsia" w:hAnsi="宋体" w:cs="宋体"/>
          <w:highlight w:val="none"/>
        </w:rPr>
        <w:t>（6）投标文件格式；</w:t>
      </w:r>
    </w:p>
    <w:p>
      <w:pPr>
        <w:spacing w:line="360" w:lineRule="auto"/>
        <w:ind w:firstLine="480" w:firstLineChars="200"/>
        <w:rPr>
          <w:rFonts w:hAnsi="宋体" w:cs="宋体"/>
          <w:highlight w:val="none"/>
        </w:rPr>
      </w:pPr>
      <w:r>
        <w:rPr>
          <w:rFonts w:hint="eastAsia" w:hAnsi="宋体" w:cs="宋体"/>
          <w:highlight w:val="none"/>
        </w:rPr>
        <w:t>（7）投标人须知前附表规定的其他材料。</w:t>
      </w:r>
    </w:p>
    <w:p>
      <w:pPr>
        <w:spacing w:line="360" w:lineRule="auto"/>
        <w:ind w:firstLine="480" w:firstLineChars="200"/>
        <w:rPr>
          <w:rFonts w:hAnsi="宋体" w:cs="宋体"/>
          <w:highlight w:val="none"/>
        </w:rPr>
      </w:pPr>
      <w:r>
        <w:rPr>
          <w:rFonts w:hint="eastAsia" w:hAnsi="宋体" w:cs="宋体"/>
          <w:highlight w:val="none"/>
        </w:rPr>
        <w:t>根据本章第1.10款、第2.2款和第2.3款对招标文件所作的澄清、修改，构成招标文件的组成部分。</w:t>
      </w:r>
    </w:p>
    <w:p>
      <w:pPr>
        <w:spacing w:line="360" w:lineRule="auto"/>
        <w:ind w:firstLine="480" w:firstLineChars="200"/>
        <w:rPr>
          <w:rFonts w:hAnsi="宋体" w:cs="宋体"/>
          <w:highlight w:val="none"/>
        </w:rPr>
      </w:pPr>
      <w:r>
        <w:rPr>
          <w:rFonts w:hint="eastAsia" w:hAnsi="宋体" w:cs="宋体"/>
          <w:highlight w:val="none"/>
        </w:rPr>
        <w:t>当招标文件、招标文件的澄清或修改等在同一内容的表述上不一致时，以最后发出的文件为准。</w:t>
      </w:r>
    </w:p>
    <w:p>
      <w:pPr>
        <w:pStyle w:val="2"/>
        <w:spacing w:beforeLines="100" w:afterLines="100" w:line="240" w:lineRule="auto"/>
        <w:rPr>
          <w:rFonts w:cs="黑体"/>
          <w:snapToGrid w:val="0"/>
          <w:highlight w:val="none"/>
          <w:shd w:val="clear" w:color="auto" w:fill="FFFFFF"/>
          <w:lang w:val="zh-CN"/>
        </w:rPr>
      </w:pPr>
      <w:bookmarkStart w:id="274" w:name="_Toc144974512"/>
      <w:bookmarkStart w:id="275" w:name="_Toc152045544"/>
      <w:bookmarkStart w:id="276" w:name="_Toc152042320"/>
      <w:bookmarkStart w:id="277" w:name="_Toc179632562"/>
      <w:r>
        <w:rPr>
          <w:rFonts w:hint="eastAsia" w:cs="黑体"/>
          <w:snapToGrid w:val="0"/>
          <w:highlight w:val="none"/>
          <w:shd w:val="clear" w:color="auto" w:fill="FFFFFF"/>
          <w:lang w:val="zh-CN"/>
        </w:rPr>
        <w:t>2.2招标文件的澄清</w:t>
      </w:r>
      <w:bookmarkEnd w:id="274"/>
      <w:bookmarkEnd w:id="275"/>
      <w:bookmarkEnd w:id="276"/>
      <w:bookmarkEnd w:id="277"/>
    </w:p>
    <w:p>
      <w:pPr>
        <w:spacing w:line="360" w:lineRule="auto"/>
        <w:ind w:firstLine="480" w:firstLineChars="200"/>
        <w:rPr>
          <w:rFonts w:hAnsi="宋体" w:cs="宋体"/>
          <w:highlight w:val="none"/>
        </w:rPr>
      </w:pPr>
      <w:bookmarkStart w:id="278" w:name="_Toc152045545"/>
      <w:bookmarkStart w:id="279" w:name="_Toc152042321"/>
      <w:bookmarkStart w:id="280" w:name="_Toc144974513"/>
      <w:bookmarkStart w:id="281" w:name="_Toc179632563"/>
      <w:r>
        <w:rPr>
          <w:rFonts w:hint="eastAsia" w:hAnsi="宋体" w:cs="宋体"/>
          <w:highlight w:val="none"/>
        </w:rPr>
        <w:t xml:space="preserve">2.2.1 </w:t>
      </w:r>
      <w:r>
        <w:rPr>
          <w:rFonts w:hint="eastAsia" w:hAnsi="宋体" w:cs="宋体"/>
          <w:bCs/>
          <w:snapToGrid w:val="0"/>
          <w:highlight w:val="none"/>
        </w:rPr>
        <w:t>投标人应仔细阅读和检查招标文件的全部内容。如有疑问，应</w:t>
      </w:r>
      <w:r>
        <w:rPr>
          <w:rFonts w:hint="eastAsia" w:hAnsi="宋体" w:cs="宋体"/>
          <w:highlight w:val="none"/>
        </w:rPr>
        <w:t>按照</w:t>
      </w:r>
      <w:r>
        <w:rPr>
          <w:rFonts w:hint="eastAsia" w:hAnsi="宋体" w:cs="宋体"/>
          <w:bCs/>
          <w:snapToGrid w:val="0"/>
          <w:highlight w:val="none"/>
        </w:rPr>
        <w:t>投标人须知前附表规定的时间和形式向招标人发出对招标文件进行澄清的要求</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2.2.2招标人对招标文件进行澄清的，以投标人须知前附表规定的形式向所有获取招标文件的投标人发出澄清文件，澄清文件一经发出则视为送达所有获取招标文件的投标人。因投标人未及时查阅上述澄清文件而导致的后果由投标人自行承担。</w:t>
      </w:r>
    </w:p>
    <w:p>
      <w:pPr>
        <w:spacing w:line="360" w:lineRule="auto"/>
        <w:ind w:firstLine="480" w:firstLineChars="200"/>
        <w:rPr>
          <w:rFonts w:hAnsi="宋体" w:cs="宋体"/>
          <w:highlight w:val="none"/>
          <w:lang w:val="zh-CN"/>
        </w:rPr>
      </w:pPr>
      <w:r>
        <w:rPr>
          <w:rFonts w:hint="eastAsia" w:hAnsi="宋体" w:cs="宋体"/>
          <w:highlight w:val="none"/>
        </w:rPr>
        <w:t>2.2.3澄清文件发出的时间距投标截止时间不足15日的，并且澄清内容可能影响投标文件编制的，招标人将相应顺延投标截止时间。</w:t>
      </w:r>
    </w:p>
    <w:p>
      <w:pPr>
        <w:spacing w:line="360" w:lineRule="auto"/>
        <w:ind w:firstLine="480" w:firstLineChars="200"/>
        <w:rPr>
          <w:rFonts w:hAnsi="宋体" w:cs="宋体"/>
          <w:highlight w:val="none"/>
        </w:rPr>
      </w:pPr>
      <w:r>
        <w:rPr>
          <w:rFonts w:hint="eastAsia" w:hAnsi="宋体" w:cs="宋体"/>
          <w:highlight w:val="none"/>
        </w:rPr>
        <w:t>2.2.4除非招标人认为确有必要答复，否则，招标人有权拒绝回复投标人在本章第2.2.1项规定的时间后提出的任何澄清要求。</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2.3招标文件的修改</w:t>
      </w:r>
      <w:bookmarkEnd w:id="278"/>
      <w:bookmarkEnd w:id="279"/>
      <w:bookmarkEnd w:id="280"/>
      <w:bookmarkEnd w:id="281"/>
    </w:p>
    <w:p>
      <w:pPr>
        <w:spacing w:line="360" w:lineRule="auto"/>
        <w:ind w:firstLine="480" w:firstLineChars="200"/>
        <w:rPr>
          <w:rFonts w:hAnsi="宋体" w:cs="宋体"/>
          <w:highlight w:val="none"/>
        </w:rPr>
      </w:pPr>
      <w:r>
        <w:rPr>
          <w:rFonts w:hint="eastAsia" w:hAnsi="宋体" w:cs="宋体"/>
          <w:highlight w:val="none"/>
        </w:rPr>
        <w:t>2.3.1 招标人对招标文件进行修改的，以投标人须知前附表规定的形式向所有获取招标文件的投标人发出修改文件，修改文件一经发出则视为送达所有获取招标文件的投标人。因投标人未及时查阅上述修改文件而导致的后果由投标人自行承担。</w:t>
      </w:r>
    </w:p>
    <w:p>
      <w:pPr>
        <w:spacing w:line="360" w:lineRule="auto"/>
        <w:ind w:firstLine="480" w:firstLineChars="200"/>
        <w:rPr>
          <w:rFonts w:hAnsi="宋体" w:cs="宋体"/>
          <w:highlight w:val="none"/>
        </w:rPr>
      </w:pPr>
      <w:r>
        <w:rPr>
          <w:rFonts w:hint="eastAsia" w:hAnsi="宋体" w:cs="宋体"/>
          <w:highlight w:val="none"/>
        </w:rPr>
        <w:t>2.3.2 修改文件发出的时间距投标截止时间不足15日的，并且修改内容可能影响投标文件编制的，招标人将相应顺延投标截止时间。</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2.4招标文件的异议</w:t>
      </w:r>
    </w:p>
    <w:p>
      <w:pPr>
        <w:spacing w:line="360" w:lineRule="auto"/>
        <w:ind w:firstLine="480" w:firstLineChars="200"/>
        <w:rPr>
          <w:rFonts w:hAnsi="宋体" w:cs="宋体"/>
          <w:highlight w:val="none"/>
        </w:rPr>
      </w:pPr>
      <w:bookmarkStart w:id="282" w:name="_Toc144974514"/>
      <w:bookmarkStart w:id="283" w:name="_Toc152042322"/>
      <w:bookmarkStart w:id="284" w:name="_Toc179632564"/>
      <w:bookmarkStart w:id="285" w:name="_Toc152045546"/>
      <w:r>
        <w:rPr>
          <w:rFonts w:hint="eastAsia" w:hAnsi="宋体" w:cs="宋体"/>
          <w:highlight w:val="none"/>
        </w:rPr>
        <w:t>投标人或者其他利害关系人对招标文件有异议的，应在投标截止时间10日前通过电子交易系统在线</w:t>
      </w:r>
      <w:r>
        <w:rPr>
          <w:rFonts w:hint="eastAsia" w:hAnsi="宋体" w:cs="宋体"/>
          <w:bCs/>
          <w:snapToGrid w:val="0"/>
          <w:highlight w:val="none"/>
        </w:rPr>
        <w:t>提出</w:t>
      </w:r>
      <w:r>
        <w:rPr>
          <w:rFonts w:hint="eastAsia" w:hAnsi="宋体" w:cs="宋体"/>
          <w:highlight w:val="none"/>
        </w:rPr>
        <w:t>或以其他书面形式提出。招标人将在收到异议之日起3日内作出答复；作出答复前，将暂停招标投标活动。</w:t>
      </w:r>
    </w:p>
    <w:p>
      <w:pPr>
        <w:pStyle w:val="4"/>
        <w:spacing w:beforeLines="100" w:afterLines="100" w:line="240" w:lineRule="auto"/>
        <w:rPr>
          <w:rFonts w:ascii="黑体" w:hAnsi="黑体" w:eastAsia="黑体" w:cs="黑体"/>
          <w:b w:val="0"/>
          <w:bCs w:val="0"/>
          <w:highlight w:val="none"/>
        </w:rPr>
      </w:pPr>
      <w:bookmarkStart w:id="286" w:name="_Toc10749"/>
      <w:bookmarkStart w:id="287" w:name="_Toc140069408"/>
      <w:bookmarkStart w:id="288" w:name="_Toc26937"/>
      <w:bookmarkStart w:id="289" w:name="_Toc21235"/>
      <w:r>
        <w:rPr>
          <w:rFonts w:hint="eastAsia" w:ascii="黑体" w:hAnsi="黑体" w:eastAsia="黑体" w:cs="黑体"/>
          <w:b w:val="0"/>
          <w:bCs w:val="0"/>
          <w:highlight w:val="none"/>
        </w:rPr>
        <w:t>3. 投标文件</w:t>
      </w:r>
      <w:bookmarkEnd w:id="282"/>
      <w:bookmarkEnd w:id="283"/>
      <w:bookmarkEnd w:id="284"/>
      <w:bookmarkEnd w:id="285"/>
      <w:bookmarkEnd w:id="286"/>
      <w:bookmarkEnd w:id="287"/>
      <w:bookmarkEnd w:id="288"/>
      <w:bookmarkEnd w:id="289"/>
    </w:p>
    <w:p>
      <w:pPr>
        <w:pStyle w:val="2"/>
        <w:spacing w:beforeLines="100" w:afterLines="100" w:line="240" w:lineRule="auto"/>
        <w:rPr>
          <w:rFonts w:cs="黑体"/>
          <w:snapToGrid w:val="0"/>
          <w:highlight w:val="none"/>
          <w:shd w:val="clear" w:color="auto" w:fill="FFFFFF"/>
          <w:lang w:val="zh-CN"/>
        </w:rPr>
      </w:pPr>
      <w:bookmarkStart w:id="290" w:name="_Toc152045547"/>
      <w:bookmarkStart w:id="291" w:name="_Toc179632565"/>
      <w:bookmarkStart w:id="292" w:name="_Toc152042323"/>
      <w:bookmarkStart w:id="293" w:name="_Toc144974515"/>
      <w:r>
        <w:rPr>
          <w:rFonts w:hint="eastAsia" w:cs="黑体"/>
          <w:snapToGrid w:val="0"/>
          <w:highlight w:val="none"/>
          <w:shd w:val="clear" w:color="auto" w:fill="FFFFFF"/>
          <w:lang w:val="zh-CN"/>
        </w:rPr>
        <w:t>3.1投标文件的组成</w:t>
      </w:r>
      <w:bookmarkEnd w:id="290"/>
      <w:bookmarkEnd w:id="291"/>
      <w:bookmarkEnd w:id="292"/>
      <w:bookmarkEnd w:id="293"/>
    </w:p>
    <w:p>
      <w:pPr>
        <w:spacing w:line="360" w:lineRule="auto"/>
        <w:ind w:firstLine="480" w:firstLineChars="200"/>
        <w:rPr>
          <w:rFonts w:hAnsi="宋体" w:cs="宋体"/>
          <w:highlight w:val="none"/>
        </w:rPr>
      </w:pPr>
      <w:r>
        <w:rPr>
          <w:rFonts w:hint="eastAsia" w:hAnsi="宋体" w:cs="宋体"/>
          <w:highlight w:val="none"/>
        </w:rPr>
        <w:t>3.1.1 投标文件应包括下列内容：</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（1）商务文件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（2）技术文件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（3）报价文件</w:t>
      </w:r>
    </w:p>
    <w:p>
      <w:pPr>
        <w:spacing w:line="360" w:lineRule="auto"/>
        <w:ind w:firstLine="480" w:firstLineChars="200"/>
        <w:rPr>
          <w:rFonts w:hAnsi="宋体" w:cs="宋体"/>
          <w:highlight w:val="none"/>
        </w:rPr>
      </w:pPr>
      <w:r>
        <w:rPr>
          <w:rFonts w:hint="eastAsia" w:hAnsi="宋体" w:cs="宋体"/>
          <w:bCs/>
          <w:snapToGrid w:val="0"/>
          <w:highlight w:val="none"/>
        </w:rPr>
        <w:t>3.1.2 投标人在评标过程中作出的符合法律法规和招标文件规定的澄清、说明和确认，构成投标文件的组成部分。</w:t>
      </w:r>
    </w:p>
    <w:p>
      <w:pPr>
        <w:pStyle w:val="2"/>
        <w:spacing w:beforeLines="100" w:afterLines="100" w:line="240" w:lineRule="auto"/>
        <w:rPr>
          <w:rFonts w:cs="黑体"/>
          <w:snapToGrid w:val="0"/>
          <w:highlight w:val="none"/>
          <w:shd w:val="clear" w:color="auto" w:fill="FFFFFF"/>
          <w:lang w:val="zh-CN"/>
        </w:rPr>
      </w:pPr>
      <w:bookmarkStart w:id="294" w:name="_Toc179632566"/>
      <w:bookmarkStart w:id="295" w:name="_Toc144974516"/>
      <w:bookmarkStart w:id="296" w:name="_Toc152045548"/>
      <w:bookmarkStart w:id="297" w:name="_Toc152042324"/>
      <w:r>
        <w:rPr>
          <w:rFonts w:hint="eastAsia" w:cs="黑体"/>
          <w:snapToGrid w:val="0"/>
          <w:highlight w:val="none"/>
          <w:shd w:val="clear" w:color="auto" w:fill="FFFFFF"/>
          <w:lang w:val="zh-CN"/>
        </w:rPr>
        <w:t>3.2投标报价</w:t>
      </w:r>
      <w:bookmarkEnd w:id="294"/>
      <w:bookmarkEnd w:id="295"/>
      <w:bookmarkEnd w:id="296"/>
      <w:bookmarkEnd w:id="297"/>
    </w:p>
    <w:p>
      <w:pPr>
        <w:spacing w:line="360" w:lineRule="auto"/>
        <w:ind w:firstLine="480" w:firstLineChars="200"/>
        <w:rPr>
          <w:rFonts w:hAnsi="宋体" w:cs="宋体"/>
          <w:highlight w:val="none"/>
        </w:rPr>
      </w:pPr>
      <w:bookmarkStart w:id="298" w:name="_Toc144974517"/>
      <w:bookmarkStart w:id="299" w:name="_Toc179632567"/>
      <w:bookmarkStart w:id="300" w:name="_Toc152045549"/>
      <w:bookmarkStart w:id="301" w:name="_Toc152042325"/>
      <w:r>
        <w:rPr>
          <w:rFonts w:hint="eastAsia" w:hAnsi="宋体" w:cs="宋体"/>
          <w:highlight w:val="none"/>
        </w:rPr>
        <w:t>3.2.1 投标报价应包括国家规定的增值税税金，除投标人须知前附表另有规定外，增值税税金按照一般计税方法计算。投标人应按照第六章“投标文件格式”的要求在报价文件投标函中进行报价并填写分项报价表。</w:t>
      </w:r>
    </w:p>
    <w:p>
      <w:pPr>
        <w:spacing w:line="360" w:lineRule="auto"/>
        <w:ind w:firstLine="480" w:firstLineChars="200"/>
        <w:rPr>
          <w:rFonts w:hAnsi="宋体" w:cs="宋体"/>
          <w:highlight w:val="none"/>
        </w:rPr>
      </w:pPr>
      <w:r>
        <w:rPr>
          <w:rFonts w:hint="eastAsia" w:hAnsi="宋体" w:cs="宋体"/>
          <w:highlight w:val="none"/>
        </w:rPr>
        <w:t>3.2.2 投标人应充分了解本项目的总体情况以及影响投标报价的其他要素。</w:t>
      </w:r>
    </w:p>
    <w:p>
      <w:pPr>
        <w:spacing w:line="360" w:lineRule="auto"/>
        <w:ind w:firstLine="480" w:firstLineChars="200"/>
        <w:rPr>
          <w:rFonts w:hAnsi="宋体" w:cs="宋体"/>
          <w:highlight w:val="none"/>
        </w:rPr>
      </w:pPr>
      <w:r>
        <w:rPr>
          <w:rFonts w:hint="eastAsia" w:hAnsi="宋体" w:cs="宋体"/>
          <w:highlight w:val="none"/>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报价文件投标函中的投标报价，应同时修改投标文件“分项报价表”中的相应报价。此修改须符合本章第4.3款的有关要求。</w:t>
      </w:r>
    </w:p>
    <w:p>
      <w:pPr>
        <w:spacing w:line="360" w:lineRule="auto"/>
        <w:ind w:firstLine="480" w:firstLineChars="200"/>
        <w:rPr>
          <w:rFonts w:hAnsi="宋体" w:cs="宋体"/>
          <w:highlight w:val="none"/>
        </w:rPr>
      </w:pPr>
      <w:r>
        <w:rPr>
          <w:rFonts w:hint="eastAsia" w:hAnsi="宋体" w:cs="宋体"/>
          <w:highlight w:val="none"/>
        </w:rPr>
        <w:t>3.2.4招标人设有最高投标限价的，投标人的投标报价不得超过最高投标限价，最高投标限价在投标人须知前附表中载明。</w:t>
      </w:r>
    </w:p>
    <w:p>
      <w:pPr>
        <w:spacing w:line="360" w:lineRule="auto"/>
        <w:ind w:firstLine="480" w:firstLineChars="200"/>
        <w:rPr>
          <w:rFonts w:hAnsi="宋体" w:cs="宋体"/>
          <w:highlight w:val="none"/>
        </w:rPr>
      </w:pPr>
      <w:r>
        <w:rPr>
          <w:rFonts w:hint="eastAsia" w:hAnsi="宋体" w:cs="宋体"/>
          <w:highlight w:val="none"/>
        </w:rPr>
        <w:t>3.2.5 投标报价的其他要求见投标人须知前附表。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3.3投标有效期</w:t>
      </w:r>
      <w:bookmarkEnd w:id="298"/>
      <w:bookmarkEnd w:id="299"/>
      <w:bookmarkEnd w:id="300"/>
      <w:bookmarkEnd w:id="301"/>
    </w:p>
    <w:p>
      <w:pPr>
        <w:spacing w:line="360" w:lineRule="auto"/>
        <w:ind w:firstLine="480" w:firstLineChars="200"/>
        <w:rPr>
          <w:rFonts w:hAnsi="宋体" w:cs="宋体"/>
          <w:highlight w:val="none"/>
        </w:rPr>
      </w:pPr>
      <w:bookmarkStart w:id="302" w:name="_Toc152042326"/>
      <w:bookmarkStart w:id="303" w:name="_Toc144974518"/>
      <w:bookmarkStart w:id="304" w:name="_Toc152045550"/>
      <w:bookmarkStart w:id="305" w:name="_Toc179632568"/>
      <w:r>
        <w:rPr>
          <w:rFonts w:hint="eastAsia" w:hAnsi="宋体" w:cs="宋体"/>
          <w:highlight w:val="none"/>
        </w:rPr>
        <w:t>3.3.1 除投标人须知前附表另有规定外，投标有效期为120日。</w:t>
      </w:r>
    </w:p>
    <w:p>
      <w:pPr>
        <w:spacing w:line="360" w:lineRule="auto"/>
        <w:ind w:firstLine="480" w:firstLineChars="200"/>
        <w:rPr>
          <w:rFonts w:hAnsi="宋体" w:cs="宋体"/>
          <w:highlight w:val="none"/>
        </w:rPr>
      </w:pPr>
      <w:r>
        <w:rPr>
          <w:rFonts w:hint="eastAsia" w:hAnsi="宋体" w:cs="宋体"/>
          <w:highlight w:val="none"/>
        </w:rPr>
        <w:t>3.3.2 在投标有效期内，投标人撤销投标文件的，应承担招标文件和法律规定的责任。</w:t>
      </w:r>
    </w:p>
    <w:p>
      <w:pPr>
        <w:spacing w:line="360" w:lineRule="auto"/>
        <w:ind w:firstLine="480" w:firstLineChars="200"/>
        <w:rPr>
          <w:rFonts w:hAnsi="宋体" w:cs="宋体"/>
          <w:highlight w:val="none"/>
        </w:rPr>
      </w:pPr>
      <w:r>
        <w:rPr>
          <w:rFonts w:hint="eastAsia" w:hAnsi="宋体" w:cs="宋体"/>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银行转账、银行电汇）形式递交的投标保证金的银行同期活期存款利息。</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3.4投标保证金</w:t>
      </w:r>
      <w:bookmarkEnd w:id="302"/>
      <w:bookmarkEnd w:id="303"/>
      <w:bookmarkEnd w:id="304"/>
      <w:bookmarkEnd w:id="305"/>
    </w:p>
    <w:p>
      <w:pPr>
        <w:spacing w:line="360" w:lineRule="auto"/>
        <w:ind w:firstLine="480" w:firstLineChars="200"/>
        <w:rPr>
          <w:rFonts w:hAnsi="宋体" w:cs="宋体"/>
          <w:highlight w:val="none"/>
        </w:rPr>
      </w:pPr>
      <w:bookmarkStart w:id="306" w:name="_Toc152045552"/>
      <w:bookmarkStart w:id="307" w:name="_Toc144974520"/>
      <w:bookmarkStart w:id="308" w:name="_Toc179632570"/>
      <w:bookmarkStart w:id="309" w:name="_Toc152042328"/>
      <w:r>
        <w:rPr>
          <w:rFonts w:hint="eastAsia" w:hAnsi="宋体" w:cs="宋体"/>
          <w:highlight w:val="none"/>
        </w:rPr>
        <w:t>3.4.1 招标人在投标人须知前附表中要求投标人提交投标保证金的，投标人在递交投标文件的同时，应按照投标人须知前附表规定的金额、形式和第六章“投标文件格式”规定的投标保证金格式提交投标保证金，并作为其投标文件的组成部分。</w:t>
      </w:r>
    </w:p>
    <w:p>
      <w:pPr>
        <w:spacing w:line="360" w:lineRule="auto"/>
        <w:ind w:firstLine="480" w:firstLineChars="200"/>
        <w:rPr>
          <w:rFonts w:hAnsi="宋体" w:cs="宋体"/>
          <w:highlight w:val="none"/>
        </w:rPr>
      </w:pPr>
      <w:r>
        <w:rPr>
          <w:rFonts w:hint="eastAsia" w:hAnsi="宋体" w:cs="宋体"/>
          <w:highlight w:val="none"/>
        </w:rPr>
        <w:t>境内投标人以现金（银行转账、银行电汇）形式提交的投标保证金应当从其基本存款账户转出。联合体投标的，其投标保证金由牵头人递交，并应符合投标人须知前附表的规定。</w:t>
      </w:r>
    </w:p>
    <w:p>
      <w:pPr>
        <w:spacing w:line="360" w:lineRule="auto"/>
        <w:ind w:firstLine="480" w:firstLineChars="200"/>
        <w:rPr>
          <w:rFonts w:hAnsi="宋体" w:cs="宋体"/>
          <w:highlight w:val="none"/>
        </w:rPr>
      </w:pPr>
      <w:r>
        <w:rPr>
          <w:rFonts w:hint="eastAsia" w:hAnsi="宋体" w:cs="宋体"/>
          <w:highlight w:val="none"/>
        </w:rPr>
        <w:t>无论采取何种形式的投标保证金，投标保证金有效期均应与投标有效期一致。招标人如果按照本章第3.3.3项的规定延长了投标有效期，则投标保证金的有效期也相应延长。</w:t>
      </w:r>
    </w:p>
    <w:p>
      <w:pPr>
        <w:spacing w:line="360" w:lineRule="auto"/>
        <w:ind w:firstLine="480" w:firstLineChars="200"/>
        <w:rPr>
          <w:rFonts w:hAnsi="宋体" w:cs="宋体"/>
          <w:highlight w:val="none"/>
        </w:rPr>
      </w:pPr>
      <w:r>
        <w:rPr>
          <w:rFonts w:hint="eastAsia" w:hAnsi="宋体" w:cs="宋体"/>
          <w:highlight w:val="none"/>
        </w:rPr>
        <w:t>3.4.2 投标人不按照本章第3.4.1项要求提交投标保证金的，评标委员会将否决其投标。</w:t>
      </w:r>
    </w:p>
    <w:p>
      <w:pPr>
        <w:spacing w:line="360" w:lineRule="auto"/>
        <w:ind w:firstLine="480" w:firstLineChars="200"/>
        <w:rPr>
          <w:rFonts w:hAnsi="宋体" w:cs="宋体"/>
          <w:highlight w:val="none"/>
        </w:rPr>
      </w:pPr>
      <w:r>
        <w:rPr>
          <w:rFonts w:hint="eastAsia" w:hAnsi="宋体" w:cs="宋体"/>
          <w:highlight w:val="none"/>
        </w:rPr>
        <w:t xml:space="preserve">3.4.3 </w:t>
      </w:r>
      <w:r>
        <w:rPr>
          <w:rFonts w:hint="eastAsia" w:ascii="Times New Roman"/>
          <w:highlight w:val="none"/>
        </w:rPr>
        <w:t>除投标人须知前附表另有规定外，</w:t>
      </w:r>
      <w:r>
        <w:rPr>
          <w:rFonts w:hint="eastAsia" w:hAnsi="宋体" w:cs="宋体"/>
          <w:highlight w:val="none"/>
        </w:rPr>
        <w:t>招标人最迟将在中标通知书发出后5日内向中标候选人以外的其他投标人退还投标保证金，与中标人签订合同后5日内向中标人和其他中标候选人退还投标保证金。投标保证金以现金（银行转账、银行电汇）形式提交的，招标人应同时退还投标保证金的银行同期活期存款利息，且退还至投标人的基本存款账户。其他形式的投标保证金，在投标有效期届满时自动失效的，无需退还。</w:t>
      </w:r>
    </w:p>
    <w:p>
      <w:pPr>
        <w:spacing w:line="360" w:lineRule="auto"/>
        <w:ind w:firstLine="480" w:firstLineChars="200"/>
        <w:rPr>
          <w:rFonts w:hAnsi="宋体" w:cs="宋体"/>
          <w:highlight w:val="none"/>
        </w:rPr>
      </w:pPr>
      <w:r>
        <w:rPr>
          <w:rFonts w:hint="eastAsia" w:hAnsi="宋体" w:cs="宋体"/>
          <w:highlight w:val="none"/>
        </w:rPr>
        <w:t>3.4.4 有下列情形之一的，投标保证金将不予退还：</w:t>
      </w:r>
    </w:p>
    <w:p>
      <w:pPr>
        <w:spacing w:line="360" w:lineRule="auto"/>
        <w:ind w:firstLine="480" w:firstLineChars="200"/>
        <w:rPr>
          <w:rFonts w:hAnsi="宋体" w:cs="宋体"/>
          <w:highlight w:val="none"/>
        </w:rPr>
      </w:pPr>
      <w:r>
        <w:rPr>
          <w:rFonts w:hint="eastAsia" w:hAnsi="宋体" w:cs="宋体"/>
          <w:highlight w:val="none"/>
        </w:rPr>
        <w:t>（1）投标人在规定的投标有效期内撤销其投标文件；</w:t>
      </w:r>
    </w:p>
    <w:p>
      <w:pPr>
        <w:spacing w:line="360" w:lineRule="auto"/>
        <w:ind w:firstLine="480" w:firstLineChars="200"/>
        <w:rPr>
          <w:rFonts w:hAnsi="宋体" w:cs="宋体"/>
          <w:highlight w:val="none"/>
        </w:rPr>
      </w:pPr>
      <w:r>
        <w:rPr>
          <w:rFonts w:hint="eastAsia" w:hAnsi="宋体" w:cs="宋体"/>
          <w:highlight w:val="none"/>
        </w:rPr>
        <w:t>（2）中标人在收到中标通知书后，无正当理由不与招标人订立合同，或在签订合同时向招标人提出附加条件，或不按照招标文件要求提交履约保证金；</w:t>
      </w:r>
    </w:p>
    <w:p>
      <w:pPr>
        <w:spacing w:line="360" w:lineRule="auto"/>
        <w:ind w:firstLine="480" w:firstLineChars="200"/>
        <w:rPr>
          <w:rFonts w:hAnsi="宋体" w:cs="宋体"/>
          <w:highlight w:val="none"/>
        </w:rPr>
      </w:pPr>
      <w:r>
        <w:rPr>
          <w:rFonts w:hint="eastAsia" w:hAnsi="宋体" w:cs="宋体"/>
          <w:highlight w:val="none"/>
        </w:rPr>
        <w:t>（3）发生投标人须知前附表规定的其他不予退还投标保证金的情形。</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3.5资格审查资料</w:t>
      </w:r>
      <w:bookmarkEnd w:id="306"/>
      <w:bookmarkEnd w:id="307"/>
      <w:bookmarkEnd w:id="308"/>
      <w:bookmarkEnd w:id="309"/>
    </w:p>
    <w:p>
      <w:pPr>
        <w:spacing w:line="360" w:lineRule="auto"/>
        <w:ind w:firstLine="480" w:firstLineChars="200"/>
        <w:rPr>
          <w:rFonts w:hAnsi="宋体" w:cs="宋体"/>
          <w:bCs/>
          <w:snapToGrid w:val="0"/>
          <w:highlight w:val="none"/>
        </w:rPr>
      </w:pPr>
      <w:r>
        <w:rPr>
          <w:rFonts w:hint="eastAsia" w:hAnsi="宋体" w:cs="宋体"/>
          <w:bCs/>
          <w:snapToGrid w:val="0"/>
          <w:highlight w:val="none"/>
        </w:rPr>
        <w:t>3.5.1 投标人应</w:t>
      </w:r>
      <w:r>
        <w:rPr>
          <w:rFonts w:hint="eastAsia" w:hAnsi="宋体" w:cs="宋体"/>
          <w:highlight w:val="none"/>
        </w:rPr>
        <w:t>按照</w:t>
      </w:r>
      <w:r>
        <w:rPr>
          <w:rFonts w:hint="eastAsia" w:hAnsi="宋体" w:cs="宋体"/>
          <w:bCs/>
          <w:snapToGrid w:val="0"/>
          <w:highlight w:val="none"/>
        </w:rPr>
        <w:t>投标人须知前附表附录要求提供资格审查资料，内容及格式见第六章“投标文件格式”要求。</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3.5.2 投标人须知前附表规定接受联合体投标的，资格审查资料应包括联合体各方相关情况。</w:t>
      </w:r>
    </w:p>
    <w:p>
      <w:pPr>
        <w:spacing w:line="360" w:lineRule="auto"/>
        <w:ind w:firstLine="480" w:firstLineChars="200"/>
        <w:rPr>
          <w:rFonts w:hAnsi="宋体" w:cs="宋体"/>
          <w:bCs/>
          <w:snapToGrid w:val="0"/>
          <w:highlight w:val="none"/>
        </w:rPr>
      </w:pPr>
      <w:bookmarkStart w:id="310" w:name="_Toc152042329"/>
      <w:bookmarkStart w:id="311" w:name="_Toc179632571"/>
      <w:bookmarkStart w:id="312" w:name="_Toc144974521"/>
      <w:bookmarkStart w:id="313" w:name="_Toc152045553"/>
      <w:r>
        <w:rPr>
          <w:rFonts w:hint="eastAsia" w:hAnsi="宋体" w:cs="宋体"/>
          <w:bCs/>
          <w:snapToGrid w:val="0"/>
          <w:highlight w:val="none"/>
        </w:rPr>
        <w:t>3.5.3 招标人有权核查投标人在投标文件中提供的材料，若在评标期间发现投标人提供了虚假材料，其投标将被否决；若在签订合同前发现中标候选人、中标人提供了虚假材料，招标人有权取消其中标候选资格、中标资格。同时招标人将报公共资源交易监督管理部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3.6备选投标方案</w:t>
      </w:r>
      <w:bookmarkEnd w:id="310"/>
      <w:bookmarkEnd w:id="311"/>
      <w:bookmarkEnd w:id="312"/>
      <w:bookmarkEnd w:id="313"/>
    </w:p>
    <w:p>
      <w:pPr>
        <w:spacing w:line="360" w:lineRule="auto"/>
        <w:ind w:firstLine="480" w:firstLineChars="200"/>
        <w:rPr>
          <w:rFonts w:hAnsi="宋体" w:cs="宋体"/>
          <w:highlight w:val="none"/>
        </w:rPr>
      </w:pPr>
      <w:bookmarkStart w:id="314" w:name="_Toc152045554"/>
      <w:bookmarkStart w:id="315" w:name="_Toc179632572"/>
      <w:bookmarkStart w:id="316" w:name="_Toc144974522"/>
      <w:bookmarkStart w:id="317" w:name="_Toc152042330"/>
      <w:r>
        <w:rPr>
          <w:rFonts w:hint="eastAsia" w:hAnsi="宋体" w:cs="宋体"/>
          <w:highlight w:val="none"/>
        </w:rPr>
        <w:t xml:space="preserve">3.6.1 </w:t>
      </w:r>
      <w:r>
        <w:rPr>
          <w:rFonts w:hint="eastAsia" w:hAnsi="宋体" w:cs="宋体"/>
          <w:bCs/>
          <w:snapToGrid w:val="0"/>
          <w:highlight w:val="none"/>
        </w:rPr>
        <w:t>除投标人须知前附表规定允许外，投标人不得递交备选投标方案，否则其投标将被否决。</w:t>
      </w:r>
    </w:p>
    <w:p>
      <w:pPr>
        <w:spacing w:line="360" w:lineRule="auto"/>
        <w:ind w:firstLine="480" w:firstLineChars="200"/>
        <w:rPr>
          <w:rFonts w:hAnsi="宋体" w:cs="宋体"/>
          <w:highlight w:val="none"/>
        </w:rPr>
      </w:pPr>
      <w:r>
        <w:rPr>
          <w:rFonts w:hint="eastAsia" w:hAnsi="宋体" w:cs="宋体"/>
          <w:highlight w:val="none"/>
        </w:rPr>
        <w:t xml:space="preserve">3.6.2 </w:t>
      </w:r>
      <w:r>
        <w:rPr>
          <w:rFonts w:hint="eastAsia" w:hAnsi="宋体" w:cs="宋体"/>
          <w:bCs/>
          <w:snapToGrid w:val="0"/>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hAnsi="宋体" w:cs="宋体"/>
          <w:bCs/>
          <w:snapToGrid w:val="0"/>
          <w:highlight w:val="none"/>
        </w:rPr>
      </w:pPr>
      <w:r>
        <w:rPr>
          <w:rFonts w:hint="eastAsia" w:hAnsi="宋体" w:cs="宋体"/>
          <w:highlight w:val="none"/>
        </w:rPr>
        <w:t xml:space="preserve">3.6.3 </w:t>
      </w:r>
      <w:r>
        <w:rPr>
          <w:rFonts w:hint="eastAsia" w:hAnsi="宋体" w:cs="宋体"/>
          <w:bCs/>
          <w:snapToGrid w:val="0"/>
          <w:highlight w:val="none"/>
        </w:rPr>
        <w:t>投标人提供两个或两个以上投标报价，或在投标文件中提供一个报价，但同时提供两个或两个以上供货方案的，视为提供备选方案。</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3.7投标文件的编制</w:t>
      </w:r>
      <w:bookmarkEnd w:id="314"/>
      <w:bookmarkEnd w:id="315"/>
      <w:bookmarkEnd w:id="316"/>
      <w:bookmarkEnd w:id="317"/>
    </w:p>
    <w:p>
      <w:pPr>
        <w:spacing w:line="360" w:lineRule="auto"/>
        <w:ind w:firstLine="480" w:firstLineChars="200"/>
        <w:rPr>
          <w:rFonts w:hAnsi="宋体" w:cs="宋体"/>
          <w:highlight w:val="none"/>
        </w:rPr>
      </w:pPr>
      <w:r>
        <w:rPr>
          <w:rFonts w:hint="eastAsia" w:hAnsi="宋体" w:cs="宋体"/>
          <w:highlight w:val="none"/>
        </w:rPr>
        <w:t>3.7.1投标文件应按照第六章“投标文件格式”进行编写，如有必要，可以增加附页，作为投标文件的组成部分。投标函在满足招标文件实质性要求的基础上，可以提出比招标文件要求更有利于招标人的承诺。</w:t>
      </w:r>
    </w:p>
    <w:p>
      <w:pPr>
        <w:spacing w:line="360" w:lineRule="auto"/>
        <w:ind w:firstLine="480" w:firstLineChars="200"/>
        <w:rPr>
          <w:rFonts w:hAnsi="宋体" w:cs="宋体"/>
          <w:highlight w:val="none"/>
        </w:rPr>
      </w:pPr>
      <w:r>
        <w:rPr>
          <w:rFonts w:hint="eastAsia" w:hAnsi="宋体" w:cs="宋体"/>
          <w:highlight w:val="none"/>
        </w:rPr>
        <w:t>3.7.2 投标文件应当对招标文件有关交货及安装周期、投标有效期、供货要求、招标范围等实质性内容作出响应。投标文件在满足招标文件实质性要求的基础上，可以提出比招标文件要求更有利于招标人的承诺。</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3.7.3 投标文件的制作应满足以下规定：</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（1）投标文件由投标人使用电子交易系统提供的“投标文件制作工具”制作生成。“投标文件制作工具”可以通过电子交易系统下载。</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2）在第六章“投标文件格式”中要求盖单位章和（或）签字处，投标人应加盖投标人单位电子印章和（或）法定代表人的个人电子印章/电子签名章。联合体投标的，除联合体协议书外，投标文件由联合体牵头人</w:t>
      </w:r>
      <w:r>
        <w:rPr>
          <w:rFonts w:hint="eastAsia" w:hAnsi="宋体" w:cs="宋体"/>
          <w:highlight w:val="none"/>
        </w:rPr>
        <w:t>按照</w:t>
      </w:r>
      <w:r>
        <w:rPr>
          <w:rFonts w:hint="eastAsia" w:hAnsi="宋体" w:cs="宋体"/>
          <w:snapToGrid w:val="0"/>
          <w:highlight w:val="none"/>
          <w:shd w:val="clear" w:color="auto" w:fill="FFFFFF"/>
        </w:rPr>
        <w:t>上述规定加盖联合体牵头人单位电子印章和（或）法定代表人的个人电子印章/电子签名章。</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pPr>
        <w:spacing w:line="360" w:lineRule="auto"/>
        <w:ind w:firstLine="480" w:firstLineChars="200"/>
        <w:rPr>
          <w:rFonts w:hAnsi="宋体" w:cs="宋体"/>
          <w:highlight w:val="none"/>
        </w:rPr>
      </w:pPr>
      <w:r>
        <w:rPr>
          <w:rFonts w:hint="eastAsia" w:hAnsi="宋体" w:cs="宋体"/>
          <w:highlight w:val="none"/>
        </w:rPr>
        <w:t>（4）投标文件中的证明材料接受扫描件（包括电子证照等电子件）形式。</w:t>
      </w:r>
    </w:p>
    <w:p>
      <w:pPr>
        <w:spacing w:line="360" w:lineRule="auto"/>
        <w:ind w:firstLine="480" w:firstLineChars="200"/>
        <w:rPr>
          <w:rFonts w:hAnsi="宋体" w:cs="宋体"/>
          <w:highlight w:val="none"/>
        </w:rPr>
      </w:pPr>
      <w:r>
        <w:rPr>
          <w:rFonts w:hint="eastAsia" w:hAnsi="宋体" w:cs="宋体"/>
          <w:highlight w:val="none"/>
        </w:rPr>
        <w:t>（5）投标文件制作的具体方法见“投标文件制作工具”中的帮助文档。</w:t>
      </w:r>
    </w:p>
    <w:p>
      <w:pPr>
        <w:spacing w:line="360" w:lineRule="auto"/>
        <w:ind w:firstLine="480" w:firstLineChars="200"/>
        <w:rPr>
          <w:rFonts w:hAnsi="宋体" w:cs="宋体"/>
          <w:highlight w:val="none"/>
        </w:rPr>
      </w:pPr>
      <w:r>
        <w:rPr>
          <w:rFonts w:hint="eastAsia" w:hAnsi="宋体" w:cs="宋体"/>
          <w:highlight w:val="none"/>
        </w:rPr>
        <w:t>3.7.4 “投标文件制作工具”生成加密投标文件时，同时生成非加密投标文件，作为加密投标文件无法解密、导入时的补救措施。非加密投标文件递交要求见投标人须知前附表。</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3.7.5 因投标人自身原因而导致投标文件（指解密后的投标文件或启用补救措施下的非加密投标文件）无法导入电子交易系统电子开标、评标系统，该投标视为无效投标，投标人自行承担由此导致的全部责任。</w:t>
      </w:r>
    </w:p>
    <w:p>
      <w:pPr>
        <w:pStyle w:val="4"/>
        <w:spacing w:beforeLines="100" w:afterLines="100" w:line="240" w:lineRule="auto"/>
        <w:rPr>
          <w:rFonts w:ascii="黑体" w:hAnsi="黑体" w:eastAsia="黑体" w:cs="黑体"/>
          <w:b w:val="0"/>
          <w:bCs w:val="0"/>
          <w:highlight w:val="none"/>
        </w:rPr>
      </w:pPr>
      <w:bookmarkStart w:id="318" w:name="_Toc7733"/>
      <w:bookmarkStart w:id="319" w:name="_Toc140069409"/>
      <w:bookmarkStart w:id="320" w:name="_Toc14193"/>
      <w:bookmarkStart w:id="321" w:name="_Toc152045555"/>
      <w:bookmarkStart w:id="322" w:name="_Toc152042331"/>
      <w:bookmarkStart w:id="323" w:name="_Toc16689"/>
      <w:bookmarkStart w:id="324" w:name="_Toc179632573"/>
      <w:bookmarkStart w:id="325" w:name="_Toc144974523"/>
      <w:r>
        <w:rPr>
          <w:rFonts w:hint="eastAsia" w:ascii="黑体" w:hAnsi="黑体" w:eastAsia="黑体" w:cs="黑体"/>
          <w:b w:val="0"/>
          <w:bCs w:val="0"/>
          <w:highlight w:val="none"/>
        </w:rPr>
        <w:t>4. 投标</w:t>
      </w:r>
      <w:bookmarkEnd w:id="318"/>
      <w:bookmarkEnd w:id="319"/>
      <w:bookmarkEnd w:id="320"/>
      <w:bookmarkEnd w:id="321"/>
      <w:bookmarkEnd w:id="322"/>
      <w:bookmarkEnd w:id="323"/>
      <w:bookmarkEnd w:id="324"/>
      <w:bookmarkEnd w:id="325"/>
    </w:p>
    <w:p>
      <w:pPr>
        <w:pStyle w:val="2"/>
        <w:spacing w:beforeLines="100" w:afterLines="100" w:line="240" w:lineRule="auto"/>
        <w:rPr>
          <w:rFonts w:cs="黑体"/>
          <w:snapToGrid w:val="0"/>
          <w:highlight w:val="none"/>
          <w:shd w:val="clear" w:color="auto" w:fill="FFFFFF"/>
          <w:lang w:val="zh-CN"/>
        </w:rPr>
      </w:pPr>
      <w:bookmarkStart w:id="326" w:name="_Toc179632574"/>
      <w:bookmarkStart w:id="327" w:name="_Toc144974524"/>
      <w:bookmarkStart w:id="328" w:name="_Toc152045556"/>
      <w:bookmarkStart w:id="329" w:name="_Toc152042332"/>
      <w:r>
        <w:rPr>
          <w:rFonts w:hint="eastAsia" w:cs="黑体"/>
          <w:snapToGrid w:val="0"/>
          <w:highlight w:val="none"/>
          <w:shd w:val="clear" w:color="auto" w:fill="FFFFFF"/>
          <w:lang w:val="zh-CN"/>
        </w:rPr>
        <w:t>4.1投标文件的加密（密封）和标记</w:t>
      </w:r>
      <w:bookmarkEnd w:id="326"/>
      <w:bookmarkEnd w:id="327"/>
      <w:bookmarkEnd w:id="328"/>
      <w:bookmarkEnd w:id="329"/>
    </w:p>
    <w:p>
      <w:pPr>
        <w:spacing w:line="360" w:lineRule="auto"/>
        <w:ind w:firstLine="480" w:firstLineChars="200"/>
        <w:rPr>
          <w:rFonts w:hAnsi="宋体" w:cs="宋体"/>
          <w:highlight w:val="none"/>
        </w:rPr>
      </w:pPr>
      <w:r>
        <w:rPr>
          <w:rFonts w:hint="eastAsia" w:hAnsi="宋体" w:cs="宋体"/>
          <w:highlight w:val="none"/>
        </w:rPr>
        <w:t xml:space="preserve">4.1.1 </w:t>
      </w:r>
      <w:r>
        <w:rPr>
          <w:rFonts w:hint="eastAsia" w:hAnsi="宋体" w:cs="宋体"/>
          <w:bCs/>
          <w:snapToGrid w:val="0"/>
          <w:highlight w:val="none"/>
        </w:rPr>
        <w:t>投标文件应按照本章第 3.7.3 项要求制作并加密，未</w:t>
      </w:r>
      <w:r>
        <w:rPr>
          <w:rFonts w:hint="eastAsia" w:hAnsi="宋体" w:cs="宋体"/>
          <w:highlight w:val="none"/>
        </w:rPr>
        <w:t>按照</w:t>
      </w:r>
      <w:r>
        <w:rPr>
          <w:rFonts w:hint="eastAsia" w:hAnsi="宋体" w:cs="宋体"/>
          <w:bCs/>
          <w:snapToGrid w:val="0"/>
          <w:highlight w:val="none"/>
        </w:rPr>
        <w:t>要求加密的投标文件将被拒绝接收。</w:t>
      </w:r>
    </w:p>
    <w:p>
      <w:pPr>
        <w:spacing w:line="360" w:lineRule="auto"/>
        <w:ind w:firstLine="480" w:firstLineChars="200"/>
        <w:rPr>
          <w:rFonts w:hAnsi="宋体" w:cs="宋体"/>
          <w:bCs/>
          <w:snapToGrid w:val="0"/>
          <w:highlight w:val="none"/>
        </w:rPr>
      </w:pPr>
      <w:r>
        <w:rPr>
          <w:rFonts w:hint="eastAsia" w:hAnsi="宋体" w:cs="宋体"/>
          <w:highlight w:val="none"/>
        </w:rPr>
        <w:t>4.1.2非加密投标文件密封和标记要求见投标人须知前附表。非加密投标文件应在封口处加盖投标人单位章或由投标人的法定代表人或其授权的代理人签字，未按照规定封装或加写标记，招标人将不承担投标文件未被开启或提前开启的责任。</w:t>
      </w:r>
    </w:p>
    <w:p>
      <w:pPr>
        <w:pStyle w:val="2"/>
        <w:spacing w:beforeLines="100" w:afterLines="100" w:line="240" w:lineRule="auto"/>
        <w:rPr>
          <w:rFonts w:cs="黑体"/>
          <w:snapToGrid w:val="0"/>
          <w:highlight w:val="none"/>
          <w:shd w:val="clear" w:color="auto" w:fill="FFFFFF"/>
          <w:lang w:val="zh-CN"/>
        </w:rPr>
      </w:pPr>
      <w:bookmarkStart w:id="330" w:name="_Toc179632575"/>
      <w:bookmarkStart w:id="331" w:name="_Toc152042333"/>
      <w:bookmarkStart w:id="332" w:name="_Toc144974525"/>
      <w:bookmarkStart w:id="333" w:name="_Toc152045557"/>
      <w:r>
        <w:rPr>
          <w:rFonts w:hint="eastAsia" w:cs="黑体"/>
          <w:snapToGrid w:val="0"/>
          <w:highlight w:val="none"/>
          <w:shd w:val="clear" w:color="auto" w:fill="FFFFFF"/>
          <w:lang w:val="zh-CN"/>
        </w:rPr>
        <w:t>4.2投标文件的递交</w:t>
      </w:r>
      <w:bookmarkEnd w:id="330"/>
      <w:bookmarkEnd w:id="331"/>
      <w:bookmarkEnd w:id="332"/>
      <w:bookmarkEnd w:id="333"/>
    </w:p>
    <w:p>
      <w:pPr>
        <w:spacing w:line="360" w:lineRule="auto"/>
        <w:ind w:firstLine="480" w:firstLineChars="200"/>
        <w:rPr>
          <w:rFonts w:hAnsi="宋体" w:cs="宋体"/>
          <w:snapToGrid w:val="0"/>
          <w:highlight w:val="none"/>
        </w:rPr>
      </w:pPr>
      <w:r>
        <w:rPr>
          <w:rFonts w:hint="eastAsia" w:hAnsi="宋体" w:cs="宋体"/>
          <w:highlight w:val="none"/>
        </w:rPr>
        <w:t>4.2.1</w:t>
      </w:r>
      <w:r>
        <w:rPr>
          <w:rFonts w:hint="eastAsia" w:hAnsi="宋体" w:cs="宋体"/>
          <w:snapToGrid w:val="0"/>
          <w:highlight w:val="none"/>
          <w:lang w:bidi="en-US"/>
        </w:rPr>
        <w:t xml:space="preserve"> 投标人应当在第一章“招标公告”规定的投标截止时间前，将加密投标文件在电子交易系统上传。</w:t>
      </w:r>
    </w:p>
    <w:p>
      <w:pPr>
        <w:spacing w:line="360" w:lineRule="auto"/>
        <w:ind w:firstLine="480" w:firstLineChars="200"/>
        <w:rPr>
          <w:rFonts w:hAnsi="宋体" w:cs="宋体"/>
          <w:highlight w:val="none"/>
        </w:rPr>
      </w:pPr>
      <w:r>
        <w:rPr>
          <w:rFonts w:hint="eastAsia" w:hAnsi="宋体" w:cs="宋体"/>
          <w:highlight w:val="none"/>
        </w:rPr>
        <w:t>4.2.2 投标人递交非加密投标文件的地点：见投标人须知前附表。招标人收到非加密投标文件后由投标人代表登记或向投标人出具签收凭证。</w:t>
      </w:r>
    </w:p>
    <w:p>
      <w:pPr>
        <w:spacing w:line="360" w:lineRule="auto"/>
        <w:ind w:firstLine="480" w:firstLineChars="200"/>
        <w:rPr>
          <w:rFonts w:hAnsi="宋体" w:cs="宋体"/>
          <w:highlight w:val="none"/>
        </w:rPr>
      </w:pPr>
      <w:r>
        <w:rPr>
          <w:rFonts w:hint="eastAsia" w:hAnsi="宋体" w:cs="宋体"/>
          <w:highlight w:val="none"/>
        </w:rPr>
        <w:t>4.2.3 除投标人须知前附表另有规定外，投标人所递交的投标文件不予退还。</w:t>
      </w:r>
    </w:p>
    <w:p>
      <w:pPr>
        <w:spacing w:line="360" w:lineRule="auto"/>
        <w:ind w:firstLine="480" w:firstLineChars="200"/>
        <w:rPr>
          <w:rFonts w:hAnsi="宋体" w:cs="宋体"/>
          <w:bCs/>
          <w:snapToGrid w:val="0"/>
          <w:highlight w:val="none"/>
        </w:rPr>
      </w:pPr>
      <w:r>
        <w:rPr>
          <w:rFonts w:hint="eastAsia" w:hAnsi="宋体" w:cs="宋体"/>
          <w:highlight w:val="none"/>
        </w:rPr>
        <w:t xml:space="preserve">4.2.4 </w:t>
      </w:r>
      <w:r>
        <w:rPr>
          <w:rFonts w:hint="eastAsia" w:hAnsi="宋体" w:cs="宋体"/>
          <w:bCs/>
          <w:snapToGrid w:val="0"/>
          <w:highlight w:val="none"/>
        </w:rPr>
        <w:t>投标人应当在投标截止时间前完成投标文件的传输递交（以接收到电子签收凭证为准），并可以补充、修改或者撤回投标文件。投标截止时间前未完成投标文件传输的，视为撤回投标文件。未</w:t>
      </w:r>
      <w:r>
        <w:rPr>
          <w:rFonts w:hint="eastAsia" w:hAnsi="宋体" w:cs="宋体"/>
          <w:highlight w:val="none"/>
        </w:rPr>
        <w:t>按照</w:t>
      </w:r>
      <w:r>
        <w:rPr>
          <w:rFonts w:hint="eastAsia" w:hAnsi="宋体" w:cs="宋体"/>
          <w:bCs/>
          <w:snapToGrid w:val="0"/>
          <w:highlight w:val="none"/>
        </w:rPr>
        <w:t>规定加密或投标截止时间后送达的投标文件，电子交易系统应当拒收。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4.2.5 如投标人须知前附表允许递交非加密投标文件，投标人逾期送达的或者未送达指定地点的非加密投标文件，招标人不予接收，但不影响其已</w:t>
      </w:r>
      <w:r>
        <w:rPr>
          <w:rFonts w:hint="eastAsia" w:hAnsi="宋体" w:cs="宋体"/>
          <w:highlight w:val="none"/>
        </w:rPr>
        <w:t>按照</w:t>
      </w:r>
      <w:r>
        <w:rPr>
          <w:rFonts w:hint="eastAsia" w:hAnsi="宋体" w:cs="宋体"/>
          <w:bCs/>
          <w:snapToGrid w:val="0"/>
          <w:highlight w:val="none"/>
        </w:rPr>
        <w:t>招标文件要求从电子交易系统递交的加密投标文件的有效性。未从电子交易系统递交加密投标文件的，投标人递交的非加密投标文件将被视为无效。</w:t>
      </w:r>
    </w:p>
    <w:p>
      <w:pPr>
        <w:spacing w:line="360" w:lineRule="auto"/>
        <w:ind w:firstLine="480" w:firstLineChars="200"/>
        <w:rPr>
          <w:rFonts w:hAnsi="宋体" w:cs="宋体"/>
          <w:highlight w:val="none"/>
        </w:rPr>
      </w:pPr>
      <w:r>
        <w:rPr>
          <w:rFonts w:hint="eastAsia" w:hAnsi="宋体" w:cs="宋体"/>
          <w:bCs/>
          <w:snapToGrid w:val="0"/>
          <w:highlight w:val="none"/>
        </w:rPr>
        <w:t>4.2.6 投标人在本章第5.2款规定的解密开始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pPr>
        <w:pStyle w:val="2"/>
        <w:spacing w:beforeLines="100" w:afterLines="100" w:line="240" w:lineRule="auto"/>
        <w:rPr>
          <w:rFonts w:cs="黑体"/>
          <w:snapToGrid w:val="0"/>
          <w:highlight w:val="none"/>
          <w:shd w:val="clear" w:color="auto" w:fill="FFFFFF"/>
          <w:lang w:val="zh-CN"/>
        </w:rPr>
      </w:pPr>
      <w:bookmarkStart w:id="334" w:name="_Toc152045558"/>
      <w:bookmarkStart w:id="335" w:name="_Toc152042334"/>
      <w:bookmarkStart w:id="336" w:name="_Toc144974526"/>
      <w:bookmarkStart w:id="337" w:name="_Toc179632576"/>
      <w:r>
        <w:rPr>
          <w:rFonts w:hint="eastAsia" w:cs="黑体"/>
          <w:snapToGrid w:val="0"/>
          <w:highlight w:val="none"/>
          <w:shd w:val="clear" w:color="auto" w:fill="FFFFFF"/>
          <w:lang w:val="zh-CN"/>
        </w:rPr>
        <w:t>4.3投标文件的修改与撤回</w:t>
      </w:r>
      <w:bookmarkEnd w:id="334"/>
      <w:bookmarkEnd w:id="335"/>
      <w:bookmarkEnd w:id="336"/>
      <w:bookmarkEnd w:id="337"/>
    </w:p>
    <w:p>
      <w:pPr>
        <w:spacing w:line="360" w:lineRule="auto"/>
        <w:ind w:firstLine="480" w:firstLineChars="200"/>
        <w:rPr>
          <w:rFonts w:hAnsi="宋体" w:cs="宋体"/>
          <w:highlight w:val="none"/>
        </w:rPr>
      </w:pPr>
      <w:r>
        <w:rPr>
          <w:rFonts w:hint="eastAsia" w:hAnsi="宋体" w:cs="宋体"/>
          <w:highlight w:val="none"/>
        </w:rPr>
        <w:t xml:space="preserve">4.3.1 </w:t>
      </w:r>
      <w:r>
        <w:rPr>
          <w:rFonts w:hint="eastAsia" w:hAnsi="宋体" w:cs="宋体"/>
          <w:bCs/>
          <w:snapToGrid w:val="0"/>
          <w:highlight w:val="none"/>
        </w:rPr>
        <w:t>在第一章“招标公告”规定的投标截止时间前，投标人可以修改或撤回已递交的投标文件。投标人对加密投标文件进行撤回的，应在电子交易系统直接进行撤回操作；投标人对加密投标文件进行修改的，应在投标截止时间前完成上传</w:t>
      </w:r>
      <w:r>
        <w:rPr>
          <w:rFonts w:hint="eastAsia" w:hAnsi="宋体" w:cs="宋体"/>
          <w:highlight w:val="none"/>
        </w:rPr>
        <w:t>。</w:t>
      </w:r>
      <w:r>
        <w:rPr>
          <w:rFonts w:hint="eastAsia" w:hAnsi="宋体" w:cs="宋体"/>
          <w:bCs/>
          <w:snapToGrid w:val="0"/>
          <w:highlight w:val="none"/>
        </w:rPr>
        <w:t>投标人修改投标文件的，应使用“投标文件制作工具”制作成完整的投标文件，并按照本章第 3 条、第 4 条规定进行编制、加密和递交。</w:t>
      </w:r>
    </w:p>
    <w:p>
      <w:pPr>
        <w:spacing w:line="360" w:lineRule="auto"/>
        <w:ind w:firstLine="480" w:firstLineChars="200"/>
        <w:rPr>
          <w:rFonts w:hAnsi="宋体" w:cs="宋体"/>
          <w:highlight w:val="none"/>
        </w:rPr>
      </w:pPr>
      <w:r>
        <w:rPr>
          <w:rFonts w:hint="eastAsia" w:hAnsi="宋体" w:cs="宋体"/>
          <w:highlight w:val="none"/>
        </w:rPr>
        <w:t>4.3.2 投标人修改或撤回已递交的</w:t>
      </w:r>
      <w:r>
        <w:rPr>
          <w:rFonts w:hint="eastAsia" w:hAnsi="宋体" w:cs="宋体"/>
          <w:bCs/>
          <w:snapToGrid w:val="0"/>
          <w:highlight w:val="none"/>
        </w:rPr>
        <w:t>非加密</w:t>
      </w:r>
      <w:r>
        <w:rPr>
          <w:rFonts w:hint="eastAsia" w:hAnsi="宋体" w:cs="宋体"/>
          <w:highlight w:val="none"/>
        </w:rPr>
        <w:t>投标文件的，应当以书面形式通知招标人，书面通知应由法定代表人（或代理人）签字或盖单位章。招标人收到书面通知后，向投标人出具签收凭证。</w:t>
      </w:r>
    </w:p>
    <w:p>
      <w:pPr>
        <w:pStyle w:val="4"/>
        <w:spacing w:beforeLines="100" w:afterLines="100" w:line="240" w:lineRule="auto"/>
        <w:rPr>
          <w:rFonts w:ascii="黑体" w:hAnsi="黑体" w:eastAsia="黑体" w:cs="黑体"/>
          <w:b w:val="0"/>
          <w:bCs w:val="0"/>
          <w:highlight w:val="none"/>
        </w:rPr>
      </w:pPr>
      <w:bookmarkStart w:id="338" w:name="_Toc17358"/>
      <w:bookmarkStart w:id="339" w:name="_Toc8387"/>
      <w:bookmarkStart w:id="340" w:name="_Toc179632577"/>
      <w:bookmarkStart w:id="341" w:name="_Toc144974527"/>
      <w:bookmarkStart w:id="342" w:name="_Toc25973"/>
      <w:bookmarkStart w:id="343" w:name="_Toc152045559"/>
      <w:bookmarkStart w:id="344" w:name="_Toc152042335"/>
      <w:bookmarkStart w:id="345" w:name="_Toc140069410"/>
      <w:r>
        <w:rPr>
          <w:rFonts w:hint="eastAsia" w:ascii="黑体" w:hAnsi="黑体" w:eastAsia="黑体" w:cs="黑体"/>
          <w:b w:val="0"/>
          <w:bCs w:val="0"/>
          <w:highlight w:val="none"/>
        </w:rPr>
        <w:t>5. 开标</w:t>
      </w:r>
      <w:bookmarkEnd w:id="338"/>
      <w:bookmarkEnd w:id="339"/>
      <w:bookmarkEnd w:id="340"/>
      <w:bookmarkEnd w:id="341"/>
      <w:bookmarkEnd w:id="342"/>
      <w:bookmarkEnd w:id="343"/>
      <w:bookmarkEnd w:id="344"/>
      <w:bookmarkEnd w:id="345"/>
    </w:p>
    <w:p>
      <w:pPr>
        <w:pStyle w:val="2"/>
        <w:spacing w:beforeLines="100" w:afterLines="100" w:line="240" w:lineRule="auto"/>
        <w:rPr>
          <w:rFonts w:cs="黑体"/>
          <w:snapToGrid w:val="0"/>
          <w:highlight w:val="none"/>
          <w:shd w:val="clear" w:color="auto" w:fill="FFFFFF"/>
          <w:lang w:val="zh-CN"/>
        </w:rPr>
      </w:pPr>
      <w:bookmarkStart w:id="346" w:name="_Toc152045560"/>
      <w:bookmarkStart w:id="347" w:name="_Toc152042336"/>
      <w:bookmarkStart w:id="348" w:name="_Toc179632578"/>
      <w:bookmarkStart w:id="349" w:name="_Toc144974528"/>
      <w:r>
        <w:rPr>
          <w:rFonts w:hint="eastAsia" w:cs="黑体"/>
          <w:snapToGrid w:val="0"/>
          <w:highlight w:val="none"/>
          <w:shd w:val="clear" w:color="auto" w:fill="FFFFFF"/>
          <w:lang w:val="zh-CN"/>
        </w:rPr>
        <w:t>5.1开标时间和地点</w:t>
      </w:r>
      <w:bookmarkEnd w:id="346"/>
      <w:bookmarkEnd w:id="347"/>
      <w:bookmarkEnd w:id="348"/>
      <w:bookmarkEnd w:id="349"/>
    </w:p>
    <w:p>
      <w:pPr>
        <w:spacing w:line="360" w:lineRule="auto"/>
        <w:ind w:firstLine="480" w:firstLineChars="200"/>
        <w:rPr>
          <w:rFonts w:hAnsi="宋体" w:cs="宋体"/>
          <w:bCs/>
          <w:snapToGrid w:val="0"/>
          <w:highlight w:val="none"/>
        </w:rPr>
      </w:pPr>
      <w:r>
        <w:rPr>
          <w:rFonts w:hint="eastAsia" w:hAnsi="宋体" w:cs="宋体"/>
          <w:bCs/>
          <w:snapToGrid w:val="0"/>
          <w:highlight w:val="none"/>
        </w:rPr>
        <w:t>招标人在投标人须知前附表规定的开标时间和地点通过电子交易系统开标，所有投标人的法定代表人或其委托代理人应当准时参加。</w:t>
      </w:r>
    </w:p>
    <w:p>
      <w:pPr>
        <w:spacing w:line="360" w:lineRule="auto"/>
        <w:ind w:firstLine="480" w:firstLineChars="200"/>
        <w:rPr>
          <w:rFonts w:hAnsi="宋体" w:cs="宋体"/>
          <w:bCs/>
          <w:snapToGrid w:val="0"/>
          <w:highlight w:val="none"/>
        </w:rPr>
      </w:pPr>
      <w:r>
        <w:rPr>
          <w:rFonts w:hint="eastAsia" w:hAnsi="宋体" w:cs="宋体"/>
          <w:bCs/>
          <w:snapToGrid w:val="0"/>
          <w:highlight w:val="none"/>
        </w:rPr>
        <w:t>投标人若未派法定代表人或其委托代理人出席开标活动，视为该投标人默认开标结果。</w:t>
      </w:r>
    </w:p>
    <w:p>
      <w:pPr>
        <w:pStyle w:val="2"/>
        <w:spacing w:beforeLines="100" w:afterLines="100" w:line="240" w:lineRule="auto"/>
        <w:rPr>
          <w:rFonts w:cs="黑体"/>
          <w:snapToGrid w:val="0"/>
          <w:highlight w:val="none"/>
          <w:shd w:val="clear" w:color="auto" w:fill="FFFFFF"/>
          <w:lang w:val="zh-CN"/>
        </w:rPr>
      </w:pPr>
      <w:bookmarkStart w:id="350" w:name="_Toc179632579"/>
      <w:bookmarkStart w:id="351" w:name="_Toc144974529"/>
      <w:bookmarkStart w:id="352" w:name="_Toc152045561"/>
      <w:bookmarkStart w:id="353" w:name="_Toc152042337"/>
      <w:r>
        <w:rPr>
          <w:rFonts w:hint="eastAsia" w:cs="黑体"/>
          <w:snapToGrid w:val="0"/>
          <w:highlight w:val="none"/>
          <w:shd w:val="clear" w:color="auto" w:fill="FFFFFF"/>
          <w:lang w:val="zh-CN"/>
        </w:rPr>
        <w:t>5.2开标程序</w:t>
      </w:r>
      <w:bookmarkEnd w:id="350"/>
      <w:bookmarkEnd w:id="351"/>
      <w:bookmarkEnd w:id="352"/>
      <w:bookmarkEnd w:id="353"/>
    </w:p>
    <w:p>
      <w:pPr>
        <w:spacing w:line="360" w:lineRule="auto"/>
        <w:ind w:firstLine="480" w:firstLineChars="200"/>
        <w:rPr>
          <w:rFonts w:hAnsi="宋体" w:cs="宋体"/>
          <w:bCs/>
          <w:snapToGrid w:val="0"/>
          <w:highlight w:val="none"/>
        </w:rPr>
      </w:pPr>
      <w:r>
        <w:rPr>
          <w:rFonts w:hint="eastAsia" w:hAnsi="宋体" w:cs="宋体"/>
          <w:bCs/>
          <w:snapToGrid w:val="0"/>
          <w:highlight w:val="none"/>
        </w:rPr>
        <w:t>除投标人须知前附表另有规定外，主持人</w:t>
      </w:r>
      <w:r>
        <w:rPr>
          <w:rFonts w:hint="eastAsia" w:hAnsi="宋体" w:cs="宋体"/>
          <w:highlight w:val="none"/>
        </w:rPr>
        <w:t>按照</w:t>
      </w:r>
      <w:r>
        <w:rPr>
          <w:rFonts w:hint="eastAsia" w:hAnsi="宋体" w:cs="宋体"/>
          <w:bCs/>
          <w:snapToGrid w:val="0"/>
          <w:highlight w:val="none"/>
        </w:rPr>
        <w:t xml:space="preserve">下列程序进行开标： </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（1）公布在投标截止时间前通过电子交易系统完成投标文件递交的投标人名称；</w:t>
      </w:r>
    </w:p>
    <w:p>
      <w:pPr>
        <w:spacing w:line="360" w:lineRule="auto"/>
        <w:ind w:firstLine="480" w:firstLineChars="200"/>
        <w:rPr>
          <w:rFonts w:hAnsi="宋体" w:cs="宋体"/>
          <w:bCs/>
          <w:snapToGrid w:val="0"/>
          <w:highlight w:val="none"/>
        </w:rPr>
      </w:pPr>
      <w:r>
        <w:rPr>
          <w:rFonts w:hint="eastAsia" w:hAnsi="宋体" w:cs="宋体"/>
          <w:bCs/>
          <w:snapToGrid w:val="0"/>
          <w:highlight w:val="none"/>
        </w:rPr>
        <w:t>（2）由投标人推选的代表检查非加密投标文件的密封情况（如有）；</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（3）投标人在投标截止时间后在投标人须知前附表规定的解密时间内完成投标文件的解密工作；</w:t>
      </w:r>
    </w:p>
    <w:p>
      <w:pPr>
        <w:spacing w:line="360" w:lineRule="auto"/>
        <w:ind w:firstLine="480" w:firstLineChars="200"/>
        <w:rPr>
          <w:rFonts w:hAnsi="宋体" w:cs="宋体"/>
          <w:bCs/>
          <w:snapToGrid w:val="0"/>
          <w:highlight w:val="none"/>
        </w:rPr>
      </w:pPr>
      <w:r>
        <w:rPr>
          <w:rFonts w:hint="eastAsia" w:hAnsi="宋体" w:cs="宋体"/>
          <w:bCs/>
          <w:snapToGrid w:val="0"/>
          <w:highlight w:val="none"/>
        </w:rPr>
        <w:t>（4）招标人完成解密工作，导入并读取所有成功解密的投标文件，或招标人成功导入现场递交的非加密投标文件；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（5）</w:t>
      </w:r>
      <w:r>
        <w:rPr>
          <w:rFonts w:hint="eastAsia" w:ascii="Times New Roman" w:cs="宋体"/>
          <w:bCs/>
          <w:snapToGrid w:val="0"/>
          <w:szCs w:val="24"/>
          <w:highlight w:val="none"/>
        </w:rPr>
        <w:t>按照投标人须知前附表规定公布投标文件相应内容；</w:t>
      </w:r>
    </w:p>
    <w:p>
      <w:pPr>
        <w:spacing w:line="360" w:lineRule="auto"/>
        <w:ind w:firstLine="480" w:firstLineChars="200"/>
        <w:rPr>
          <w:rFonts w:hAnsi="宋体" w:cs="宋体"/>
          <w:bCs/>
          <w:snapToGrid w:val="0"/>
          <w:highlight w:val="none"/>
        </w:rPr>
      </w:pPr>
      <w:r>
        <w:rPr>
          <w:rFonts w:hint="eastAsia" w:hAnsi="宋体" w:cs="宋体"/>
          <w:bCs/>
          <w:snapToGrid w:val="0"/>
          <w:highlight w:val="none"/>
        </w:rPr>
        <w:t>（6）开标结束。</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5.3 开标异议</w:t>
      </w:r>
    </w:p>
    <w:p>
      <w:pPr>
        <w:spacing w:line="360" w:lineRule="auto"/>
        <w:ind w:firstLine="480" w:firstLineChars="200"/>
        <w:rPr>
          <w:rFonts w:hAnsi="宋体" w:cs="宋体"/>
          <w:bCs/>
          <w:snapToGrid w:val="0"/>
          <w:highlight w:val="none"/>
        </w:rPr>
      </w:pPr>
      <w:r>
        <w:rPr>
          <w:rFonts w:hint="eastAsia" w:hAnsi="宋体" w:cs="宋体"/>
          <w:bCs/>
          <w:snapToGrid w:val="0"/>
          <w:highlight w:val="none"/>
        </w:rPr>
        <w:t>投标人对开标有异议的，应当在开标过程中提出；招标人当场对异议作出答复，并记入开标记录。异议与答复应通过电子交易系统进行。</w:t>
      </w:r>
    </w:p>
    <w:p>
      <w:pPr>
        <w:pStyle w:val="4"/>
        <w:numPr>
          <w:ilvl w:val="0"/>
          <w:numId w:val="3"/>
        </w:numPr>
        <w:spacing w:beforeLines="100" w:afterLines="100" w:line="240" w:lineRule="auto"/>
        <w:rPr>
          <w:rFonts w:ascii="黑体" w:hAnsi="黑体" w:eastAsia="黑体" w:cs="黑体"/>
          <w:b w:val="0"/>
          <w:bCs w:val="0"/>
          <w:highlight w:val="none"/>
        </w:rPr>
      </w:pPr>
      <w:bookmarkStart w:id="354" w:name="_Toc152042338"/>
      <w:bookmarkStart w:id="355" w:name="_Toc19591"/>
      <w:bookmarkStart w:id="356" w:name="_Toc32120"/>
      <w:bookmarkStart w:id="357" w:name="_Toc24472"/>
      <w:bookmarkStart w:id="358" w:name="_Toc140069411"/>
      <w:bookmarkStart w:id="359" w:name="_Toc144974530"/>
      <w:bookmarkStart w:id="360" w:name="_Toc152045562"/>
      <w:bookmarkStart w:id="361" w:name="_Toc179632580"/>
      <w:r>
        <w:rPr>
          <w:rFonts w:hint="eastAsia" w:ascii="黑体" w:hAnsi="黑体" w:eastAsia="黑体" w:cs="黑体"/>
          <w:b w:val="0"/>
          <w:bCs w:val="0"/>
          <w:highlight w:val="none"/>
        </w:rPr>
        <w:t>评标</w:t>
      </w:r>
      <w:bookmarkEnd w:id="354"/>
      <w:bookmarkEnd w:id="355"/>
      <w:bookmarkEnd w:id="356"/>
      <w:bookmarkEnd w:id="357"/>
      <w:bookmarkEnd w:id="358"/>
      <w:bookmarkEnd w:id="359"/>
      <w:bookmarkEnd w:id="360"/>
      <w:bookmarkEnd w:id="361"/>
    </w:p>
    <w:p>
      <w:pPr>
        <w:pStyle w:val="2"/>
        <w:spacing w:beforeLines="100" w:afterLines="100" w:line="240" w:lineRule="auto"/>
        <w:rPr>
          <w:rFonts w:cs="黑体"/>
          <w:snapToGrid w:val="0"/>
          <w:highlight w:val="none"/>
          <w:shd w:val="clear" w:color="auto" w:fill="FFFFFF"/>
          <w:lang w:val="zh-CN"/>
        </w:rPr>
      </w:pPr>
      <w:bookmarkStart w:id="362" w:name="_Toc152042339"/>
      <w:bookmarkStart w:id="363" w:name="_Toc152045563"/>
      <w:bookmarkStart w:id="364" w:name="_Toc179632581"/>
      <w:bookmarkStart w:id="365" w:name="_Toc144974531"/>
      <w:r>
        <w:rPr>
          <w:rFonts w:hint="eastAsia" w:cs="黑体"/>
          <w:snapToGrid w:val="0"/>
          <w:highlight w:val="none"/>
          <w:shd w:val="clear" w:color="auto" w:fill="FFFFFF"/>
          <w:lang w:val="zh-CN"/>
        </w:rPr>
        <w:t>6.1评标委员会</w:t>
      </w:r>
      <w:bookmarkEnd w:id="362"/>
      <w:bookmarkEnd w:id="363"/>
      <w:bookmarkEnd w:id="364"/>
      <w:bookmarkEnd w:id="365"/>
    </w:p>
    <w:p>
      <w:pPr>
        <w:spacing w:line="360" w:lineRule="auto"/>
        <w:ind w:firstLine="480" w:firstLineChars="200"/>
        <w:rPr>
          <w:rFonts w:hAnsi="宋体" w:cs="宋体"/>
          <w:highlight w:val="none"/>
        </w:rPr>
      </w:pPr>
      <w:bookmarkStart w:id="366" w:name="_Toc179632582"/>
      <w:bookmarkStart w:id="367" w:name="_Toc152045564"/>
      <w:bookmarkStart w:id="368" w:name="_Toc152042340"/>
      <w:bookmarkStart w:id="369" w:name="_Toc144974532"/>
      <w:r>
        <w:rPr>
          <w:rFonts w:hint="eastAsia" w:hAnsi="宋体" w:cs="宋体"/>
          <w:highlight w:val="none"/>
        </w:rPr>
        <w:t>6.1.1 评标由招标人依法组建的评标委员会负责。评标委员会由招标人的代表，以及有关技术、经济等方面的专家组成。</w:t>
      </w:r>
    </w:p>
    <w:p>
      <w:pPr>
        <w:spacing w:line="360" w:lineRule="auto"/>
        <w:ind w:firstLine="480" w:firstLineChars="200"/>
        <w:rPr>
          <w:rFonts w:hAnsi="宋体" w:cs="宋体"/>
          <w:highlight w:val="none"/>
        </w:rPr>
      </w:pPr>
      <w:r>
        <w:rPr>
          <w:rFonts w:hint="eastAsia" w:hAnsi="宋体" w:cs="宋体"/>
          <w:highlight w:val="none"/>
        </w:rPr>
        <w:t>6.1.2 评标委员会成员有下列情形之一的，应当主动提出回避：</w:t>
      </w:r>
    </w:p>
    <w:p>
      <w:pPr>
        <w:spacing w:line="360" w:lineRule="auto"/>
        <w:ind w:firstLine="480" w:firstLineChars="200"/>
        <w:rPr>
          <w:rFonts w:hAnsi="宋体" w:cs="宋体"/>
          <w:highlight w:val="none"/>
        </w:rPr>
      </w:pPr>
      <w:r>
        <w:rPr>
          <w:rFonts w:hint="eastAsia" w:hAnsi="宋体" w:cs="宋体"/>
          <w:highlight w:val="none"/>
        </w:rPr>
        <w:t>（1）投标人或投标人的主要负责人的近亲属；</w:t>
      </w:r>
    </w:p>
    <w:p>
      <w:pPr>
        <w:spacing w:line="360" w:lineRule="auto"/>
        <w:ind w:firstLine="480" w:firstLineChars="200"/>
        <w:rPr>
          <w:rFonts w:hAnsi="宋体" w:cs="宋体"/>
          <w:highlight w:val="none"/>
        </w:rPr>
      </w:pPr>
      <w:r>
        <w:rPr>
          <w:rFonts w:hint="eastAsia" w:hAnsi="宋体" w:cs="宋体"/>
          <w:highlight w:val="none"/>
        </w:rPr>
        <w:t>（2）项目主管部门或者行政监督部门的人员；</w:t>
      </w:r>
    </w:p>
    <w:p>
      <w:pPr>
        <w:spacing w:line="360" w:lineRule="auto"/>
        <w:ind w:firstLine="480" w:firstLineChars="200"/>
        <w:rPr>
          <w:rFonts w:hAnsi="宋体" w:cs="宋体"/>
          <w:highlight w:val="none"/>
        </w:rPr>
      </w:pPr>
      <w:r>
        <w:rPr>
          <w:rFonts w:hint="eastAsia" w:hAnsi="宋体" w:cs="宋体"/>
          <w:highlight w:val="none"/>
        </w:rPr>
        <w:t>（3）与投标人有经济利益关系，可能影响对投标公正评审的；</w:t>
      </w:r>
    </w:p>
    <w:p>
      <w:pPr>
        <w:spacing w:line="360" w:lineRule="auto"/>
        <w:ind w:firstLine="480" w:firstLineChars="200"/>
        <w:rPr>
          <w:rFonts w:hAnsi="宋体" w:cs="宋体"/>
          <w:highlight w:val="none"/>
        </w:rPr>
      </w:pPr>
      <w:r>
        <w:rPr>
          <w:rFonts w:hint="eastAsia" w:hAnsi="宋体" w:cs="宋体"/>
          <w:highlight w:val="none"/>
        </w:rPr>
        <w:t>（4）曾因在招标、评标以及其他与招标投标有关活动中从事违法行为而受过行政处罚或刑事处罚的；</w:t>
      </w:r>
    </w:p>
    <w:p>
      <w:pPr>
        <w:spacing w:line="360" w:lineRule="auto"/>
        <w:ind w:firstLine="480" w:firstLineChars="200"/>
        <w:rPr>
          <w:rFonts w:hAnsi="宋体" w:cs="宋体"/>
          <w:highlight w:val="none"/>
        </w:rPr>
      </w:pPr>
      <w:r>
        <w:rPr>
          <w:rFonts w:hint="eastAsia" w:hAnsi="宋体" w:cs="宋体"/>
          <w:highlight w:val="none"/>
        </w:rPr>
        <w:t>（5）与投标人有其他利害关系。</w:t>
      </w:r>
    </w:p>
    <w:p>
      <w:pPr>
        <w:spacing w:line="360" w:lineRule="auto"/>
        <w:ind w:firstLine="480" w:firstLineChars="200"/>
        <w:rPr>
          <w:rFonts w:hAnsi="宋体" w:cs="宋体"/>
          <w:bCs/>
          <w:snapToGrid w:val="0"/>
          <w:highlight w:val="none"/>
        </w:rPr>
      </w:pPr>
      <w:r>
        <w:rPr>
          <w:rFonts w:hint="eastAsia" w:hAnsi="宋体" w:cs="宋体"/>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6.2评标原则</w:t>
      </w:r>
      <w:bookmarkEnd w:id="366"/>
      <w:bookmarkEnd w:id="367"/>
      <w:bookmarkEnd w:id="368"/>
      <w:bookmarkEnd w:id="369"/>
    </w:p>
    <w:p>
      <w:pPr>
        <w:spacing w:line="360" w:lineRule="auto"/>
        <w:ind w:firstLine="480" w:firstLineChars="200"/>
        <w:rPr>
          <w:rFonts w:hAnsi="宋体" w:cs="宋体"/>
          <w:highlight w:val="none"/>
        </w:rPr>
      </w:pPr>
      <w:r>
        <w:rPr>
          <w:rFonts w:hint="eastAsia" w:hAnsi="宋体" w:cs="宋体"/>
          <w:highlight w:val="none"/>
        </w:rPr>
        <w:t>评标活动遵循公平、公正、科学和择优的原则。</w:t>
      </w:r>
    </w:p>
    <w:p>
      <w:pPr>
        <w:pStyle w:val="2"/>
        <w:spacing w:beforeLines="100" w:afterLines="100" w:line="240" w:lineRule="auto"/>
        <w:rPr>
          <w:rFonts w:cs="黑体"/>
          <w:snapToGrid w:val="0"/>
          <w:highlight w:val="none"/>
          <w:shd w:val="clear" w:color="auto" w:fill="FFFFFF"/>
          <w:lang w:val="zh-CN"/>
        </w:rPr>
      </w:pPr>
      <w:bookmarkStart w:id="370" w:name="_Toc144974533"/>
      <w:bookmarkStart w:id="371" w:name="_Toc152042341"/>
      <w:bookmarkStart w:id="372" w:name="_Toc152045565"/>
      <w:bookmarkStart w:id="373" w:name="_Toc179632583"/>
      <w:r>
        <w:rPr>
          <w:rFonts w:hint="eastAsia" w:cs="黑体"/>
          <w:snapToGrid w:val="0"/>
          <w:highlight w:val="none"/>
          <w:shd w:val="clear" w:color="auto" w:fill="FFFFFF"/>
          <w:lang w:val="zh-CN"/>
        </w:rPr>
        <w:t>6.3评标</w:t>
      </w:r>
      <w:bookmarkEnd w:id="370"/>
      <w:bookmarkEnd w:id="371"/>
      <w:bookmarkEnd w:id="372"/>
      <w:bookmarkEnd w:id="373"/>
    </w:p>
    <w:p>
      <w:pPr>
        <w:spacing w:line="360" w:lineRule="auto"/>
        <w:ind w:firstLine="480" w:firstLineChars="200"/>
        <w:rPr>
          <w:rFonts w:hAnsi="宋体" w:cs="宋体"/>
          <w:highlight w:val="none"/>
        </w:rPr>
      </w:pPr>
      <w:r>
        <w:rPr>
          <w:rFonts w:hint="eastAsia" w:hAnsi="宋体" w:cs="宋体"/>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Ansi="宋体" w:cs="宋体"/>
          <w:bCs/>
          <w:snapToGrid w:val="0"/>
          <w:highlight w:val="none"/>
        </w:rPr>
      </w:pPr>
      <w:bookmarkStart w:id="374" w:name="_Toc144974534"/>
      <w:bookmarkStart w:id="375" w:name="_Toc152045566"/>
      <w:bookmarkStart w:id="376" w:name="_Toc179632584"/>
      <w:bookmarkStart w:id="377" w:name="_Toc152042342"/>
      <w:r>
        <w:rPr>
          <w:rFonts w:hint="eastAsia" w:hAnsi="宋体" w:cs="宋体"/>
          <w:highlight w:val="none"/>
        </w:rPr>
        <w:t xml:space="preserve">6.3.2 </w:t>
      </w:r>
      <w:r>
        <w:rPr>
          <w:rFonts w:hint="eastAsia" w:hAnsi="宋体" w:cs="宋体"/>
          <w:bCs/>
          <w:snapToGrid w:val="0"/>
          <w:highlight w:val="none"/>
        </w:rPr>
        <w:t>评标完成后，评标委员会应向招标人提交书面评标报告和中标候选人名单。评标委员会推荐中标候选人的数量见投标人须知前附表。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6.4中标候选人公示</w:t>
      </w:r>
    </w:p>
    <w:p>
      <w:pPr>
        <w:spacing w:line="360" w:lineRule="auto"/>
        <w:ind w:firstLine="480" w:firstLineChars="200"/>
        <w:rPr>
          <w:rFonts w:hAnsi="宋体" w:cs="宋体"/>
          <w:highlight w:val="none"/>
        </w:rPr>
      </w:pPr>
      <w:r>
        <w:rPr>
          <w:rFonts w:hint="eastAsia" w:hAnsi="宋体" w:cs="宋体"/>
          <w:highlight w:val="none"/>
        </w:rPr>
        <w:t>招标人在收到评标报告之日起3日内，按照投标人须知前附表规定的公示媒介和期限依法公示中标候选人，公示期不得少于3日。其他要求见投标人须知前附表。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6.5评标结果异议</w:t>
      </w:r>
    </w:p>
    <w:p>
      <w:pPr>
        <w:spacing w:line="360" w:lineRule="auto"/>
        <w:ind w:firstLine="480" w:firstLineChars="200"/>
        <w:rPr>
          <w:rFonts w:hAnsi="宋体" w:cs="宋体"/>
          <w:highlight w:val="none"/>
        </w:rPr>
      </w:pPr>
      <w:r>
        <w:rPr>
          <w:rFonts w:hint="eastAsia" w:hAnsi="宋体" w:cs="宋体"/>
          <w:highlight w:val="none"/>
        </w:rPr>
        <w:t>投标人或者其他利害关系人对评标结果有异议的，应在中标候选人公示期间通过电子交易系统在线</w:t>
      </w:r>
      <w:r>
        <w:rPr>
          <w:rFonts w:hint="eastAsia" w:hAnsi="宋体" w:cs="宋体"/>
          <w:bCs/>
          <w:snapToGrid w:val="0"/>
          <w:highlight w:val="none"/>
        </w:rPr>
        <w:t>提出</w:t>
      </w:r>
      <w:r>
        <w:rPr>
          <w:rFonts w:hint="eastAsia" w:hAnsi="宋体" w:cs="宋体"/>
          <w:highlight w:val="none"/>
        </w:rPr>
        <w:t>或以其他书面形式提出。招标人将在收到异议之日起3日内作出答复；作出答复前，将暂停招标投标活动。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6.6中标候选人履约能力审查</w:t>
      </w:r>
    </w:p>
    <w:p>
      <w:pPr>
        <w:spacing w:line="360" w:lineRule="auto"/>
        <w:ind w:firstLine="480" w:firstLineChars="200"/>
        <w:rPr>
          <w:rFonts w:hAnsi="宋体" w:cs="宋体"/>
          <w:highlight w:val="none"/>
        </w:rPr>
      </w:pPr>
      <w:r>
        <w:rPr>
          <w:rFonts w:hint="eastAsia" w:hAnsi="宋体" w:cs="宋体"/>
          <w:highlight w:val="none"/>
        </w:rPr>
        <w:t>中标候选人的经营、财务状况发生较大变化或存在违法行为，招标人认为可能影响其履约能力的，将在发出中标通知书前提请原评标委员会按照招标文件规定的标准和方法进行审查确认。</w:t>
      </w:r>
    </w:p>
    <w:bookmarkEnd w:id="374"/>
    <w:bookmarkEnd w:id="375"/>
    <w:bookmarkEnd w:id="376"/>
    <w:bookmarkEnd w:id="377"/>
    <w:p>
      <w:pPr>
        <w:pStyle w:val="4"/>
        <w:numPr>
          <w:ilvl w:val="0"/>
          <w:numId w:val="3"/>
        </w:numPr>
        <w:spacing w:beforeLines="100" w:afterLines="100" w:line="240" w:lineRule="auto"/>
        <w:rPr>
          <w:rFonts w:ascii="黑体" w:hAnsi="黑体" w:eastAsia="黑体" w:cs="黑体"/>
          <w:b w:val="0"/>
          <w:bCs w:val="0"/>
          <w:highlight w:val="none"/>
        </w:rPr>
      </w:pPr>
      <w:bookmarkStart w:id="378" w:name="_Toc140069412"/>
      <w:bookmarkStart w:id="379" w:name="_Toc32104"/>
      <w:bookmarkStart w:id="380" w:name="_Toc13610"/>
      <w:bookmarkStart w:id="381" w:name="_Toc21136"/>
      <w:bookmarkStart w:id="382" w:name="_Toc152045568"/>
      <w:bookmarkStart w:id="383" w:name="_Toc152042344"/>
      <w:bookmarkStart w:id="384" w:name="_Toc144974536"/>
      <w:bookmarkStart w:id="385" w:name="_Toc179632586"/>
      <w:r>
        <w:rPr>
          <w:rFonts w:hint="eastAsia" w:ascii="黑体" w:hAnsi="黑体" w:eastAsia="黑体" w:cs="黑体"/>
          <w:b w:val="0"/>
          <w:bCs w:val="0"/>
          <w:highlight w:val="none"/>
        </w:rPr>
        <w:t>定标</w:t>
      </w:r>
      <w:bookmarkEnd w:id="378"/>
      <w:bookmarkEnd w:id="379"/>
      <w:bookmarkEnd w:id="380"/>
      <w:bookmarkEnd w:id="381"/>
    </w:p>
    <w:bookmarkEnd w:id="382"/>
    <w:bookmarkEnd w:id="383"/>
    <w:bookmarkEnd w:id="384"/>
    <w:bookmarkEnd w:id="385"/>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7.1定标</w:t>
      </w:r>
    </w:p>
    <w:p>
      <w:pPr>
        <w:spacing w:line="360" w:lineRule="auto"/>
        <w:ind w:firstLine="480" w:firstLineChars="200"/>
        <w:rPr>
          <w:rFonts w:hAnsi="宋体" w:cs="宋体"/>
          <w:highlight w:val="none"/>
        </w:rPr>
      </w:pPr>
      <w:r>
        <w:rPr>
          <w:rFonts w:hint="eastAsia" w:hAnsi="宋体" w:cs="宋体"/>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7.2中标结果公示</w:t>
      </w:r>
    </w:p>
    <w:p>
      <w:pPr>
        <w:spacing w:line="360" w:lineRule="auto"/>
        <w:ind w:firstLine="480" w:firstLineChars="200"/>
        <w:rPr>
          <w:rFonts w:hAnsi="宋体" w:cs="宋体"/>
          <w:bCs/>
          <w:snapToGrid w:val="0"/>
          <w:highlight w:val="none"/>
        </w:rPr>
      </w:pPr>
      <w:r>
        <w:rPr>
          <w:rFonts w:hint="eastAsia" w:hAnsi="宋体" w:cs="宋体"/>
          <w:highlight w:val="none"/>
        </w:rPr>
        <w:t>招标人在确定中标人之日起3日内，按照投标人须知前附表规定的公示媒介依法公示中标结果。</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7.3中标通知</w:t>
      </w:r>
    </w:p>
    <w:p>
      <w:pPr>
        <w:spacing w:line="360" w:lineRule="auto"/>
        <w:ind w:firstLine="480" w:firstLineChars="200"/>
        <w:rPr>
          <w:rFonts w:hAnsi="宋体" w:cs="宋体"/>
          <w:bCs/>
          <w:snapToGrid w:val="0"/>
          <w:highlight w:val="none"/>
        </w:rPr>
      </w:pPr>
      <w:r>
        <w:rPr>
          <w:rFonts w:hint="eastAsia" w:hAnsi="宋体" w:cs="宋体"/>
          <w:highlight w:val="none"/>
        </w:rPr>
        <w:t>在本章第3.3款规定的投标有效期内，招标人按照投标人须知前附表规定的形式向中标人发出中标通知书，同时将中标结果通知未中标的投标人。</w:t>
      </w:r>
    </w:p>
    <w:p>
      <w:pPr>
        <w:pStyle w:val="4"/>
        <w:numPr>
          <w:ilvl w:val="0"/>
          <w:numId w:val="3"/>
        </w:numPr>
        <w:spacing w:beforeLines="100" w:afterLines="100" w:line="240" w:lineRule="auto"/>
        <w:rPr>
          <w:rFonts w:ascii="黑体" w:hAnsi="黑体" w:eastAsia="黑体" w:cs="黑体"/>
          <w:b w:val="0"/>
          <w:bCs w:val="0"/>
          <w:highlight w:val="none"/>
        </w:rPr>
      </w:pPr>
      <w:bookmarkStart w:id="386" w:name="_Toc31145"/>
      <w:bookmarkStart w:id="387" w:name="_Toc140069413"/>
      <w:bookmarkStart w:id="388" w:name="_Toc23358"/>
      <w:bookmarkStart w:id="389" w:name="_Toc15926"/>
      <w:bookmarkStart w:id="390" w:name="_Toc1007"/>
      <w:bookmarkStart w:id="391" w:name="_Toc144974537"/>
      <w:bookmarkStart w:id="392" w:name="_Toc179632587"/>
      <w:bookmarkStart w:id="393" w:name="_Toc152042345"/>
      <w:bookmarkStart w:id="394" w:name="_Toc152045569"/>
      <w:r>
        <w:rPr>
          <w:rFonts w:hint="eastAsia" w:ascii="黑体" w:hAnsi="黑体" w:eastAsia="黑体" w:cs="黑体"/>
          <w:b w:val="0"/>
          <w:bCs w:val="0"/>
          <w:highlight w:val="none"/>
        </w:rPr>
        <w:t>合同授予</w:t>
      </w:r>
      <w:bookmarkEnd w:id="386"/>
      <w:bookmarkEnd w:id="387"/>
      <w:bookmarkEnd w:id="388"/>
      <w:bookmarkEnd w:id="389"/>
      <w:bookmarkEnd w:id="390"/>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8.1履约保证金</w:t>
      </w:r>
      <w:bookmarkEnd w:id="391"/>
      <w:bookmarkEnd w:id="392"/>
      <w:bookmarkEnd w:id="393"/>
      <w:bookmarkEnd w:id="394"/>
    </w:p>
    <w:p>
      <w:pPr>
        <w:spacing w:line="360" w:lineRule="auto"/>
        <w:ind w:firstLine="480" w:firstLineChars="200"/>
        <w:rPr>
          <w:rFonts w:hAnsi="宋体" w:cs="宋体"/>
          <w:highlight w:val="none"/>
        </w:rPr>
      </w:pPr>
      <w:r>
        <w:rPr>
          <w:rFonts w:hint="eastAsia" w:hAnsi="宋体" w:cs="宋体"/>
          <w:highlight w:val="none"/>
        </w:rPr>
        <w:t>8.1.1 在签订合同前，中标人应按照投标人须知前附表规定的金额、形式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hAnsi="宋体" w:cs="宋体"/>
          <w:highlight w:val="none"/>
        </w:rPr>
      </w:pPr>
      <w:r>
        <w:rPr>
          <w:rFonts w:hint="eastAsia" w:hAnsi="宋体" w:cs="宋体"/>
          <w:highlight w:val="none"/>
        </w:rPr>
        <w:t>8.1.2 中标人不能按照本章第8.1.1项要求提交履约保证金的，视为放弃中标，其投标保证金不予退还，给招标人造成的损失超过投标保证金数额的，中标人还应当对超过部分予以赔偿。</w:t>
      </w:r>
    </w:p>
    <w:p>
      <w:pPr>
        <w:pStyle w:val="2"/>
        <w:spacing w:beforeLines="100" w:afterLines="100" w:line="240" w:lineRule="auto"/>
        <w:rPr>
          <w:rFonts w:cs="黑体"/>
          <w:snapToGrid w:val="0"/>
          <w:highlight w:val="none"/>
          <w:shd w:val="clear" w:color="auto" w:fill="FFFFFF"/>
          <w:lang w:val="zh-CN"/>
        </w:rPr>
      </w:pPr>
      <w:bookmarkStart w:id="395" w:name="_Toc144974538"/>
      <w:bookmarkStart w:id="396" w:name="_Toc152042346"/>
      <w:bookmarkStart w:id="397" w:name="_Toc179632588"/>
      <w:bookmarkStart w:id="398" w:name="_Toc152045570"/>
      <w:r>
        <w:rPr>
          <w:rFonts w:hint="eastAsia" w:cs="黑体"/>
          <w:snapToGrid w:val="0"/>
          <w:highlight w:val="none"/>
          <w:shd w:val="clear" w:color="auto" w:fill="FFFFFF"/>
          <w:lang w:val="zh-CN"/>
        </w:rPr>
        <w:t>8.2签订合同</w:t>
      </w:r>
      <w:bookmarkEnd w:id="395"/>
      <w:bookmarkEnd w:id="396"/>
      <w:bookmarkEnd w:id="397"/>
      <w:bookmarkEnd w:id="398"/>
    </w:p>
    <w:p>
      <w:pPr>
        <w:spacing w:line="360" w:lineRule="auto"/>
        <w:ind w:firstLine="480" w:firstLineChars="200"/>
        <w:rPr>
          <w:rFonts w:hAnsi="宋体" w:cs="宋体"/>
          <w:highlight w:val="none"/>
        </w:rPr>
      </w:pPr>
      <w:r>
        <w:rPr>
          <w:rFonts w:hint="eastAsia" w:hAnsi="宋体" w:cs="宋体"/>
          <w:highlight w:val="none"/>
        </w:rPr>
        <w:t>8.2.1 中标人和招标人应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对超过部分予以赔偿。</w:t>
      </w:r>
    </w:p>
    <w:p>
      <w:pPr>
        <w:spacing w:line="360" w:lineRule="auto"/>
        <w:ind w:firstLine="480" w:firstLineChars="200"/>
        <w:rPr>
          <w:rFonts w:hAnsi="宋体" w:cs="宋体"/>
          <w:highlight w:val="none"/>
        </w:rPr>
      </w:pPr>
      <w:r>
        <w:rPr>
          <w:rFonts w:hint="eastAsia" w:hAnsi="宋体" w:cs="宋体"/>
          <w:highlight w:val="none"/>
        </w:rPr>
        <w:t>8.2.2 发出中标通知书后，招标人无正当理由拒签合同，或者在签订合同时向中标人提出附加条件的，招标人应退还中标人的投标保证金。招标人存在前述情形的，由公共资源交易监督管理部门责令改正，可以处中标项目金额10‰以下的罚款；给中标人造成损失的，依法承担赔偿责任。</w:t>
      </w:r>
    </w:p>
    <w:p>
      <w:pPr>
        <w:spacing w:line="360" w:lineRule="auto"/>
        <w:ind w:firstLine="480" w:firstLineChars="200"/>
        <w:rPr>
          <w:rFonts w:hAnsi="宋体" w:cs="宋体"/>
          <w:highlight w:val="none"/>
        </w:rPr>
      </w:pPr>
      <w:r>
        <w:rPr>
          <w:rFonts w:hint="eastAsia" w:hAnsi="宋体" w:cs="宋体"/>
          <w:highlight w:val="none"/>
        </w:rPr>
        <w:t>8.2.3 联合体中标的，联合体各方应当共同与招标人签订合同，就中标项目向招标人承担连带责任。</w:t>
      </w:r>
    </w:p>
    <w:p>
      <w:pPr>
        <w:spacing w:line="360" w:lineRule="auto"/>
        <w:ind w:firstLine="480" w:firstLineChars="200"/>
        <w:rPr>
          <w:rFonts w:hAnsi="宋体" w:cs="宋体"/>
          <w:bCs/>
          <w:snapToGrid w:val="0"/>
          <w:highlight w:val="none"/>
        </w:rPr>
      </w:pPr>
      <w:r>
        <w:rPr>
          <w:rFonts w:hint="eastAsia" w:hAnsi="宋体" w:cs="宋体"/>
          <w:highlight w:val="none"/>
        </w:rPr>
        <w:t>8.2.4</w:t>
      </w:r>
      <w:r>
        <w:rPr>
          <w:rFonts w:hint="eastAsia" w:ascii="Times New Roman"/>
          <w:highlight w:val="none"/>
        </w:rPr>
        <w:t xml:space="preserve"> 招标人将及时主动公开合同订立信息，并积极推进合同履行及变更信息公开。</w:t>
      </w:r>
    </w:p>
    <w:p>
      <w:pPr>
        <w:pStyle w:val="4"/>
        <w:spacing w:beforeLines="100" w:afterLines="100" w:line="240" w:lineRule="auto"/>
        <w:rPr>
          <w:rFonts w:ascii="黑体" w:hAnsi="黑体" w:eastAsia="黑体" w:cs="黑体"/>
          <w:b w:val="0"/>
          <w:bCs w:val="0"/>
          <w:highlight w:val="none"/>
        </w:rPr>
      </w:pPr>
      <w:bookmarkStart w:id="399" w:name="_Toc22509"/>
      <w:bookmarkStart w:id="400" w:name="_Toc1531"/>
      <w:bookmarkStart w:id="401" w:name="_Toc140069414"/>
      <w:bookmarkStart w:id="402" w:name="_Toc13907"/>
      <w:bookmarkStart w:id="403" w:name="_Toc20588"/>
      <w:bookmarkStart w:id="404" w:name="_Toc15228"/>
      <w:bookmarkStart w:id="405" w:name="_Toc144974542"/>
      <w:bookmarkStart w:id="406" w:name="_Toc948"/>
      <w:bookmarkStart w:id="407" w:name="_Toc152042350"/>
      <w:bookmarkStart w:id="408" w:name="_Toc38879332"/>
      <w:bookmarkStart w:id="409" w:name="_Toc152045574"/>
      <w:bookmarkStart w:id="410" w:name="_Toc179632592"/>
      <w:r>
        <w:rPr>
          <w:rFonts w:hint="eastAsia" w:ascii="黑体" w:hAnsi="黑体" w:eastAsia="黑体" w:cs="黑体"/>
          <w:b w:val="0"/>
          <w:bCs w:val="0"/>
          <w:highlight w:val="none"/>
        </w:rPr>
        <w:t>9. 纪律和监督</w:t>
      </w:r>
      <w:bookmarkEnd w:id="399"/>
      <w:bookmarkEnd w:id="400"/>
      <w:bookmarkEnd w:id="401"/>
      <w:bookmarkEnd w:id="402"/>
      <w:bookmarkEnd w:id="403"/>
      <w:bookmarkEnd w:id="404"/>
      <w:bookmarkEnd w:id="405"/>
      <w:bookmarkEnd w:id="406"/>
      <w:bookmarkEnd w:id="407"/>
      <w:bookmarkEnd w:id="408"/>
      <w:bookmarkEnd w:id="409"/>
      <w:bookmarkEnd w:id="410"/>
    </w:p>
    <w:p>
      <w:pPr>
        <w:pStyle w:val="2"/>
        <w:spacing w:beforeLines="100" w:afterLines="100" w:line="240" w:lineRule="auto"/>
        <w:rPr>
          <w:rFonts w:cs="黑体"/>
          <w:snapToGrid w:val="0"/>
          <w:highlight w:val="none"/>
          <w:shd w:val="clear" w:color="auto" w:fill="FFFFFF"/>
          <w:lang w:val="zh-CN"/>
        </w:rPr>
      </w:pPr>
      <w:bookmarkStart w:id="411" w:name="_Toc152042351"/>
      <w:bookmarkStart w:id="412" w:name="_Toc179632593"/>
      <w:bookmarkStart w:id="413" w:name="_Toc152045575"/>
      <w:bookmarkStart w:id="414" w:name="_Toc144974543"/>
      <w:r>
        <w:rPr>
          <w:rFonts w:hint="eastAsia" w:cs="黑体"/>
          <w:snapToGrid w:val="0"/>
          <w:highlight w:val="none"/>
          <w:shd w:val="clear" w:color="auto" w:fill="FFFFFF"/>
          <w:lang w:val="zh-CN"/>
        </w:rPr>
        <w:t>9.1对招标人的纪律要求</w:t>
      </w:r>
      <w:bookmarkEnd w:id="411"/>
      <w:bookmarkEnd w:id="412"/>
      <w:bookmarkEnd w:id="413"/>
      <w:bookmarkEnd w:id="414"/>
    </w:p>
    <w:p>
      <w:pPr>
        <w:spacing w:line="360" w:lineRule="auto"/>
        <w:ind w:firstLine="480" w:firstLineChars="200"/>
        <w:rPr>
          <w:rFonts w:hAnsi="宋体" w:cs="宋体"/>
          <w:highlight w:val="none"/>
        </w:rPr>
      </w:pPr>
      <w:r>
        <w:rPr>
          <w:rFonts w:hint="eastAsia" w:hAnsi="宋体" w:cs="宋体"/>
          <w:highlight w:val="none"/>
        </w:rPr>
        <w:t>招标人不得泄露招标投标活动中应当保密的情况和资料，不得与投标人串通损害国家利益、社会公共利益或者他人合法权益。</w:t>
      </w:r>
    </w:p>
    <w:p>
      <w:pPr>
        <w:pStyle w:val="2"/>
        <w:spacing w:beforeLines="100" w:afterLines="100" w:line="240" w:lineRule="auto"/>
        <w:rPr>
          <w:rFonts w:cs="黑体"/>
          <w:snapToGrid w:val="0"/>
          <w:highlight w:val="none"/>
          <w:shd w:val="clear" w:color="auto" w:fill="FFFFFF"/>
          <w:lang w:val="zh-CN"/>
        </w:rPr>
      </w:pPr>
      <w:bookmarkStart w:id="415" w:name="_Toc152045576"/>
      <w:bookmarkStart w:id="416" w:name="_Toc144974544"/>
      <w:bookmarkStart w:id="417" w:name="_Toc179632594"/>
      <w:bookmarkStart w:id="418" w:name="_Toc152042352"/>
      <w:r>
        <w:rPr>
          <w:rFonts w:hint="eastAsia" w:cs="黑体"/>
          <w:snapToGrid w:val="0"/>
          <w:highlight w:val="none"/>
          <w:shd w:val="clear" w:color="auto" w:fill="FFFFFF"/>
          <w:lang w:val="zh-CN"/>
        </w:rPr>
        <w:t>9.2对投标人的纪律要求</w:t>
      </w:r>
      <w:bookmarkEnd w:id="415"/>
      <w:bookmarkEnd w:id="416"/>
      <w:bookmarkEnd w:id="417"/>
      <w:bookmarkEnd w:id="418"/>
    </w:p>
    <w:p>
      <w:pPr>
        <w:spacing w:line="360" w:lineRule="auto"/>
        <w:ind w:firstLine="480" w:firstLineChars="200"/>
        <w:rPr>
          <w:rFonts w:hAnsi="宋体" w:cs="宋体"/>
          <w:highlight w:val="none"/>
        </w:rPr>
      </w:pPr>
      <w:r>
        <w:rPr>
          <w:rFonts w:hint="eastAsia" w:hAnsi="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
        <w:spacing w:beforeLines="100" w:afterLines="100" w:line="240" w:lineRule="auto"/>
        <w:rPr>
          <w:rFonts w:cs="黑体"/>
          <w:snapToGrid w:val="0"/>
          <w:highlight w:val="none"/>
          <w:shd w:val="clear" w:color="auto" w:fill="FFFFFF"/>
          <w:lang w:val="zh-CN"/>
        </w:rPr>
      </w:pPr>
      <w:bookmarkStart w:id="419" w:name="_Toc152045577"/>
      <w:bookmarkStart w:id="420" w:name="_Toc152042353"/>
      <w:bookmarkStart w:id="421" w:name="_Toc179632595"/>
      <w:bookmarkStart w:id="422" w:name="_Toc144974545"/>
      <w:r>
        <w:rPr>
          <w:rFonts w:hint="eastAsia" w:cs="黑体"/>
          <w:snapToGrid w:val="0"/>
          <w:highlight w:val="none"/>
          <w:shd w:val="clear" w:color="auto" w:fill="FFFFFF"/>
          <w:lang w:val="zh-CN"/>
        </w:rPr>
        <w:t>9.3对评标委员会成员的纪律要求</w:t>
      </w:r>
      <w:bookmarkEnd w:id="419"/>
      <w:bookmarkEnd w:id="420"/>
      <w:bookmarkEnd w:id="421"/>
      <w:bookmarkEnd w:id="422"/>
    </w:p>
    <w:p>
      <w:pPr>
        <w:spacing w:line="360" w:lineRule="auto"/>
        <w:ind w:firstLine="480" w:firstLineChars="200"/>
        <w:rPr>
          <w:rFonts w:hAnsi="宋体" w:cs="宋体"/>
          <w:highlight w:val="none"/>
        </w:rPr>
      </w:pPr>
      <w:r>
        <w:rPr>
          <w:rFonts w:hint="eastAsia" w:hAnsi="宋体" w:cs="宋体"/>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
        <w:spacing w:beforeLines="100" w:afterLines="100" w:line="240" w:lineRule="auto"/>
        <w:rPr>
          <w:rFonts w:cs="黑体"/>
          <w:snapToGrid w:val="0"/>
          <w:highlight w:val="none"/>
          <w:shd w:val="clear" w:color="auto" w:fill="FFFFFF"/>
          <w:lang w:val="zh-CN"/>
        </w:rPr>
      </w:pPr>
      <w:bookmarkStart w:id="423" w:name="_Toc179632596"/>
      <w:bookmarkStart w:id="424" w:name="_Toc152042354"/>
      <w:bookmarkStart w:id="425" w:name="_Toc152045578"/>
      <w:bookmarkStart w:id="426" w:name="_Toc144974546"/>
      <w:r>
        <w:rPr>
          <w:rFonts w:hint="eastAsia" w:cs="黑体"/>
          <w:snapToGrid w:val="0"/>
          <w:highlight w:val="none"/>
          <w:shd w:val="clear" w:color="auto" w:fill="FFFFFF"/>
          <w:lang w:val="zh-CN"/>
        </w:rPr>
        <w:t>9.4对与评标活动有关的工作人员的纪律要求</w:t>
      </w:r>
      <w:bookmarkEnd w:id="423"/>
      <w:bookmarkEnd w:id="424"/>
      <w:bookmarkEnd w:id="425"/>
    </w:p>
    <w:p>
      <w:pPr>
        <w:spacing w:line="360" w:lineRule="auto"/>
        <w:ind w:firstLine="480" w:firstLineChars="200"/>
        <w:rPr>
          <w:rFonts w:hAnsi="宋体" w:cs="宋体"/>
          <w:highlight w:val="none"/>
        </w:rPr>
      </w:pPr>
      <w:bookmarkStart w:id="427" w:name="_Toc152042355"/>
      <w:r>
        <w:rPr>
          <w:rFonts w:hint="eastAsia" w:hAnsi="宋体" w:cs="宋体"/>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427"/>
    </w:p>
    <w:p>
      <w:pPr>
        <w:pStyle w:val="2"/>
        <w:spacing w:beforeLines="100" w:afterLines="100" w:line="240" w:lineRule="auto"/>
        <w:rPr>
          <w:rFonts w:cs="黑体"/>
          <w:snapToGrid w:val="0"/>
          <w:highlight w:val="none"/>
          <w:shd w:val="clear" w:color="auto" w:fill="FFFFFF"/>
          <w:lang w:val="zh-CN"/>
        </w:rPr>
      </w:pPr>
      <w:bookmarkStart w:id="428" w:name="_Toc179632597"/>
      <w:bookmarkStart w:id="429" w:name="_Toc152042356"/>
      <w:bookmarkStart w:id="430" w:name="_Toc152045579"/>
      <w:r>
        <w:rPr>
          <w:rFonts w:hint="eastAsia" w:cs="黑体"/>
          <w:snapToGrid w:val="0"/>
          <w:highlight w:val="none"/>
          <w:shd w:val="clear" w:color="auto" w:fill="FFFFFF"/>
          <w:lang w:val="zh-CN"/>
        </w:rPr>
        <w:t>9.5投诉</w:t>
      </w:r>
      <w:bookmarkEnd w:id="426"/>
      <w:bookmarkEnd w:id="428"/>
      <w:bookmarkEnd w:id="429"/>
      <w:bookmarkEnd w:id="430"/>
    </w:p>
    <w:p>
      <w:pPr>
        <w:spacing w:line="360" w:lineRule="auto"/>
        <w:ind w:firstLine="480" w:firstLineChars="200"/>
        <w:rPr>
          <w:rFonts w:hAnsi="宋体" w:cs="宋体"/>
          <w:highlight w:val="none"/>
        </w:rPr>
      </w:pPr>
      <w:r>
        <w:rPr>
          <w:rFonts w:hint="eastAsia" w:hAnsi="宋体" w:cs="宋体"/>
          <w:highlight w:val="none"/>
        </w:rPr>
        <w:t>9.5.1 投标人或者其他利害关系人认为招标投标活动不符合法律、行政法规规定的，可以自知道或者应当知道之日起10日内通过网上投诉系统或以其他书面形式向有关行政监督部门投诉。投诉应当有明确的请求和必要的证明材料。</w:t>
      </w:r>
    </w:p>
    <w:p>
      <w:pPr>
        <w:spacing w:line="360" w:lineRule="auto"/>
        <w:ind w:firstLine="480" w:firstLineChars="200"/>
        <w:rPr>
          <w:rFonts w:hAnsi="宋体" w:cs="宋体"/>
          <w:highlight w:val="none"/>
        </w:rPr>
      </w:pPr>
      <w:r>
        <w:rPr>
          <w:rFonts w:hint="eastAsia" w:hAnsi="宋体" w:cs="宋体"/>
          <w:highlight w:val="none"/>
        </w:rPr>
        <w:t>9.5.2 投标人或者其他利害关系人对招标文件、开标和评标结果提出投诉的，应当按照投标人须知第2.4款、第5.3款和第6.5款的规定先向招标人提出异议。异议答复期间</w:t>
      </w:r>
      <w:bookmarkStart w:id="431" w:name="_Toc247513994"/>
      <w:bookmarkStart w:id="432" w:name="_Toc384308255"/>
      <w:bookmarkStart w:id="433" w:name="_Toc361508630"/>
      <w:bookmarkStart w:id="434" w:name="_Toc12776"/>
      <w:bookmarkStart w:id="435" w:name="_Toc352691517"/>
      <w:bookmarkStart w:id="436" w:name="_Toc300834993"/>
      <w:bookmarkStart w:id="437" w:name="_Toc247527595"/>
      <w:bookmarkStart w:id="438" w:name="_Toc369531561"/>
      <w:r>
        <w:rPr>
          <w:rFonts w:hint="eastAsia" w:hAnsi="宋体" w:cs="宋体"/>
          <w:highlight w:val="none"/>
        </w:rPr>
        <w:t>不计算在第9.5.</w:t>
      </w:r>
      <w:bookmarkEnd w:id="431"/>
      <w:bookmarkEnd w:id="432"/>
      <w:bookmarkEnd w:id="433"/>
      <w:bookmarkEnd w:id="434"/>
      <w:bookmarkEnd w:id="435"/>
      <w:bookmarkEnd w:id="436"/>
      <w:bookmarkEnd w:id="437"/>
      <w:bookmarkEnd w:id="438"/>
      <w:r>
        <w:rPr>
          <w:rFonts w:hint="eastAsia" w:hAnsi="宋体" w:cs="宋体"/>
          <w:highlight w:val="none"/>
        </w:rPr>
        <w:t>1项规定的期限内。</w:t>
      </w:r>
    </w:p>
    <w:p>
      <w:pPr>
        <w:pStyle w:val="4"/>
        <w:spacing w:beforeLines="100" w:afterLines="100" w:line="240" w:lineRule="auto"/>
        <w:rPr>
          <w:rFonts w:ascii="黑体" w:hAnsi="黑体" w:eastAsia="黑体" w:cs="黑体"/>
          <w:b w:val="0"/>
          <w:bCs w:val="0"/>
          <w:highlight w:val="none"/>
        </w:rPr>
      </w:pPr>
      <w:bookmarkStart w:id="439" w:name="_Toc152042357"/>
      <w:bookmarkStart w:id="440" w:name="_Toc3705"/>
      <w:bookmarkStart w:id="441" w:name="_Toc38879333"/>
      <w:bookmarkStart w:id="442" w:name="_Toc144974547"/>
      <w:bookmarkStart w:id="443" w:name="_Toc1254"/>
      <w:bookmarkStart w:id="444" w:name="_Toc2315"/>
      <w:bookmarkStart w:id="445" w:name="_Toc24351"/>
      <w:bookmarkStart w:id="446" w:name="_Toc13680"/>
      <w:bookmarkStart w:id="447" w:name="_Toc152045580"/>
      <w:bookmarkStart w:id="448" w:name="_Toc179632598"/>
      <w:bookmarkStart w:id="449" w:name="_Toc140069415"/>
      <w:bookmarkStart w:id="450" w:name="_Toc17761"/>
      <w:r>
        <w:rPr>
          <w:rFonts w:hint="eastAsia" w:ascii="黑体" w:hAnsi="黑体" w:eastAsia="黑体" w:cs="黑体"/>
          <w:b w:val="0"/>
          <w:bCs w:val="0"/>
          <w:highlight w:val="none"/>
        </w:rPr>
        <w:t>10. 需要补充的其他内容</w:t>
      </w:r>
      <w:bookmarkEnd w:id="439"/>
      <w:bookmarkEnd w:id="440"/>
      <w:bookmarkEnd w:id="441"/>
      <w:bookmarkEnd w:id="442"/>
      <w:bookmarkEnd w:id="443"/>
      <w:bookmarkEnd w:id="444"/>
      <w:bookmarkEnd w:id="445"/>
      <w:bookmarkEnd w:id="446"/>
      <w:bookmarkEnd w:id="447"/>
      <w:bookmarkEnd w:id="448"/>
      <w:bookmarkEnd w:id="449"/>
      <w:bookmarkEnd w:id="450"/>
    </w:p>
    <w:p>
      <w:pPr>
        <w:spacing w:line="360" w:lineRule="auto"/>
        <w:ind w:firstLine="480" w:firstLineChars="200"/>
        <w:rPr>
          <w:rFonts w:ascii="Times New Roman"/>
          <w:highlight w:val="none"/>
        </w:rPr>
      </w:pPr>
      <w:r>
        <w:rPr>
          <w:rFonts w:hint="eastAsia" w:hAnsi="宋体" w:cs="宋体"/>
          <w:highlight w:val="none"/>
        </w:rPr>
        <w:t>需要补充的其他内容：见投标人须知前附表</w:t>
      </w:r>
      <w:r>
        <w:rPr>
          <w:rFonts w:hint="eastAsia" w:ascii="Times New Roman"/>
          <w:highlight w:val="none"/>
        </w:rPr>
        <w:t>。</w:t>
      </w:r>
    </w:p>
    <w:p>
      <w:pPr>
        <w:pStyle w:val="4"/>
        <w:spacing w:beforeLines="100" w:afterLines="100" w:line="240" w:lineRule="auto"/>
        <w:jc w:val="center"/>
        <w:rPr>
          <w:rFonts w:ascii="Times New Roman" w:hAnsi="Times New Roman" w:eastAsia="黑体"/>
          <w:b w:val="0"/>
          <w:highlight w:val="none"/>
        </w:rPr>
      </w:pPr>
      <w:r>
        <w:rPr>
          <w:rFonts w:ascii="Times New Roman" w:hAnsi="Times New Roman"/>
          <w:b w:val="0"/>
          <w:sz w:val="24"/>
          <w:highlight w:val="none"/>
        </w:rPr>
        <w:br w:type="page"/>
      </w:r>
      <w:bookmarkStart w:id="451" w:name="_Toc8937"/>
      <w:bookmarkStart w:id="452" w:name="_Toc38879334"/>
      <w:bookmarkStart w:id="453" w:name="_Toc22334"/>
      <w:bookmarkStart w:id="454" w:name="_Toc14838"/>
      <w:bookmarkStart w:id="455" w:name="_Toc4779"/>
      <w:bookmarkStart w:id="456" w:name="_Toc24634"/>
      <w:bookmarkStart w:id="457" w:name="_Toc19524"/>
      <w:bookmarkStart w:id="458" w:name="_Toc10568"/>
      <w:bookmarkStart w:id="459" w:name="_Toc9893"/>
      <w:bookmarkStart w:id="460" w:name="_Toc8024"/>
      <w:bookmarkStart w:id="461" w:name="_Toc8126"/>
      <w:bookmarkStart w:id="462" w:name="_Toc140069416"/>
      <w:r>
        <w:rPr>
          <w:rFonts w:hint="eastAsia" w:ascii="Times New Roman" w:hAnsi="Times New Roman" w:eastAsia="黑体"/>
          <w:b w:val="0"/>
          <w:highlight w:val="none"/>
        </w:rPr>
        <w:t>附件：</w:t>
      </w:r>
      <w:bookmarkEnd w:id="211"/>
      <w:bookmarkEnd w:id="212"/>
      <w:bookmarkEnd w:id="451"/>
      <w:bookmarkEnd w:id="452"/>
      <w:bookmarkEnd w:id="453"/>
      <w:bookmarkEnd w:id="454"/>
      <w:bookmarkEnd w:id="455"/>
      <w:bookmarkEnd w:id="456"/>
      <w:bookmarkEnd w:id="457"/>
      <w:bookmarkEnd w:id="458"/>
      <w:bookmarkEnd w:id="459"/>
      <w:r>
        <w:rPr>
          <w:rFonts w:hint="eastAsia" w:ascii="Times New Roman" w:hAnsi="Times New Roman" w:eastAsia="黑体"/>
          <w:b w:val="0"/>
          <w:highlight w:val="none"/>
        </w:rPr>
        <w:t>合肥市公共资源交易电子招标投标操作规程</w:t>
      </w:r>
      <w:bookmarkEnd w:id="460"/>
      <w:bookmarkEnd w:id="461"/>
      <w:bookmarkEnd w:id="462"/>
    </w:p>
    <w:p>
      <w:pPr>
        <w:spacing w:line="360" w:lineRule="auto"/>
        <w:ind w:firstLine="480" w:firstLineChars="200"/>
        <w:rPr>
          <w:rFonts w:hAnsi="宋体" w:cs="宋体"/>
          <w:szCs w:val="24"/>
          <w:highlight w:val="none"/>
        </w:rPr>
      </w:pPr>
      <w:r>
        <w:rPr>
          <w:rFonts w:hint="eastAsia" w:hAnsi="宋体" w:cs="宋体"/>
          <w:bCs/>
          <w:szCs w:val="24"/>
          <w:highlight w:val="none"/>
        </w:rPr>
        <w:t>第一条</w:t>
      </w:r>
      <w:r>
        <w:rPr>
          <w:rFonts w:hint="eastAsia" w:hAnsi="宋体" w:cs="宋体"/>
          <w:szCs w:val="24"/>
          <w:highlight w:val="none"/>
        </w:rPr>
        <w:t xml:space="preserve">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pPr>
        <w:spacing w:line="360" w:lineRule="auto"/>
        <w:ind w:firstLine="480" w:firstLineChars="200"/>
        <w:rPr>
          <w:rFonts w:hAnsi="宋体" w:cs="宋体"/>
          <w:szCs w:val="24"/>
          <w:highlight w:val="none"/>
        </w:rPr>
      </w:pPr>
      <w:r>
        <w:rPr>
          <w:rFonts w:hint="eastAsia" w:hAnsi="宋体" w:cs="宋体"/>
          <w:bCs/>
          <w:szCs w:val="24"/>
          <w:highlight w:val="none"/>
        </w:rPr>
        <w:t>第二条</w:t>
      </w:r>
      <w:r>
        <w:rPr>
          <w:rFonts w:hint="eastAsia" w:hAnsi="宋体" w:cs="宋体"/>
          <w:szCs w:val="24"/>
          <w:highlight w:val="none"/>
        </w:rPr>
        <w:t xml:space="preserve">  本规程适用于进入安徽合肥公共资源交易平台交易的项目。行业主管部门另有规定的，从其规定。</w:t>
      </w:r>
    </w:p>
    <w:p>
      <w:pPr>
        <w:spacing w:line="360" w:lineRule="auto"/>
        <w:ind w:firstLine="480" w:firstLineChars="200"/>
        <w:rPr>
          <w:rFonts w:hAnsi="宋体" w:cs="宋体"/>
          <w:szCs w:val="24"/>
          <w:highlight w:val="none"/>
        </w:rPr>
      </w:pPr>
      <w:r>
        <w:rPr>
          <w:rFonts w:hint="eastAsia" w:hAnsi="宋体" w:cs="宋体"/>
          <w:bCs/>
          <w:szCs w:val="24"/>
          <w:highlight w:val="none"/>
        </w:rPr>
        <w:t>第三条</w:t>
      </w:r>
      <w:r>
        <w:rPr>
          <w:rFonts w:hint="eastAsia" w:hAnsi="宋体" w:cs="宋体"/>
          <w:szCs w:val="24"/>
          <w:highlight w:val="none"/>
        </w:rPr>
        <w:t xml:space="preserve">  本规程所称的电子招标投标，是指以数据电文形式，依托电子交易系统和电子服务系统完成的全部或者部分招标投标交易活动。</w:t>
      </w:r>
    </w:p>
    <w:p>
      <w:pPr>
        <w:spacing w:line="360" w:lineRule="auto"/>
        <w:ind w:firstLine="480" w:firstLineChars="200"/>
        <w:rPr>
          <w:rFonts w:hAnsi="宋体" w:cs="宋体"/>
          <w:szCs w:val="24"/>
          <w:highlight w:val="none"/>
        </w:rPr>
      </w:pPr>
      <w:r>
        <w:rPr>
          <w:rFonts w:hint="eastAsia" w:hAnsi="宋体" w:cs="宋体"/>
          <w:bCs/>
          <w:szCs w:val="24"/>
          <w:highlight w:val="none"/>
        </w:rPr>
        <w:t>第四条</w:t>
      </w:r>
      <w:r>
        <w:rPr>
          <w:rFonts w:hint="eastAsia" w:hAnsi="宋体" w:cs="宋体"/>
          <w:szCs w:val="24"/>
          <w:highlight w:val="none"/>
        </w:rPr>
        <w:t xml:space="preserve">  电子交易系统是招标投标当事人通过数据电文形式完成招标投标交易活动的系统。</w:t>
      </w:r>
    </w:p>
    <w:p>
      <w:pPr>
        <w:spacing w:line="360" w:lineRule="auto"/>
        <w:ind w:firstLine="480" w:firstLineChars="200"/>
        <w:rPr>
          <w:rFonts w:hAnsi="宋体" w:cs="宋体"/>
          <w:szCs w:val="24"/>
          <w:highlight w:val="none"/>
        </w:rPr>
      </w:pPr>
      <w:r>
        <w:rPr>
          <w:rFonts w:hint="eastAsia" w:hAnsi="宋体" w:cs="宋体"/>
          <w:szCs w:val="24"/>
          <w:highlight w:val="none"/>
        </w:rPr>
        <w:t>电子交易系统要具备在线完成招标投标全部交易过程，编辑、生成、对接、交换和发布有关招标投标数据信息的功能，并为行政监督部门依法实施监督和受理投诉提供所需的信息通道。</w:t>
      </w:r>
    </w:p>
    <w:p>
      <w:pPr>
        <w:spacing w:line="360" w:lineRule="auto"/>
        <w:ind w:firstLine="480" w:firstLineChars="200"/>
        <w:rPr>
          <w:rFonts w:hAnsi="宋体" w:cs="宋体"/>
          <w:szCs w:val="24"/>
          <w:highlight w:val="none"/>
        </w:rPr>
      </w:pPr>
      <w:r>
        <w:rPr>
          <w:rFonts w:hint="eastAsia" w:hAnsi="宋体" w:cs="宋体"/>
          <w:bCs/>
          <w:szCs w:val="24"/>
          <w:highlight w:val="none"/>
        </w:rPr>
        <w:t>第五条</w:t>
      </w:r>
      <w:r>
        <w:rPr>
          <w:rFonts w:hint="eastAsia" w:hAnsi="宋体" w:cs="宋体"/>
          <w:szCs w:val="24"/>
          <w:highlight w:val="none"/>
        </w:rPr>
        <w:t xml:space="preserve">  电子服务系统是满足与各电子交易系统之间电子招标投标信息对接交换、资源共享需要，并为市场主体、行政监督部门和社会公众提供信息交换、整合和发布的系统。</w:t>
      </w:r>
    </w:p>
    <w:p>
      <w:pPr>
        <w:spacing w:line="360" w:lineRule="auto"/>
        <w:ind w:firstLine="480" w:firstLineChars="200"/>
        <w:rPr>
          <w:rFonts w:hAnsi="宋体" w:cs="宋体"/>
          <w:szCs w:val="24"/>
          <w:highlight w:val="none"/>
        </w:rPr>
      </w:pPr>
      <w:r>
        <w:rPr>
          <w:rFonts w:hint="eastAsia" w:hAnsi="宋体" w:cs="宋体"/>
          <w:szCs w:val="24"/>
          <w:highlight w:val="none"/>
        </w:rPr>
        <w:t>电子服务系统要具备与各电子交易系统之间招标投标相关信息对接、交换、发布、资格信誉和业绩公开、行业统计分析、连接评标专家库、提供行政监督通道等服务功能。</w:t>
      </w:r>
    </w:p>
    <w:p>
      <w:pPr>
        <w:spacing w:line="360" w:lineRule="auto"/>
        <w:ind w:firstLine="480" w:firstLineChars="200"/>
        <w:rPr>
          <w:rFonts w:hAnsi="宋体" w:cs="宋体"/>
          <w:szCs w:val="24"/>
          <w:highlight w:val="none"/>
        </w:rPr>
      </w:pPr>
      <w:r>
        <w:rPr>
          <w:rFonts w:hint="eastAsia" w:hAnsi="宋体" w:cs="宋体"/>
          <w:bCs/>
          <w:szCs w:val="24"/>
          <w:highlight w:val="none"/>
        </w:rPr>
        <w:t>第六条</w:t>
      </w:r>
      <w:r>
        <w:rPr>
          <w:rFonts w:hint="eastAsia" w:hAnsi="宋体" w:cs="宋体"/>
          <w:szCs w:val="24"/>
          <w:highlight w:val="none"/>
        </w:rPr>
        <w:t xml:space="preserve">  招标人或招标代理机构负责电子招标投标的组织实施，电子交易系统建设单位负责电子交易系统的服务保障，电子服务系统建设单位负责电子服务系统的服务保障。</w:t>
      </w:r>
    </w:p>
    <w:p>
      <w:pPr>
        <w:spacing w:line="360" w:lineRule="auto"/>
        <w:ind w:firstLine="480" w:firstLineChars="200"/>
        <w:rPr>
          <w:rFonts w:hAnsi="宋体" w:cs="宋体"/>
          <w:szCs w:val="24"/>
          <w:highlight w:val="none"/>
        </w:rPr>
      </w:pPr>
      <w:r>
        <w:rPr>
          <w:rFonts w:hint="eastAsia" w:hAnsi="宋体" w:cs="宋体"/>
          <w:bCs/>
          <w:szCs w:val="24"/>
          <w:highlight w:val="none"/>
        </w:rPr>
        <w:t>第七条</w:t>
      </w:r>
      <w:r>
        <w:rPr>
          <w:rFonts w:hint="eastAsia" w:hAnsi="宋体" w:cs="宋体"/>
          <w:szCs w:val="24"/>
          <w:highlight w:val="none"/>
        </w:rPr>
        <w:t xml:space="preserve">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pPr>
        <w:spacing w:line="360" w:lineRule="auto"/>
        <w:ind w:firstLine="480" w:firstLineChars="200"/>
        <w:rPr>
          <w:rFonts w:hAnsi="宋体" w:cs="宋体"/>
          <w:szCs w:val="24"/>
          <w:highlight w:val="none"/>
        </w:rPr>
      </w:pPr>
      <w:r>
        <w:rPr>
          <w:rFonts w:hint="eastAsia" w:hAnsi="宋体" w:cs="宋体"/>
          <w:szCs w:val="24"/>
          <w:highlight w:val="none"/>
        </w:rPr>
        <w:t>投标人应妥善保管数字证书，由于数字证书遗失、损坏、更换、续期等情况导致投标文件无法上传或解密，由投标人自行承担责任。</w:t>
      </w:r>
    </w:p>
    <w:p>
      <w:pPr>
        <w:spacing w:line="360" w:lineRule="auto"/>
        <w:ind w:firstLine="480" w:firstLineChars="200"/>
        <w:jc w:val="left"/>
        <w:rPr>
          <w:rFonts w:hAnsi="宋体" w:cs="宋体"/>
          <w:szCs w:val="24"/>
          <w:highlight w:val="none"/>
        </w:rPr>
      </w:pPr>
      <w:r>
        <w:rPr>
          <w:rFonts w:hint="eastAsia" w:hAnsi="宋体" w:cs="宋体"/>
          <w:bCs/>
          <w:szCs w:val="24"/>
          <w:highlight w:val="none"/>
        </w:rPr>
        <w:t>第八条</w:t>
      </w:r>
      <w:r>
        <w:rPr>
          <w:rFonts w:hint="eastAsia" w:hAnsi="宋体" w:cs="宋体"/>
          <w:szCs w:val="24"/>
          <w:highlight w:val="none"/>
        </w:rPr>
        <w:t xml:space="preserve">  招标人或招标代理机构应在招标公告和招标文件中明确招标项目采取电子招标投标方式，并按相关流程通过电子交易系统制作招标文件。 </w:t>
      </w:r>
    </w:p>
    <w:p>
      <w:pPr>
        <w:spacing w:line="360" w:lineRule="auto"/>
        <w:ind w:firstLine="480" w:firstLineChars="200"/>
        <w:rPr>
          <w:rFonts w:hAnsi="宋体" w:cs="宋体"/>
          <w:szCs w:val="24"/>
          <w:highlight w:val="none"/>
        </w:rPr>
      </w:pPr>
      <w:r>
        <w:rPr>
          <w:rFonts w:hint="eastAsia" w:hAnsi="宋体" w:cs="宋体"/>
          <w:bCs/>
          <w:szCs w:val="24"/>
          <w:highlight w:val="none"/>
        </w:rPr>
        <w:t>第九条</w:t>
      </w:r>
      <w:r>
        <w:rPr>
          <w:rFonts w:hint="eastAsia" w:hAnsi="宋体" w:cs="宋体"/>
          <w:szCs w:val="24"/>
          <w:highlight w:val="none"/>
        </w:rPr>
        <w:t xml:space="preserve">  招标公告、招标文件应由招标人或招标代理机构通过电子服务系统在安徽合肥公共资源交易中心网站发布，其中招标文件须加盖电子签章。</w:t>
      </w:r>
    </w:p>
    <w:p>
      <w:pPr>
        <w:spacing w:line="360" w:lineRule="auto"/>
        <w:ind w:firstLine="480" w:firstLineChars="200"/>
        <w:rPr>
          <w:rFonts w:hAnsi="宋体" w:cs="宋体"/>
          <w:szCs w:val="24"/>
          <w:highlight w:val="none"/>
        </w:rPr>
      </w:pPr>
      <w:r>
        <w:rPr>
          <w:rFonts w:hint="eastAsia" w:hAnsi="宋体" w:cs="宋体"/>
          <w:bCs/>
          <w:szCs w:val="24"/>
          <w:highlight w:val="none"/>
        </w:rPr>
        <w:t>第十条</w:t>
      </w:r>
      <w:r>
        <w:rPr>
          <w:rFonts w:hint="eastAsia" w:hAnsi="宋体" w:cs="宋体"/>
          <w:szCs w:val="24"/>
          <w:highlight w:val="none"/>
        </w:rPr>
        <w:t xml:space="preserve">  投标人登录安徽合肥公共资源交易中心电子服务系统获取招标文件。</w:t>
      </w:r>
    </w:p>
    <w:p>
      <w:pPr>
        <w:spacing w:line="360" w:lineRule="auto"/>
        <w:ind w:firstLine="480" w:firstLineChars="200"/>
        <w:rPr>
          <w:rFonts w:hAnsi="宋体" w:cs="宋体"/>
          <w:szCs w:val="24"/>
          <w:highlight w:val="none"/>
        </w:rPr>
      </w:pPr>
      <w:r>
        <w:rPr>
          <w:rFonts w:hint="eastAsia" w:hAnsi="宋体" w:cs="宋体"/>
          <w:bCs/>
          <w:szCs w:val="24"/>
          <w:highlight w:val="none"/>
        </w:rPr>
        <w:t>第十一条</w:t>
      </w:r>
      <w:r>
        <w:rPr>
          <w:rFonts w:hint="eastAsia" w:hAnsi="宋体" w:cs="宋体"/>
          <w:szCs w:val="24"/>
          <w:highlight w:val="none"/>
        </w:rPr>
        <w:t xml:space="preserve">  澄清、修改文件应由招标人或招标代理机构通过电子服务系统在安徽合肥公共资源交易中心网站发布，投标人应及时查阅相关澄清、修改信息。</w:t>
      </w:r>
    </w:p>
    <w:p>
      <w:pPr>
        <w:spacing w:line="360" w:lineRule="auto"/>
        <w:ind w:firstLine="480" w:firstLineChars="200"/>
        <w:rPr>
          <w:rFonts w:hAnsi="宋体" w:cs="宋体"/>
          <w:szCs w:val="24"/>
          <w:highlight w:val="none"/>
        </w:rPr>
      </w:pPr>
      <w:r>
        <w:rPr>
          <w:rFonts w:hint="eastAsia" w:hAnsi="宋体" w:cs="宋体"/>
          <w:bCs/>
          <w:szCs w:val="24"/>
          <w:highlight w:val="none"/>
        </w:rPr>
        <w:t>第十二条</w:t>
      </w:r>
      <w:r>
        <w:rPr>
          <w:rFonts w:hint="eastAsia" w:hAnsi="宋体" w:cs="宋体"/>
          <w:szCs w:val="24"/>
          <w:highlight w:val="none"/>
        </w:rPr>
        <w:t xml:space="preserve">  投标人应使用电子标书制作软件制作投标文件，电子标书制作软件应允许投标人离线制作投标文件，并且具备分段或整体加密、解密功能。</w:t>
      </w:r>
    </w:p>
    <w:p>
      <w:pPr>
        <w:spacing w:line="360" w:lineRule="auto"/>
        <w:ind w:firstLine="480" w:firstLineChars="200"/>
        <w:rPr>
          <w:rFonts w:hAnsi="宋体" w:cs="宋体"/>
          <w:szCs w:val="24"/>
          <w:highlight w:val="none"/>
        </w:rPr>
      </w:pPr>
      <w:r>
        <w:rPr>
          <w:rFonts w:hint="eastAsia" w:hAnsi="宋体" w:cs="宋体"/>
          <w:bCs/>
          <w:szCs w:val="24"/>
          <w:highlight w:val="none"/>
        </w:rPr>
        <w:t>第十三条</w:t>
      </w:r>
      <w:r>
        <w:rPr>
          <w:rFonts w:hint="eastAsia" w:hAnsi="宋体" w:cs="宋体"/>
          <w:szCs w:val="24"/>
          <w:highlight w:val="none"/>
        </w:rPr>
        <w:t xml:space="preserve">  投标人必须对投标文件进行电子签章并使用数字证书加密，并于招标文件规定的投标截止时间前通过电子交易系统完成上传。</w:t>
      </w:r>
    </w:p>
    <w:p>
      <w:pPr>
        <w:spacing w:line="360" w:lineRule="auto"/>
        <w:ind w:firstLine="480" w:firstLineChars="200"/>
        <w:rPr>
          <w:rFonts w:hAnsi="宋体" w:cs="宋体"/>
          <w:szCs w:val="24"/>
          <w:highlight w:val="none"/>
        </w:rPr>
      </w:pPr>
      <w:r>
        <w:rPr>
          <w:rFonts w:hint="eastAsia" w:hAnsi="宋体" w:cs="宋体"/>
          <w:szCs w:val="24"/>
          <w:highlight w:val="none"/>
        </w:rPr>
        <w:t>投标人对加密的投标文件进行撤回的，应通过电子交易系统在投标截止时间前进行撤回操作；投标人对加密的投标文件进行修改的，应在投标截止时间前完成上传。</w:t>
      </w:r>
    </w:p>
    <w:p>
      <w:pPr>
        <w:spacing w:line="360" w:lineRule="auto"/>
        <w:ind w:firstLine="480" w:firstLineChars="200"/>
        <w:rPr>
          <w:rFonts w:hAnsi="宋体" w:cs="宋体"/>
          <w:szCs w:val="24"/>
          <w:highlight w:val="none"/>
        </w:rPr>
      </w:pPr>
      <w:r>
        <w:rPr>
          <w:rFonts w:hint="eastAsia" w:hAnsi="宋体" w:cs="宋体"/>
          <w:bCs/>
          <w:szCs w:val="24"/>
          <w:highlight w:val="none"/>
        </w:rPr>
        <w:t>第十四条</w:t>
      </w:r>
      <w:r>
        <w:rPr>
          <w:rFonts w:hint="eastAsia" w:hAnsi="宋体" w:cs="宋体"/>
          <w:szCs w:val="24"/>
          <w:highlight w:val="none"/>
        </w:rPr>
        <w:t xml:space="preserve">  投标截止时间以电子交易系统显示的时间为准，逾期系统将自动关闭, 未完成上传的投标文件将被拒绝。</w:t>
      </w:r>
    </w:p>
    <w:p>
      <w:pPr>
        <w:spacing w:line="360" w:lineRule="auto"/>
        <w:ind w:firstLine="480" w:firstLineChars="200"/>
        <w:rPr>
          <w:rFonts w:hAnsi="宋体" w:cs="宋体"/>
          <w:szCs w:val="24"/>
          <w:highlight w:val="none"/>
        </w:rPr>
      </w:pPr>
      <w:r>
        <w:rPr>
          <w:rFonts w:hint="eastAsia" w:hAnsi="宋体" w:cs="宋体"/>
          <w:bCs/>
          <w:szCs w:val="24"/>
          <w:highlight w:val="none"/>
        </w:rPr>
        <w:t>第十五条</w:t>
      </w:r>
      <w:r>
        <w:rPr>
          <w:rFonts w:hint="eastAsia" w:hAnsi="宋体" w:cs="宋体"/>
          <w:szCs w:val="24"/>
          <w:highlight w:val="none"/>
        </w:rPr>
        <w:t xml:space="preserve">  投标人在投标截止时间后按招标文件规定的解密时间完成投标文件解密，加密和解密须用同一数字证书。投标人未在招标文件规定的时间内完成解密的视为其放弃投标。</w:t>
      </w:r>
    </w:p>
    <w:p>
      <w:pPr>
        <w:spacing w:line="360" w:lineRule="auto"/>
        <w:ind w:firstLine="480" w:firstLineChars="200"/>
        <w:rPr>
          <w:rFonts w:hAnsi="宋体" w:cs="宋体"/>
          <w:szCs w:val="24"/>
          <w:highlight w:val="none"/>
        </w:rPr>
      </w:pPr>
      <w:r>
        <w:rPr>
          <w:rFonts w:hint="eastAsia" w:hAnsi="宋体" w:cs="宋体"/>
          <w:szCs w:val="24"/>
          <w:highlight w:val="none"/>
        </w:rPr>
        <w:t>招标人或招标代理机构完成解密，导入并读取所有成功解密的投标文件，电子交易系统应自动记录开标过程。</w:t>
      </w:r>
    </w:p>
    <w:p>
      <w:pPr>
        <w:spacing w:line="360" w:lineRule="auto"/>
        <w:ind w:firstLine="480" w:firstLineChars="200"/>
        <w:rPr>
          <w:rFonts w:hAnsi="宋体" w:cs="宋体"/>
          <w:szCs w:val="24"/>
          <w:highlight w:val="none"/>
        </w:rPr>
      </w:pPr>
      <w:r>
        <w:rPr>
          <w:rFonts w:hint="eastAsia" w:hAnsi="宋体" w:cs="宋体"/>
          <w:szCs w:val="24"/>
          <w:highlight w:val="none"/>
        </w:rPr>
        <w:t>招标文件约定须到达指定地点或线上进行演示、答辩、磋商、谈判等情形的，投标人应按照招标文件规定的时间到达指定地点或登录电子交易系统保持在线。</w:t>
      </w:r>
    </w:p>
    <w:p>
      <w:pPr>
        <w:spacing w:line="360" w:lineRule="auto"/>
        <w:ind w:firstLine="480" w:firstLineChars="200"/>
        <w:rPr>
          <w:rFonts w:hAnsi="宋体" w:cs="宋体"/>
          <w:szCs w:val="24"/>
          <w:highlight w:val="none"/>
        </w:rPr>
      </w:pPr>
      <w:r>
        <w:rPr>
          <w:rFonts w:hint="eastAsia" w:hAnsi="宋体" w:cs="宋体"/>
          <w:bCs/>
          <w:szCs w:val="24"/>
          <w:highlight w:val="none"/>
        </w:rPr>
        <w:t>第十六条</w:t>
      </w:r>
      <w:r>
        <w:rPr>
          <w:rFonts w:hint="eastAsia" w:hAnsi="宋体" w:cs="宋体"/>
          <w:szCs w:val="24"/>
          <w:highlight w:val="none"/>
        </w:rPr>
        <w:t xml:space="preserve">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pPr>
        <w:spacing w:line="360" w:lineRule="auto"/>
        <w:ind w:firstLine="480" w:firstLineChars="200"/>
        <w:rPr>
          <w:rFonts w:hAnsi="宋体" w:cs="宋体"/>
          <w:szCs w:val="24"/>
          <w:highlight w:val="none"/>
        </w:rPr>
      </w:pPr>
      <w:r>
        <w:rPr>
          <w:rFonts w:hint="eastAsia" w:hAnsi="宋体" w:cs="宋体"/>
          <w:bCs/>
          <w:szCs w:val="24"/>
          <w:highlight w:val="none"/>
        </w:rPr>
        <w:t>第十七条</w:t>
      </w:r>
      <w:r>
        <w:rPr>
          <w:rFonts w:hint="eastAsia" w:hAnsi="宋体" w:cs="宋体"/>
          <w:szCs w:val="24"/>
          <w:highlight w:val="none"/>
        </w:rPr>
        <w:t xml:space="preserve">  招标人或招标代理机构组织评标，评标委员会依据招标文件规定的评标办法进行电子评标，并对评标结果签字或电子签名确认。</w:t>
      </w:r>
    </w:p>
    <w:p>
      <w:pPr>
        <w:spacing w:line="360" w:lineRule="auto"/>
        <w:ind w:firstLine="480" w:firstLineChars="200"/>
        <w:rPr>
          <w:rFonts w:hAnsi="宋体" w:cs="宋体"/>
          <w:szCs w:val="24"/>
          <w:highlight w:val="none"/>
        </w:rPr>
      </w:pPr>
      <w:r>
        <w:rPr>
          <w:rFonts w:hint="eastAsia" w:hAnsi="宋体" w:cs="宋体"/>
          <w:szCs w:val="24"/>
          <w:highlight w:val="none"/>
        </w:rPr>
        <w:t>多次报价应按招标文件的要求提交。</w:t>
      </w:r>
    </w:p>
    <w:p>
      <w:pPr>
        <w:spacing w:line="360" w:lineRule="auto"/>
        <w:ind w:firstLine="480" w:firstLineChars="200"/>
        <w:rPr>
          <w:rFonts w:hAnsi="宋体" w:cs="宋体"/>
          <w:szCs w:val="24"/>
          <w:highlight w:val="none"/>
        </w:rPr>
      </w:pPr>
      <w:r>
        <w:rPr>
          <w:rFonts w:hint="eastAsia" w:hAnsi="宋体" w:cs="宋体"/>
          <w:bCs/>
          <w:szCs w:val="24"/>
          <w:highlight w:val="none"/>
        </w:rPr>
        <w:t>第十八条</w:t>
      </w:r>
      <w:r>
        <w:rPr>
          <w:rFonts w:hint="eastAsia" w:hAnsi="宋体" w:cs="宋体"/>
          <w:szCs w:val="24"/>
          <w:highlight w:val="none"/>
        </w:rPr>
        <w:t xml:space="preserve">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pPr>
        <w:spacing w:line="360" w:lineRule="auto"/>
        <w:ind w:firstLine="480" w:firstLineChars="200"/>
        <w:rPr>
          <w:rFonts w:hAnsi="宋体" w:cs="宋体"/>
          <w:szCs w:val="24"/>
          <w:highlight w:val="none"/>
        </w:rPr>
      </w:pPr>
      <w:r>
        <w:rPr>
          <w:rFonts w:hint="eastAsia" w:hAnsi="宋体" w:cs="宋体"/>
          <w:bCs/>
          <w:szCs w:val="24"/>
          <w:highlight w:val="none"/>
        </w:rPr>
        <w:t>第十九条</w:t>
      </w:r>
      <w:r>
        <w:rPr>
          <w:rFonts w:hint="eastAsia" w:hAnsi="宋体" w:cs="宋体"/>
          <w:szCs w:val="24"/>
          <w:highlight w:val="none"/>
        </w:rPr>
        <w:t xml:space="preserve">  评标委员会完成评标后，应通过电子交易系统提交评标报告。招标人或招标代理机构将评标报告及时交互至电子服务系统。</w:t>
      </w:r>
    </w:p>
    <w:p>
      <w:pPr>
        <w:spacing w:line="360" w:lineRule="auto"/>
        <w:ind w:firstLine="480" w:firstLineChars="200"/>
        <w:rPr>
          <w:rFonts w:hAnsi="宋体" w:cs="宋体"/>
          <w:szCs w:val="24"/>
          <w:highlight w:val="none"/>
        </w:rPr>
      </w:pPr>
      <w:r>
        <w:rPr>
          <w:rFonts w:hint="eastAsia" w:hAnsi="宋体" w:cs="宋体"/>
          <w:bCs/>
          <w:szCs w:val="24"/>
          <w:highlight w:val="none"/>
        </w:rPr>
        <w:t>第二十条</w:t>
      </w:r>
      <w:r>
        <w:rPr>
          <w:rFonts w:hint="eastAsia" w:hAnsi="宋体" w:cs="宋体"/>
          <w:szCs w:val="24"/>
          <w:highlight w:val="none"/>
        </w:rPr>
        <w:t xml:space="preserve">  招标人或招标代理机构应通过电子服务系统在安徽合肥公共资源交易中心网站公示和公布中标候选人及中标结果。</w:t>
      </w:r>
    </w:p>
    <w:p>
      <w:pPr>
        <w:spacing w:line="360" w:lineRule="auto"/>
        <w:ind w:firstLine="480" w:firstLineChars="200"/>
        <w:rPr>
          <w:rFonts w:hAnsi="宋体" w:cs="宋体"/>
          <w:szCs w:val="24"/>
          <w:highlight w:val="none"/>
        </w:rPr>
      </w:pPr>
      <w:r>
        <w:rPr>
          <w:rFonts w:hint="eastAsia" w:hAnsi="宋体" w:cs="宋体"/>
          <w:bCs/>
          <w:szCs w:val="24"/>
          <w:highlight w:val="none"/>
        </w:rPr>
        <w:t>第二十一条</w:t>
      </w:r>
      <w:r>
        <w:rPr>
          <w:rFonts w:hint="eastAsia" w:hAnsi="宋体" w:cs="宋体"/>
          <w:szCs w:val="24"/>
          <w:highlight w:val="none"/>
        </w:rPr>
        <w:t xml:space="preserve">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pPr>
        <w:spacing w:line="360" w:lineRule="auto"/>
        <w:ind w:firstLine="480" w:firstLineChars="200"/>
        <w:rPr>
          <w:rFonts w:hAnsi="宋体" w:cs="宋体"/>
          <w:szCs w:val="24"/>
          <w:highlight w:val="none"/>
        </w:rPr>
      </w:pPr>
      <w:r>
        <w:rPr>
          <w:rFonts w:hint="eastAsia" w:hAnsi="宋体" w:cs="宋体"/>
          <w:bCs/>
          <w:szCs w:val="24"/>
          <w:highlight w:val="none"/>
        </w:rPr>
        <w:t>第二十二条</w:t>
      </w:r>
      <w:r>
        <w:rPr>
          <w:rFonts w:hint="eastAsia" w:hAnsi="宋体" w:cs="宋体"/>
          <w:szCs w:val="24"/>
          <w:highlight w:val="none"/>
        </w:rPr>
        <w:t>招标人确定中标人后，应通过电子交易系统向中标人发出中标通知书，中标通知书发出即视为送达。</w:t>
      </w:r>
    </w:p>
    <w:p>
      <w:pPr>
        <w:spacing w:line="360" w:lineRule="auto"/>
        <w:ind w:firstLine="480" w:firstLineChars="200"/>
        <w:rPr>
          <w:rFonts w:hAnsi="宋体" w:cs="宋体"/>
          <w:szCs w:val="24"/>
          <w:highlight w:val="none"/>
        </w:rPr>
      </w:pPr>
      <w:r>
        <w:rPr>
          <w:rFonts w:hint="eastAsia" w:hAnsi="宋体" w:cs="宋体"/>
          <w:bCs/>
          <w:szCs w:val="24"/>
          <w:highlight w:val="none"/>
        </w:rPr>
        <w:t>第二十三条</w:t>
      </w:r>
      <w:r>
        <w:rPr>
          <w:rFonts w:hint="eastAsia" w:hAnsi="宋体" w:cs="宋体"/>
          <w:szCs w:val="24"/>
          <w:highlight w:val="none"/>
        </w:rPr>
        <w:t xml:space="preserve">  出现下列情形导致电子服务系统或电子交易系统无法正常运行，影响招标投标过程的公平、公正和信息安全，经第三方机构认定后，各方当事人免责：</w:t>
      </w:r>
    </w:p>
    <w:p>
      <w:pPr>
        <w:spacing w:line="360" w:lineRule="auto"/>
        <w:ind w:firstLine="480" w:firstLineChars="200"/>
        <w:rPr>
          <w:rFonts w:hAnsi="宋体" w:cs="宋体"/>
          <w:szCs w:val="24"/>
          <w:highlight w:val="none"/>
        </w:rPr>
      </w:pPr>
      <w:r>
        <w:rPr>
          <w:rFonts w:hint="eastAsia" w:hAnsi="宋体" w:cs="宋体"/>
          <w:szCs w:val="24"/>
          <w:highlight w:val="none"/>
        </w:rPr>
        <w:t>（一）网络、服务器、数据库发生故障造成无法访问或使用的；</w:t>
      </w:r>
    </w:p>
    <w:p>
      <w:pPr>
        <w:spacing w:line="360" w:lineRule="auto"/>
        <w:ind w:firstLine="480" w:firstLineChars="200"/>
        <w:rPr>
          <w:rFonts w:hAnsi="宋体" w:cs="宋体"/>
          <w:szCs w:val="24"/>
          <w:highlight w:val="none"/>
        </w:rPr>
      </w:pPr>
      <w:r>
        <w:rPr>
          <w:rFonts w:hint="eastAsia" w:hAnsi="宋体" w:cs="宋体"/>
          <w:szCs w:val="24"/>
          <w:highlight w:val="none"/>
        </w:rPr>
        <w:t>（二）电力系统发生故障导致电子服务系统或电子交易系统无法运行的；</w:t>
      </w:r>
    </w:p>
    <w:p>
      <w:pPr>
        <w:spacing w:line="360" w:lineRule="auto"/>
        <w:ind w:firstLine="480" w:firstLineChars="200"/>
        <w:rPr>
          <w:rFonts w:hAnsi="宋体" w:cs="宋体"/>
          <w:szCs w:val="24"/>
          <w:highlight w:val="none"/>
        </w:rPr>
      </w:pPr>
      <w:r>
        <w:rPr>
          <w:rFonts w:hint="eastAsia" w:hAnsi="宋体" w:cs="宋体"/>
          <w:szCs w:val="24"/>
          <w:highlight w:val="none"/>
        </w:rPr>
        <w:t>（三）出现网络攻击、病毒入侵以及电子服务系统或电子交易系统安全漏洞导致无法正常提供服务的；</w:t>
      </w:r>
    </w:p>
    <w:p>
      <w:pPr>
        <w:spacing w:line="360" w:lineRule="auto"/>
        <w:ind w:firstLine="480" w:firstLineChars="200"/>
        <w:rPr>
          <w:rFonts w:hAnsi="宋体" w:cs="宋体"/>
          <w:szCs w:val="24"/>
          <w:highlight w:val="none"/>
        </w:rPr>
      </w:pPr>
      <w:r>
        <w:rPr>
          <w:rFonts w:hint="eastAsia" w:hAnsi="宋体" w:cs="宋体"/>
          <w:szCs w:val="24"/>
          <w:highlight w:val="none"/>
        </w:rPr>
        <w:t>（四）其他无法保证招标投标过程公平、公正和信息安全的情形。</w:t>
      </w:r>
    </w:p>
    <w:p>
      <w:pPr>
        <w:spacing w:line="360" w:lineRule="auto"/>
        <w:ind w:firstLine="480" w:firstLineChars="200"/>
        <w:rPr>
          <w:rFonts w:hAnsi="宋体" w:cs="宋体"/>
          <w:szCs w:val="24"/>
          <w:highlight w:val="none"/>
        </w:rPr>
      </w:pPr>
      <w:r>
        <w:rPr>
          <w:rFonts w:hint="eastAsia" w:hAnsi="宋体" w:cs="宋体"/>
          <w:bCs/>
          <w:szCs w:val="24"/>
          <w:highlight w:val="none"/>
        </w:rPr>
        <w:t>第二十四条</w:t>
      </w:r>
      <w:r>
        <w:rPr>
          <w:rFonts w:hint="eastAsia" w:hAnsi="宋体" w:cs="宋体"/>
          <w:szCs w:val="24"/>
          <w:highlight w:val="none"/>
        </w:rPr>
        <w:t xml:space="preserve">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pPr>
        <w:spacing w:line="360" w:lineRule="auto"/>
        <w:ind w:firstLine="480" w:firstLineChars="200"/>
        <w:rPr>
          <w:rFonts w:hAnsi="宋体" w:cs="宋体"/>
          <w:szCs w:val="24"/>
          <w:highlight w:val="none"/>
        </w:rPr>
      </w:pPr>
      <w:r>
        <w:rPr>
          <w:rFonts w:hint="eastAsia" w:hAnsi="宋体" w:cs="宋体"/>
          <w:szCs w:val="24"/>
          <w:highlight w:val="none"/>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pPr>
        <w:spacing w:line="360" w:lineRule="auto"/>
        <w:ind w:firstLine="480" w:firstLineChars="200"/>
        <w:rPr>
          <w:rFonts w:hAnsi="宋体" w:cs="宋体"/>
          <w:szCs w:val="24"/>
          <w:highlight w:val="none"/>
        </w:rPr>
      </w:pPr>
      <w:r>
        <w:rPr>
          <w:rFonts w:hint="eastAsia" w:hAnsi="宋体" w:cs="宋体"/>
          <w:szCs w:val="24"/>
          <w:highlight w:val="none"/>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pPr>
        <w:spacing w:line="360" w:lineRule="auto"/>
        <w:ind w:firstLine="480" w:firstLineChars="200"/>
        <w:rPr>
          <w:rFonts w:hAnsi="宋体" w:cs="宋体"/>
          <w:szCs w:val="24"/>
          <w:highlight w:val="none"/>
        </w:rPr>
      </w:pPr>
      <w:r>
        <w:rPr>
          <w:rFonts w:hint="eastAsia" w:hAnsi="宋体" w:cs="宋体"/>
          <w:bCs/>
          <w:szCs w:val="24"/>
          <w:highlight w:val="none"/>
        </w:rPr>
        <w:t>第二十五条</w:t>
      </w:r>
      <w:r>
        <w:rPr>
          <w:rFonts w:hint="eastAsia" w:hAnsi="宋体" w:cs="宋体"/>
          <w:szCs w:val="24"/>
          <w:highlight w:val="none"/>
        </w:rPr>
        <w:t xml:space="preserve">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pPr>
        <w:spacing w:line="360" w:lineRule="auto"/>
        <w:ind w:firstLine="480" w:firstLineChars="200"/>
        <w:rPr>
          <w:rFonts w:hAnsi="宋体" w:cs="宋体"/>
          <w:szCs w:val="24"/>
          <w:highlight w:val="none"/>
        </w:rPr>
      </w:pPr>
      <w:r>
        <w:rPr>
          <w:rFonts w:hint="eastAsia" w:hAnsi="宋体" w:cs="宋体"/>
          <w:bCs/>
          <w:szCs w:val="24"/>
          <w:highlight w:val="none"/>
        </w:rPr>
        <w:t>第二十六条</w:t>
      </w:r>
      <w:r>
        <w:rPr>
          <w:rFonts w:hint="eastAsia" w:hAnsi="宋体" w:cs="宋体"/>
          <w:szCs w:val="24"/>
          <w:highlight w:val="none"/>
        </w:rPr>
        <w:t xml:space="preserve">  本规程由合肥市公共资源交易监督管理局负责解释。</w:t>
      </w:r>
    </w:p>
    <w:p>
      <w:pPr>
        <w:spacing w:line="360" w:lineRule="auto"/>
        <w:ind w:firstLine="480" w:firstLineChars="200"/>
        <w:rPr>
          <w:rFonts w:hAnsi="宋体" w:cs="宋体"/>
          <w:bCs/>
          <w:szCs w:val="24"/>
          <w:highlight w:val="none"/>
        </w:rPr>
      </w:pPr>
      <w:r>
        <w:rPr>
          <w:rFonts w:hint="eastAsia" w:hAnsi="宋体" w:cs="宋体"/>
          <w:bCs/>
          <w:szCs w:val="24"/>
          <w:highlight w:val="none"/>
        </w:rPr>
        <w:t>第二十七条</w:t>
      </w:r>
      <w:r>
        <w:rPr>
          <w:rFonts w:hint="eastAsia" w:hAnsi="宋体" w:cs="宋体"/>
          <w:szCs w:val="24"/>
          <w:highlight w:val="none"/>
        </w:rPr>
        <w:t xml:space="preserve">  本规程自发布之日起施行，有效期2年。原《合肥市公共资源交易电子招标投标操作规程》（合公法〔2020〕16号）同时废止。</w:t>
      </w:r>
    </w:p>
    <w:p>
      <w:pPr>
        <w:pStyle w:val="3"/>
        <w:spacing w:beforeLines="100" w:afterLines="100" w:line="240" w:lineRule="auto"/>
        <w:jc w:val="center"/>
        <w:rPr>
          <w:b w:val="0"/>
          <w:highlight w:val="none"/>
        </w:rPr>
      </w:pPr>
      <w:r>
        <w:rPr>
          <w:rFonts w:hint="eastAsia"/>
          <w:b w:val="0"/>
          <w:highlight w:val="none"/>
        </w:rPr>
        <w:br w:type="page"/>
      </w:r>
      <w:bookmarkStart w:id="463" w:name="_Toc8131"/>
      <w:r>
        <w:rPr>
          <w:rFonts w:hint="eastAsia" w:ascii="黑体" w:hAnsi="黑体" w:eastAsia="黑体" w:cs="黑体"/>
          <w:b w:val="0"/>
          <w:highlight w:val="none"/>
        </w:rPr>
        <w:t>第三章  评标办法</w:t>
      </w:r>
      <w:bookmarkEnd w:id="463"/>
    </w:p>
    <w:p>
      <w:pPr>
        <w:pStyle w:val="3"/>
        <w:spacing w:beforeLines="100" w:afterLines="100" w:line="240" w:lineRule="auto"/>
        <w:jc w:val="center"/>
        <w:rPr>
          <w:b w:val="0"/>
          <w:highlight w:val="none"/>
        </w:rPr>
      </w:pPr>
      <w:bookmarkStart w:id="464" w:name="_Toc4951"/>
      <w:bookmarkStart w:id="465" w:name="_Toc6350"/>
      <w:bookmarkStart w:id="466" w:name="_Toc17141"/>
      <w:bookmarkStart w:id="467" w:name="_Toc19607"/>
      <w:r>
        <w:rPr>
          <w:rFonts w:hint="eastAsia" w:hAnsi="宋体" w:cs="宋体"/>
          <w:b w:val="0"/>
          <w:highlight w:val="none"/>
        </w:rPr>
        <w:t>综合评估法（一次平均）</w:t>
      </w:r>
      <w:bookmarkEnd w:id="464"/>
      <w:bookmarkEnd w:id="465"/>
      <w:bookmarkEnd w:id="466"/>
      <w:bookmarkEnd w:id="467"/>
    </w:p>
    <w:p>
      <w:pPr>
        <w:spacing w:beforeLines="100" w:afterLines="100"/>
        <w:jc w:val="center"/>
        <w:outlineLvl w:val="1"/>
        <w:rPr>
          <w:rFonts w:ascii="Times New Roman" w:eastAsia="黑体"/>
          <w:sz w:val="32"/>
          <w:szCs w:val="32"/>
          <w:highlight w:val="none"/>
        </w:rPr>
      </w:pPr>
      <w:bookmarkStart w:id="468" w:name="_Toc16993"/>
      <w:bookmarkStart w:id="469" w:name="_Toc2866"/>
      <w:bookmarkStart w:id="470" w:name="_Toc140069419"/>
      <w:r>
        <w:rPr>
          <w:rFonts w:hint="eastAsia" w:ascii="Times New Roman" w:eastAsia="黑体"/>
          <w:sz w:val="32"/>
          <w:szCs w:val="32"/>
          <w:highlight w:val="none"/>
        </w:rPr>
        <w:t>评标办法前附表</w:t>
      </w:r>
      <w:bookmarkEnd w:id="468"/>
      <w:bookmarkEnd w:id="469"/>
      <w:bookmarkEnd w:id="470"/>
    </w:p>
    <w:tbl>
      <w:tblPr>
        <w:tblStyle w:val="53"/>
        <w:tblW w:w="5043"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6"/>
        <w:gridCol w:w="1393"/>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ascii="Times New Roman" w:cs="宋体"/>
                <w:bCs/>
                <w:szCs w:val="24"/>
                <w:highlight w:val="none"/>
              </w:rPr>
              <w:t>条款号</w:t>
            </w:r>
          </w:p>
        </w:tc>
        <w:tc>
          <w:tcPr>
            <w:tcW w:w="1393" w:type="dxa"/>
            <w:vAlign w:val="center"/>
          </w:tcPr>
          <w:p>
            <w:pPr>
              <w:widowControl/>
              <w:spacing w:line="360" w:lineRule="auto"/>
              <w:ind w:firstLine="120" w:firstLineChars="50"/>
              <w:jc w:val="center"/>
              <w:rPr>
                <w:rFonts w:hAnsi="宋体" w:cs="宋体"/>
                <w:bCs/>
                <w:highlight w:val="none"/>
              </w:rPr>
            </w:pPr>
            <w:r>
              <w:rPr>
                <w:rFonts w:hint="eastAsia" w:ascii="Times New Roman" w:cs="宋体"/>
                <w:bCs/>
                <w:szCs w:val="24"/>
                <w:highlight w:val="none"/>
              </w:rPr>
              <w:t>评审因素</w:t>
            </w:r>
          </w:p>
        </w:tc>
        <w:tc>
          <w:tcPr>
            <w:tcW w:w="5531" w:type="dxa"/>
            <w:vAlign w:val="center"/>
          </w:tcPr>
          <w:p>
            <w:pPr>
              <w:widowControl/>
              <w:spacing w:line="360" w:lineRule="auto"/>
              <w:ind w:firstLine="120" w:firstLineChars="50"/>
              <w:jc w:val="center"/>
              <w:rPr>
                <w:rFonts w:hAnsi="宋体" w:cs="宋体"/>
                <w:bCs/>
                <w:highlight w:val="none"/>
              </w:rPr>
            </w:pPr>
            <w:r>
              <w:rPr>
                <w:rFonts w:hint="eastAsia" w:ascii="Times New Roman" w:cs="宋体"/>
                <w:bCs/>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1.2</w:t>
            </w:r>
          </w:p>
        </w:tc>
        <w:tc>
          <w:tcPr>
            <w:tcW w:w="1393" w:type="dxa"/>
            <w:tcMar>
              <w:left w:w="75" w:type="dxa"/>
            </w:tcMar>
            <w:vAlign w:val="center"/>
          </w:tcPr>
          <w:p>
            <w:pPr>
              <w:widowControl/>
              <w:snapToGrid w:val="0"/>
              <w:spacing w:line="360" w:lineRule="auto"/>
              <w:jc w:val="center"/>
              <w:rPr>
                <w:rFonts w:hAnsi="宋体" w:cs="宋体"/>
                <w:highlight w:val="none"/>
              </w:rPr>
            </w:pPr>
            <w:r>
              <w:rPr>
                <w:rFonts w:hint="eastAsia" w:hAnsi="宋体" w:cs="宋体"/>
                <w:highlight w:val="none"/>
              </w:rPr>
              <w:t>中标候选人排序方法</w:t>
            </w:r>
          </w:p>
        </w:tc>
        <w:tc>
          <w:tcPr>
            <w:tcW w:w="5531" w:type="dxa"/>
            <w:tcMar>
              <w:left w:w="75" w:type="dxa"/>
            </w:tcMar>
            <w:vAlign w:val="center"/>
          </w:tcPr>
          <w:p>
            <w:pPr>
              <w:widowControl/>
              <w:snapToGrid w:val="0"/>
              <w:spacing w:line="360" w:lineRule="auto"/>
              <w:jc w:val="left"/>
              <w:rPr>
                <w:rFonts w:hAnsi="宋体" w:cs="宋体"/>
                <w:highlight w:val="none"/>
                <w:u w:val="single"/>
              </w:rPr>
            </w:pPr>
            <w:r>
              <w:rPr>
                <w:rFonts w:hint="eastAsia" w:hAnsi="宋体" w:cs="宋体"/>
                <w:highlight w:val="none"/>
                <w:u w:val="single"/>
              </w:rPr>
              <w:t>综合得分相等时，评标委员会应按照以下优先顺序确定中标候选人顺序：</w:t>
            </w:r>
          </w:p>
          <w:p>
            <w:pPr>
              <w:widowControl/>
              <w:snapToGrid w:val="0"/>
              <w:spacing w:line="360" w:lineRule="auto"/>
              <w:jc w:val="left"/>
              <w:rPr>
                <w:rFonts w:hAnsi="宋体" w:cs="宋体"/>
                <w:highlight w:val="none"/>
                <w:u w:val="single"/>
              </w:rPr>
            </w:pPr>
            <w:r>
              <w:rPr>
                <w:rFonts w:hint="eastAsia" w:hAnsi="宋体" w:cs="宋体"/>
                <w:highlight w:val="none"/>
                <w:u w:val="single"/>
              </w:rPr>
              <w:t>（1）商务及技术文件得分高的优先；</w:t>
            </w:r>
          </w:p>
          <w:p>
            <w:pPr>
              <w:widowControl/>
              <w:snapToGrid w:val="0"/>
              <w:spacing w:line="360" w:lineRule="auto"/>
              <w:jc w:val="left"/>
              <w:rPr>
                <w:rFonts w:hAnsi="宋体" w:cs="宋体"/>
                <w:highlight w:val="none"/>
                <w:u w:val="single"/>
              </w:rPr>
            </w:pPr>
            <w:r>
              <w:rPr>
                <w:rFonts w:hint="eastAsia" w:hAnsi="宋体" w:cs="宋体"/>
                <w:highlight w:val="none"/>
                <w:u w:val="single"/>
              </w:rPr>
              <w:t>（2）投标报价低的优先；</w:t>
            </w:r>
          </w:p>
          <w:p>
            <w:pPr>
              <w:widowControl/>
              <w:snapToGrid w:val="0"/>
              <w:spacing w:line="360" w:lineRule="auto"/>
              <w:jc w:val="left"/>
              <w:rPr>
                <w:rFonts w:hAnsi="宋体" w:cs="宋体"/>
                <w:highlight w:val="none"/>
              </w:rPr>
            </w:pPr>
            <w:r>
              <w:rPr>
                <w:rFonts w:hint="eastAsia" w:hAnsi="宋体" w:cs="宋体"/>
                <w:highlight w:val="none"/>
                <w:u w:val="single"/>
              </w:rPr>
              <w:t>（3）由评标委员会根据投标文件投票，按少数服从多数的原则确定中标候选人顺序。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1.3</w:t>
            </w:r>
          </w:p>
        </w:tc>
        <w:tc>
          <w:tcPr>
            <w:tcW w:w="1393" w:type="dxa"/>
            <w:tcMar>
              <w:left w:w="75" w:type="dxa"/>
            </w:tcMar>
            <w:vAlign w:val="center"/>
          </w:tcPr>
          <w:p>
            <w:pPr>
              <w:widowControl/>
              <w:snapToGrid w:val="0"/>
              <w:spacing w:line="360" w:lineRule="auto"/>
              <w:jc w:val="center"/>
              <w:rPr>
                <w:rFonts w:hAnsi="宋体" w:cs="宋体"/>
                <w:highlight w:val="none"/>
              </w:rPr>
            </w:pPr>
            <w:r>
              <w:rPr>
                <w:rFonts w:hint="eastAsia" w:hAnsi="宋体" w:cs="宋体"/>
                <w:highlight w:val="none"/>
              </w:rPr>
              <w:t>推荐中标候选人先后顺序</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1.3</w:t>
            </w:r>
          </w:p>
        </w:tc>
        <w:tc>
          <w:tcPr>
            <w:tcW w:w="1393"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最多可中标段数量</w:t>
            </w:r>
          </w:p>
        </w:tc>
        <w:tc>
          <w:tcPr>
            <w:tcW w:w="5531" w:type="dxa"/>
            <w:tcMar>
              <w:left w:w="75" w:type="dxa"/>
            </w:tcMar>
            <w:vAlign w:val="center"/>
          </w:tcPr>
          <w:p>
            <w:pPr>
              <w:widowControl/>
              <w:spacing w:line="360" w:lineRule="auto"/>
              <w:jc w:val="left"/>
              <w:rPr>
                <w:rFonts w:hAnsi="宋体" w:cs="宋体"/>
                <w:highlight w:val="none"/>
              </w:rPr>
            </w:pPr>
            <w:r>
              <w:rPr>
                <w:rFonts w:hint="eastAsia" w:hAnsi="宋体" w:cs="宋体"/>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keepNext/>
              <w:keepLines/>
              <w:widowControl/>
              <w:spacing w:before="340" w:after="330" w:line="360" w:lineRule="auto"/>
              <w:jc w:val="center"/>
              <w:rPr>
                <w:rFonts w:hAnsi="宋体" w:cs="宋体"/>
                <w:bCs/>
                <w:highlight w:val="none"/>
              </w:rPr>
            </w:pPr>
            <w:r>
              <w:rPr>
                <w:rFonts w:hAnsi="宋体" w:cs="宋体"/>
                <w:szCs w:val="24"/>
                <w:highlight w:val="none"/>
              </w:rPr>
              <w:t>2.1</w:t>
            </w:r>
          </w:p>
        </w:tc>
        <w:tc>
          <w:tcPr>
            <w:tcW w:w="1393" w:type="dxa"/>
            <w:tcMar>
              <w:left w:w="75" w:type="dxa"/>
            </w:tcMar>
            <w:vAlign w:val="center"/>
          </w:tcPr>
          <w:p>
            <w:pPr>
              <w:widowControl/>
              <w:spacing w:line="360" w:lineRule="auto"/>
              <w:jc w:val="center"/>
              <w:rPr>
                <w:rFonts w:hAnsi="宋体" w:cs="宋体"/>
                <w:highlight w:val="none"/>
              </w:rPr>
            </w:pPr>
            <w:r>
              <w:rPr>
                <w:rFonts w:hAnsi="宋体" w:cs="宋体"/>
                <w:szCs w:val="24"/>
                <w:highlight w:val="none"/>
              </w:rPr>
              <w:t>初步评审标准</w:t>
            </w:r>
          </w:p>
        </w:tc>
        <w:tc>
          <w:tcPr>
            <w:tcW w:w="5531" w:type="dxa"/>
            <w:tcMar>
              <w:left w:w="75" w:type="dxa"/>
            </w:tcMar>
            <w:vAlign w:val="center"/>
          </w:tcPr>
          <w:p>
            <w:pPr>
              <w:widowControl/>
              <w:spacing w:line="360" w:lineRule="auto"/>
              <w:jc w:val="left"/>
              <w:rPr>
                <w:rFonts w:hAnsi="宋体" w:cs="宋体"/>
                <w:highlight w:val="none"/>
                <w:u w:val="single"/>
              </w:rPr>
            </w:pPr>
            <w:r>
              <w:rPr>
                <w:rFonts w:hAnsi="宋体" w:cs="宋体"/>
                <w:szCs w:val="24"/>
                <w:highlight w:val="none"/>
              </w:rPr>
              <w:t>见</w:t>
            </w:r>
            <w:r>
              <w:rPr>
                <w:rFonts w:hint="eastAsia" w:hAnsi="宋体" w:cs="宋体"/>
                <w:szCs w:val="24"/>
                <w:highlight w:val="none"/>
              </w:rPr>
              <w:t>“商务及技术文件初步评审标准”表、“报价文件初步评审标准”表。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2.2.1</w:t>
            </w:r>
          </w:p>
        </w:tc>
        <w:tc>
          <w:tcPr>
            <w:tcW w:w="1393" w:type="dxa"/>
            <w:tcMar>
              <w:left w:w="75" w:type="dxa"/>
            </w:tcMar>
            <w:vAlign w:val="center"/>
          </w:tcPr>
          <w:p>
            <w:pPr>
              <w:spacing w:line="360" w:lineRule="auto"/>
              <w:jc w:val="center"/>
              <w:rPr>
                <w:rFonts w:hAnsi="宋体" w:cs="宋体"/>
                <w:highlight w:val="none"/>
              </w:rPr>
            </w:pPr>
            <w:r>
              <w:rPr>
                <w:rFonts w:hint="eastAsia" w:hAnsi="宋体" w:cs="宋体"/>
                <w:highlight w:val="none"/>
              </w:rPr>
              <w:t>分值构成</w:t>
            </w:r>
          </w:p>
          <w:p>
            <w:pPr>
              <w:spacing w:line="360" w:lineRule="auto"/>
              <w:jc w:val="center"/>
              <w:rPr>
                <w:rFonts w:hAnsi="宋体" w:cs="宋体"/>
                <w:highlight w:val="none"/>
              </w:rPr>
            </w:pPr>
            <w:r>
              <w:rPr>
                <w:rFonts w:hint="eastAsia" w:hAnsi="宋体" w:cs="宋体"/>
                <w:highlight w:val="none"/>
              </w:rPr>
              <w:t>（</w:t>
            </w:r>
            <w:r>
              <w:rPr>
                <w:rFonts w:hint="eastAsia" w:hAnsi="宋体" w:cs="宋体"/>
                <w:highlight w:val="none"/>
                <w:u w:val="single"/>
              </w:rPr>
              <w:t xml:space="preserve">100 </w:t>
            </w:r>
            <w:r>
              <w:rPr>
                <w:rFonts w:hint="eastAsia" w:hAnsi="宋体" w:cs="宋体"/>
                <w:highlight w:val="none"/>
              </w:rPr>
              <w:t>分）</w:t>
            </w:r>
          </w:p>
        </w:tc>
        <w:tc>
          <w:tcPr>
            <w:tcW w:w="5531" w:type="dxa"/>
            <w:tcMar>
              <w:left w:w="75" w:type="dxa"/>
            </w:tcMar>
            <w:vAlign w:val="center"/>
          </w:tcPr>
          <w:p>
            <w:pPr>
              <w:spacing w:line="360" w:lineRule="auto"/>
              <w:ind w:firstLine="120" w:firstLineChars="50"/>
              <w:rPr>
                <w:rFonts w:hAnsi="宋体" w:cs="宋体"/>
                <w:szCs w:val="24"/>
                <w:highlight w:val="none"/>
              </w:rPr>
            </w:pPr>
            <w:r>
              <w:rPr>
                <w:rFonts w:hint="eastAsia" w:hAnsi="宋体" w:cs="宋体"/>
                <w:szCs w:val="24"/>
                <w:highlight w:val="none"/>
              </w:rPr>
              <w:t>技术文件：</w:t>
            </w:r>
            <w:r>
              <w:rPr>
                <w:rFonts w:hint="eastAsia" w:hAnsi="宋体" w:cs="宋体"/>
                <w:szCs w:val="24"/>
                <w:highlight w:val="none"/>
                <w:u w:val="single"/>
                <w:lang w:val="en-US" w:eastAsia="zh-CN"/>
              </w:rPr>
              <w:t>35</w:t>
            </w:r>
            <w:r>
              <w:rPr>
                <w:rFonts w:hint="eastAsia" w:hAnsi="宋体" w:cs="宋体"/>
                <w:szCs w:val="24"/>
                <w:highlight w:val="none"/>
              </w:rPr>
              <w:t>分</w:t>
            </w:r>
          </w:p>
          <w:p>
            <w:pPr>
              <w:spacing w:line="360" w:lineRule="auto"/>
              <w:ind w:firstLine="120" w:firstLineChars="50"/>
              <w:rPr>
                <w:rFonts w:hAnsi="宋体" w:cs="宋体"/>
                <w:szCs w:val="24"/>
                <w:highlight w:val="none"/>
              </w:rPr>
            </w:pPr>
            <w:r>
              <w:rPr>
                <w:rFonts w:hint="eastAsia" w:hAnsi="宋体" w:cs="宋体"/>
                <w:szCs w:val="24"/>
                <w:highlight w:val="none"/>
              </w:rPr>
              <w:t>商务文件：</w:t>
            </w:r>
            <w:r>
              <w:rPr>
                <w:rFonts w:hint="eastAsia" w:hAnsi="宋体" w:cs="宋体"/>
                <w:szCs w:val="24"/>
                <w:highlight w:val="none"/>
                <w:u w:val="single"/>
                <w:lang w:val="en-US" w:eastAsia="zh-CN"/>
              </w:rPr>
              <w:t>25</w:t>
            </w:r>
            <w:r>
              <w:rPr>
                <w:rFonts w:hint="eastAsia" w:hAnsi="宋体" w:cs="宋体"/>
                <w:szCs w:val="24"/>
                <w:highlight w:val="none"/>
              </w:rPr>
              <w:t>分</w:t>
            </w:r>
          </w:p>
          <w:p>
            <w:pPr>
              <w:spacing w:line="360" w:lineRule="auto"/>
              <w:ind w:firstLine="120" w:firstLineChars="50"/>
              <w:rPr>
                <w:rFonts w:hAnsi="宋体" w:cs="宋体"/>
                <w:highlight w:val="none"/>
              </w:rPr>
            </w:pPr>
            <w:r>
              <w:rPr>
                <w:rFonts w:hint="eastAsia" w:hAnsi="宋体" w:cs="宋体"/>
                <w:szCs w:val="24"/>
                <w:highlight w:val="none"/>
              </w:rPr>
              <w:t>报价文件：</w:t>
            </w:r>
            <w:r>
              <w:rPr>
                <w:rFonts w:hint="eastAsia" w:hAnsi="宋体" w:cs="宋体"/>
                <w:szCs w:val="24"/>
                <w:highlight w:val="none"/>
                <w:u w:val="single"/>
                <w:lang w:val="en-US" w:eastAsia="zh-CN"/>
              </w:rPr>
              <w:t>40</w:t>
            </w:r>
            <w:r>
              <w:rPr>
                <w:rFonts w:hint="eastAsia" w:hAnsi="宋体" w:cs="宋体"/>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keepNext/>
              <w:keepLines/>
              <w:widowControl/>
              <w:spacing w:before="340" w:after="330" w:line="360" w:lineRule="auto"/>
              <w:jc w:val="center"/>
              <w:rPr>
                <w:rFonts w:hAnsi="宋体" w:cs="宋体"/>
                <w:bCs/>
                <w:highlight w:val="none"/>
              </w:rPr>
            </w:pPr>
            <w:r>
              <w:rPr>
                <w:rFonts w:hAnsi="宋体" w:cs="宋体"/>
                <w:szCs w:val="24"/>
                <w:highlight w:val="none"/>
              </w:rPr>
              <w:t>2.2</w:t>
            </w:r>
            <w:r>
              <w:rPr>
                <w:rFonts w:hint="eastAsia" w:hAnsi="宋体" w:cs="宋体"/>
                <w:szCs w:val="24"/>
                <w:highlight w:val="none"/>
              </w:rPr>
              <w:t>.2</w:t>
            </w:r>
          </w:p>
        </w:tc>
        <w:tc>
          <w:tcPr>
            <w:tcW w:w="1393" w:type="dxa"/>
            <w:tcMar>
              <w:left w:w="75" w:type="dxa"/>
            </w:tcMar>
            <w:vAlign w:val="center"/>
          </w:tcPr>
          <w:p>
            <w:pPr>
              <w:widowControl/>
              <w:spacing w:line="360" w:lineRule="auto"/>
              <w:jc w:val="center"/>
              <w:rPr>
                <w:rFonts w:hAnsi="宋体" w:cs="宋体"/>
                <w:highlight w:val="none"/>
              </w:rPr>
            </w:pPr>
            <w:r>
              <w:rPr>
                <w:rFonts w:hint="eastAsia" w:hAnsi="宋体" w:cs="宋体"/>
                <w:szCs w:val="24"/>
                <w:highlight w:val="none"/>
              </w:rPr>
              <w:t>评分</w:t>
            </w:r>
            <w:r>
              <w:rPr>
                <w:rFonts w:hAnsi="宋体" w:cs="宋体"/>
                <w:szCs w:val="24"/>
                <w:highlight w:val="none"/>
              </w:rPr>
              <w:t>标准</w:t>
            </w:r>
          </w:p>
        </w:tc>
        <w:tc>
          <w:tcPr>
            <w:tcW w:w="5531" w:type="dxa"/>
            <w:tcMar>
              <w:left w:w="75" w:type="dxa"/>
            </w:tcMar>
            <w:vAlign w:val="center"/>
          </w:tcPr>
          <w:p>
            <w:pPr>
              <w:widowControl/>
              <w:spacing w:line="360" w:lineRule="auto"/>
              <w:jc w:val="left"/>
              <w:rPr>
                <w:rFonts w:hAnsi="宋体" w:cs="宋体"/>
                <w:highlight w:val="none"/>
                <w:u w:val="single"/>
              </w:rPr>
            </w:pPr>
            <w:r>
              <w:rPr>
                <w:rFonts w:hAnsi="宋体" w:cs="宋体"/>
                <w:szCs w:val="24"/>
                <w:highlight w:val="none"/>
              </w:rPr>
              <w:t>见</w:t>
            </w:r>
            <w:r>
              <w:rPr>
                <w:rFonts w:hint="eastAsia" w:hAnsi="宋体" w:cs="宋体"/>
                <w:szCs w:val="24"/>
                <w:highlight w:val="none"/>
              </w:rPr>
              <w:t>“商务、技术及报价文件详细评审标准”表。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3.2.2（1）</w:t>
            </w:r>
          </w:p>
        </w:tc>
        <w:tc>
          <w:tcPr>
            <w:tcW w:w="1393" w:type="dxa"/>
            <w:tcMar>
              <w:left w:w="75" w:type="dxa"/>
            </w:tcMar>
            <w:vAlign w:val="center"/>
          </w:tcPr>
          <w:p>
            <w:pPr>
              <w:snapToGrid w:val="0"/>
              <w:spacing w:line="360" w:lineRule="auto"/>
              <w:jc w:val="center"/>
              <w:rPr>
                <w:rFonts w:hAnsi="宋体" w:cs="宋体"/>
                <w:highlight w:val="none"/>
              </w:rPr>
            </w:pPr>
            <w:r>
              <w:rPr>
                <w:rFonts w:hint="eastAsia" w:hAnsi="宋体" w:cs="宋体"/>
                <w:highlight w:val="none"/>
              </w:rPr>
              <w:t>技术文件详细评审得分计算规则</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3.7.2</w:t>
            </w:r>
          </w:p>
        </w:tc>
        <w:tc>
          <w:tcPr>
            <w:tcW w:w="1393" w:type="dxa"/>
            <w:tcMar>
              <w:left w:w="75" w:type="dxa"/>
            </w:tcMar>
            <w:vAlign w:val="center"/>
          </w:tcPr>
          <w:p>
            <w:pPr>
              <w:snapToGrid w:val="0"/>
              <w:spacing w:line="360" w:lineRule="auto"/>
              <w:jc w:val="center"/>
              <w:rPr>
                <w:rFonts w:hAnsi="宋体" w:cs="宋体"/>
                <w:highlight w:val="none"/>
              </w:rPr>
            </w:pPr>
            <w:r>
              <w:rPr>
                <w:rFonts w:hint="eastAsia" w:hAnsi="宋体" w:cs="宋体"/>
                <w:highlight w:val="none"/>
              </w:rPr>
              <w:t>否决投标的其他情形</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rPr>
              <w:t>见附件2。</w:t>
            </w:r>
          </w:p>
        </w:tc>
      </w:tr>
    </w:tbl>
    <w:p>
      <w:pPr>
        <w:spacing w:beforeLines="100" w:afterLines="100"/>
        <w:jc w:val="center"/>
        <w:outlineLvl w:val="1"/>
        <w:rPr>
          <w:rFonts w:ascii="Times New Roman" w:eastAsia="黑体"/>
          <w:sz w:val="32"/>
          <w:szCs w:val="32"/>
          <w:highlight w:val="none"/>
        </w:rPr>
      </w:pPr>
      <w:r>
        <w:rPr>
          <w:rFonts w:hint="eastAsia" w:ascii="Times New Roman" w:eastAsia="黑体"/>
          <w:sz w:val="32"/>
          <w:szCs w:val="32"/>
          <w:highlight w:val="none"/>
        </w:rPr>
        <w:br w:type="page"/>
      </w:r>
      <w:bookmarkStart w:id="471" w:name="_Toc140069420"/>
      <w:bookmarkStart w:id="472" w:name="_Toc8614"/>
      <w:bookmarkStart w:id="473" w:name="_Toc9062"/>
      <w:bookmarkStart w:id="474" w:name="_Toc32658"/>
      <w:r>
        <w:rPr>
          <w:rFonts w:hint="eastAsia" w:eastAsia="黑体" w:cs="宋体"/>
          <w:sz w:val="32"/>
          <w:szCs w:val="32"/>
          <w:highlight w:val="none"/>
        </w:rPr>
        <w:t>商务及技术文件初步评审标准</w:t>
      </w:r>
      <w:bookmarkEnd w:id="471"/>
      <w:bookmarkEnd w:id="472"/>
      <w:bookmarkEnd w:id="473"/>
      <w:bookmarkEnd w:id="474"/>
    </w:p>
    <w:tbl>
      <w:tblPr>
        <w:tblStyle w:val="53"/>
        <w:tblW w:w="5031"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808"/>
        <w:gridCol w:w="1389"/>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2" w:type="dxa"/>
            <w:gridSpan w:val="2"/>
            <w:vAlign w:val="center"/>
          </w:tcPr>
          <w:p>
            <w:pPr>
              <w:widowControl/>
              <w:spacing w:line="360" w:lineRule="auto"/>
              <w:jc w:val="center"/>
              <w:rPr>
                <w:rFonts w:hAnsi="宋体" w:cs="宋体"/>
                <w:bCs/>
                <w:highlight w:val="none"/>
              </w:rPr>
            </w:pPr>
            <w:r>
              <w:rPr>
                <w:rFonts w:hint="eastAsia" w:hAnsi="宋体" w:cs="宋体"/>
                <w:bCs/>
                <w:highlight w:val="none"/>
              </w:rPr>
              <w:t>条款号</w:t>
            </w:r>
          </w:p>
        </w:tc>
        <w:tc>
          <w:tcPr>
            <w:tcW w:w="1389" w:type="dxa"/>
            <w:vAlign w:val="center"/>
          </w:tcPr>
          <w:p>
            <w:pPr>
              <w:widowControl/>
              <w:spacing w:line="360" w:lineRule="auto"/>
              <w:ind w:firstLine="120" w:firstLineChars="50"/>
              <w:jc w:val="center"/>
              <w:rPr>
                <w:rFonts w:hAnsi="宋体" w:cs="宋体"/>
                <w:bCs/>
                <w:highlight w:val="none"/>
              </w:rPr>
            </w:pPr>
            <w:r>
              <w:rPr>
                <w:rFonts w:hint="eastAsia" w:hAnsi="宋体" w:cs="宋体"/>
                <w:bCs/>
                <w:highlight w:val="none"/>
              </w:rPr>
              <w:t>评审因素</w:t>
            </w:r>
          </w:p>
        </w:tc>
        <w:tc>
          <w:tcPr>
            <w:tcW w:w="5518" w:type="dxa"/>
            <w:vAlign w:val="center"/>
          </w:tcPr>
          <w:p>
            <w:pPr>
              <w:widowControl/>
              <w:spacing w:line="360" w:lineRule="auto"/>
              <w:ind w:firstLine="120" w:firstLineChars="50"/>
              <w:jc w:val="center"/>
              <w:rPr>
                <w:rFonts w:hAnsi="宋体" w:cs="宋体"/>
                <w:bCs/>
                <w:highlight w:val="none"/>
              </w:rPr>
            </w:pPr>
            <w:r>
              <w:rPr>
                <w:rFonts w:hint="eastAsia" w:hAnsi="宋体" w:cs="宋体"/>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2.1.1</w:t>
            </w:r>
          </w:p>
        </w:tc>
        <w:tc>
          <w:tcPr>
            <w:tcW w:w="808"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形式评审标准</w:t>
            </w: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投标人名称</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签字盖章</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投标文件格式</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符合第六章“投标文件格式”的规定</w:t>
            </w:r>
            <w:r>
              <w:rPr>
                <w:rFonts w:hint="eastAsia" w:hAnsi="宋体" w:cs="宋体"/>
                <w:szCs w:val="24"/>
                <w:highlight w:val="none"/>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联合体投标人（如有）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备选投标方案</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未出现异常情形</w:t>
            </w:r>
          </w:p>
        </w:tc>
        <w:tc>
          <w:tcPr>
            <w:tcW w:w="5518" w:type="dxa"/>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不同投标人未出现使用相同的投标文件制作机器码进行投标的情形。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未出现投标报价</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商务及技术文件中未出现有关投标报价的内容。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2.1.2</w:t>
            </w:r>
          </w:p>
        </w:tc>
        <w:tc>
          <w:tcPr>
            <w:tcW w:w="808" w:type="dxa"/>
            <w:vMerge w:val="restart"/>
            <w:vAlign w:val="center"/>
          </w:tcPr>
          <w:p>
            <w:pPr>
              <w:widowControl/>
              <w:spacing w:line="360" w:lineRule="auto"/>
              <w:jc w:val="center"/>
              <w:rPr>
                <w:rFonts w:hAnsi="宋体" w:cs="宋体"/>
                <w:highlight w:val="none"/>
              </w:rPr>
            </w:pPr>
            <w:r>
              <w:rPr>
                <w:rFonts w:hint="eastAsia" w:hAnsi="宋体" w:cs="宋体"/>
                <w:bCs/>
                <w:highlight w:val="none"/>
              </w:rPr>
              <w:t>资格评审标准</w:t>
            </w: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营业执照</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符合第二章“投标人须知”第3.5.1项规定，具备有效的营业执照，如为联合体投标，联合体各方均须提供。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资质要求</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项目负责人资格要求</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投标货物制造商的资质要求（如有）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p>
            <w:pPr>
              <w:spacing w:line="360" w:lineRule="auto"/>
              <w:rPr>
                <w:rFonts w:hAnsi="宋体" w:cs="宋体"/>
                <w:highlight w:val="none"/>
              </w:rPr>
            </w:pPr>
            <w:r>
              <w:rPr>
                <w:rFonts w:hint="eastAsia" w:hAnsi="宋体" w:cs="宋体"/>
                <w:highlight w:val="none"/>
              </w:rPr>
              <w:t>具备有效的生产/制造许可证（如要求）。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财务要求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投标人业绩要求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项目负责人业绩要求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投标货物的业绩要求（如有）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信誉要求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其他要求</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联合体投标人</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不存在禁止投标的情形</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不存在第二章“投标人须知”第1.4.3项或第1.4.4项规定的任何一种情形。</w:t>
            </w:r>
            <w:r>
              <w:rPr>
                <w:rFonts w:hint="eastAsia" w:hAnsi="宋体" w:cs="宋体"/>
                <w:bCs/>
                <w:szCs w:val="24"/>
                <w:highlight w:val="none"/>
              </w:rPr>
              <w:t>投标人</w:t>
            </w:r>
            <w:r>
              <w:rPr>
                <w:rFonts w:hint="eastAsia" w:hAnsi="宋体"/>
                <w:bCs/>
                <w:snapToGrid w:val="0"/>
                <w:szCs w:val="24"/>
                <w:highlight w:val="none"/>
              </w:rPr>
              <w:t>应按照</w:t>
            </w:r>
            <w:r>
              <w:rPr>
                <w:rFonts w:hint="eastAsia" w:hAnsi="宋体" w:cs="宋体"/>
                <w:bCs/>
                <w:szCs w:val="24"/>
                <w:highlight w:val="none"/>
              </w:rPr>
              <w:t>第六章“投标文件格式”的“诚信投标承诺书”承诺。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highlight w:val="none"/>
              </w:rPr>
            </w:pPr>
            <w:r>
              <w:rPr>
                <w:rFonts w:hint="eastAsia" w:hAnsi="宋体" w:cs="宋体"/>
                <w:highlight w:val="none"/>
              </w:rPr>
              <w:t>2.1.3</w:t>
            </w:r>
          </w:p>
        </w:tc>
        <w:tc>
          <w:tcPr>
            <w:tcW w:w="808" w:type="dxa"/>
            <w:vMerge w:val="restart"/>
            <w:vAlign w:val="center"/>
          </w:tcPr>
          <w:p>
            <w:pPr>
              <w:widowControl/>
              <w:spacing w:line="360" w:lineRule="auto"/>
              <w:jc w:val="center"/>
              <w:rPr>
                <w:rFonts w:hAnsi="宋体" w:cs="宋体"/>
                <w:highlight w:val="none"/>
              </w:rPr>
            </w:pPr>
            <w:r>
              <w:rPr>
                <w:rFonts w:hint="eastAsia" w:hAnsi="宋体" w:cs="宋体"/>
                <w:bCs/>
                <w:highlight w:val="none"/>
              </w:rPr>
              <w:t>响应性评审标准</w:t>
            </w: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投标内容</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交货及安装周期</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交货及安装地点</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技术性能指标</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投标有效期</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投标保证金</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符合第二章“投标人须知”第3.4.1项规定（符合免缴投标保证金的须满足免缴条件且须进行相应承诺）。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投标货物及技术服务和质保期服务</w:t>
            </w:r>
          </w:p>
        </w:tc>
        <w:tc>
          <w:tcPr>
            <w:tcW w:w="5518" w:type="dxa"/>
            <w:tcMar>
              <w:left w:w="75" w:type="dxa"/>
            </w:tcMar>
            <w:vAlign w:val="center"/>
          </w:tcPr>
          <w:p>
            <w:pPr>
              <w:widowControl/>
              <w:spacing w:line="360" w:lineRule="auto"/>
              <w:rPr>
                <w:rFonts w:hAnsi="宋体" w:cs="宋体"/>
                <w:highlight w:val="none"/>
              </w:rPr>
            </w:pPr>
            <w:r>
              <w:rPr>
                <w:rFonts w:hint="eastAsia" w:hAnsi="宋体" w:cs="宋体"/>
                <w:highlight w:val="none"/>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技术支持资料</w:t>
            </w:r>
          </w:p>
        </w:tc>
        <w:tc>
          <w:tcPr>
            <w:tcW w:w="5518" w:type="dxa"/>
            <w:tcMar>
              <w:left w:w="75" w:type="dxa"/>
            </w:tcMar>
            <w:vAlign w:val="center"/>
          </w:tcPr>
          <w:p>
            <w:pPr>
              <w:widowControl/>
              <w:spacing w:line="360" w:lineRule="auto"/>
              <w:rPr>
                <w:rFonts w:hAnsi="宋体" w:cs="宋体"/>
                <w:highlight w:val="none"/>
              </w:rPr>
            </w:pPr>
            <w:r>
              <w:rPr>
                <w:rFonts w:hint="eastAsia" w:hAnsi="宋体" w:cs="宋体"/>
                <w:highlight w:val="none"/>
              </w:rPr>
              <w:t>符合第二章“投标人须知”第1.12.3项规定。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其他实质性要求</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符合招标文件的其他实质性要求和条件。</w:t>
            </w:r>
          </w:p>
        </w:tc>
      </w:tr>
    </w:tbl>
    <w:p>
      <w:pPr>
        <w:widowControl/>
        <w:adjustRightInd w:val="0"/>
        <w:snapToGrid w:val="0"/>
        <w:spacing w:line="360" w:lineRule="auto"/>
        <w:ind w:firstLine="480" w:firstLineChars="200"/>
        <w:jc w:val="left"/>
        <w:rPr>
          <w:rFonts w:ascii="Times New Roman" w:cs="宋体"/>
          <w:szCs w:val="24"/>
          <w:highlight w:val="none"/>
        </w:rPr>
      </w:pPr>
      <w:r>
        <w:rPr>
          <w:rFonts w:hint="eastAsia" w:ascii="Times New Roman" w:cs="宋体"/>
          <w:szCs w:val="24"/>
          <w:highlight w:val="none"/>
        </w:rPr>
        <w:t>注：</w:t>
      </w:r>
    </w:p>
    <w:p>
      <w:pPr>
        <w:widowControl/>
        <w:adjustRightInd w:val="0"/>
        <w:snapToGrid w:val="0"/>
        <w:spacing w:line="360" w:lineRule="auto"/>
        <w:ind w:firstLine="480" w:firstLineChars="200"/>
        <w:jc w:val="left"/>
        <w:rPr>
          <w:rFonts w:ascii="Times New Roman" w:cs="宋体"/>
          <w:szCs w:val="24"/>
          <w:highlight w:val="none"/>
        </w:rPr>
      </w:pPr>
      <w:r>
        <w:rPr>
          <w:rFonts w:hint="eastAsia" w:ascii="Times New Roman" w:cs="宋体"/>
          <w:szCs w:val="24"/>
          <w:highlight w:val="none"/>
        </w:rPr>
        <w:t>1.评审因素“投标人业绩”和“项目负责人业绩”，投标人应按照第六章“投标文件格式”的要求填写相应表格，并附相应业绩证明材料。</w:t>
      </w:r>
    </w:p>
    <w:p>
      <w:pPr>
        <w:widowControl/>
        <w:adjustRightInd w:val="0"/>
        <w:snapToGrid w:val="0"/>
        <w:spacing w:line="360" w:lineRule="auto"/>
        <w:ind w:firstLine="480" w:firstLineChars="200"/>
        <w:jc w:val="center"/>
        <w:rPr>
          <w:rFonts w:ascii="Times New Roman" w:eastAsia="黑体"/>
          <w:sz w:val="32"/>
          <w:szCs w:val="32"/>
          <w:highlight w:val="none"/>
        </w:rPr>
      </w:pPr>
      <w:r>
        <w:rPr>
          <w:rFonts w:hint="eastAsia" w:ascii="Times New Roman" w:cs="宋体"/>
          <w:szCs w:val="24"/>
          <w:highlight w:val="none"/>
        </w:rPr>
        <w:t>2.评标委员会应按照第六章“投标文件格式”中“投标人业绩情况表（资格审查）”“项目负责人业绩情况表（资格审查）”列明的业绩序号先后顺序依次进行评审，且仅评审“附录3  资格审查条件（业绩最低要求）”“附录5  资格审查条件（项目负责人最低要求）”规定数量的业绩，超出规定数量部分或未在表中列明的业绩均不作为资格审查投标人业绩（或项目负责人业绩）予以评审。</w:t>
      </w:r>
      <w:r>
        <w:rPr>
          <w:rFonts w:hint="eastAsia" w:ascii="Times New Roman" w:eastAsia="黑体"/>
          <w:sz w:val="32"/>
          <w:szCs w:val="32"/>
          <w:highlight w:val="none"/>
        </w:rPr>
        <w:br w:type="page"/>
      </w:r>
      <w:bookmarkStart w:id="475" w:name="_Toc24609"/>
      <w:r>
        <w:rPr>
          <w:rFonts w:hint="eastAsia" w:eastAsia="黑体" w:cs="宋体"/>
          <w:sz w:val="32"/>
          <w:szCs w:val="32"/>
          <w:highlight w:val="none"/>
        </w:rPr>
        <w:t>报价文件初步评审标准</w:t>
      </w:r>
      <w:bookmarkEnd w:id="475"/>
    </w:p>
    <w:tbl>
      <w:tblPr>
        <w:tblStyle w:val="53"/>
        <w:tblW w:w="5029" w:type="pct"/>
        <w:tblInd w:w="1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19"/>
        <w:gridCol w:w="897"/>
        <w:gridCol w:w="2107"/>
        <w:gridCol w:w="484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1414"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r>
              <w:rPr>
                <w:rFonts w:hint="eastAsia" w:hAnsi="宋体" w:cs="宋体"/>
                <w:bCs/>
                <w:highlight w:val="none"/>
              </w:rPr>
              <w:t>条款号</w:t>
            </w:r>
          </w:p>
        </w:tc>
        <w:tc>
          <w:tcPr>
            <w:tcW w:w="2103" w:type="dxa"/>
            <w:tcBorders>
              <w:top w:val="outset" w:color="auto" w:sz="6" w:space="0"/>
              <w:left w:val="single" w:color="auto" w:sz="4" w:space="0"/>
              <w:bottom w:val="outset" w:color="auto" w:sz="6" w:space="0"/>
              <w:right w:val="single" w:color="auto" w:sz="4" w:space="0"/>
            </w:tcBorders>
            <w:vAlign w:val="center"/>
          </w:tcPr>
          <w:p>
            <w:pPr>
              <w:widowControl/>
              <w:spacing w:line="360" w:lineRule="auto"/>
              <w:ind w:firstLine="120" w:firstLineChars="50"/>
              <w:jc w:val="center"/>
              <w:rPr>
                <w:rFonts w:hAnsi="宋体" w:cs="宋体"/>
                <w:highlight w:val="none"/>
              </w:rPr>
            </w:pPr>
            <w:r>
              <w:rPr>
                <w:rFonts w:hint="eastAsia" w:hAnsi="宋体" w:cs="宋体"/>
                <w:bCs/>
                <w:highlight w:val="none"/>
              </w:rPr>
              <w:t>评审因素</w:t>
            </w:r>
          </w:p>
        </w:tc>
        <w:tc>
          <w:tcPr>
            <w:tcW w:w="4832" w:type="dxa"/>
            <w:tcBorders>
              <w:top w:val="outset" w:color="auto" w:sz="6" w:space="0"/>
              <w:left w:val="single" w:color="auto" w:sz="4" w:space="0"/>
              <w:bottom w:val="outset" w:color="auto" w:sz="6" w:space="0"/>
              <w:right w:val="outset" w:color="auto" w:sz="6" w:space="0"/>
            </w:tcBorders>
            <w:vAlign w:val="center"/>
          </w:tcPr>
          <w:p>
            <w:pPr>
              <w:widowControl/>
              <w:spacing w:line="360" w:lineRule="auto"/>
              <w:ind w:firstLine="120" w:firstLineChars="50"/>
              <w:jc w:val="center"/>
              <w:rPr>
                <w:rFonts w:hAnsi="宋体" w:cs="宋体"/>
                <w:highlight w:val="none"/>
              </w:rPr>
            </w:pPr>
            <w:r>
              <w:rPr>
                <w:rFonts w:hint="eastAsia" w:hAnsi="宋体" w:cs="宋体"/>
                <w:bCs/>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Ansi="宋体" w:cs="宋体"/>
                <w:highlight w:val="none"/>
              </w:rPr>
            </w:pPr>
            <w:r>
              <w:rPr>
                <w:rFonts w:hint="eastAsia" w:hAnsi="宋体" w:cs="宋体"/>
                <w:bCs/>
                <w:highlight w:val="none"/>
              </w:rPr>
              <w:t>2.1.1</w:t>
            </w:r>
          </w:p>
        </w:tc>
        <w:tc>
          <w:tcPr>
            <w:tcW w:w="895" w:type="dxa"/>
            <w:vMerge w:val="restart"/>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r>
              <w:rPr>
                <w:rFonts w:hint="eastAsia" w:hAnsi="宋体" w:cs="宋体"/>
                <w:bCs/>
                <w:highlight w:val="none"/>
              </w:rPr>
              <w:t>形式评审标准</w:t>
            </w: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spacing w:line="360" w:lineRule="auto"/>
              <w:jc w:val="center"/>
              <w:rPr>
                <w:rFonts w:hAnsi="宋体" w:cs="宋体"/>
                <w:highlight w:val="none"/>
              </w:rPr>
            </w:pPr>
            <w:r>
              <w:rPr>
                <w:rFonts w:hint="eastAsia" w:hAnsi="宋体" w:cs="宋体"/>
                <w:highlight w:val="none"/>
              </w:rPr>
              <w:t>投标人名称</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spacing w:line="360" w:lineRule="auto"/>
              <w:rPr>
                <w:rFonts w:hAnsi="宋体" w:cs="宋体"/>
                <w:highlight w:val="none"/>
              </w:rPr>
            </w:pPr>
            <w:r>
              <w:rPr>
                <w:rFonts w:hint="eastAsia" w:hAnsi="宋体" w:cs="宋体"/>
                <w:highlight w:val="none"/>
              </w:rPr>
              <w:t>与营业执照、资质证书一致。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投标文件格式</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（1）报价文件电子文件可以正常读取；</w:t>
            </w:r>
          </w:p>
          <w:p>
            <w:pPr>
              <w:widowControl/>
              <w:spacing w:line="360" w:lineRule="auto"/>
              <w:jc w:val="left"/>
              <w:rPr>
                <w:rFonts w:hAnsi="宋体" w:cs="宋体"/>
                <w:highlight w:val="none"/>
              </w:rPr>
            </w:pPr>
            <w:r>
              <w:rPr>
                <w:rFonts w:hint="eastAsia" w:hAnsi="宋体" w:cs="宋体"/>
                <w:highlight w:val="none"/>
              </w:rPr>
              <w:t>（2）符合第六章“投标文件格式”的规定，关键字迹清晰可辨。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备选投标方案</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签字盖章</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符合第二章“投标人须知”第3.7.3项规定。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未出现异常情形</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不同投标人未出现使用相同的投标文件制作机器码进行投标的情形。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restart"/>
            <w:tcBorders>
              <w:top w:val="single" w:color="auto" w:sz="4" w:space="0"/>
              <w:left w:val="outset" w:color="auto" w:sz="6" w:space="0"/>
              <w:bottom w:val="outset" w:color="auto" w:sz="6" w:space="0"/>
              <w:right w:val="outset" w:color="auto" w:sz="6" w:space="0"/>
            </w:tcBorders>
            <w:vAlign w:val="center"/>
          </w:tcPr>
          <w:p>
            <w:pPr>
              <w:spacing w:line="360" w:lineRule="auto"/>
              <w:jc w:val="center"/>
              <w:rPr>
                <w:rFonts w:hAnsi="宋体" w:cs="宋体"/>
                <w:highlight w:val="none"/>
              </w:rPr>
            </w:pPr>
            <w:r>
              <w:rPr>
                <w:rFonts w:hint="eastAsia" w:hAnsi="宋体" w:cs="宋体"/>
                <w:bCs/>
                <w:highlight w:val="none"/>
              </w:rPr>
              <w:t>2.1.3</w:t>
            </w:r>
          </w:p>
        </w:tc>
        <w:tc>
          <w:tcPr>
            <w:tcW w:w="895" w:type="dxa"/>
            <w:vMerge w:val="restart"/>
            <w:tcBorders>
              <w:top w:val="single" w:color="auto" w:sz="4" w:space="0"/>
              <w:left w:val="outset" w:color="auto" w:sz="6" w:space="0"/>
              <w:bottom w:val="outset" w:color="auto" w:sz="6" w:space="0"/>
              <w:right w:val="single" w:color="auto" w:sz="4" w:space="0"/>
            </w:tcBorders>
            <w:vAlign w:val="center"/>
          </w:tcPr>
          <w:p>
            <w:pPr>
              <w:spacing w:line="360" w:lineRule="auto"/>
              <w:jc w:val="center"/>
              <w:rPr>
                <w:rFonts w:hAnsi="宋体" w:cs="宋体"/>
                <w:highlight w:val="none"/>
              </w:rPr>
            </w:pPr>
            <w:r>
              <w:rPr>
                <w:rFonts w:hint="eastAsia" w:hAnsi="宋体" w:cs="宋体"/>
                <w:bCs/>
                <w:highlight w:val="none"/>
              </w:rPr>
              <w:t>响应性评审标准</w:t>
            </w:r>
          </w:p>
        </w:tc>
        <w:tc>
          <w:tcPr>
            <w:tcW w:w="2103" w:type="dxa"/>
            <w:tcBorders>
              <w:top w:val="single" w:color="auto" w:sz="4"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投标内容</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single" w:color="auto" w:sz="4" w:space="0"/>
              <w:left w:val="outset" w:color="auto" w:sz="6" w:space="0"/>
              <w:bottom w:val="outset" w:color="auto" w:sz="6" w:space="0"/>
              <w:right w:val="outset" w:color="auto" w:sz="6" w:space="0"/>
            </w:tcBorders>
            <w:vAlign w:val="center"/>
          </w:tcPr>
          <w:p>
            <w:pPr>
              <w:spacing w:line="360" w:lineRule="auto"/>
              <w:jc w:val="center"/>
              <w:rPr>
                <w:rFonts w:hAnsi="宋体" w:cs="宋体"/>
                <w:bCs/>
                <w:highlight w:val="none"/>
              </w:rPr>
            </w:pPr>
          </w:p>
        </w:tc>
        <w:tc>
          <w:tcPr>
            <w:tcW w:w="895" w:type="dxa"/>
            <w:vMerge w:val="continue"/>
            <w:tcBorders>
              <w:top w:val="single" w:color="auto" w:sz="4" w:space="0"/>
              <w:left w:val="outset" w:color="auto" w:sz="6" w:space="0"/>
              <w:bottom w:val="outset" w:color="auto" w:sz="6" w:space="0"/>
              <w:right w:val="single" w:color="auto" w:sz="4" w:space="0"/>
            </w:tcBorders>
            <w:vAlign w:val="center"/>
          </w:tcPr>
          <w:p>
            <w:pPr>
              <w:spacing w:line="360" w:lineRule="auto"/>
              <w:jc w:val="center"/>
              <w:rPr>
                <w:rFonts w:hAnsi="宋体" w:cs="宋体"/>
                <w:bCs/>
                <w:highlight w:val="none"/>
              </w:rPr>
            </w:pPr>
          </w:p>
        </w:tc>
        <w:tc>
          <w:tcPr>
            <w:tcW w:w="2103" w:type="dxa"/>
            <w:tcBorders>
              <w:top w:val="single" w:color="auto" w:sz="4" w:space="0"/>
              <w:left w:val="single" w:color="auto" w:sz="4" w:space="0"/>
              <w:bottom w:val="outset" w:color="auto" w:sz="6" w:space="0"/>
              <w:right w:val="outset" w:color="auto" w:sz="6" w:space="0"/>
            </w:tcBorders>
            <w:tcMar>
              <w:left w:w="75" w:type="dxa"/>
            </w:tcMar>
            <w:vAlign w:val="center"/>
          </w:tcPr>
          <w:p>
            <w:pPr>
              <w:spacing w:line="360" w:lineRule="auto"/>
              <w:jc w:val="center"/>
              <w:rPr>
                <w:rFonts w:hAnsi="宋体" w:cs="宋体"/>
                <w:highlight w:val="none"/>
              </w:rPr>
            </w:pPr>
            <w:r>
              <w:rPr>
                <w:rFonts w:hint="eastAsia" w:hAnsi="宋体" w:cs="宋体"/>
                <w:highlight w:val="none"/>
              </w:rPr>
              <w:t>投标报价</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left"/>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ind w:left="-65" w:leftChars="-27"/>
              <w:jc w:val="center"/>
              <w:rPr>
                <w:rFonts w:hAnsi="宋体" w:cs="宋体"/>
                <w:highlight w:val="none"/>
              </w:rPr>
            </w:pPr>
            <w:r>
              <w:rPr>
                <w:rFonts w:hint="eastAsia" w:hAnsi="宋体" w:cs="宋体"/>
                <w:highlight w:val="none"/>
              </w:rPr>
              <w:t>其他情形</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szCs w:val="24"/>
                <w:highlight w:val="none"/>
              </w:rPr>
            </w:pPr>
            <w:r>
              <w:rPr>
                <w:rFonts w:hint="eastAsia" w:hAnsi="宋体" w:cs="宋体"/>
                <w:szCs w:val="24"/>
                <w:highlight w:val="none"/>
              </w:rPr>
              <w:t>（1）投标文件中不得存在招标人不能接受的其他实质性条件；</w:t>
            </w:r>
          </w:p>
          <w:p>
            <w:pPr>
              <w:widowControl/>
              <w:spacing w:line="360" w:lineRule="auto"/>
              <w:jc w:val="left"/>
              <w:rPr>
                <w:rFonts w:hAnsi="宋体" w:cs="宋体"/>
                <w:highlight w:val="none"/>
              </w:rPr>
            </w:pPr>
            <w:r>
              <w:rPr>
                <w:rFonts w:hint="eastAsia" w:hAnsi="宋体" w:cs="宋体"/>
                <w:szCs w:val="24"/>
                <w:highlight w:val="none"/>
              </w:rPr>
              <w:t>（2）法律、法规规定的其他情形。</w:t>
            </w:r>
          </w:p>
        </w:tc>
      </w:tr>
    </w:tbl>
    <w:p>
      <w:pPr>
        <w:spacing w:beforeLines="100" w:afterLines="100"/>
        <w:jc w:val="center"/>
        <w:outlineLvl w:val="1"/>
        <w:rPr>
          <w:rFonts w:ascii="Times New Roman" w:eastAsia="黑体"/>
          <w:sz w:val="32"/>
          <w:szCs w:val="32"/>
          <w:highlight w:val="none"/>
        </w:rPr>
      </w:pPr>
      <w:r>
        <w:rPr>
          <w:rFonts w:hint="eastAsia" w:ascii="Times New Roman" w:eastAsia="黑体"/>
          <w:sz w:val="32"/>
          <w:szCs w:val="32"/>
          <w:highlight w:val="none"/>
        </w:rPr>
        <w:br w:type="page"/>
      </w:r>
      <w:bookmarkStart w:id="476" w:name="_Toc21403"/>
      <w:bookmarkStart w:id="477" w:name="_Toc140069421"/>
      <w:bookmarkStart w:id="478" w:name="_Toc27675"/>
      <w:bookmarkStart w:id="479" w:name="_Toc32506"/>
      <w:r>
        <w:rPr>
          <w:rFonts w:hint="eastAsia" w:eastAsia="黑体" w:cs="宋体"/>
          <w:sz w:val="32"/>
          <w:szCs w:val="32"/>
          <w:highlight w:val="none"/>
        </w:rPr>
        <w:t>商务、技术及报价文件详细评审标准</w:t>
      </w:r>
      <w:bookmarkEnd w:id="476"/>
      <w:bookmarkEnd w:id="477"/>
      <w:bookmarkEnd w:id="478"/>
      <w:bookmarkEnd w:id="479"/>
    </w:p>
    <w:tbl>
      <w:tblPr>
        <w:tblStyle w:val="53"/>
        <w:tblW w:w="5084"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8"/>
        <w:gridCol w:w="973"/>
        <w:gridCol w:w="1278"/>
        <w:gridCol w:w="784"/>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9" w:type="dxa"/>
            <w:gridSpan w:val="2"/>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 xml:space="preserve"> 条款号</w:t>
            </w:r>
          </w:p>
        </w:tc>
        <w:tc>
          <w:tcPr>
            <w:tcW w:w="1276" w:type="dxa"/>
            <w:noWrap w:val="0"/>
            <w:tcMar>
              <w:left w:w="75" w:type="dxa"/>
            </w:tcMar>
            <w:vAlign w:val="center"/>
          </w:tcPr>
          <w:p>
            <w:pPr>
              <w:snapToGrid w:val="0"/>
              <w:spacing w:line="360" w:lineRule="auto"/>
              <w:jc w:val="center"/>
              <w:rPr>
                <w:rFonts w:hint="eastAsia" w:hAnsi="宋体" w:cs="宋体"/>
                <w:b/>
                <w:bCs/>
                <w:highlight w:val="none"/>
              </w:rPr>
            </w:pPr>
            <w:r>
              <w:rPr>
                <w:rFonts w:hint="eastAsia" w:hAnsi="宋体" w:cs="宋体"/>
                <w:b/>
                <w:bCs/>
                <w:highlight w:val="none"/>
              </w:rPr>
              <w:t>评审因素</w:t>
            </w:r>
          </w:p>
        </w:tc>
        <w:tc>
          <w:tcPr>
            <w:tcW w:w="783" w:type="dxa"/>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分值</w:t>
            </w:r>
          </w:p>
        </w:tc>
        <w:tc>
          <w:tcPr>
            <w:tcW w:w="4632" w:type="dxa"/>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5" w:hRule="atLeast"/>
        </w:trPr>
        <w:tc>
          <w:tcPr>
            <w:tcW w:w="777"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2.2.2（1）</w:t>
            </w:r>
          </w:p>
        </w:tc>
        <w:tc>
          <w:tcPr>
            <w:tcW w:w="972"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技术文件评分标准</w:t>
            </w:r>
          </w:p>
        </w:tc>
        <w:tc>
          <w:tcPr>
            <w:tcW w:w="1276" w:type="dxa"/>
            <w:noWrap w:val="0"/>
            <w:tcMar>
              <w:left w:w="75" w:type="dxa"/>
            </w:tcMar>
            <w:vAlign w:val="top"/>
          </w:tcPr>
          <w:p>
            <w:pPr>
              <w:spacing w:line="308" w:lineRule="auto"/>
              <w:rPr>
                <w:rFonts w:hint="eastAsia" w:ascii="宋体" w:hAnsi="宋体" w:eastAsia="宋体" w:cs="宋体"/>
                <w:sz w:val="21"/>
                <w:szCs w:val="21"/>
              </w:rPr>
            </w:pPr>
          </w:p>
          <w:p>
            <w:pPr>
              <w:spacing w:line="308" w:lineRule="auto"/>
              <w:rPr>
                <w:rFonts w:hint="eastAsia" w:ascii="宋体" w:hAnsi="宋体" w:eastAsia="宋体" w:cs="宋体"/>
                <w:sz w:val="21"/>
                <w:szCs w:val="21"/>
              </w:rPr>
            </w:pPr>
          </w:p>
          <w:p>
            <w:pPr>
              <w:pStyle w:val="338"/>
              <w:spacing w:before="68" w:line="356" w:lineRule="auto"/>
              <w:ind w:right="16" w:rightChars="0"/>
              <w:jc w:val="center"/>
              <w:rPr>
                <w:rFonts w:hint="eastAsia" w:ascii="宋体" w:hAnsi="宋体" w:eastAsia="宋体" w:cs="宋体"/>
                <w:sz w:val="21"/>
                <w:szCs w:val="21"/>
                <w:highlight w:val="none"/>
              </w:rPr>
            </w:pPr>
            <w:r>
              <w:rPr>
                <w:rFonts w:hint="eastAsia" w:ascii="宋体" w:hAnsi="宋体" w:eastAsia="宋体" w:cs="宋体"/>
                <w:snapToGrid/>
                <w:color w:val="auto"/>
                <w:kern w:val="0"/>
                <w:sz w:val="21"/>
                <w:szCs w:val="21"/>
                <w:lang w:val="en-US" w:eastAsia="zh-CN" w:bidi="ar-SA"/>
              </w:rPr>
              <w:t>安装、调试技术方案</w:t>
            </w:r>
          </w:p>
        </w:tc>
        <w:tc>
          <w:tcPr>
            <w:tcW w:w="783" w:type="dxa"/>
            <w:noWrap w:val="0"/>
            <w:vAlign w:val="top"/>
          </w:tcPr>
          <w:p>
            <w:pPr>
              <w:spacing w:line="274" w:lineRule="auto"/>
              <w:rPr>
                <w:rFonts w:hint="eastAsia" w:ascii="宋体" w:hAnsi="宋体" w:eastAsia="宋体" w:cs="宋体"/>
                <w:sz w:val="21"/>
                <w:szCs w:val="21"/>
              </w:rPr>
            </w:pPr>
          </w:p>
          <w:p>
            <w:pPr>
              <w:spacing w:line="275" w:lineRule="auto"/>
              <w:rPr>
                <w:rFonts w:hint="eastAsia" w:ascii="宋体" w:hAnsi="宋体" w:eastAsia="宋体" w:cs="宋体"/>
                <w:sz w:val="21"/>
                <w:szCs w:val="21"/>
              </w:rPr>
            </w:pPr>
          </w:p>
          <w:p>
            <w:pPr>
              <w:spacing w:line="360" w:lineRule="auto"/>
              <w:ind w:firstLine="210" w:firstLineChars="100"/>
              <w:jc w:val="both"/>
              <w:rPr>
                <w:rFonts w:hint="eastAsia" w:hAnsi="宋体" w:cs="宋体"/>
                <w:sz w:val="21"/>
                <w:szCs w:val="21"/>
                <w:highlight w:val="none"/>
                <w:lang w:val="en-US" w:eastAsia="zh-CN"/>
              </w:rPr>
            </w:pPr>
          </w:p>
          <w:p>
            <w:pPr>
              <w:spacing w:line="360" w:lineRule="auto"/>
              <w:ind w:firstLine="210" w:firstLineChars="100"/>
              <w:jc w:val="both"/>
              <w:rPr>
                <w:rFonts w:hint="eastAsia" w:ascii="宋体" w:hAnsi="宋体" w:eastAsia="宋体" w:cs="宋体"/>
                <w:sz w:val="21"/>
                <w:szCs w:val="21"/>
                <w:highlight w:val="none"/>
              </w:rPr>
            </w:pPr>
            <w:r>
              <w:rPr>
                <w:rFonts w:hint="eastAsia" w:hAnsi="宋体" w:cs="宋体"/>
                <w:sz w:val="21"/>
                <w:szCs w:val="21"/>
                <w:highlight w:val="none"/>
                <w:lang w:val="en-US" w:eastAsia="zh-CN"/>
              </w:rPr>
              <w:t>10分</w:t>
            </w:r>
          </w:p>
        </w:tc>
        <w:tc>
          <w:tcPr>
            <w:tcW w:w="4632" w:type="dxa"/>
            <w:noWrap w:val="0"/>
            <w:vAlign w:val="top"/>
          </w:tcPr>
          <w:p>
            <w:pPr>
              <w:widowControl/>
              <w:jc w:val="left"/>
              <w:rPr>
                <w:rFonts w:hint="eastAsia" w:ascii="宋体" w:hAnsi="宋体" w:cs="宋体"/>
                <w:sz w:val="21"/>
                <w:szCs w:val="21"/>
              </w:rPr>
            </w:pPr>
            <w:r>
              <w:rPr>
                <w:rFonts w:hint="eastAsia" w:ascii="宋体" w:hAnsi="宋体" w:cs="宋体"/>
                <w:sz w:val="21"/>
                <w:szCs w:val="21"/>
              </w:rPr>
              <w:t>评委根据投标人对本项目安装服务技术保证措施、系统调试方案、验收标准等内容行综合评价。</w:t>
            </w:r>
          </w:p>
          <w:p>
            <w:pPr>
              <w:widowControl/>
              <w:jc w:val="left"/>
              <w:rPr>
                <w:rFonts w:hint="eastAsia" w:ascii="宋体" w:hAnsi="宋体" w:cs="宋体"/>
                <w:b/>
                <w:bCs/>
                <w:sz w:val="21"/>
                <w:szCs w:val="21"/>
              </w:rPr>
            </w:pPr>
            <w:r>
              <w:rPr>
                <w:rFonts w:hint="eastAsia" w:ascii="宋体" w:hAnsi="宋体" w:cs="宋体"/>
                <w:b/>
                <w:bCs/>
                <w:sz w:val="21"/>
                <w:szCs w:val="21"/>
              </w:rPr>
              <w:t xml:space="preserve">方案设计合理、全面、针对性强7＜F≤10 分； </w:t>
            </w:r>
          </w:p>
          <w:p>
            <w:pPr>
              <w:widowControl/>
              <w:jc w:val="left"/>
              <w:rPr>
                <w:rFonts w:hint="eastAsia" w:ascii="宋体" w:hAnsi="宋体" w:cs="宋体"/>
                <w:b/>
                <w:bCs/>
                <w:sz w:val="21"/>
                <w:szCs w:val="21"/>
              </w:rPr>
            </w:pPr>
            <w:r>
              <w:rPr>
                <w:rFonts w:hint="eastAsia" w:ascii="宋体" w:hAnsi="宋体" w:cs="宋体"/>
                <w:b/>
                <w:bCs/>
                <w:sz w:val="21"/>
                <w:szCs w:val="21"/>
              </w:rPr>
              <w:t>方案设计一般、针对性不强4＜F≤7；</w:t>
            </w:r>
          </w:p>
          <w:p>
            <w:pPr>
              <w:widowControl/>
              <w:jc w:val="left"/>
              <w:rPr>
                <w:rFonts w:hint="eastAsia" w:ascii="宋体" w:hAnsi="宋体" w:cs="宋体"/>
                <w:b/>
                <w:bCs/>
                <w:sz w:val="21"/>
                <w:szCs w:val="21"/>
              </w:rPr>
            </w:pPr>
            <w:r>
              <w:rPr>
                <w:rFonts w:hint="eastAsia" w:ascii="宋体" w:hAnsi="宋体" w:cs="宋体"/>
                <w:b/>
                <w:bCs/>
                <w:sz w:val="21"/>
                <w:szCs w:val="21"/>
              </w:rPr>
              <w:t>方案设计较差，缺乏针对性得0＜F≤4分；</w:t>
            </w:r>
          </w:p>
          <w:p>
            <w:pPr>
              <w:widowControl/>
              <w:jc w:val="left"/>
              <w:rPr>
                <w:rFonts w:hint="eastAsia" w:ascii="宋体" w:hAnsi="宋体" w:cs="宋体"/>
                <w:b/>
                <w:bCs/>
                <w:sz w:val="21"/>
                <w:szCs w:val="21"/>
              </w:rPr>
            </w:pPr>
            <w:r>
              <w:rPr>
                <w:rFonts w:hint="eastAsia" w:ascii="宋体" w:hAnsi="宋体" w:cs="宋体"/>
                <w:b/>
                <w:bCs/>
                <w:sz w:val="21"/>
                <w:szCs w:val="21"/>
              </w:rPr>
              <w:t>未提供的不得分。</w:t>
            </w:r>
          </w:p>
          <w:p>
            <w:pPr>
              <w:pStyle w:val="338"/>
              <w:spacing w:before="23" w:line="205" w:lineRule="auto"/>
              <w:rPr>
                <w:rFonts w:hint="default" w:ascii="宋体" w:hAnsi="宋体" w:eastAsia="宋体" w:cs="宋体"/>
                <w:color w:val="000000"/>
                <w:sz w:val="21"/>
                <w:szCs w:val="21"/>
                <w:highlight w:val="none"/>
                <w:lang w:val="en-US" w:eastAsia="zh-CN" w:bidi="ar"/>
              </w:rPr>
            </w:pPr>
            <w:r>
              <w:rPr>
                <w:rFonts w:hint="eastAsia" w:ascii="宋体" w:hAnsi="宋体" w:eastAsia="宋体" w:cs="宋体"/>
                <w:b/>
                <w:bCs/>
                <w:spacing w:val="-1"/>
                <w:sz w:val="21"/>
                <w:szCs w:val="21"/>
              </w:rPr>
              <w:t>“F”为投标人此项得分。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trPr>
        <w:tc>
          <w:tcPr>
            <w:tcW w:w="777" w:type="dxa"/>
            <w:vMerge w:val="continue"/>
            <w:noWrap w:val="0"/>
            <w:vAlign w:val="center"/>
          </w:tcPr>
          <w:p>
            <w:pPr>
              <w:spacing w:line="360" w:lineRule="auto"/>
              <w:jc w:val="center"/>
              <w:rPr>
                <w:rFonts w:hint="eastAsia" w:hAnsi="宋体" w:cs="宋体"/>
                <w:sz w:val="21"/>
                <w:szCs w:val="21"/>
                <w:highlight w:val="none"/>
              </w:rPr>
            </w:pPr>
          </w:p>
        </w:tc>
        <w:tc>
          <w:tcPr>
            <w:tcW w:w="972" w:type="dxa"/>
            <w:vMerge w:val="continue"/>
            <w:noWrap w:val="0"/>
            <w:vAlign w:val="center"/>
          </w:tcPr>
          <w:p>
            <w:pPr>
              <w:spacing w:line="360" w:lineRule="auto"/>
              <w:jc w:val="center"/>
              <w:rPr>
                <w:rFonts w:hint="eastAsia" w:hAnsi="宋体" w:cs="宋体"/>
                <w:sz w:val="21"/>
                <w:szCs w:val="21"/>
                <w:highlight w:val="none"/>
              </w:rPr>
            </w:pPr>
          </w:p>
        </w:tc>
        <w:tc>
          <w:tcPr>
            <w:tcW w:w="1276" w:type="dxa"/>
            <w:noWrap w:val="0"/>
            <w:tcMar>
              <w:left w:w="75" w:type="dxa"/>
            </w:tcMar>
            <w:vAlign w:val="top"/>
          </w:tcPr>
          <w:p>
            <w:pPr>
              <w:spacing w:line="258" w:lineRule="auto"/>
              <w:rPr>
                <w:rFonts w:hint="eastAsia" w:ascii="宋体" w:hAnsi="宋体" w:eastAsia="宋体" w:cs="宋体"/>
                <w:sz w:val="21"/>
                <w:szCs w:val="21"/>
              </w:rPr>
            </w:pPr>
          </w:p>
          <w:p>
            <w:pPr>
              <w:spacing w:line="259" w:lineRule="auto"/>
              <w:rPr>
                <w:rFonts w:hint="eastAsia" w:ascii="宋体" w:hAnsi="宋体" w:eastAsia="宋体" w:cs="宋体"/>
                <w:sz w:val="21"/>
                <w:szCs w:val="21"/>
              </w:rPr>
            </w:pPr>
          </w:p>
          <w:p>
            <w:pPr>
              <w:spacing w:line="259" w:lineRule="auto"/>
              <w:rPr>
                <w:rFonts w:hint="eastAsia" w:ascii="宋体" w:hAnsi="宋体" w:eastAsia="宋体" w:cs="宋体"/>
                <w:sz w:val="21"/>
                <w:szCs w:val="21"/>
              </w:rPr>
            </w:pPr>
          </w:p>
          <w:p>
            <w:pPr>
              <w:spacing w:line="259" w:lineRule="auto"/>
              <w:rPr>
                <w:rFonts w:hint="eastAsia" w:ascii="宋体" w:hAnsi="宋体" w:eastAsia="宋体" w:cs="宋体"/>
                <w:sz w:val="21"/>
                <w:szCs w:val="21"/>
              </w:rPr>
            </w:pPr>
          </w:p>
          <w:p>
            <w:pPr>
              <w:spacing w:line="259" w:lineRule="auto"/>
              <w:rPr>
                <w:rFonts w:hint="eastAsia" w:ascii="宋体" w:hAnsi="宋体" w:eastAsia="宋体" w:cs="宋体"/>
                <w:sz w:val="21"/>
                <w:szCs w:val="21"/>
              </w:rPr>
            </w:pPr>
          </w:p>
          <w:p>
            <w:pPr>
              <w:pStyle w:val="338"/>
              <w:spacing w:before="68" w:line="222" w:lineRule="auto"/>
              <w:ind w:right="15" w:rightChars="0"/>
              <w:jc w:val="center"/>
              <w:rPr>
                <w:rFonts w:hint="eastAsia" w:ascii="宋体" w:hAnsi="宋体" w:eastAsia="宋体" w:cs="宋体"/>
                <w:sz w:val="21"/>
                <w:szCs w:val="21"/>
                <w:highlight w:val="none"/>
              </w:rPr>
            </w:pPr>
            <w:r>
              <w:rPr>
                <w:rFonts w:hint="eastAsia" w:ascii="宋体" w:hAnsi="宋体" w:eastAsia="宋体" w:cs="宋体"/>
                <w:spacing w:val="-1"/>
                <w:sz w:val="21"/>
                <w:szCs w:val="21"/>
              </w:rPr>
              <w:t>施工组织设计</w:t>
            </w:r>
          </w:p>
        </w:tc>
        <w:tc>
          <w:tcPr>
            <w:tcW w:w="783" w:type="dxa"/>
            <w:noWrap w:val="0"/>
            <w:vAlign w:val="top"/>
          </w:tcPr>
          <w:p>
            <w:pPr>
              <w:spacing w:line="258" w:lineRule="auto"/>
              <w:rPr>
                <w:rFonts w:hint="eastAsia" w:ascii="宋体" w:hAnsi="宋体" w:eastAsia="宋体" w:cs="宋体"/>
                <w:sz w:val="21"/>
                <w:szCs w:val="21"/>
              </w:rPr>
            </w:pPr>
          </w:p>
          <w:p>
            <w:pPr>
              <w:spacing w:line="259" w:lineRule="auto"/>
              <w:rPr>
                <w:rFonts w:hint="eastAsia" w:ascii="宋体" w:hAnsi="宋体" w:eastAsia="宋体" w:cs="宋体"/>
                <w:sz w:val="21"/>
                <w:szCs w:val="21"/>
              </w:rPr>
            </w:pPr>
          </w:p>
          <w:p>
            <w:pPr>
              <w:spacing w:line="259" w:lineRule="auto"/>
              <w:rPr>
                <w:rFonts w:hint="eastAsia" w:ascii="宋体" w:hAnsi="宋体" w:eastAsia="宋体" w:cs="宋体"/>
                <w:sz w:val="21"/>
                <w:szCs w:val="21"/>
              </w:rPr>
            </w:pPr>
          </w:p>
          <w:p>
            <w:pPr>
              <w:spacing w:line="259" w:lineRule="auto"/>
              <w:rPr>
                <w:rFonts w:hint="eastAsia" w:ascii="宋体" w:hAnsi="宋体" w:eastAsia="宋体" w:cs="宋体"/>
                <w:sz w:val="21"/>
                <w:szCs w:val="21"/>
              </w:rPr>
            </w:pPr>
          </w:p>
          <w:p>
            <w:pPr>
              <w:spacing w:line="259" w:lineRule="auto"/>
              <w:rPr>
                <w:rFonts w:hint="eastAsia" w:ascii="宋体" w:hAnsi="宋体" w:eastAsia="宋体" w:cs="宋体"/>
                <w:sz w:val="21"/>
                <w:szCs w:val="21"/>
              </w:rPr>
            </w:pPr>
          </w:p>
          <w:p>
            <w:pPr>
              <w:pStyle w:val="338"/>
              <w:spacing w:before="69" w:line="221" w:lineRule="auto"/>
              <w:ind w:firstLine="210" w:firstLineChars="100"/>
              <w:rPr>
                <w:rFonts w:hint="default" w:ascii="宋体" w:hAnsi="宋体" w:eastAsia="宋体" w:cs="宋体"/>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bidi="ar-SA"/>
              </w:rPr>
              <w:t>10分</w:t>
            </w:r>
          </w:p>
        </w:tc>
        <w:tc>
          <w:tcPr>
            <w:tcW w:w="4632" w:type="dxa"/>
            <w:noWrap w:val="0"/>
            <w:vAlign w:val="top"/>
          </w:tcPr>
          <w:p>
            <w:pPr>
              <w:widowControl/>
              <w:jc w:val="left"/>
              <w:rPr>
                <w:rFonts w:hint="eastAsia" w:ascii="宋体" w:hAnsi="宋体" w:cs="宋体"/>
                <w:sz w:val="21"/>
                <w:szCs w:val="21"/>
              </w:rPr>
            </w:pPr>
            <w:r>
              <w:rPr>
                <w:rFonts w:hint="eastAsia" w:ascii="宋体" w:hAnsi="宋体" w:cs="宋体"/>
                <w:sz w:val="21"/>
                <w:szCs w:val="21"/>
              </w:rPr>
              <w:t>工程进度及资源配备保障：1）施工进度计划，工程总体进度计划的合理性，科学性及可靠度；2）工期保证措施；3）提供劳动力及材料供应计划，工程进度计划中应详细列出每阶段配备的项目管理机构人员数量，以及配备劳动力数量。</w:t>
            </w:r>
          </w:p>
          <w:p>
            <w:pPr>
              <w:widowControl/>
              <w:jc w:val="left"/>
              <w:rPr>
                <w:rFonts w:hint="eastAsia" w:ascii="宋体" w:hAnsi="宋体" w:cs="宋体"/>
                <w:sz w:val="21"/>
                <w:szCs w:val="21"/>
              </w:rPr>
            </w:pPr>
            <w:r>
              <w:rPr>
                <w:rFonts w:hint="eastAsia" w:ascii="宋体" w:hAnsi="宋体" w:cs="宋体"/>
                <w:sz w:val="21"/>
                <w:szCs w:val="21"/>
              </w:rPr>
              <w:t>由评标委员会综合评分。</w:t>
            </w:r>
          </w:p>
          <w:p>
            <w:pPr>
              <w:widowControl/>
              <w:jc w:val="left"/>
              <w:rPr>
                <w:rFonts w:hint="eastAsia" w:ascii="宋体" w:hAnsi="宋体" w:cs="宋体"/>
                <w:b/>
                <w:bCs/>
                <w:sz w:val="21"/>
                <w:szCs w:val="21"/>
              </w:rPr>
            </w:pPr>
            <w:r>
              <w:rPr>
                <w:rFonts w:hint="eastAsia" w:ascii="宋体" w:hAnsi="宋体" w:cs="宋体"/>
                <w:b/>
                <w:bCs/>
                <w:sz w:val="21"/>
                <w:szCs w:val="21"/>
              </w:rPr>
              <w:t>方案设计合理、全面、针对性强的得7＜F≤10分；</w:t>
            </w:r>
          </w:p>
          <w:p>
            <w:pPr>
              <w:widowControl/>
              <w:jc w:val="left"/>
              <w:rPr>
                <w:rFonts w:hint="eastAsia" w:ascii="宋体" w:hAnsi="宋体" w:cs="宋体"/>
                <w:b/>
                <w:bCs/>
                <w:sz w:val="21"/>
                <w:szCs w:val="21"/>
              </w:rPr>
            </w:pPr>
            <w:r>
              <w:rPr>
                <w:rFonts w:hint="eastAsia" w:ascii="宋体" w:hAnsi="宋体" w:cs="宋体"/>
                <w:b/>
                <w:bCs/>
                <w:sz w:val="21"/>
                <w:szCs w:val="21"/>
              </w:rPr>
              <w:t>方案设计一般、针对性不强的得4＜F≤7分；</w:t>
            </w:r>
          </w:p>
          <w:p>
            <w:pPr>
              <w:widowControl/>
              <w:jc w:val="left"/>
              <w:rPr>
                <w:rFonts w:hint="eastAsia" w:ascii="宋体" w:hAnsi="宋体" w:cs="宋体"/>
                <w:b/>
                <w:bCs/>
                <w:sz w:val="21"/>
                <w:szCs w:val="21"/>
              </w:rPr>
            </w:pPr>
            <w:r>
              <w:rPr>
                <w:rFonts w:hint="eastAsia" w:ascii="宋体" w:hAnsi="宋体" w:cs="宋体"/>
                <w:b/>
                <w:bCs/>
                <w:sz w:val="21"/>
                <w:szCs w:val="21"/>
              </w:rPr>
              <w:t xml:space="preserve">方案设计较差，缺乏针对性的，得0＜F≤4分。 </w:t>
            </w:r>
          </w:p>
          <w:p>
            <w:pPr>
              <w:widowControl/>
              <w:jc w:val="left"/>
              <w:rPr>
                <w:rFonts w:hint="eastAsia" w:ascii="宋体" w:hAnsi="宋体" w:cs="宋体"/>
                <w:b/>
                <w:bCs/>
                <w:sz w:val="21"/>
                <w:szCs w:val="21"/>
              </w:rPr>
            </w:pPr>
            <w:r>
              <w:rPr>
                <w:rFonts w:hint="eastAsia" w:ascii="宋体" w:hAnsi="宋体" w:cs="宋体"/>
                <w:b/>
                <w:bCs/>
                <w:sz w:val="21"/>
                <w:szCs w:val="21"/>
              </w:rPr>
              <w:t>未提供的不得分。</w:t>
            </w:r>
          </w:p>
          <w:p>
            <w:pPr>
              <w:pStyle w:val="338"/>
              <w:spacing w:before="20" w:line="221" w:lineRule="auto"/>
              <w:rPr>
                <w:rFonts w:hint="eastAsia"/>
                <w:highlight w:val="none"/>
              </w:rPr>
            </w:pPr>
            <w:r>
              <w:rPr>
                <w:rFonts w:hint="eastAsia" w:ascii="宋体" w:hAnsi="宋体" w:eastAsia="宋体" w:cs="宋体"/>
                <w:b/>
                <w:bCs/>
                <w:spacing w:val="-1"/>
                <w:sz w:val="21"/>
                <w:szCs w:val="21"/>
              </w:rPr>
              <w:t>“F”为投标人此项得分。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trPr>
        <w:tc>
          <w:tcPr>
            <w:tcW w:w="777" w:type="dxa"/>
            <w:vMerge w:val="continue"/>
            <w:noWrap w:val="0"/>
            <w:vAlign w:val="center"/>
          </w:tcPr>
          <w:p>
            <w:pPr>
              <w:spacing w:line="360" w:lineRule="auto"/>
              <w:jc w:val="center"/>
              <w:rPr>
                <w:rFonts w:hint="eastAsia" w:hAnsi="宋体" w:cs="宋体"/>
                <w:sz w:val="21"/>
                <w:szCs w:val="21"/>
                <w:highlight w:val="none"/>
              </w:rPr>
            </w:pPr>
          </w:p>
        </w:tc>
        <w:tc>
          <w:tcPr>
            <w:tcW w:w="972" w:type="dxa"/>
            <w:vMerge w:val="continue"/>
            <w:noWrap w:val="0"/>
            <w:vAlign w:val="center"/>
          </w:tcPr>
          <w:p>
            <w:pPr>
              <w:spacing w:line="360" w:lineRule="auto"/>
              <w:jc w:val="center"/>
              <w:rPr>
                <w:rFonts w:hint="eastAsia" w:hAnsi="宋体" w:cs="宋体"/>
                <w:sz w:val="21"/>
                <w:szCs w:val="21"/>
                <w:highlight w:val="none"/>
              </w:rPr>
            </w:pPr>
          </w:p>
        </w:tc>
        <w:tc>
          <w:tcPr>
            <w:tcW w:w="1276" w:type="dxa"/>
            <w:noWrap w:val="0"/>
            <w:tcMar>
              <w:left w:w="75" w:type="dxa"/>
            </w:tcMar>
            <w:vAlign w:val="top"/>
          </w:tcPr>
          <w:p>
            <w:pPr>
              <w:spacing w:line="256" w:lineRule="auto"/>
              <w:rPr>
                <w:rFonts w:hint="eastAsia" w:ascii="宋体" w:hAnsi="宋体" w:eastAsia="宋体" w:cs="宋体"/>
                <w:sz w:val="21"/>
                <w:szCs w:val="21"/>
              </w:rPr>
            </w:pPr>
          </w:p>
          <w:p>
            <w:pPr>
              <w:spacing w:line="256"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pStyle w:val="338"/>
              <w:spacing w:before="68" w:line="356" w:lineRule="auto"/>
              <w:ind w:right="16" w:rightChars="0"/>
              <w:jc w:val="center"/>
              <w:rPr>
                <w:rFonts w:hint="eastAsia" w:ascii="宋体" w:hAnsi="宋体" w:cs="宋体"/>
                <w:sz w:val="21"/>
                <w:szCs w:val="21"/>
              </w:rPr>
            </w:pPr>
            <w:r>
              <w:rPr>
                <w:rFonts w:hint="eastAsia" w:ascii="宋体" w:hAnsi="宋体" w:eastAsia="宋体" w:cs="宋体"/>
                <w:spacing w:val="-1"/>
                <w:sz w:val="21"/>
                <w:szCs w:val="21"/>
              </w:rPr>
              <w:t>售后服务体系与培训</w:t>
            </w:r>
          </w:p>
        </w:tc>
        <w:tc>
          <w:tcPr>
            <w:tcW w:w="783" w:type="dxa"/>
            <w:noWrap w:val="0"/>
            <w:vAlign w:val="top"/>
          </w:tcPr>
          <w:p>
            <w:pPr>
              <w:spacing w:line="246" w:lineRule="auto"/>
              <w:rPr>
                <w:rFonts w:hint="eastAsia" w:ascii="宋体" w:hAnsi="宋体" w:eastAsia="宋体" w:cs="宋体"/>
                <w:sz w:val="21"/>
                <w:szCs w:val="21"/>
              </w:rPr>
            </w:pPr>
          </w:p>
          <w:p>
            <w:pPr>
              <w:spacing w:line="247" w:lineRule="auto"/>
              <w:rPr>
                <w:rFonts w:hint="eastAsia" w:ascii="宋体" w:hAnsi="宋体" w:eastAsia="宋体" w:cs="宋体"/>
                <w:sz w:val="21"/>
                <w:szCs w:val="21"/>
              </w:rPr>
            </w:pPr>
          </w:p>
          <w:p>
            <w:pPr>
              <w:spacing w:line="247" w:lineRule="auto"/>
              <w:rPr>
                <w:rFonts w:hint="eastAsia" w:ascii="宋体" w:hAnsi="宋体" w:eastAsia="宋体" w:cs="宋体"/>
                <w:sz w:val="21"/>
                <w:szCs w:val="21"/>
              </w:rPr>
            </w:pPr>
          </w:p>
          <w:p>
            <w:pPr>
              <w:spacing w:line="247" w:lineRule="auto"/>
              <w:rPr>
                <w:rFonts w:hint="eastAsia" w:ascii="宋体" w:hAnsi="宋体" w:eastAsia="宋体" w:cs="宋体"/>
                <w:sz w:val="21"/>
                <w:szCs w:val="21"/>
              </w:rPr>
            </w:pPr>
          </w:p>
          <w:p>
            <w:pPr>
              <w:spacing w:line="247" w:lineRule="auto"/>
              <w:rPr>
                <w:rFonts w:hint="eastAsia" w:ascii="宋体" w:hAnsi="宋体" w:eastAsia="宋体" w:cs="宋体"/>
                <w:sz w:val="21"/>
                <w:szCs w:val="21"/>
              </w:rPr>
            </w:pPr>
          </w:p>
          <w:p>
            <w:pPr>
              <w:pStyle w:val="338"/>
              <w:spacing w:before="68" w:line="221" w:lineRule="auto"/>
              <w:ind w:firstLine="194" w:firstLineChars="100"/>
              <w:rPr>
                <w:rFonts w:hint="eastAsia" w:hAnsi="宋体" w:cs="宋体"/>
                <w:sz w:val="21"/>
                <w:szCs w:val="21"/>
                <w:highlight w:val="none"/>
                <w:lang w:val="en-US" w:eastAsia="zh-CN"/>
              </w:rPr>
            </w:pPr>
            <w:r>
              <w:rPr>
                <w:rFonts w:hint="eastAsia" w:ascii="宋体" w:hAnsi="宋体" w:eastAsia="宋体" w:cs="宋体"/>
                <w:spacing w:val="-8"/>
                <w:sz w:val="21"/>
                <w:szCs w:val="21"/>
              </w:rPr>
              <w:t>10</w:t>
            </w:r>
            <w:r>
              <w:rPr>
                <w:rFonts w:hint="eastAsia" w:ascii="宋体" w:hAnsi="宋体" w:eastAsia="宋体" w:cs="宋体"/>
                <w:spacing w:val="-42"/>
                <w:sz w:val="21"/>
                <w:szCs w:val="21"/>
              </w:rPr>
              <w:t xml:space="preserve"> </w:t>
            </w:r>
            <w:r>
              <w:rPr>
                <w:rFonts w:hint="eastAsia" w:ascii="宋体" w:hAnsi="宋体" w:eastAsia="宋体" w:cs="宋体"/>
                <w:spacing w:val="-8"/>
                <w:sz w:val="21"/>
                <w:szCs w:val="21"/>
              </w:rPr>
              <w:t>分</w:t>
            </w:r>
          </w:p>
        </w:tc>
        <w:tc>
          <w:tcPr>
            <w:tcW w:w="4632" w:type="dxa"/>
            <w:noWrap w:val="0"/>
            <w:vAlign w:val="top"/>
          </w:tcPr>
          <w:p>
            <w:pPr>
              <w:widowControl/>
              <w:jc w:val="left"/>
              <w:rPr>
                <w:rFonts w:hint="eastAsia" w:ascii="宋体" w:hAnsi="宋体" w:cs="宋体"/>
                <w:sz w:val="21"/>
                <w:szCs w:val="21"/>
              </w:rPr>
            </w:pPr>
            <w:r>
              <w:rPr>
                <w:rFonts w:hint="eastAsia" w:ascii="宋体" w:hAnsi="宋体" w:cs="宋体"/>
                <w:sz w:val="21"/>
                <w:szCs w:val="21"/>
              </w:rPr>
              <w:t xml:space="preserve">评标委员会根据投标人提供的内容（包括售后服务机 构、售后服务体系、响应时间、售后服务计划及措施、 培训方案、维保方案的合理性、专业性。） 进行综合评分： </w:t>
            </w:r>
          </w:p>
          <w:p>
            <w:pPr>
              <w:widowControl/>
              <w:jc w:val="left"/>
              <w:rPr>
                <w:rFonts w:hint="eastAsia" w:ascii="宋体" w:hAnsi="宋体" w:cs="宋体"/>
                <w:b/>
                <w:bCs/>
                <w:sz w:val="21"/>
                <w:szCs w:val="21"/>
              </w:rPr>
            </w:pPr>
            <w:r>
              <w:rPr>
                <w:rFonts w:hint="eastAsia" w:ascii="宋体" w:hAnsi="宋体" w:cs="宋体"/>
                <w:b/>
                <w:bCs/>
                <w:sz w:val="21"/>
                <w:szCs w:val="21"/>
              </w:rPr>
              <w:t>方案内容科学、可行、针对性强，针对实训设备、备品备件维护等内容提供培训计划，培训方式规范，培训内容完整详尽的，得7分＜F≤10 分；</w:t>
            </w:r>
          </w:p>
          <w:p>
            <w:pPr>
              <w:widowControl/>
              <w:jc w:val="left"/>
              <w:rPr>
                <w:rFonts w:hint="eastAsia" w:ascii="宋体" w:hAnsi="宋体" w:cs="宋体"/>
                <w:b/>
                <w:bCs/>
                <w:sz w:val="21"/>
                <w:szCs w:val="21"/>
              </w:rPr>
            </w:pPr>
            <w:r>
              <w:rPr>
                <w:rFonts w:hint="eastAsia" w:ascii="宋体" w:hAnsi="宋体" w:cs="宋体"/>
                <w:b/>
                <w:bCs/>
                <w:sz w:val="21"/>
                <w:szCs w:val="21"/>
              </w:rPr>
              <w:t>内容合理、可行、细节较强，培训计划及相关措施较为科学得当，具有一定可行性，得4分＜F≤7分；</w:t>
            </w:r>
          </w:p>
          <w:p>
            <w:pPr>
              <w:widowControl/>
              <w:jc w:val="left"/>
              <w:rPr>
                <w:rFonts w:hint="eastAsia" w:ascii="宋体" w:hAnsi="宋体" w:cs="宋体"/>
                <w:b/>
                <w:bCs/>
                <w:sz w:val="21"/>
                <w:szCs w:val="21"/>
              </w:rPr>
            </w:pPr>
            <w:r>
              <w:rPr>
                <w:rFonts w:hint="eastAsia" w:ascii="宋体" w:hAnsi="宋体" w:cs="宋体"/>
                <w:b/>
                <w:bCs/>
                <w:sz w:val="21"/>
                <w:szCs w:val="21"/>
              </w:rPr>
              <w:t>基本满足项目需要，具体细节待完善的，得0＜F≤4分。</w:t>
            </w:r>
          </w:p>
          <w:p>
            <w:pPr>
              <w:widowControl/>
              <w:jc w:val="left"/>
              <w:rPr>
                <w:rFonts w:hint="eastAsia" w:ascii="宋体" w:hAnsi="宋体" w:cs="宋体"/>
                <w:b/>
                <w:bCs/>
                <w:sz w:val="21"/>
                <w:szCs w:val="21"/>
              </w:rPr>
            </w:pPr>
            <w:r>
              <w:rPr>
                <w:rFonts w:hint="eastAsia" w:ascii="宋体" w:hAnsi="宋体" w:cs="宋体"/>
                <w:b/>
                <w:bCs/>
                <w:sz w:val="21"/>
                <w:szCs w:val="21"/>
              </w:rPr>
              <w:t>未提供的不得分。</w:t>
            </w:r>
          </w:p>
          <w:p>
            <w:pPr>
              <w:pStyle w:val="338"/>
              <w:spacing w:before="23" w:line="204" w:lineRule="auto"/>
              <w:rPr>
                <w:rFonts w:hint="eastAsia" w:ascii="宋体" w:hAnsi="宋体" w:cs="宋体"/>
                <w:sz w:val="21"/>
                <w:szCs w:val="21"/>
              </w:rPr>
            </w:pPr>
            <w:r>
              <w:rPr>
                <w:rFonts w:hint="eastAsia" w:ascii="宋体" w:hAnsi="宋体" w:eastAsia="宋体" w:cs="宋体"/>
                <w:b/>
                <w:bCs/>
                <w:spacing w:val="-1"/>
                <w:sz w:val="21"/>
                <w:szCs w:val="21"/>
              </w:rPr>
              <w:t>“F”为投标人此项得分。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trPr>
        <w:tc>
          <w:tcPr>
            <w:tcW w:w="777" w:type="dxa"/>
            <w:vMerge w:val="continue"/>
            <w:noWrap w:val="0"/>
            <w:vAlign w:val="center"/>
          </w:tcPr>
          <w:p>
            <w:pPr>
              <w:spacing w:line="360" w:lineRule="auto"/>
              <w:jc w:val="center"/>
              <w:rPr>
                <w:rFonts w:hint="eastAsia" w:hAnsi="宋体" w:cs="宋体"/>
                <w:sz w:val="21"/>
                <w:szCs w:val="21"/>
                <w:highlight w:val="none"/>
              </w:rPr>
            </w:pPr>
          </w:p>
        </w:tc>
        <w:tc>
          <w:tcPr>
            <w:tcW w:w="972" w:type="dxa"/>
            <w:vMerge w:val="continue"/>
            <w:noWrap w:val="0"/>
            <w:vAlign w:val="center"/>
          </w:tcPr>
          <w:p>
            <w:pPr>
              <w:spacing w:line="360" w:lineRule="auto"/>
              <w:jc w:val="center"/>
              <w:rPr>
                <w:rFonts w:hint="eastAsia" w:hAnsi="宋体" w:cs="宋体"/>
                <w:sz w:val="21"/>
                <w:szCs w:val="21"/>
                <w:highlight w:val="none"/>
              </w:rPr>
            </w:pPr>
          </w:p>
        </w:tc>
        <w:tc>
          <w:tcPr>
            <w:tcW w:w="1276" w:type="dxa"/>
            <w:noWrap w:val="0"/>
            <w:tcMar>
              <w:left w:w="75" w:type="dxa"/>
            </w:tcMar>
            <w:vAlign w:val="center"/>
          </w:tcPr>
          <w:p>
            <w:pPr>
              <w:spacing w:line="360" w:lineRule="auto"/>
              <w:jc w:val="center"/>
              <w:rPr>
                <w:rFonts w:hint="eastAsia" w:ascii="宋体" w:hAnsi="宋体" w:cs="宋体"/>
                <w:sz w:val="21"/>
                <w:szCs w:val="21"/>
              </w:rPr>
            </w:pPr>
            <w:r>
              <w:rPr>
                <w:rFonts w:hint="eastAsia" w:ascii="宋体" w:hAnsi="宋体" w:cs="宋体"/>
                <w:sz w:val="21"/>
                <w:szCs w:val="21"/>
              </w:rPr>
              <w:t>便利化服务方案</w:t>
            </w:r>
          </w:p>
        </w:tc>
        <w:tc>
          <w:tcPr>
            <w:tcW w:w="783" w:type="dxa"/>
            <w:noWrap w:val="0"/>
            <w:vAlign w:val="center"/>
          </w:tcPr>
          <w:p>
            <w:pPr>
              <w:spacing w:line="360" w:lineRule="auto"/>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tc>
        <w:tc>
          <w:tcPr>
            <w:tcW w:w="4632" w:type="dxa"/>
            <w:noWrap w:val="0"/>
            <w:vAlign w:val="center"/>
          </w:tcPr>
          <w:p>
            <w:pPr>
              <w:widowControl/>
              <w:jc w:val="left"/>
              <w:rPr>
                <w:rFonts w:hint="eastAsia" w:ascii="宋体" w:hAnsi="宋体" w:cs="宋体"/>
                <w:sz w:val="21"/>
                <w:szCs w:val="21"/>
              </w:rPr>
            </w:pPr>
            <w:r>
              <w:rPr>
                <w:rFonts w:hint="eastAsia" w:ascii="宋体" w:hAnsi="宋体" w:cs="宋体"/>
                <w:sz w:val="21"/>
                <w:szCs w:val="21"/>
              </w:rPr>
              <w:t>根据投标人便利化服务方案完整性、可操作性、响</w:t>
            </w:r>
            <w:r>
              <w:rPr>
                <w:rFonts w:hint="eastAsia" w:ascii="宋体" w:hAnsi="宋体" w:cs="宋体"/>
                <w:sz w:val="21"/>
                <w:szCs w:val="21"/>
              </w:rPr>
              <w:br w:type="textWrapping"/>
            </w:r>
            <w:r>
              <w:rPr>
                <w:rFonts w:hint="eastAsia" w:ascii="宋体" w:hAnsi="宋体" w:cs="宋体"/>
                <w:sz w:val="21"/>
                <w:szCs w:val="21"/>
              </w:rPr>
              <w:t>应及时性以及便利化服务人员技术能力等方面进</w:t>
            </w:r>
            <w:r>
              <w:rPr>
                <w:rFonts w:hint="eastAsia" w:ascii="宋体" w:hAnsi="宋体" w:cs="宋体"/>
                <w:sz w:val="21"/>
                <w:szCs w:val="21"/>
              </w:rPr>
              <w:br w:type="textWrapping"/>
            </w:r>
            <w:r>
              <w:rPr>
                <w:rFonts w:hint="eastAsia" w:ascii="宋体" w:hAnsi="宋体" w:cs="宋体"/>
                <w:sz w:val="21"/>
                <w:szCs w:val="21"/>
              </w:rPr>
              <w:t>行综合评审。评标委员对各家服务方案综合比较。</w:t>
            </w:r>
            <w:r>
              <w:rPr>
                <w:rFonts w:hint="eastAsia" w:ascii="宋体" w:hAnsi="宋体" w:cs="宋体"/>
                <w:sz w:val="21"/>
                <w:szCs w:val="21"/>
              </w:rPr>
              <w:br w:type="textWrapping"/>
            </w:r>
            <w:r>
              <w:rPr>
                <w:rFonts w:hint="eastAsia" w:hAnsi="宋体" w:cs="宋体"/>
                <w:b/>
                <w:bCs/>
                <w:sz w:val="21"/>
                <w:szCs w:val="21"/>
              </w:rPr>
              <w:t>详细、计划可行性合理有效得</w:t>
            </w:r>
            <w:r>
              <w:rPr>
                <w:rFonts w:hint="eastAsia" w:hAnsi="宋体" w:cs="宋体"/>
                <w:b/>
                <w:bCs/>
                <w:sz w:val="21"/>
                <w:szCs w:val="21"/>
                <w:lang w:val="en-US" w:eastAsia="zh-CN"/>
              </w:rPr>
              <w:t>3</w:t>
            </w:r>
            <w:r>
              <w:rPr>
                <w:rFonts w:hint="eastAsia" w:hAnsi="宋体" w:cs="宋体"/>
                <w:b/>
                <w:bCs/>
                <w:sz w:val="21"/>
                <w:szCs w:val="21"/>
              </w:rPr>
              <w:t>＜F≤</w:t>
            </w:r>
            <w:r>
              <w:rPr>
                <w:rFonts w:hint="eastAsia" w:hAnsi="宋体" w:cs="宋体"/>
                <w:b/>
                <w:bCs/>
                <w:sz w:val="21"/>
                <w:szCs w:val="21"/>
                <w:lang w:val="en-US" w:eastAsia="zh-CN"/>
              </w:rPr>
              <w:t>5</w:t>
            </w:r>
            <w:r>
              <w:rPr>
                <w:rFonts w:hint="eastAsia" w:hAnsi="宋体" w:cs="宋体"/>
                <w:b/>
                <w:bCs/>
                <w:sz w:val="21"/>
                <w:szCs w:val="21"/>
              </w:rPr>
              <w:t>分；</w:t>
            </w:r>
            <w:r>
              <w:rPr>
                <w:rFonts w:hint="eastAsia" w:hAnsi="宋体" w:cs="宋体"/>
                <w:b/>
                <w:bCs/>
                <w:sz w:val="21"/>
                <w:szCs w:val="21"/>
              </w:rPr>
              <w:br w:type="textWrapping"/>
            </w:r>
            <w:r>
              <w:rPr>
                <w:rFonts w:hint="eastAsia" w:hAnsi="宋体" w:cs="宋体"/>
                <w:b/>
                <w:bCs/>
                <w:sz w:val="21"/>
                <w:szCs w:val="21"/>
              </w:rPr>
              <w:t>可行性一般、计划一般得</w:t>
            </w:r>
            <w:r>
              <w:rPr>
                <w:rFonts w:hint="eastAsia" w:hAnsi="宋体" w:cs="宋体"/>
                <w:b/>
                <w:bCs/>
                <w:sz w:val="21"/>
                <w:szCs w:val="21"/>
                <w:lang w:val="en-US" w:eastAsia="zh-CN"/>
              </w:rPr>
              <w:t>1</w:t>
            </w:r>
            <w:r>
              <w:rPr>
                <w:rFonts w:hint="eastAsia" w:hAnsi="宋体" w:cs="宋体"/>
                <w:b/>
                <w:bCs/>
                <w:sz w:val="21"/>
                <w:szCs w:val="21"/>
              </w:rPr>
              <w:t>＜F≤3分；</w:t>
            </w:r>
            <w:r>
              <w:rPr>
                <w:rFonts w:hint="eastAsia" w:hAnsi="宋体" w:cs="宋体"/>
                <w:b/>
                <w:bCs/>
                <w:sz w:val="21"/>
                <w:szCs w:val="21"/>
              </w:rPr>
              <w:br w:type="textWrapping"/>
            </w:r>
            <w:r>
              <w:rPr>
                <w:rFonts w:hint="eastAsia" w:hAnsi="宋体" w:cs="宋体"/>
                <w:b/>
                <w:bCs/>
                <w:sz w:val="21"/>
                <w:szCs w:val="21"/>
              </w:rPr>
              <w:t>较差，缺乏针对性和合理性得0＜F≤1分；</w:t>
            </w:r>
            <w:r>
              <w:rPr>
                <w:rFonts w:hint="eastAsia" w:hAnsi="宋体" w:cs="宋体"/>
                <w:b/>
                <w:bCs/>
                <w:sz w:val="21"/>
                <w:szCs w:val="21"/>
              </w:rPr>
              <w:br w:type="textWrapping"/>
            </w:r>
            <w:r>
              <w:rPr>
                <w:rFonts w:hint="eastAsia" w:hAnsi="宋体" w:cs="宋体"/>
                <w:b/>
                <w:bCs/>
                <w:sz w:val="21"/>
                <w:szCs w:val="21"/>
              </w:rPr>
              <w:t>未提供</w:t>
            </w:r>
            <w:r>
              <w:rPr>
                <w:rFonts w:hint="eastAsia" w:hAnsi="宋体" w:cs="宋体"/>
                <w:b/>
                <w:bCs/>
                <w:sz w:val="21"/>
                <w:szCs w:val="21"/>
                <w:lang w:val="en-US" w:eastAsia="zh-CN"/>
              </w:rPr>
              <w:t>的</w:t>
            </w:r>
            <w:r>
              <w:rPr>
                <w:rFonts w:hint="eastAsia" w:hAnsi="宋体" w:cs="宋体"/>
                <w:b/>
                <w:bCs/>
                <w:sz w:val="21"/>
                <w:szCs w:val="21"/>
              </w:rPr>
              <w:t>不得分。</w:t>
            </w:r>
            <w:r>
              <w:rPr>
                <w:rFonts w:hint="eastAsia" w:hAnsi="宋体" w:cs="宋体"/>
                <w:b/>
                <w:bCs/>
                <w:sz w:val="21"/>
                <w:szCs w:val="21"/>
              </w:rPr>
              <w:br w:type="textWrapping"/>
            </w:r>
            <w:r>
              <w:rPr>
                <w:rFonts w:hint="eastAsia" w:ascii="宋体" w:hAnsi="宋体" w:eastAsia="宋体" w:cs="宋体"/>
                <w:b/>
                <w:bCs/>
                <w:spacing w:val="-1"/>
                <w:sz w:val="21"/>
                <w:szCs w:val="21"/>
              </w:rPr>
              <w:t>“F”为投标人此项得分。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7"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2.2.2（2）</w:t>
            </w:r>
          </w:p>
        </w:tc>
        <w:tc>
          <w:tcPr>
            <w:tcW w:w="972"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商务文件评分标准</w:t>
            </w:r>
          </w:p>
        </w:tc>
        <w:tc>
          <w:tcPr>
            <w:tcW w:w="1276" w:type="dxa"/>
            <w:noWrap w:val="0"/>
            <w:tcMar>
              <w:left w:w="75" w:type="dxa"/>
            </w:tcMar>
            <w:vAlign w:val="top"/>
          </w:tcPr>
          <w:p>
            <w:pPr>
              <w:spacing w:line="360" w:lineRule="auto"/>
              <w:jc w:val="both"/>
              <w:rPr>
                <w:rFonts w:hint="eastAsia" w:hAnsi="宋体" w:cs="宋体"/>
                <w:sz w:val="21"/>
                <w:szCs w:val="21"/>
                <w:highlight w:val="none"/>
              </w:rPr>
            </w:pPr>
          </w:p>
          <w:p>
            <w:pPr>
              <w:spacing w:line="360" w:lineRule="auto"/>
              <w:jc w:val="center"/>
              <w:rPr>
                <w:rFonts w:hint="eastAsia" w:hAnsi="宋体" w:cs="宋体"/>
                <w:sz w:val="21"/>
                <w:szCs w:val="21"/>
                <w:highlight w:val="none"/>
              </w:rPr>
            </w:pPr>
            <w:r>
              <w:rPr>
                <w:rFonts w:hint="eastAsia" w:hAnsi="宋体" w:cs="宋体"/>
                <w:sz w:val="21"/>
                <w:szCs w:val="21"/>
                <w:highlight w:val="none"/>
              </w:rPr>
              <w:t>投标人资信、认证</w:t>
            </w:r>
          </w:p>
        </w:tc>
        <w:tc>
          <w:tcPr>
            <w:tcW w:w="783"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lang w:val="en-US" w:eastAsia="zh-CN"/>
              </w:rPr>
              <w:t>6</w:t>
            </w:r>
            <w:r>
              <w:rPr>
                <w:rFonts w:hint="eastAsia" w:hAnsi="宋体" w:cs="宋体"/>
                <w:sz w:val="21"/>
                <w:szCs w:val="21"/>
                <w:highlight w:val="none"/>
              </w:rPr>
              <w:t>分</w:t>
            </w:r>
          </w:p>
        </w:tc>
        <w:tc>
          <w:tcPr>
            <w:tcW w:w="4632" w:type="dxa"/>
            <w:noWrap w:val="0"/>
            <w:vAlign w:val="center"/>
          </w:tcPr>
          <w:p>
            <w:pPr>
              <w:numPr>
                <w:ilvl w:val="0"/>
                <w:numId w:val="0"/>
              </w:numPr>
              <w:spacing w:line="300" w:lineRule="auto"/>
              <w:rPr>
                <w:rFonts w:hint="eastAsia" w:hAnsi="宋体" w:cs="宋体"/>
                <w:color w:val="000000"/>
                <w:sz w:val="21"/>
                <w:szCs w:val="21"/>
                <w:lang w:bidi="ar"/>
              </w:rPr>
            </w:pPr>
            <w:r>
              <w:rPr>
                <w:rFonts w:hint="eastAsia" w:hAnsi="宋体" w:cs="宋体"/>
                <w:color w:val="000000"/>
                <w:sz w:val="21"/>
                <w:szCs w:val="21"/>
                <w:lang w:bidi="ar"/>
              </w:rPr>
              <w:t>投标人具有质量管理体系认证</w:t>
            </w:r>
            <w:r>
              <w:rPr>
                <w:rFonts w:hint="eastAsia" w:hAnsi="宋体" w:cs="宋体"/>
                <w:color w:val="000000"/>
                <w:sz w:val="21"/>
                <w:szCs w:val="21"/>
                <w:lang w:val="en-US" w:eastAsia="zh-CN" w:bidi="ar"/>
              </w:rPr>
              <w:t>证书</w:t>
            </w:r>
            <w:r>
              <w:rPr>
                <w:rFonts w:hint="eastAsia" w:hAnsi="宋体" w:cs="宋体"/>
                <w:color w:val="000000"/>
                <w:sz w:val="21"/>
                <w:szCs w:val="21"/>
                <w:lang w:bidi="ar"/>
              </w:rPr>
              <w:t>、职业健康安全管理体系认证证书</w:t>
            </w:r>
            <w:r>
              <w:rPr>
                <w:rFonts w:hint="eastAsia" w:hAnsi="宋体" w:cs="宋体"/>
                <w:color w:val="000000"/>
                <w:sz w:val="21"/>
                <w:szCs w:val="21"/>
                <w:lang w:eastAsia="zh-CN" w:bidi="ar"/>
              </w:rPr>
              <w:t>、</w:t>
            </w:r>
            <w:r>
              <w:rPr>
                <w:rFonts w:hint="eastAsia" w:hAnsi="宋体" w:cs="宋体"/>
                <w:color w:val="000000"/>
                <w:sz w:val="21"/>
                <w:szCs w:val="21"/>
                <w:lang w:bidi="ar"/>
              </w:rPr>
              <w:t>环境管理体系认证</w:t>
            </w:r>
            <w:r>
              <w:rPr>
                <w:rFonts w:hint="eastAsia" w:hAnsi="宋体" w:cs="宋体"/>
                <w:color w:val="000000"/>
                <w:sz w:val="21"/>
                <w:szCs w:val="21"/>
                <w:lang w:val="en-US" w:eastAsia="zh-CN" w:bidi="ar"/>
              </w:rPr>
              <w:t>证书</w:t>
            </w:r>
            <w:r>
              <w:rPr>
                <w:rFonts w:hint="eastAsia" w:hAnsi="宋体" w:cs="宋体"/>
                <w:color w:val="000000"/>
                <w:sz w:val="21"/>
                <w:szCs w:val="21"/>
                <w:lang w:eastAsia="zh-CN" w:bidi="ar"/>
              </w:rPr>
              <w:t>，</w:t>
            </w:r>
            <w:r>
              <w:rPr>
                <w:rFonts w:hint="eastAsia" w:hAnsi="宋体" w:cs="宋体"/>
                <w:color w:val="000000"/>
                <w:sz w:val="21"/>
                <w:szCs w:val="21"/>
                <w:lang w:bidi="ar"/>
              </w:rPr>
              <w:t>每一项得</w:t>
            </w:r>
            <w:r>
              <w:rPr>
                <w:rFonts w:hint="eastAsia" w:hAnsi="宋体" w:cs="宋体"/>
                <w:color w:val="000000"/>
                <w:sz w:val="21"/>
                <w:szCs w:val="21"/>
                <w:lang w:val="en-US" w:eastAsia="zh-CN" w:bidi="ar"/>
              </w:rPr>
              <w:t>2</w:t>
            </w:r>
            <w:r>
              <w:rPr>
                <w:rFonts w:hint="eastAsia" w:hAnsi="宋体" w:cs="宋体"/>
                <w:color w:val="000000"/>
                <w:sz w:val="21"/>
                <w:szCs w:val="21"/>
                <w:lang w:bidi="ar"/>
              </w:rPr>
              <w:t>分，满分</w:t>
            </w:r>
            <w:r>
              <w:rPr>
                <w:rFonts w:hint="eastAsia" w:hAnsi="宋体" w:cs="宋体"/>
                <w:color w:val="000000"/>
                <w:sz w:val="21"/>
                <w:szCs w:val="21"/>
                <w:lang w:val="en-US" w:eastAsia="zh-CN" w:bidi="ar"/>
              </w:rPr>
              <w:t>6</w:t>
            </w:r>
            <w:r>
              <w:rPr>
                <w:rFonts w:hint="eastAsia" w:hAnsi="宋体" w:cs="宋体"/>
                <w:color w:val="000000"/>
                <w:sz w:val="21"/>
                <w:szCs w:val="21"/>
                <w:lang w:bidi="ar"/>
              </w:rPr>
              <w:t>分。</w:t>
            </w:r>
          </w:p>
          <w:p>
            <w:pPr>
              <w:numPr>
                <w:ilvl w:val="0"/>
                <w:numId w:val="0"/>
              </w:numPr>
              <w:spacing w:line="300" w:lineRule="auto"/>
              <w:rPr>
                <w:rFonts w:hint="eastAsia" w:hAnsi="宋体" w:cs="宋体"/>
                <w:b/>
                <w:sz w:val="21"/>
                <w:szCs w:val="21"/>
                <w:highlight w:val="none"/>
              </w:rPr>
            </w:pPr>
            <w:r>
              <w:rPr>
                <w:rFonts w:hint="eastAsia" w:ascii="Times New Roman" w:hAnsi="宋体" w:cs="仿宋"/>
                <w:b/>
                <w:kern w:val="2"/>
                <w:sz w:val="21"/>
                <w:szCs w:val="21"/>
              </w:rPr>
              <w:t>注：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7" w:type="dxa"/>
            <w:vMerge w:val="continue"/>
            <w:noWrap w:val="0"/>
            <w:vAlign w:val="center"/>
          </w:tcPr>
          <w:p>
            <w:pPr>
              <w:snapToGrid w:val="0"/>
              <w:spacing w:line="360" w:lineRule="auto"/>
              <w:jc w:val="center"/>
              <w:rPr>
                <w:rFonts w:hint="eastAsia" w:hAnsi="宋体" w:cs="宋体"/>
                <w:bCs/>
                <w:sz w:val="21"/>
                <w:szCs w:val="21"/>
                <w:highlight w:val="none"/>
              </w:rPr>
            </w:pPr>
          </w:p>
        </w:tc>
        <w:tc>
          <w:tcPr>
            <w:tcW w:w="972" w:type="dxa"/>
            <w:vMerge w:val="continue"/>
            <w:noWrap w:val="0"/>
            <w:vAlign w:val="top"/>
          </w:tcPr>
          <w:p>
            <w:pPr>
              <w:snapToGrid w:val="0"/>
              <w:spacing w:line="360" w:lineRule="auto"/>
              <w:jc w:val="center"/>
              <w:rPr>
                <w:rFonts w:hint="eastAsia" w:hAnsi="宋体" w:cs="宋体"/>
                <w:bCs/>
                <w:sz w:val="21"/>
                <w:szCs w:val="21"/>
                <w:highlight w:val="none"/>
              </w:rPr>
            </w:pPr>
          </w:p>
        </w:tc>
        <w:tc>
          <w:tcPr>
            <w:tcW w:w="1276" w:type="dxa"/>
            <w:noWrap w:val="0"/>
            <w:tcMar>
              <w:left w:w="75" w:type="dxa"/>
            </w:tcMar>
            <w:vAlign w:val="center"/>
          </w:tcPr>
          <w:p>
            <w:pPr>
              <w:snapToGrid w:val="0"/>
              <w:spacing w:line="360" w:lineRule="auto"/>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拟委任人员资格</w:t>
            </w:r>
          </w:p>
        </w:tc>
        <w:tc>
          <w:tcPr>
            <w:tcW w:w="783"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lang w:val="en-US" w:eastAsia="zh-CN"/>
              </w:rPr>
              <w:t>6</w:t>
            </w:r>
            <w:r>
              <w:rPr>
                <w:rFonts w:hint="eastAsia" w:hAnsi="宋体" w:cs="宋体"/>
                <w:sz w:val="21"/>
                <w:szCs w:val="21"/>
                <w:highlight w:val="none"/>
              </w:rPr>
              <w:t>分</w:t>
            </w:r>
          </w:p>
        </w:tc>
        <w:tc>
          <w:tcPr>
            <w:tcW w:w="4632" w:type="dxa"/>
            <w:noWrap w:val="0"/>
            <w:vAlign w:val="center"/>
          </w:tcPr>
          <w:p>
            <w:pPr>
              <w:numPr>
                <w:ilvl w:val="0"/>
                <w:numId w:val="0"/>
              </w:numPr>
              <w:spacing w:line="300" w:lineRule="auto"/>
              <w:rPr>
                <w:rFonts w:hint="eastAsia" w:hAnsi="宋体" w:cs="宋体"/>
                <w:color w:val="000000"/>
                <w:sz w:val="21"/>
                <w:szCs w:val="21"/>
                <w:lang w:bidi="ar"/>
              </w:rPr>
            </w:pPr>
            <w:r>
              <w:rPr>
                <w:rFonts w:hint="eastAsia" w:hAnsi="宋体" w:cs="宋体"/>
                <w:color w:val="000000"/>
                <w:sz w:val="21"/>
                <w:szCs w:val="21"/>
                <w:lang w:bidi="ar"/>
              </w:rPr>
              <w:t>1.拟派项目技术负责人具有智能化相关专业高级及以上职称证书的，得2分；</w:t>
            </w:r>
          </w:p>
          <w:p>
            <w:pPr>
              <w:numPr>
                <w:ilvl w:val="0"/>
                <w:numId w:val="0"/>
              </w:numPr>
              <w:spacing w:line="300" w:lineRule="auto"/>
              <w:rPr>
                <w:rFonts w:hint="eastAsia" w:hAnsi="宋体" w:cs="宋体"/>
                <w:color w:val="000000"/>
                <w:sz w:val="21"/>
                <w:szCs w:val="21"/>
                <w:lang w:bidi="ar"/>
              </w:rPr>
            </w:pPr>
            <w:r>
              <w:rPr>
                <w:rFonts w:hint="eastAsia" w:hAnsi="宋体" w:cs="宋体"/>
                <w:color w:val="000000"/>
                <w:sz w:val="21"/>
                <w:szCs w:val="21"/>
                <w:lang w:bidi="ar"/>
              </w:rPr>
              <w:t>2.拟任项目组人员中（除项目负责人和技术负责人外）具有智能化相关专业中级及以上职称证书的，得2分，满分4分。</w:t>
            </w:r>
          </w:p>
          <w:p>
            <w:pPr>
              <w:pStyle w:val="338"/>
              <w:spacing w:before="30" w:line="220" w:lineRule="auto"/>
              <w:ind w:left="10"/>
              <w:rPr>
                <w:rFonts w:hint="eastAsia" w:ascii="宋体" w:hAnsi="宋体" w:eastAsia="宋体" w:cs="宋体"/>
                <w:b/>
                <w:bCs/>
                <w:spacing w:val="-12"/>
                <w:sz w:val="21"/>
                <w:szCs w:val="21"/>
              </w:rPr>
            </w:pPr>
            <w:r>
              <w:rPr>
                <w:rFonts w:hint="eastAsia" w:ascii="宋体" w:hAnsi="宋体" w:eastAsia="宋体" w:cs="宋体"/>
                <w:b/>
                <w:bCs/>
                <w:spacing w:val="-2"/>
                <w:sz w:val="21"/>
                <w:szCs w:val="21"/>
              </w:rPr>
              <w:t>注</w:t>
            </w:r>
            <w:r>
              <w:rPr>
                <w:rFonts w:hint="eastAsia" w:ascii="宋体" w:hAnsi="宋体" w:eastAsia="宋体" w:cs="宋体"/>
                <w:b/>
                <w:bCs/>
                <w:spacing w:val="-12"/>
                <w:sz w:val="21"/>
                <w:szCs w:val="21"/>
              </w:rPr>
              <w:t>：</w:t>
            </w:r>
          </w:p>
          <w:p>
            <w:pPr>
              <w:pStyle w:val="338"/>
              <w:spacing w:before="30" w:line="220" w:lineRule="auto"/>
              <w:ind w:left="10"/>
              <w:rPr>
                <w:rFonts w:hint="eastAsia" w:ascii="宋体" w:hAnsi="宋体" w:eastAsia="宋体" w:cs="宋体"/>
                <w:b/>
                <w:bCs/>
                <w:spacing w:val="-2"/>
                <w:sz w:val="21"/>
                <w:szCs w:val="21"/>
              </w:rPr>
            </w:pPr>
            <w:r>
              <w:rPr>
                <w:rFonts w:hint="eastAsia" w:ascii="宋体" w:hAnsi="宋体" w:eastAsia="宋体" w:cs="宋体"/>
                <w:b/>
                <w:bCs/>
                <w:spacing w:val="-2"/>
                <w:sz w:val="21"/>
                <w:szCs w:val="21"/>
              </w:rPr>
              <w:t>（1）投标文件中提供以上人员证书作为评审依据；</w:t>
            </w:r>
          </w:p>
          <w:p>
            <w:pPr>
              <w:pStyle w:val="338"/>
              <w:spacing w:before="30" w:line="220" w:lineRule="auto"/>
              <w:ind w:left="10"/>
              <w:rPr>
                <w:rFonts w:hint="eastAsia" w:ascii="宋体" w:hAnsi="宋体" w:eastAsia="宋体" w:cs="宋体"/>
                <w:b/>
                <w:bCs/>
                <w:spacing w:val="-2"/>
                <w:sz w:val="21"/>
                <w:szCs w:val="21"/>
              </w:rPr>
            </w:pPr>
            <w:r>
              <w:rPr>
                <w:rFonts w:hint="eastAsia" w:ascii="宋体" w:hAnsi="宋体" w:eastAsia="宋体" w:cs="宋体"/>
                <w:b/>
                <w:bCs/>
                <w:spacing w:val="-2"/>
                <w:sz w:val="21"/>
                <w:szCs w:val="21"/>
              </w:rPr>
              <w:t>（2）提供投标人所属社保机构出具的上述人员2024年1月1日以来任意连续三个月社保缴费证明 （或其他能够证明上述人员参加社保的有效证明）材料，上述人员的社保缴纳单位应当是投标人或者投标人不具备独立法人资格的分支机构。社保缴费证明或社保的有效证明材料至少含养老保险。</w:t>
            </w:r>
          </w:p>
          <w:p>
            <w:pPr>
              <w:rPr>
                <w:rFonts w:hint="eastAsia" w:hAnsi="宋体" w:eastAsia="宋体" w:cs="仿宋"/>
                <w:kern w:val="2"/>
                <w:sz w:val="21"/>
                <w:szCs w:val="21"/>
                <w:highlight w:val="none"/>
                <w:lang w:eastAsia="zh-CN"/>
              </w:rPr>
            </w:pPr>
            <w:r>
              <w:rPr>
                <w:rFonts w:hint="eastAsia" w:ascii="宋体" w:hAnsi="宋体" w:eastAsia="宋体" w:cs="宋体"/>
                <w:b/>
                <w:bCs/>
                <w:spacing w:val="-2"/>
                <w:sz w:val="21"/>
                <w:szCs w:val="21"/>
              </w:rPr>
              <w:t>（3）上述同一人员不能兼任多个岗位，同一人多个证书的只取一个证书不累计计分。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7" w:type="dxa"/>
            <w:vMerge w:val="continue"/>
            <w:noWrap w:val="0"/>
            <w:vAlign w:val="top"/>
          </w:tcPr>
          <w:p>
            <w:pPr>
              <w:snapToGrid w:val="0"/>
              <w:spacing w:line="360" w:lineRule="auto"/>
              <w:jc w:val="center"/>
              <w:rPr>
                <w:rFonts w:hint="eastAsia" w:hAnsi="宋体" w:cs="宋体"/>
                <w:bCs/>
                <w:sz w:val="21"/>
                <w:szCs w:val="21"/>
                <w:highlight w:val="none"/>
              </w:rPr>
            </w:pPr>
          </w:p>
        </w:tc>
        <w:tc>
          <w:tcPr>
            <w:tcW w:w="972" w:type="dxa"/>
            <w:vMerge w:val="continue"/>
            <w:noWrap w:val="0"/>
            <w:vAlign w:val="top"/>
          </w:tcPr>
          <w:p>
            <w:pPr>
              <w:snapToGrid w:val="0"/>
              <w:spacing w:line="360" w:lineRule="auto"/>
              <w:jc w:val="center"/>
              <w:rPr>
                <w:rFonts w:hint="eastAsia" w:hAnsi="宋体" w:cs="宋体"/>
                <w:bCs/>
                <w:sz w:val="21"/>
                <w:szCs w:val="21"/>
                <w:highlight w:val="none"/>
              </w:rPr>
            </w:pPr>
          </w:p>
        </w:tc>
        <w:tc>
          <w:tcPr>
            <w:tcW w:w="1276" w:type="dxa"/>
            <w:noWrap w:val="0"/>
            <w:tcMar>
              <w:left w:w="75" w:type="dxa"/>
            </w:tcMar>
            <w:vAlign w:val="top"/>
          </w:tcPr>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napToGrid w:val="0"/>
              <w:spacing w:line="360" w:lineRule="auto"/>
              <w:jc w:val="both"/>
              <w:rPr>
                <w:rFonts w:hint="eastAsia" w:hAnsi="宋体" w:cs="宋体"/>
                <w:sz w:val="21"/>
                <w:szCs w:val="21"/>
                <w:highlight w:val="none"/>
              </w:rPr>
            </w:pPr>
            <w:r>
              <w:rPr>
                <w:rFonts w:hint="eastAsia" w:hAnsi="宋体" w:eastAsia="宋体" w:cs="宋体"/>
                <w:sz w:val="21"/>
                <w:szCs w:val="21"/>
                <w:highlight w:val="none"/>
                <w:lang w:val="en-US" w:eastAsia="zh-CN"/>
              </w:rPr>
              <w:t>投标人业绩</w:t>
            </w:r>
          </w:p>
        </w:tc>
        <w:tc>
          <w:tcPr>
            <w:tcW w:w="783" w:type="dxa"/>
            <w:noWrap w:val="0"/>
            <w:vAlign w:val="top"/>
          </w:tcPr>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pStyle w:val="338"/>
              <w:spacing w:before="68" w:line="221" w:lineRule="auto"/>
              <w:ind w:firstLine="200" w:firstLineChars="100"/>
              <w:rPr>
                <w:rFonts w:hint="eastAsia" w:hAnsi="宋体" w:cs="宋体"/>
                <w:sz w:val="21"/>
                <w:szCs w:val="21"/>
                <w:highlight w:val="none"/>
              </w:rPr>
            </w:pPr>
            <w:r>
              <w:rPr>
                <w:rFonts w:hint="eastAsia" w:ascii="宋体" w:hAnsi="宋体" w:eastAsia="宋体" w:cs="宋体"/>
                <w:spacing w:val="-5"/>
                <w:sz w:val="21"/>
                <w:szCs w:val="21"/>
              </w:rPr>
              <w:t>9</w:t>
            </w:r>
            <w:r>
              <w:rPr>
                <w:rFonts w:hint="eastAsia" w:ascii="宋体" w:hAnsi="宋体" w:eastAsia="宋体" w:cs="宋体"/>
                <w:spacing w:val="-41"/>
                <w:sz w:val="21"/>
                <w:szCs w:val="21"/>
              </w:rPr>
              <w:t xml:space="preserve"> </w:t>
            </w:r>
            <w:r>
              <w:rPr>
                <w:rFonts w:hint="eastAsia" w:ascii="宋体" w:hAnsi="宋体" w:eastAsia="宋体" w:cs="宋体"/>
                <w:spacing w:val="-5"/>
                <w:sz w:val="21"/>
                <w:szCs w:val="21"/>
              </w:rPr>
              <w:t>分</w:t>
            </w:r>
          </w:p>
        </w:tc>
        <w:tc>
          <w:tcPr>
            <w:tcW w:w="4632" w:type="dxa"/>
            <w:noWrap w:val="0"/>
            <w:vAlign w:val="top"/>
          </w:tcPr>
          <w:p>
            <w:pPr>
              <w:pStyle w:val="338"/>
              <w:spacing w:before="32" w:line="343" w:lineRule="auto"/>
              <w:ind w:left="9" w:right="1" w:firstLine="3"/>
              <w:jc w:val="both"/>
              <w:rPr>
                <w:rFonts w:hint="eastAsia" w:ascii="宋体" w:hAnsi="宋体" w:eastAsia="宋体" w:cs="宋体"/>
                <w:spacing w:val="-3"/>
                <w:sz w:val="21"/>
                <w:szCs w:val="21"/>
              </w:rPr>
            </w:pPr>
            <w:r>
              <w:rPr>
                <w:rFonts w:hint="eastAsia" w:ascii="宋体" w:hAnsi="宋体" w:eastAsia="宋体" w:cs="宋体"/>
                <w:spacing w:val="-3"/>
                <w:sz w:val="21"/>
                <w:szCs w:val="21"/>
              </w:rPr>
              <w:t>自</w:t>
            </w:r>
            <w:r>
              <w:rPr>
                <w:rFonts w:hint="eastAsia" w:ascii="宋体" w:hAnsi="宋体" w:eastAsia="宋体" w:cs="宋体"/>
                <w:snapToGrid/>
                <w:color w:val="000000"/>
                <w:kern w:val="0"/>
                <w:sz w:val="21"/>
                <w:szCs w:val="21"/>
                <w:lang w:val="en-US" w:eastAsia="zh-CN" w:bidi="ar"/>
              </w:rPr>
              <w:t>2019年1月1日以来（以合同签订时间为准），投标人具有单个合同金额1000万元及以上的公共建筑智能化工程业绩，每个业绩得3分，此项满分9分。</w:t>
            </w:r>
          </w:p>
          <w:p>
            <w:pPr>
              <w:pStyle w:val="338"/>
              <w:spacing w:before="31" w:line="320" w:lineRule="auto"/>
              <w:ind w:left="11" w:leftChars="0" w:right="5" w:rightChars="0" w:hanging="1" w:firstLineChars="0"/>
              <w:jc w:val="both"/>
              <w:rPr>
                <w:rFonts w:hint="eastAsia" w:ascii="宋体" w:hAnsi="宋体" w:eastAsia="宋体" w:cs="宋体"/>
                <w:sz w:val="21"/>
                <w:szCs w:val="21"/>
                <w:lang w:val="en-US" w:eastAsia="zh-CN" w:bidi="ar-SA"/>
              </w:rPr>
            </w:pPr>
            <w:r>
              <w:rPr>
                <w:rFonts w:hint="eastAsia" w:ascii="宋体" w:hAnsi="宋体" w:eastAsia="宋体" w:cs="宋体"/>
                <w:b/>
                <w:bCs/>
                <w:spacing w:val="-2"/>
                <w:sz w:val="21"/>
                <w:szCs w:val="21"/>
              </w:rPr>
              <w:t>注：投标文件中需同时提供中标通知书，业绩合同以及验收报告等。如上述材料不能体现合同签订时间、项目内容等评审因素的，须另附业主单位出具的证明材料，否则业绩无效。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7" w:type="dxa"/>
            <w:vMerge w:val="continue"/>
            <w:noWrap w:val="0"/>
            <w:vAlign w:val="top"/>
          </w:tcPr>
          <w:p>
            <w:pPr>
              <w:snapToGrid w:val="0"/>
              <w:spacing w:line="360" w:lineRule="auto"/>
              <w:jc w:val="center"/>
              <w:rPr>
                <w:rFonts w:hint="eastAsia" w:hAnsi="宋体" w:cs="宋体"/>
                <w:bCs/>
                <w:sz w:val="21"/>
                <w:szCs w:val="21"/>
                <w:highlight w:val="none"/>
              </w:rPr>
            </w:pPr>
          </w:p>
        </w:tc>
        <w:tc>
          <w:tcPr>
            <w:tcW w:w="972" w:type="dxa"/>
            <w:vMerge w:val="continue"/>
            <w:noWrap w:val="0"/>
            <w:vAlign w:val="top"/>
          </w:tcPr>
          <w:p>
            <w:pPr>
              <w:snapToGrid w:val="0"/>
              <w:spacing w:line="360" w:lineRule="auto"/>
              <w:jc w:val="center"/>
              <w:rPr>
                <w:rFonts w:hint="eastAsia" w:hAnsi="宋体" w:cs="宋体"/>
                <w:bCs/>
                <w:sz w:val="21"/>
                <w:szCs w:val="21"/>
                <w:highlight w:val="none"/>
              </w:rPr>
            </w:pPr>
          </w:p>
        </w:tc>
        <w:tc>
          <w:tcPr>
            <w:tcW w:w="1276" w:type="dxa"/>
            <w:noWrap w:val="0"/>
            <w:tcMar>
              <w:left w:w="75" w:type="dxa"/>
            </w:tcMar>
            <w:vAlign w:val="top"/>
          </w:tcPr>
          <w:p>
            <w:pPr>
              <w:spacing w:line="288" w:lineRule="auto"/>
              <w:rPr>
                <w:rFonts w:hint="eastAsia" w:ascii="宋体" w:hAnsi="宋体" w:eastAsia="宋体" w:cs="宋体"/>
                <w:sz w:val="21"/>
                <w:szCs w:val="21"/>
              </w:rPr>
            </w:pPr>
          </w:p>
          <w:p>
            <w:pPr>
              <w:pStyle w:val="338"/>
              <w:spacing w:before="68" w:line="221" w:lineRule="auto"/>
              <w:rPr>
                <w:rFonts w:hint="eastAsia" w:ascii="宋体" w:hAnsi="宋体" w:eastAsia="宋体" w:cs="宋体"/>
                <w:snapToGrid/>
                <w:color w:val="auto"/>
                <w:kern w:val="0"/>
                <w:sz w:val="21"/>
                <w:szCs w:val="21"/>
                <w:highlight w:val="none"/>
                <w:lang w:val="en-US" w:eastAsia="zh-CN" w:bidi="ar-SA"/>
              </w:rPr>
            </w:pPr>
          </w:p>
          <w:p>
            <w:pPr>
              <w:pStyle w:val="338"/>
              <w:spacing w:before="68" w:line="221" w:lineRule="auto"/>
              <w:rPr>
                <w:rFonts w:hint="eastAsia" w:ascii="宋体" w:hAnsi="宋体" w:eastAsia="宋体" w:cs="宋体"/>
                <w:snapToGrid/>
                <w:color w:val="auto"/>
                <w:kern w:val="0"/>
                <w:sz w:val="21"/>
                <w:szCs w:val="21"/>
                <w:highlight w:val="none"/>
                <w:lang w:val="en-US" w:eastAsia="zh-CN" w:bidi="ar-SA"/>
              </w:rPr>
            </w:pPr>
          </w:p>
          <w:p>
            <w:pPr>
              <w:pStyle w:val="338"/>
              <w:spacing w:before="68" w:line="221" w:lineRule="auto"/>
              <w:rPr>
                <w:rFonts w:hint="eastAsia" w:ascii="宋体" w:hAnsi="宋体" w:eastAsia="宋体" w:cs="宋体"/>
                <w:snapToGrid/>
                <w:color w:val="auto"/>
                <w:kern w:val="0"/>
                <w:sz w:val="21"/>
                <w:szCs w:val="21"/>
                <w:highlight w:val="none"/>
                <w:lang w:val="en-US" w:eastAsia="zh-CN" w:bidi="ar-SA"/>
              </w:rPr>
            </w:pPr>
          </w:p>
          <w:p>
            <w:pPr>
              <w:pStyle w:val="338"/>
              <w:spacing w:before="68" w:line="221" w:lineRule="auto"/>
              <w:rPr>
                <w:rFonts w:hint="eastAsia" w:ascii="宋体" w:hAnsi="宋体" w:eastAsia="宋体" w:cs="宋体"/>
                <w:snapToGrid/>
                <w:color w:val="auto"/>
                <w:kern w:val="0"/>
                <w:sz w:val="21"/>
                <w:szCs w:val="21"/>
                <w:highlight w:val="none"/>
                <w:lang w:val="en-US" w:eastAsia="zh-CN" w:bidi="ar-SA"/>
              </w:rPr>
            </w:pPr>
          </w:p>
          <w:p>
            <w:pPr>
              <w:pStyle w:val="338"/>
              <w:spacing w:before="68" w:line="221" w:lineRule="auto"/>
              <w:rPr>
                <w:rFonts w:hint="eastAsia" w:ascii="宋体" w:hAnsi="宋体" w:eastAsia="宋体" w:cs="宋体"/>
                <w:snapToGrid/>
                <w:color w:val="auto"/>
                <w:kern w:val="0"/>
                <w:sz w:val="21"/>
                <w:szCs w:val="21"/>
                <w:highlight w:val="none"/>
                <w:lang w:val="en-US" w:eastAsia="zh-CN" w:bidi="ar-SA"/>
              </w:rPr>
            </w:pPr>
          </w:p>
          <w:p>
            <w:pPr>
              <w:pStyle w:val="338"/>
              <w:spacing w:before="68" w:line="221" w:lineRule="auto"/>
              <w:rPr>
                <w:rFonts w:hint="default" w:hAnsi="宋体" w:eastAsia="宋体" w:cs="宋体"/>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bidi="ar-SA"/>
              </w:rPr>
              <w:t>人员业绩</w:t>
            </w:r>
          </w:p>
        </w:tc>
        <w:tc>
          <w:tcPr>
            <w:tcW w:w="783" w:type="dxa"/>
            <w:noWrap w:val="0"/>
            <w:vAlign w:val="top"/>
          </w:tcPr>
          <w:p>
            <w:pPr>
              <w:spacing w:line="288" w:lineRule="auto"/>
              <w:rPr>
                <w:rFonts w:hint="eastAsia" w:ascii="宋体" w:hAnsi="宋体" w:eastAsia="宋体" w:cs="宋体"/>
                <w:sz w:val="21"/>
                <w:szCs w:val="21"/>
              </w:rPr>
            </w:pPr>
          </w:p>
          <w:p>
            <w:pPr>
              <w:pStyle w:val="338"/>
              <w:spacing w:before="68" w:line="221" w:lineRule="auto"/>
              <w:ind w:firstLine="200" w:firstLineChars="100"/>
              <w:rPr>
                <w:rFonts w:hint="eastAsia" w:ascii="宋体" w:hAnsi="宋体" w:eastAsia="宋体" w:cs="宋体"/>
                <w:spacing w:val="-5"/>
                <w:sz w:val="21"/>
                <w:szCs w:val="21"/>
              </w:rPr>
            </w:pPr>
          </w:p>
          <w:p>
            <w:pPr>
              <w:pStyle w:val="338"/>
              <w:spacing w:before="68" w:line="221" w:lineRule="auto"/>
              <w:ind w:firstLine="200" w:firstLineChars="100"/>
              <w:rPr>
                <w:rFonts w:hint="eastAsia" w:ascii="宋体" w:hAnsi="宋体" w:eastAsia="宋体" w:cs="宋体"/>
                <w:spacing w:val="-5"/>
                <w:sz w:val="21"/>
                <w:szCs w:val="21"/>
              </w:rPr>
            </w:pPr>
          </w:p>
          <w:p>
            <w:pPr>
              <w:pStyle w:val="338"/>
              <w:spacing w:before="68" w:line="221" w:lineRule="auto"/>
              <w:ind w:firstLine="200" w:firstLineChars="100"/>
              <w:rPr>
                <w:rFonts w:hint="eastAsia" w:ascii="宋体" w:hAnsi="宋体" w:eastAsia="宋体" w:cs="宋体"/>
                <w:spacing w:val="-5"/>
                <w:sz w:val="21"/>
                <w:szCs w:val="21"/>
              </w:rPr>
            </w:pPr>
          </w:p>
          <w:p>
            <w:pPr>
              <w:pStyle w:val="338"/>
              <w:spacing w:before="68" w:line="221" w:lineRule="auto"/>
              <w:ind w:firstLine="200" w:firstLineChars="100"/>
              <w:rPr>
                <w:rFonts w:hint="eastAsia" w:ascii="宋体" w:hAnsi="宋体" w:eastAsia="宋体" w:cs="宋体"/>
                <w:spacing w:val="-5"/>
                <w:sz w:val="21"/>
                <w:szCs w:val="21"/>
              </w:rPr>
            </w:pPr>
          </w:p>
          <w:p>
            <w:pPr>
              <w:pStyle w:val="338"/>
              <w:spacing w:before="68" w:line="221" w:lineRule="auto"/>
              <w:ind w:firstLine="200" w:firstLineChars="100"/>
              <w:rPr>
                <w:rFonts w:hint="eastAsia" w:ascii="宋体" w:hAnsi="宋体" w:eastAsia="宋体" w:cs="宋体"/>
                <w:spacing w:val="-5"/>
                <w:sz w:val="21"/>
                <w:szCs w:val="21"/>
              </w:rPr>
            </w:pPr>
          </w:p>
          <w:p>
            <w:pPr>
              <w:pStyle w:val="338"/>
              <w:spacing w:before="68" w:line="221" w:lineRule="auto"/>
              <w:ind w:firstLine="200" w:firstLineChars="100"/>
              <w:rPr>
                <w:rFonts w:hint="eastAsia" w:hAnsi="宋体" w:cs="宋体"/>
                <w:sz w:val="21"/>
                <w:szCs w:val="21"/>
                <w:highlight w:val="none"/>
              </w:rPr>
            </w:pPr>
            <w:r>
              <w:rPr>
                <w:rFonts w:hint="eastAsia" w:ascii="宋体" w:hAnsi="宋体" w:eastAsia="宋体" w:cs="宋体"/>
                <w:spacing w:val="-5"/>
                <w:sz w:val="21"/>
                <w:szCs w:val="21"/>
              </w:rPr>
              <w:t>4分</w:t>
            </w:r>
          </w:p>
        </w:tc>
        <w:tc>
          <w:tcPr>
            <w:tcW w:w="4632" w:type="dxa"/>
            <w:noWrap w:val="0"/>
            <w:vAlign w:val="top"/>
          </w:tcPr>
          <w:p>
            <w:pPr>
              <w:pStyle w:val="338"/>
              <w:spacing w:before="32" w:line="343" w:lineRule="auto"/>
              <w:ind w:left="9" w:right="1" w:firstLine="3"/>
              <w:jc w:val="both"/>
              <w:rPr>
                <w:rFonts w:hint="eastAsia" w:ascii="宋体" w:hAnsi="宋体" w:eastAsia="宋体" w:cs="宋体"/>
                <w:snapToGrid/>
                <w:color w:val="000000"/>
                <w:kern w:val="0"/>
                <w:sz w:val="21"/>
                <w:szCs w:val="21"/>
                <w:lang w:val="en-US" w:eastAsia="zh-CN" w:bidi="ar"/>
              </w:rPr>
            </w:pPr>
            <w:r>
              <w:rPr>
                <w:rFonts w:hint="eastAsia" w:ascii="宋体" w:hAnsi="宋体" w:eastAsia="宋体" w:cs="宋体"/>
                <w:snapToGrid/>
                <w:color w:val="000000"/>
                <w:kern w:val="0"/>
                <w:sz w:val="21"/>
                <w:szCs w:val="21"/>
                <w:lang w:val="en-US" w:eastAsia="zh-CN" w:bidi="ar"/>
              </w:rPr>
              <w:t>自2019年1月1日以来（以合同签订时间为准），投标人拟委任项目经理具有单个合同金额1000万元及以上的公共建筑智能化工程业绩，每个业绩得2分，此项满分4分。</w:t>
            </w:r>
          </w:p>
          <w:p>
            <w:pPr>
              <w:pStyle w:val="338"/>
              <w:spacing w:before="31" w:line="320" w:lineRule="auto"/>
              <w:ind w:left="11" w:leftChars="0" w:right="5" w:rightChars="0" w:hanging="1" w:firstLineChars="0"/>
              <w:jc w:val="both"/>
              <w:rPr>
                <w:rFonts w:hint="eastAsia" w:ascii="宋体" w:hAnsi="宋体" w:eastAsia="宋体" w:cs="宋体"/>
                <w:b/>
                <w:bCs/>
                <w:spacing w:val="-2"/>
                <w:sz w:val="21"/>
                <w:szCs w:val="21"/>
              </w:rPr>
            </w:pPr>
            <w:r>
              <w:rPr>
                <w:rFonts w:hint="eastAsia" w:ascii="宋体" w:hAnsi="宋体" w:eastAsia="宋体" w:cs="宋体"/>
                <w:b/>
                <w:bCs/>
                <w:spacing w:val="-2"/>
                <w:sz w:val="21"/>
                <w:szCs w:val="21"/>
              </w:rPr>
              <w:t>注：</w:t>
            </w:r>
            <w:r>
              <w:rPr>
                <w:rFonts w:hint="eastAsia" w:ascii="宋体" w:hAnsi="宋体" w:eastAsia="宋体" w:cs="宋体"/>
                <w:b/>
                <w:bCs/>
                <w:spacing w:val="-2"/>
                <w:sz w:val="21"/>
                <w:szCs w:val="21"/>
                <w:lang w:val="en-US" w:eastAsia="zh-CN"/>
              </w:rPr>
              <w:t>1、</w:t>
            </w:r>
            <w:r>
              <w:rPr>
                <w:rFonts w:hint="eastAsia" w:ascii="宋体" w:hAnsi="宋体" w:eastAsia="宋体" w:cs="宋体"/>
                <w:b/>
                <w:bCs/>
                <w:spacing w:val="-2"/>
                <w:sz w:val="21"/>
                <w:szCs w:val="21"/>
              </w:rPr>
              <w:t>拟任项目</w:t>
            </w:r>
            <w:r>
              <w:rPr>
                <w:rFonts w:hint="eastAsia" w:ascii="宋体" w:hAnsi="宋体" w:eastAsia="宋体" w:cs="宋体"/>
                <w:b/>
                <w:bCs/>
                <w:spacing w:val="-2"/>
                <w:sz w:val="21"/>
                <w:szCs w:val="21"/>
                <w:lang w:val="en-US" w:eastAsia="zh-CN"/>
              </w:rPr>
              <w:t>经理</w:t>
            </w:r>
            <w:r>
              <w:rPr>
                <w:rFonts w:hint="eastAsia" w:ascii="宋体" w:hAnsi="宋体" w:eastAsia="宋体" w:cs="宋体"/>
                <w:b/>
                <w:bCs/>
                <w:spacing w:val="-2"/>
                <w:sz w:val="21"/>
                <w:szCs w:val="21"/>
              </w:rPr>
              <w:t>须在对应业绩中担任项目负责人或</w:t>
            </w:r>
            <w:r>
              <w:rPr>
                <w:rFonts w:hint="eastAsia" w:ascii="宋体" w:hAnsi="宋体" w:eastAsia="宋体" w:cs="宋体"/>
                <w:b/>
                <w:bCs/>
                <w:spacing w:val="-2"/>
                <w:sz w:val="21"/>
                <w:szCs w:val="21"/>
                <w:lang w:val="en-US" w:eastAsia="zh-CN"/>
              </w:rPr>
              <w:t>项目经理</w:t>
            </w:r>
            <w:r>
              <w:rPr>
                <w:rFonts w:hint="eastAsia" w:ascii="宋体" w:hAnsi="宋体" w:eastAsia="宋体" w:cs="宋体"/>
                <w:b/>
                <w:bCs/>
                <w:spacing w:val="-2"/>
                <w:sz w:val="21"/>
                <w:szCs w:val="21"/>
              </w:rPr>
              <w:t>岗位。</w:t>
            </w:r>
          </w:p>
          <w:p>
            <w:pPr>
              <w:pStyle w:val="338"/>
              <w:spacing w:before="31" w:line="320" w:lineRule="auto"/>
              <w:ind w:left="11" w:leftChars="0" w:right="5" w:rightChars="0" w:hanging="1" w:firstLineChars="0"/>
              <w:jc w:val="both"/>
              <w:rPr>
                <w:rFonts w:hint="eastAsia" w:ascii="宋体" w:hAnsi="宋体" w:eastAsia="宋体" w:cs="宋体"/>
                <w:b/>
                <w:bCs/>
                <w:spacing w:val="-2"/>
                <w:sz w:val="21"/>
                <w:szCs w:val="21"/>
              </w:rPr>
            </w:pPr>
            <w:r>
              <w:rPr>
                <w:rFonts w:hint="eastAsia" w:ascii="宋体" w:hAnsi="宋体" w:eastAsia="宋体" w:cs="宋体"/>
                <w:b/>
                <w:bCs/>
                <w:spacing w:val="-2"/>
                <w:sz w:val="21"/>
                <w:szCs w:val="21"/>
                <w:lang w:val="en-US" w:eastAsia="zh-CN"/>
              </w:rPr>
              <w:t>2、</w:t>
            </w:r>
            <w:r>
              <w:rPr>
                <w:rFonts w:hint="eastAsia" w:ascii="宋体" w:hAnsi="宋体" w:eastAsia="宋体" w:cs="宋体"/>
                <w:b/>
                <w:bCs/>
                <w:spacing w:val="-2"/>
                <w:sz w:val="21"/>
                <w:szCs w:val="21"/>
              </w:rPr>
              <w:t>人员业绩与投标人业绩可重复计分。</w:t>
            </w:r>
          </w:p>
          <w:p>
            <w:pPr>
              <w:pStyle w:val="338"/>
              <w:spacing w:before="31" w:line="320" w:lineRule="auto"/>
              <w:ind w:left="11" w:leftChars="0" w:right="5" w:rightChars="0" w:hanging="1" w:firstLineChars="0"/>
              <w:jc w:val="both"/>
              <w:rPr>
                <w:rFonts w:hint="eastAsia" w:hAnsi="宋体" w:eastAsia="宋体" w:cs="宋体"/>
                <w:b/>
                <w:bCs/>
                <w:color w:val="000000"/>
                <w:sz w:val="21"/>
                <w:szCs w:val="21"/>
                <w:highlight w:val="none"/>
                <w:lang w:eastAsia="zh-CN" w:bidi="ar"/>
              </w:rPr>
            </w:pPr>
            <w:r>
              <w:rPr>
                <w:rFonts w:hint="eastAsia" w:ascii="宋体" w:hAnsi="宋体" w:eastAsia="宋体" w:cs="宋体"/>
                <w:b/>
                <w:bCs/>
                <w:spacing w:val="-2"/>
                <w:sz w:val="21"/>
                <w:szCs w:val="21"/>
                <w:lang w:val="en-US" w:eastAsia="zh-CN"/>
              </w:rPr>
              <w:t>3、</w:t>
            </w:r>
            <w:r>
              <w:rPr>
                <w:rFonts w:hint="eastAsia" w:ascii="宋体" w:hAnsi="宋体" w:eastAsia="宋体" w:cs="宋体"/>
                <w:b/>
                <w:bCs/>
                <w:spacing w:val="-2"/>
                <w:sz w:val="21"/>
                <w:szCs w:val="21"/>
              </w:rPr>
              <w:t>投标文件中需同时提供中标通知书，业绩合同以及验收报告等。如上述材料不能体现合同签订时间、项目内容</w:t>
            </w:r>
            <w:r>
              <w:rPr>
                <w:rFonts w:hint="eastAsia" w:ascii="宋体" w:hAnsi="宋体" w:eastAsia="宋体" w:cs="宋体"/>
                <w:b/>
                <w:bCs/>
                <w:spacing w:val="-2"/>
                <w:sz w:val="21"/>
                <w:szCs w:val="21"/>
                <w:lang w:eastAsia="zh-CN"/>
              </w:rPr>
              <w:t>、</w:t>
            </w:r>
            <w:r>
              <w:rPr>
                <w:rFonts w:hint="eastAsia" w:ascii="宋体" w:hAnsi="宋体" w:eastAsia="宋体" w:cs="宋体"/>
                <w:b/>
                <w:bCs/>
                <w:spacing w:val="-2"/>
                <w:sz w:val="21"/>
                <w:szCs w:val="21"/>
                <w:lang w:val="en-US" w:eastAsia="zh-CN"/>
              </w:rPr>
              <w:t>项目经理姓名</w:t>
            </w:r>
            <w:r>
              <w:rPr>
                <w:rFonts w:hint="eastAsia" w:ascii="宋体" w:hAnsi="宋体" w:eastAsia="宋体" w:cs="宋体"/>
                <w:b/>
                <w:bCs/>
                <w:spacing w:val="-2"/>
                <w:sz w:val="21"/>
                <w:szCs w:val="21"/>
              </w:rPr>
              <w:t>等评审因素的，须另附业主单位出具的证明材料，否则业绩无效。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777" w:type="dxa"/>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2.2.2（3）</w:t>
            </w:r>
          </w:p>
        </w:tc>
        <w:tc>
          <w:tcPr>
            <w:tcW w:w="972" w:type="dxa"/>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报价文件评分标准</w:t>
            </w:r>
          </w:p>
        </w:tc>
        <w:tc>
          <w:tcPr>
            <w:tcW w:w="1276" w:type="dxa"/>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投标报价</w:t>
            </w:r>
          </w:p>
        </w:tc>
        <w:tc>
          <w:tcPr>
            <w:tcW w:w="783" w:type="dxa"/>
            <w:noWrap w:val="0"/>
            <w:vAlign w:val="center"/>
          </w:tcPr>
          <w:p>
            <w:pPr>
              <w:spacing w:line="360" w:lineRule="auto"/>
              <w:ind w:firstLine="210" w:firstLineChars="100"/>
              <w:jc w:val="left"/>
              <w:rPr>
                <w:rFonts w:hint="eastAsia" w:hAnsi="宋体" w:cs="宋体"/>
                <w:sz w:val="21"/>
                <w:szCs w:val="21"/>
                <w:highlight w:val="none"/>
              </w:rPr>
            </w:pPr>
            <w:r>
              <w:rPr>
                <w:rFonts w:hint="eastAsia" w:hAnsi="宋体" w:cs="宋体"/>
                <w:sz w:val="21"/>
                <w:szCs w:val="21"/>
                <w:highlight w:val="none"/>
                <w:lang w:val="en-US" w:eastAsia="zh-CN"/>
              </w:rPr>
              <w:t>4</w:t>
            </w:r>
            <w:r>
              <w:rPr>
                <w:rFonts w:hint="eastAsia" w:hAnsi="宋体" w:cs="宋体"/>
                <w:sz w:val="21"/>
                <w:szCs w:val="21"/>
                <w:highlight w:val="none"/>
              </w:rPr>
              <w:t>0分</w:t>
            </w:r>
          </w:p>
        </w:tc>
        <w:tc>
          <w:tcPr>
            <w:tcW w:w="4632" w:type="dxa"/>
            <w:noWrap w:val="0"/>
            <w:vAlign w:val="center"/>
          </w:tcPr>
          <w:p>
            <w:pPr>
              <w:spacing w:line="440" w:lineRule="exact"/>
              <w:rPr>
                <w:rFonts w:hAnsi="宋体"/>
                <w:kern w:val="2"/>
                <w:sz w:val="21"/>
                <w:szCs w:val="21"/>
                <w:highlight w:val="none"/>
              </w:rPr>
            </w:pPr>
            <w:r>
              <w:rPr>
                <w:rFonts w:hint="eastAsia" w:hAnsi="宋体"/>
                <w:kern w:val="2"/>
                <w:sz w:val="21"/>
                <w:szCs w:val="21"/>
                <w:highlight w:val="none"/>
              </w:rPr>
              <w:t>（1）确定评标价</w:t>
            </w:r>
            <w:r>
              <w:rPr>
                <w:rFonts w:hint="eastAsia" w:hAnsi="宋体"/>
                <w:kern w:val="2"/>
                <w:sz w:val="21"/>
                <w:szCs w:val="21"/>
                <w:highlight w:val="none"/>
              </w:rPr>
              <w:br w:type="textWrapping"/>
            </w:r>
            <w:r>
              <w:rPr>
                <w:rFonts w:hint="eastAsia" w:hAnsi="宋体"/>
                <w:kern w:val="2"/>
                <w:sz w:val="21"/>
                <w:szCs w:val="21"/>
                <w:highlight w:val="none"/>
              </w:rPr>
              <w:t>评标价=投标函文字报价；</w:t>
            </w:r>
            <w:r>
              <w:rPr>
                <w:rFonts w:hint="eastAsia" w:hAnsi="宋体"/>
                <w:kern w:val="2"/>
                <w:sz w:val="21"/>
                <w:szCs w:val="21"/>
                <w:highlight w:val="none"/>
              </w:rPr>
              <w:br w:type="textWrapping"/>
            </w:r>
            <w:r>
              <w:rPr>
                <w:rFonts w:hint="eastAsia" w:hAnsi="宋体"/>
                <w:kern w:val="2"/>
                <w:sz w:val="21"/>
                <w:szCs w:val="21"/>
                <w:highlight w:val="none"/>
              </w:rPr>
              <w:t xml:space="preserve"> （2）评标价平均值计算</w:t>
            </w:r>
          </w:p>
          <w:p>
            <w:pPr>
              <w:spacing w:line="440" w:lineRule="exact"/>
              <w:rPr>
                <w:rFonts w:hAnsi="宋体"/>
                <w:kern w:val="2"/>
                <w:sz w:val="21"/>
                <w:szCs w:val="21"/>
                <w:highlight w:val="none"/>
              </w:rPr>
            </w:pPr>
            <w:r>
              <w:rPr>
                <w:rFonts w:hint="eastAsia" w:hAnsi="宋体"/>
                <w:kern w:val="2"/>
                <w:sz w:val="21"/>
                <w:szCs w:val="21"/>
                <w:highlight w:val="none"/>
              </w:rPr>
              <w:t xml:space="preserve"> ①当通过报价文件初步评审的投标人数量≤5家时，取通过报价文件初步评审且商务及技术文件得分大于等于招标项目标段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p>
          <w:p>
            <w:pPr>
              <w:spacing w:line="440" w:lineRule="exact"/>
              <w:rPr>
                <w:rFonts w:hAnsi="宋体"/>
                <w:kern w:val="2"/>
                <w:sz w:val="21"/>
                <w:szCs w:val="21"/>
                <w:highlight w:val="none"/>
              </w:rPr>
            </w:pPr>
            <w:r>
              <w:rPr>
                <w:rFonts w:hint="eastAsia" w:hAnsi="宋体"/>
                <w:kern w:val="2"/>
                <w:sz w:val="21"/>
                <w:szCs w:val="21"/>
                <w:highlight w:val="none"/>
              </w:rPr>
              <w:t>注：如出现无法计算评标价平均值的情况，评标委员会将否决所有投标。</w:t>
            </w:r>
            <w:r>
              <w:rPr>
                <w:rFonts w:hint="eastAsia" w:hAnsi="宋体"/>
                <w:kern w:val="2"/>
                <w:sz w:val="21"/>
                <w:szCs w:val="21"/>
                <w:highlight w:val="none"/>
              </w:rPr>
              <w:br w:type="textWrapping"/>
            </w:r>
            <w:r>
              <w:rPr>
                <w:rFonts w:hint="eastAsia" w:hAnsi="宋体"/>
                <w:kern w:val="2"/>
                <w:sz w:val="21"/>
                <w:szCs w:val="21"/>
                <w:highlight w:val="none"/>
              </w:rPr>
              <w:t>②当通过报价文件初步评审的投标人数量＞5家时：</w:t>
            </w:r>
          </w:p>
          <w:p>
            <w:pPr>
              <w:spacing w:line="440" w:lineRule="exact"/>
              <w:rPr>
                <w:rFonts w:hAnsi="宋体"/>
                <w:kern w:val="2"/>
                <w:sz w:val="21"/>
                <w:szCs w:val="21"/>
                <w:highlight w:val="none"/>
              </w:rPr>
            </w:pPr>
            <w:r>
              <w:rPr>
                <w:rFonts w:hint="eastAsia" w:hAnsi="宋体"/>
                <w:kern w:val="2"/>
                <w:sz w:val="21"/>
                <w:szCs w:val="21"/>
                <w:highlight w:val="none"/>
              </w:rPr>
              <w:t>a.其中通过报价文件初步评审且商务及技术文件得分大于等于招标项目标段商务及技术文件总分*70%的投标人数量＞5家，取通过报价文件初步评审且商务及技术文件得分大于等于招标项目标段商务及技术文件总分*70%的投标人评标价进行算术平均得出评标价平均值。</w:t>
            </w:r>
          </w:p>
          <w:p>
            <w:pPr>
              <w:spacing w:line="440" w:lineRule="exact"/>
              <w:rPr>
                <w:rFonts w:hAnsi="宋体"/>
                <w:kern w:val="2"/>
                <w:sz w:val="21"/>
                <w:szCs w:val="21"/>
                <w:highlight w:val="none"/>
              </w:rPr>
            </w:pPr>
            <w:r>
              <w:rPr>
                <w:rFonts w:hint="eastAsia" w:hAnsi="宋体"/>
                <w:kern w:val="2"/>
                <w:sz w:val="21"/>
                <w:szCs w:val="21"/>
                <w:highlight w:val="none"/>
              </w:rPr>
              <w:t>b.其中通过报价文件初步评审且商务及技术文件得分大于等于招标项目标段商务及技术文件总分*70%的投标人数量≤5家时，取通过报价文件初步评审且商务及技术文件得分大于等于招标项目标段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r>
              <w:rPr>
                <w:rFonts w:hint="eastAsia" w:hAnsi="宋体"/>
                <w:kern w:val="2"/>
                <w:sz w:val="21"/>
                <w:szCs w:val="21"/>
                <w:highlight w:val="none"/>
              </w:rPr>
              <w:br w:type="textWrapping"/>
            </w:r>
            <w:r>
              <w:rPr>
                <w:rFonts w:hint="eastAsia" w:hAnsi="宋体"/>
                <w:kern w:val="2"/>
                <w:sz w:val="21"/>
                <w:szCs w:val="21"/>
                <w:highlight w:val="none"/>
              </w:rPr>
              <w:t>注：如出现无法计算评标价平均值的情况，评标委员会将否决所有投标。</w:t>
            </w:r>
          </w:p>
          <w:p>
            <w:pPr>
              <w:spacing w:line="440" w:lineRule="exact"/>
              <w:rPr>
                <w:rFonts w:hAnsi="宋体"/>
                <w:kern w:val="2"/>
                <w:sz w:val="21"/>
                <w:szCs w:val="21"/>
                <w:highlight w:val="none"/>
              </w:rPr>
            </w:pPr>
            <w:r>
              <w:rPr>
                <w:rFonts w:hint="eastAsia" w:hAnsi="宋体"/>
                <w:kern w:val="2"/>
                <w:sz w:val="21"/>
                <w:szCs w:val="21"/>
                <w:highlight w:val="none"/>
              </w:rPr>
              <w:t>3）确定评标基准价</w:t>
            </w:r>
          </w:p>
          <w:p>
            <w:pPr>
              <w:spacing w:line="440" w:lineRule="exact"/>
              <w:rPr>
                <w:rFonts w:hAnsi="宋体"/>
                <w:kern w:val="2"/>
                <w:sz w:val="21"/>
                <w:szCs w:val="21"/>
                <w:highlight w:val="none"/>
              </w:rPr>
            </w:pPr>
            <w:r>
              <w:rPr>
                <w:rFonts w:hint="eastAsia" w:hAnsi="宋体"/>
                <w:kern w:val="2"/>
                <w:sz w:val="21"/>
                <w:szCs w:val="21"/>
                <w:highlight w:val="none"/>
              </w:rPr>
              <w:t>评标基准价=评标价平均值*C值</w:t>
            </w:r>
          </w:p>
          <w:p>
            <w:pPr>
              <w:spacing w:line="440" w:lineRule="exact"/>
              <w:rPr>
                <w:rFonts w:hAnsi="宋体"/>
                <w:kern w:val="2"/>
                <w:sz w:val="21"/>
                <w:szCs w:val="21"/>
                <w:highlight w:val="none"/>
              </w:rPr>
            </w:pPr>
            <w:r>
              <w:rPr>
                <w:rFonts w:hint="eastAsia" w:hAnsi="宋体"/>
                <w:kern w:val="2"/>
                <w:sz w:val="21"/>
                <w:szCs w:val="21"/>
                <w:highlight w:val="none"/>
              </w:rPr>
              <w:t>C值确定如下：</w:t>
            </w:r>
          </w:p>
          <w:p>
            <w:pPr>
              <w:spacing w:line="440" w:lineRule="exact"/>
              <w:rPr>
                <w:rFonts w:hAnsi="宋体"/>
                <w:kern w:val="2"/>
                <w:sz w:val="21"/>
                <w:szCs w:val="21"/>
                <w:highlight w:val="none"/>
              </w:rPr>
            </w:pPr>
            <w:r>
              <w:rPr>
                <w:rFonts w:hint="eastAsia" w:hAnsi="宋体"/>
                <w:kern w:val="2"/>
                <w:sz w:val="21"/>
                <w:szCs w:val="21"/>
                <w:highlight w:val="none"/>
              </w:rPr>
              <w:t>将在投标截止时间后系统成功接收投标文件的投标人总数（无论是否成功解密）除以5，根据余数对应取C值，见下表（多标段按各自标段在投标截止时间后系统成功接收投标文件的投标人总数（无论是否成功解密）计算选取）</w:t>
            </w:r>
          </w:p>
          <w:tbl>
            <w:tblPr>
              <w:tblStyle w:val="53"/>
              <w:tblW w:w="48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9"/>
              <w:gridCol w:w="2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2093" w:type="pct"/>
                  <w:tcBorders>
                    <w:top w:val="single" w:color="000000" w:sz="4" w:space="0"/>
                    <w:left w:val="single" w:color="000000" w:sz="4" w:space="0"/>
                    <w:bottom w:val="single" w:color="000000" w:sz="4" w:space="0"/>
                    <w:right w:val="single" w:color="000000" w:sz="4" w:space="0"/>
                    <w:tl2br w:val="single" w:color="auto" w:sz="4" w:space="0"/>
                  </w:tcBorders>
                  <w:noWrap w:val="0"/>
                  <w:vAlign w:val="center"/>
                </w:tcPr>
                <w:p>
                  <w:pPr>
                    <w:spacing w:line="440" w:lineRule="exact"/>
                    <w:ind w:firstLine="1155" w:firstLineChars="550"/>
                    <w:rPr>
                      <w:rFonts w:hAnsi="宋体"/>
                      <w:kern w:val="2"/>
                      <w:sz w:val="21"/>
                      <w:szCs w:val="21"/>
                      <w:highlight w:val="none"/>
                    </w:rPr>
                  </w:pPr>
                  <w:r>
                    <w:rPr>
                      <w:rFonts w:hint="eastAsia" w:hAnsi="宋体"/>
                      <w:kern w:val="2"/>
                      <w:sz w:val="21"/>
                      <w:szCs w:val="21"/>
                      <w:highlight w:val="none"/>
                    </w:rPr>
                    <w:t>对应的C值</w:t>
                  </w:r>
                </w:p>
                <w:p>
                  <w:pPr>
                    <w:spacing w:line="440" w:lineRule="exact"/>
                    <w:rPr>
                      <w:rFonts w:hAnsi="宋体"/>
                      <w:kern w:val="2"/>
                      <w:sz w:val="21"/>
                      <w:szCs w:val="21"/>
                      <w:highlight w:val="none"/>
                    </w:rPr>
                  </w:pPr>
                  <w:r>
                    <w:rPr>
                      <w:rFonts w:hint="eastAsia" w:hAnsi="宋体"/>
                      <w:kern w:val="2"/>
                      <w:sz w:val="21"/>
                      <w:szCs w:val="21"/>
                      <w:highlight w:val="none"/>
                    </w:rPr>
                    <w:t>余数</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C值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1</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2</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3</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4</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0.99</w:t>
                  </w:r>
                </w:p>
              </w:tc>
            </w:tr>
          </w:tbl>
          <w:p>
            <w:pPr>
              <w:spacing w:line="440" w:lineRule="exact"/>
              <w:rPr>
                <w:rFonts w:hAnsi="宋体"/>
                <w:kern w:val="2"/>
                <w:sz w:val="21"/>
                <w:szCs w:val="21"/>
                <w:highlight w:val="none"/>
              </w:rPr>
            </w:pPr>
            <w:r>
              <w:rPr>
                <w:rFonts w:hint="eastAsia" w:hAnsi="宋体"/>
                <w:kern w:val="2"/>
                <w:sz w:val="21"/>
                <w:szCs w:val="21"/>
                <w:highlight w:val="none"/>
              </w:rPr>
              <w:t>在评标过程中，评标委员会应对评标基准价进行复核，存在计算错误的应予以修正并在评标报告中作出说明。除此之外，评标基准价在整个评标期间保持不变，不随任何因素发生变化。</w:t>
            </w:r>
          </w:p>
          <w:p>
            <w:pPr>
              <w:spacing w:line="440" w:lineRule="exact"/>
              <w:rPr>
                <w:rFonts w:hAnsi="宋体"/>
                <w:kern w:val="2"/>
                <w:sz w:val="21"/>
                <w:szCs w:val="21"/>
                <w:highlight w:val="none"/>
              </w:rPr>
            </w:pPr>
            <w:r>
              <w:rPr>
                <w:rFonts w:hint="eastAsia" w:hAnsi="宋体"/>
                <w:kern w:val="2"/>
                <w:sz w:val="21"/>
                <w:szCs w:val="21"/>
                <w:highlight w:val="none"/>
              </w:rPr>
              <w:t>（4）评标价的偏差率计算</w:t>
            </w:r>
          </w:p>
          <w:p>
            <w:pPr>
              <w:spacing w:line="440" w:lineRule="exact"/>
              <w:rPr>
                <w:rFonts w:hAnsi="宋体"/>
                <w:kern w:val="2"/>
                <w:sz w:val="21"/>
                <w:szCs w:val="21"/>
                <w:highlight w:val="none"/>
              </w:rPr>
            </w:pPr>
            <w:r>
              <w:rPr>
                <w:rFonts w:hint="eastAsia" w:hAnsi="宋体"/>
                <w:kern w:val="2"/>
                <w:sz w:val="21"/>
                <w:szCs w:val="21"/>
                <w:highlight w:val="none"/>
              </w:rPr>
              <w:t>偏差率=100%×（投标人评标价-评标基准价）/评标基准价</w:t>
            </w:r>
          </w:p>
          <w:p>
            <w:pPr>
              <w:spacing w:line="440" w:lineRule="exact"/>
              <w:rPr>
                <w:rFonts w:hAnsi="宋体"/>
                <w:kern w:val="2"/>
                <w:sz w:val="21"/>
                <w:szCs w:val="21"/>
                <w:highlight w:val="none"/>
              </w:rPr>
            </w:pPr>
            <w:r>
              <w:rPr>
                <w:rFonts w:hint="eastAsia" w:hAnsi="宋体"/>
                <w:kern w:val="2"/>
                <w:sz w:val="21"/>
                <w:szCs w:val="21"/>
                <w:highlight w:val="none"/>
              </w:rPr>
              <w:t>偏差率保留两位小数（小数点后第三位“四舍五入”），即为*.**%。</w:t>
            </w:r>
          </w:p>
          <w:p>
            <w:pPr>
              <w:spacing w:line="440" w:lineRule="exact"/>
              <w:rPr>
                <w:rFonts w:hAnsi="宋体"/>
                <w:kern w:val="2"/>
                <w:sz w:val="21"/>
                <w:szCs w:val="21"/>
                <w:highlight w:val="none"/>
              </w:rPr>
            </w:pPr>
            <w:r>
              <w:rPr>
                <w:rFonts w:hint="eastAsia" w:hAnsi="宋体"/>
                <w:kern w:val="2"/>
                <w:sz w:val="21"/>
                <w:szCs w:val="21"/>
                <w:highlight w:val="none"/>
              </w:rPr>
              <w:t>（5）评标价得分计算</w:t>
            </w:r>
          </w:p>
          <w:p>
            <w:pPr>
              <w:spacing w:line="440" w:lineRule="exact"/>
              <w:rPr>
                <w:rFonts w:hAnsi="宋体"/>
                <w:kern w:val="2"/>
                <w:sz w:val="21"/>
                <w:szCs w:val="21"/>
                <w:highlight w:val="none"/>
              </w:rPr>
            </w:pPr>
            <w:r>
              <w:rPr>
                <w:rFonts w:hint="eastAsia" w:hAnsi="宋体"/>
                <w:kern w:val="2"/>
                <w:sz w:val="21"/>
                <w:szCs w:val="21"/>
                <w:highlight w:val="none"/>
              </w:rPr>
              <w:t>①当投标人评标价＞评标基准价，评标价得分=F-偏差率*100*E1</w:t>
            </w:r>
          </w:p>
          <w:p>
            <w:pPr>
              <w:spacing w:line="440" w:lineRule="exact"/>
              <w:rPr>
                <w:rFonts w:hAnsi="宋体"/>
                <w:kern w:val="2"/>
                <w:sz w:val="21"/>
                <w:szCs w:val="21"/>
                <w:highlight w:val="none"/>
              </w:rPr>
            </w:pPr>
            <w:r>
              <w:rPr>
                <w:rFonts w:hint="eastAsia" w:hAnsi="宋体"/>
                <w:kern w:val="2"/>
                <w:sz w:val="21"/>
                <w:szCs w:val="21"/>
                <w:highlight w:val="none"/>
              </w:rPr>
              <w:t>②当投标人评标价≤评标基准价，评标价得分=F+偏差率*100*E2</w:t>
            </w:r>
          </w:p>
          <w:p>
            <w:pPr>
              <w:spacing w:line="440" w:lineRule="exact"/>
              <w:rPr>
                <w:rFonts w:hAnsi="宋体"/>
                <w:kern w:val="2"/>
                <w:sz w:val="21"/>
                <w:szCs w:val="21"/>
                <w:highlight w:val="none"/>
              </w:rPr>
            </w:pPr>
            <w:r>
              <w:rPr>
                <w:rFonts w:hint="eastAsia" w:hAnsi="宋体"/>
                <w:kern w:val="2"/>
                <w:sz w:val="21"/>
                <w:szCs w:val="21"/>
                <w:highlight w:val="none"/>
              </w:rPr>
              <w:t>其中:F=</w:t>
            </w:r>
            <w:r>
              <w:rPr>
                <w:rFonts w:hint="eastAsia" w:hAnsi="宋体"/>
                <w:kern w:val="2"/>
                <w:sz w:val="21"/>
                <w:szCs w:val="21"/>
                <w:highlight w:val="none"/>
                <w:lang w:val="en-US" w:eastAsia="zh-CN"/>
              </w:rPr>
              <w:t>4</w:t>
            </w:r>
            <w:r>
              <w:rPr>
                <w:rFonts w:hint="eastAsia" w:hAnsi="宋体"/>
                <w:kern w:val="2"/>
                <w:sz w:val="21"/>
                <w:szCs w:val="21"/>
                <w:highlight w:val="none"/>
              </w:rPr>
              <w:t>0，E1=0.5，E2=0.3。</w:t>
            </w:r>
          </w:p>
          <w:p>
            <w:pPr>
              <w:widowControl/>
              <w:spacing w:line="360" w:lineRule="auto"/>
              <w:jc w:val="left"/>
              <w:rPr>
                <w:rFonts w:hint="eastAsia" w:hAnsi="宋体" w:cs="宋体"/>
                <w:spacing w:val="-2"/>
                <w:sz w:val="21"/>
                <w:szCs w:val="21"/>
                <w:highlight w:val="none"/>
              </w:rPr>
            </w:pPr>
            <w:r>
              <w:rPr>
                <w:rFonts w:hint="eastAsia" w:hAnsi="宋体"/>
                <w:kern w:val="2"/>
                <w:sz w:val="21"/>
                <w:szCs w:val="21"/>
                <w:highlight w:val="none"/>
              </w:rPr>
              <w:t>当评标价得分为负时，均按0分计算。评标价得分保留小数点后两位，小数点后三位“四舍五入”。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40" w:type="dxa"/>
            <w:gridSpan w:val="5"/>
            <w:noWrap w:val="0"/>
            <w:vAlign w:val="center"/>
          </w:tcPr>
          <w:p>
            <w:pPr>
              <w:widowControl/>
              <w:snapToGrid w:val="0"/>
              <w:spacing w:line="360" w:lineRule="auto"/>
              <w:jc w:val="left"/>
              <w:rPr>
                <w:rFonts w:hint="eastAsia" w:hAnsi="宋体" w:cs="宋体"/>
                <w:b/>
                <w:highlight w:val="none"/>
              </w:rPr>
            </w:pPr>
            <w:r>
              <w:rPr>
                <w:rFonts w:hint="eastAsia" w:hAnsi="宋体" w:cs="宋体"/>
                <w:b/>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40" w:type="dxa"/>
            <w:gridSpan w:val="5"/>
            <w:noWrap w:val="0"/>
            <w:vAlign w:val="center"/>
          </w:tcPr>
          <w:p>
            <w:pPr>
              <w:pStyle w:val="2"/>
              <w:keepNext w:val="0"/>
              <w:keepLines w:val="0"/>
              <w:spacing w:line="240" w:lineRule="auto"/>
              <w:rPr>
                <w:rFonts w:hint="eastAsia" w:ascii="宋体" w:hAnsi="宋体" w:eastAsia="宋体" w:cs="宋体"/>
                <w:b/>
                <w:snapToGrid w:val="0"/>
                <w:kern w:val="0"/>
                <w:szCs w:val="20"/>
                <w:highlight w:val="none"/>
                <w:lang w:val="en-US" w:eastAsia="zh-CN"/>
              </w:rPr>
            </w:pPr>
            <w:r>
              <w:rPr>
                <w:rFonts w:hint="eastAsia" w:ascii="宋体" w:hAnsi="宋体" w:eastAsia="宋体" w:cs="宋体"/>
                <w:b/>
                <w:snapToGrid w:val="0"/>
                <w:kern w:val="0"/>
                <w:szCs w:val="20"/>
                <w:highlight w:val="none"/>
                <w:lang w:val="en-US" w:eastAsia="zh-CN"/>
              </w:rPr>
              <w:t>/</w:t>
            </w:r>
          </w:p>
        </w:tc>
      </w:tr>
    </w:tbl>
    <w:p>
      <w:pPr>
        <w:spacing w:line="360" w:lineRule="auto"/>
        <w:jc w:val="center"/>
        <w:outlineLvl w:val="0"/>
        <w:rPr>
          <w:rFonts w:hAnsi="宋体" w:cs="宋体"/>
          <w:highlight w:val="none"/>
        </w:rPr>
      </w:pPr>
      <w:r>
        <w:rPr>
          <w:rFonts w:hint="eastAsia" w:ascii="Times New Roman" w:eastAsia="黑体"/>
          <w:sz w:val="32"/>
          <w:szCs w:val="32"/>
          <w:highlight w:val="none"/>
        </w:rPr>
        <w:br w:type="page"/>
      </w:r>
      <w:bookmarkStart w:id="480" w:name="_Toc30389"/>
      <w:bookmarkStart w:id="481" w:name="_Toc32641"/>
      <w:bookmarkStart w:id="482" w:name="_Toc140069422"/>
      <w:bookmarkStart w:id="483" w:name="_Toc14816"/>
      <w:r>
        <w:rPr>
          <w:rFonts w:hint="eastAsia" w:ascii="黑体" w:hAnsi="黑体" w:eastAsia="黑体" w:cs="黑体"/>
          <w:highlight w:val="none"/>
        </w:rPr>
        <w:t>附件1：技术文件详细评审得分计算规则</w:t>
      </w:r>
      <w:bookmarkEnd w:id="480"/>
      <w:bookmarkEnd w:id="481"/>
      <w:bookmarkEnd w:id="482"/>
      <w:bookmarkEnd w:id="483"/>
    </w:p>
    <w:p>
      <w:pPr>
        <w:spacing w:line="360" w:lineRule="auto"/>
        <w:ind w:firstLine="480" w:firstLineChars="200"/>
        <w:rPr>
          <w:rFonts w:hAnsi="宋体" w:cs="宋体"/>
          <w:bCs/>
          <w:highlight w:val="none"/>
        </w:rPr>
      </w:pPr>
      <w:r>
        <w:rPr>
          <w:rFonts w:hint="eastAsia" w:hAnsi="宋体" w:cs="宋体"/>
          <w:bCs/>
          <w:highlight w:val="none"/>
        </w:rPr>
        <w:t>针对评标办法正文“3.2商务及技术文件详细评审”中“技术文件详细评审得分计算”规则，</w:t>
      </w:r>
      <w:r>
        <w:rPr>
          <w:rFonts w:hint="eastAsia" w:ascii="Times New Roman"/>
          <w:bCs/>
          <w:szCs w:val="24"/>
          <w:highlight w:val="none"/>
        </w:rPr>
        <w:t>具体如下，计算保留小数点后两位，小数点后第三位“四舍五入”：</w:t>
      </w:r>
    </w:p>
    <w:p>
      <w:pPr>
        <w:spacing w:line="360" w:lineRule="auto"/>
        <w:ind w:firstLine="480" w:firstLineChars="200"/>
        <w:rPr>
          <w:rFonts w:ascii="Times New Roman"/>
          <w:szCs w:val="24"/>
          <w:highlight w:val="none"/>
        </w:rPr>
      </w:pPr>
      <w:r>
        <w:rPr>
          <w:rFonts w:hint="eastAsia" w:ascii="Times New Roman"/>
          <w:szCs w:val="24"/>
          <w:highlight w:val="none"/>
        </w:rPr>
        <w:t>技术文件详细评审得分计算如下：</w:t>
      </w:r>
    </w:p>
    <w:p>
      <w:pPr>
        <w:spacing w:line="360" w:lineRule="auto"/>
        <w:ind w:firstLine="480" w:firstLineChars="200"/>
        <w:rPr>
          <w:rFonts w:ascii="Times New Roman"/>
          <w:szCs w:val="24"/>
          <w:highlight w:val="none"/>
        </w:rPr>
      </w:pPr>
      <w:r>
        <w:rPr>
          <w:rFonts w:hint="eastAsia" w:ascii="Times New Roman"/>
          <w:szCs w:val="24"/>
          <w:highlight w:val="none"/>
        </w:rPr>
        <w:t>①首先，根据评委技术文件详细评审打分汇总（以下简称“技术打分”），计算偏差率</w:t>
      </w:r>
    </w:p>
    <w:p>
      <w:pPr>
        <w:spacing w:line="360" w:lineRule="auto"/>
        <w:ind w:firstLine="480" w:firstLineChars="200"/>
        <w:rPr>
          <w:rFonts w:ascii="Times New Roman"/>
          <w:szCs w:val="24"/>
          <w:highlight w:val="none"/>
        </w:rPr>
      </w:pPr>
      <w:r>
        <w:rPr>
          <w:rFonts w:hint="eastAsia" w:ascii="Times New Roman"/>
          <w:szCs w:val="24"/>
          <w:highlight w:val="none"/>
        </w:rPr>
        <w:t>根据评委对其评审的各投标人的技术打分进行排序，计算该评委最高与次高技术打分的纵向偏差率（该评委最高与次高技术打分的差值占该评委最高技术打分的百分比）；</w:t>
      </w:r>
    </w:p>
    <w:p>
      <w:pPr>
        <w:spacing w:line="360" w:lineRule="auto"/>
        <w:ind w:firstLine="480" w:firstLineChars="200"/>
        <w:rPr>
          <w:rFonts w:ascii="Times New Roman"/>
          <w:szCs w:val="24"/>
          <w:highlight w:val="none"/>
        </w:rPr>
      </w:pPr>
      <w:r>
        <w:rPr>
          <w:rFonts w:hint="eastAsia" w:ascii="Times New Roman"/>
          <w:szCs w:val="24"/>
          <w:highlight w:val="none"/>
        </w:rPr>
        <w:t>针对上述评委确定的最高技术打分的投标人，计算该投标人最高技术打分与其他评委对该投标人平均技术打分（技术打分的算术平均值）的横向偏差率（该投标人最高技术打分与其他评委对该投标人平均技术打分的差值占其他评委对该投标人平均技术打分的百分比；出现同一评委不同投标人的最高技术打分相同时，分别计算确定）；</w:t>
      </w:r>
    </w:p>
    <w:p>
      <w:pPr>
        <w:spacing w:line="360" w:lineRule="auto"/>
        <w:ind w:firstLine="480" w:firstLineChars="200"/>
        <w:rPr>
          <w:rFonts w:ascii="Times New Roman"/>
          <w:szCs w:val="24"/>
          <w:highlight w:val="none"/>
        </w:rPr>
      </w:pPr>
      <w:r>
        <w:rPr>
          <w:rFonts w:hint="eastAsia" w:ascii="Times New Roman"/>
          <w:szCs w:val="24"/>
          <w:highlight w:val="none"/>
        </w:rPr>
        <w:t>当纵向偏差率达到或超过20%，同时横向偏差率达到或超过15%时，该评委的技术打分不纳入投标人得分计算。当出现2名或以上评委技术打分同时出现上述情况时，纵向偏差率最大的评委技术打分不纳入投标人得分计算；如纵向偏差率最大的相同时，以横向偏差率最大的评委技术打分不纳入投标人得分计算；如横向偏差率最大的也相同时，则计算该情形评委最高与次次高技术打分的偏差率，该偏差率最大的评委技术打分不纳入投标人得分计算；若最终仍然无法判断的，由评标委员会随机确定1位该情形评委技术打分不纳入投标人得分计算。</w:t>
      </w:r>
    </w:p>
    <w:p>
      <w:pPr>
        <w:spacing w:line="360" w:lineRule="auto"/>
        <w:ind w:firstLine="480" w:firstLineChars="200"/>
        <w:rPr>
          <w:rFonts w:ascii="Times New Roman"/>
          <w:szCs w:val="24"/>
          <w:highlight w:val="none"/>
        </w:rPr>
      </w:pPr>
      <w:r>
        <w:rPr>
          <w:rFonts w:hint="eastAsia" w:ascii="Times New Roman"/>
          <w:szCs w:val="24"/>
          <w:highlight w:val="none"/>
        </w:rPr>
        <w:t>注：技术打分相同的，一并纳入同情形偏差率计算（见示例标示）。上述差值按照绝对值计算；</w:t>
      </w:r>
    </w:p>
    <w:p>
      <w:pPr>
        <w:spacing w:line="360" w:lineRule="auto"/>
        <w:ind w:firstLine="480" w:firstLineChars="200"/>
        <w:rPr>
          <w:rFonts w:ascii="Times New Roman"/>
          <w:szCs w:val="24"/>
          <w:highlight w:val="none"/>
        </w:rPr>
      </w:pPr>
      <w:r>
        <w:rPr>
          <w:rFonts w:hint="eastAsia" w:ascii="Times New Roman"/>
          <w:szCs w:val="24"/>
          <w:highlight w:val="none"/>
        </w:rPr>
        <w:t>示例：如某项目的投标人共6家，共有5位评委参与评审，评委进行技术打分分值见下表，现列举其中1位评委相关计算，具体如下：</w:t>
      </w:r>
    </w:p>
    <w:tbl>
      <w:tblPr>
        <w:tblStyle w:val="53"/>
        <w:tblW w:w="8566" w:type="dxa"/>
        <w:tblInd w:w="118" w:type="dxa"/>
        <w:tblLayout w:type="fixed"/>
        <w:tblCellMar>
          <w:top w:w="0" w:type="dxa"/>
          <w:left w:w="108" w:type="dxa"/>
          <w:bottom w:w="0" w:type="dxa"/>
          <w:right w:w="108" w:type="dxa"/>
        </w:tblCellMar>
      </w:tblPr>
      <w:tblGrid>
        <w:gridCol w:w="1253"/>
        <w:gridCol w:w="129"/>
        <w:gridCol w:w="1358"/>
        <w:gridCol w:w="1550"/>
        <w:gridCol w:w="1475"/>
        <w:gridCol w:w="1450"/>
        <w:gridCol w:w="1351"/>
      </w:tblGrid>
      <w:tr>
        <w:tblPrEx>
          <w:tblCellMar>
            <w:top w:w="0" w:type="dxa"/>
            <w:left w:w="108" w:type="dxa"/>
            <w:bottom w:w="0" w:type="dxa"/>
            <w:right w:w="108" w:type="dxa"/>
          </w:tblCellMar>
        </w:tblPrEx>
        <w:trPr>
          <w:trHeight w:val="387" w:hRule="atLeast"/>
        </w:trPr>
        <w:tc>
          <w:tcPr>
            <w:tcW w:w="8566" w:type="dxa"/>
            <w:gridSpan w:val="7"/>
            <w:tcBorders>
              <w:top w:val="single" w:color="000000" w:sz="8" w:space="0"/>
              <w:left w:val="single" w:color="000000" w:sz="8" w:space="0"/>
              <w:bottom w:val="single" w:color="auto" w:sz="4" w:space="0"/>
              <w:right w:val="single" w:color="000000" w:sz="8" w:space="0"/>
            </w:tcBorders>
            <w:shd w:val="clear" w:color="auto" w:fill="BEBEBE"/>
            <w:noWrap/>
            <w:vAlign w:val="center"/>
          </w:tcPr>
          <w:p>
            <w:pPr>
              <w:widowControl/>
              <w:adjustRightInd w:val="0"/>
              <w:snapToGrid w:val="0"/>
              <w:jc w:val="center"/>
              <w:textAlignment w:val="center"/>
              <w:rPr>
                <w:rFonts w:ascii="Times New Roman" w:cs="宋体"/>
                <w:bCs/>
                <w:sz w:val="18"/>
                <w:szCs w:val="18"/>
                <w:highlight w:val="none"/>
              </w:rPr>
            </w:pPr>
            <w:r>
              <w:rPr>
                <w:rFonts w:hint="eastAsia" w:ascii="Times New Roman" w:cs="宋体"/>
                <w:bCs/>
                <w:sz w:val="20"/>
                <w:highlight w:val="none"/>
              </w:rPr>
              <w:t>技术打分分值</w:t>
            </w:r>
          </w:p>
        </w:tc>
      </w:tr>
      <w:tr>
        <w:tblPrEx>
          <w:tblCellMar>
            <w:top w:w="0" w:type="dxa"/>
            <w:left w:w="108" w:type="dxa"/>
            <w:bottom w:w="0" w:type="dxa"/>
            <w:right w:w="108" w:type="dxa"/>
          </w:tblCellMar>
        </w:tblPrEx>
        <w:trPr>
          <w:trHeight w:val="387" w:hRule="atLeast"/>
        </w:trPr>
        <w:tc>
          <w:tcPr>
            <w:tcW w:w="1253" w:type="dxa"/>
            <w:tcBorders>
              <w:top w:val="single" w:color="000000" w:sz="8" w:space="0"/>
              <w:left w:val="single" w:color="000000" w:sz="8" w:space="0"/>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评委名称</w:t>
            </w:r>
          </w:p>
        </w:tc>
        <w:tc>
          <w:tcPr>
            <w:tcW w:w="1487" w:type="dxa"/>
            <w:gridSpan w:val="2"/>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评委1</w:t>
            </w:r>
          </w:p>
        </w:tc>
        <w:tc>
          <w:tcPr>
            <w:tcW w:w="1550"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评委2</w:t>
            </w:r>
          </w:p>
        </w:tc>
        <w:tc>
          <w:tcPr>
            <w:tcW w:w="1475"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评委3</w:t>
            </w:r>
          </w:p>
        </w:tc>
        <w:tc>
          <w:tcPr>
            <w:tcW w:w="1450"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评委4</w:t>
            </w:r>
          </w:p>
        </w:tc>
        <w:tc>
          <w:tcPr>
            <w:tcW w:w="1351"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评委5</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投标人1</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30.0分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投标人2</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textAlignment w:val="center"/>
              <w:rPr>
                <w:rFonts w:ascii="Times New Roman" w:cs="宋体"/>
                <w:sz w:val="18"/>
                <w:szCs w:val="18"/>
                <w:highlight w:val="none"/>
              </w:rPr>
            </w:pPr>
            <w:r>
              <w:rPr>
                <w:rFonts w:hint="eastAsia" w:ascii="Times New Roman" w:cs="宋体"/>
                <w:sz w:val="18"/>
                <w:szCs w:val="18"/>
                <w:highlight w:val="none"/>
              </w:rPr>
              <w:t>（次次高分）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投标人3</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26.0分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23.0分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投标人4</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23.0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20.0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投标人5</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投标人6</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30.0分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r>
      <w:tr>
        <w:tblPrEx>
          <w:tblCellMar>
            <w:top w:w="0" w:type="dxa"/>
            <w:left w:w="108" w:type="dxa"/>
            <w:bottom w:w="0" w:type="dxa"/>
            <w:right w:w="108" w:type="dxa"/>
          </w:tblCellMar>
        </w:tblPrEx>
        <w:trPr>
          <w:trHeight w:val="415" w:hRule="atLeast"/>
        </w:trPr>
        <w:tc>
          <w:tcPr>
            <w:tcW w:w="8566" w:type="dxa"/>
            <w:gridSpan w:val="7"/>
            <w:tcBorders>
              <w:top w:val="single" w:color="auto" w:sz="4" w:space="0"/>
              <w:left w:val="single" w:color="000000" w:sz="4" w:space="0"/>
              <w:bottom w:val="single" w:color="auto" w:sz="4" w:space="0"/>
              <w:right w:val="single" w:color="000000" w:sz="4" w:space="0"/>
            </w:tcBorders>
            <w:shd w:val="clear" w:color="auto" w:fill="BEBEBE"/>
            <w:noWrap/>
            <w:vAlign w:val="center"/>
          </w:tcPr>
          <w:p>
            <w:pPr>
              <w:widowControl/>
              <w:adjustRightInd w:val="0"/>
              <w:snapToGrid w:val="0"/>
              <w:jc w:val="center"/>
              <w:textAlignment w:val="center"/>
              <w:rPr>
                <w:rFonts w:ascii="Times New Roman" w:cs="宋体"/>
                <w:bCs/>
                <w:sz w:val="20"/>
                <w:highlight w:val="none"/>
              </w:rPr>
            </w:pPr>
            <w:r>
              <w:rPr>
                <w:rFonts w:hint="eastAsia" w:ascii="Times New Roman" w:cs="宋体"/>
                <w:bCs/>
                <w:sz w:val="20"/>
                <w:highlight w:val="none"/>
              </w:rPr>
              <w:t>列举评委1纵向偏差率计算</w:t>
            </w:r>
          </w:p>
        </w:tc>
      </w:tr>
      <w:tr>
        <w:tblPrEx>
          <w:tblCellMar>
            <w:top w:w="0" w:type="dxa"/>
            <w:left w:w="108" w:type="dxa"/>
            <w:bottom w:w="0" w:type="dxa"/>
            <w:right w:w="108" w:type="dxa"/>
          </w:tblCellMar>
        </w:tblPrEx>
        <w:trPr>
          <w:trHeight w:val="472" w:hRule="atLeast"/>
        </w:trPr>
        <w:tc>
          <w:tcPr>
            <w:tcW w:w="27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20"/>
                <w:highlight w:val="none"/>
              </w:rPr>
              <w:t>评委1的纵向偏差率</w:t>
            </w:r>
          </w:p>
        </w:tc>
        <w:tc>
          <w:tcPr>
            <w:tcW w:w="5826"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textAlignment w:val="center"/>
              <w:rPr>
                <w:rFonts w:ascii="Times New Roman" w:cs="宋体"/>
                <w:sz w:val="18"/>
                <w:szCs w:val="18"/>
                <w:highlight w:val="none"/>
              </w:rPr>
            </w:pPr>
            <w:r>
              <w:rPr>
                <w:rFonts w:hint="eastAsia" w:ascii="Times New Roman" w:cs="宋体"/>
                <w:sz w:val="20"/>
                <w:highlight w:val="none"/>
              </w:rPr>
              <w:t>【（28.0-26.0）÷28.0】×100%=7.14%</w:t>
            </w:r>
          </w:p>
        </w:tc>
      </w:tr>
      <w:tr>
        <w:tblPrEx>
          <w:tblCellMar>
            <w:top w:w="0" w:type="dxa"/>
            <w:left w:w="108" w:type="dxa"/>
            <w:bottom w:w="0" w:type="dxa"/>
            <w:right w:w="108" w:type="dxa"/>
          </w:tblCellMar>
        </w:tblPrEx>
        <w:trPr>
          <w:trHeight w:val="412" w:hRule="atLeast"/>
        </w:trPr>
        <w:tc>
          <w:tcPr>
            <w:tcW w:w="8566" w:type="dxa"/>
            <w:gridSpan w:val="7"/>
            <w:tcBorders>
              <w:top w:val="single" w:color="auto" w:sz="4" w:space="0"/>
              <w:left w:val="single" w:color="auto" w:sz="4" w:space="0"/>
              <w:bottom w:val="single" w:color="auto" w:sz="4" w:space="0"/>
              <w:right w:val="single" w:color="auto" w:sz="4" w:space="0"/>
            </w:tcBorders>
            <w:shd w:val="clear" w:color="auto" w:fill="BEBEBE"/>
            <w:noWrap/>
            <w:vAlign w:val="center"/>
          </w:tcPr>
          <w:p>
            <w:pPr>
              <w:widowControl/>
              <w:adjustRightInd w:val="0"/>
              <w:snapToGrid w:val="0"/>
              <w:jc w:val="center"/>
              <w:textAlignment w:val="center"/>
              <w:rPr>
                <w:rFonts w:ascii="Times New Roman" w:cs="宋体"/>
                <w:bCs/>
                <w:sz w:val="20"/>
                <w:highlight w:val="none"/>
              </w:rPr>
            </w:pPr>
            <w:r>
              <w:rPr>
                <w:rFonts w:hint="eastAsia" w:ascii="Times New Roman" w:cs="宋体"/>
                <w:bCs/>
                <w:sz w:val="20"/>
                <w:highlight w:val="none"/>
              </w:rPr>
              <w:t>列举评委1横向偏差率计算</w:t>
            </w:r>
          </w:p>
        </w:tc>
      </w:tr>
      <w:tr>
        <w:tblPrEx>
          <w:tblCellMar>
            <w:top w:w="0" w:type="dxa"/>
            <w:left w:w="108" w:type="dxa"/>
            <w:bottom w:w="0" w:type="dxa"/>
            <w:right w:w="108" w:type="dxa"/>
          </w:tblCellMar>
        </w:tblPrEx>
        <w:trPr>
          <w:trHeight w:val="1017" w:hRule="atLeast"/>
        </w:trPr>
        <w:tc>
          <w:tcPr>
            <w:tcW w:w="1382" w:type="dxa"/>
            <w:gridSpan w:val="2"/>
            <w:vMerge w:val="restart"/>
            <w:tcBorders>
              <w:top w:val="single" w:color="auto" w:sz="4" w:space="0"/>
              <w:left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cs="宋体"/>
                <w:sz w:val="20"/>
                <w:highlight w:val="none"/>
              </w:rPr>
            </w:pPr>
            <w:r>
              <w:rPr>
                <w:rFonts w:hint="eastAsia" w:ascii="Times New Roman" w:cs="宋体"/>
                <w:sz w:val="20"/>
                <w:highlight w:val="none"/>
              </w:rPr>
              <w:t>评委1的</w:t>
            </w:r>
          </w:p>
          <w:p>
            <w:pPr>
              <w:widowControl/>
              <w:adjustRightInd w:val="0"/>
              <w:snapToGrid w:val="0"/>
              <w:spacing w:line="360" w:lineRule="auto"/>
              <w:jc w:val="center"/>
              <w:textAlignment w:val="center"/>
              <w:rPr>
                <w:rFonts w:ascii="Times New Roman" w:cs="宋体"/>
                <w:sz w:val="20"/>
                <w:highlight w:val="none"/>
              </w:rPr>
            </w:pPr>
            <w:r>
              <w:rPr>
                <w:rFonts w:hint="eastAsia" w:ascii="Times New Roman" w:cs="宋体"/>
                <w:sz w:val="20"/>
                <w:highlight w:val="none"/>
              </w:rPr>
              <w:t>横向偏差</w:t>
            </w:r>
          </w:p>
        </w:tc>
        <w:tc>
          <w:tcPr>
            <w:tcW w:w="718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left"/>
              <w:textAlignment w:val="center"/>
              <w:rPr>
                <w:rFonts w:ascii="Times New Roman" w:cs="宋体"/>
                <w:sz w:val="20"/>
                <w:highlight w:val="none"/>
              </w:rPr>
            </w:pPr>
            <w:r>
              <w:rPr>
                <w:rFonts w:hint="eastAsia" w:ascii="Times New Roman" w:cs="宋体"/>
                <w:sz w:val="20"/>
                <w:highlight w:val="none"/>
              </w:rPr>
              <w:t>对投标人1计算横向偏差={28.0-[（30.0+22.0+25.0+20.0）÷4]}÷[（30.0+22.0+25.0+20.0）÷4]×100%={28.0-24.25}÷[24.25]×100%=15.46%</w:t>
            </w:r>
          </w:p>
        </w:tc>
      </w:tr>
      <w:tr>
        <w:tblPrEx>
          <w:tblCellMar>
            <w:top w:w="0" w:type="dxa"/>
            <w:left w:w="108" w:type="dxa"/>
            <w:bottom w:w="0" w:type="dxa"/>
            <w:right w:w="108" w:type="dxa"/>
          </w:tblCellMar>
        </w:tblPrEx>
        <w:trPr>
          <w:trHeight w:val="905" w:hRule="atLeast"/>
        </w:trPr>
        <w:tc>
          <w:tcPr>
            <w:tcW w:w="1382" w:type="dxa"/>
            <w:gridSpan w:val="2"/>
            <w:vMerge w:val="continue"/>
            <w:tcBorders>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cs="宋体"/>
                <w:sz w:val="20"/>
                <w:highlight w:val="none"/>
              </w:rPr>
            </w:pPr>
          </w:p>
        </w:tc>
        <w:tc>
          <w:tcPr>
            <w:tcW w:w="718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left"/>
              <w:textAlignment w:val="center"/>
              <w:rPr>
                <w:rFonts w:ascii="Times New Roman" w:cs="宋体"/>
                <w:sz w:val="20"/>
                <w:highlight w:val="none"/>
              </w:rPr>
            </w:pPr>
            <w:r>
              <w:rPr>
                <w:rFonts w:hint="eastAsia" w:ascii="Times New Roman" w:cs="宋体"/>
                <w:sz w:val="20"/>
                <w:highlight w:val="none"/>
              </w:rPr>
              <w:t>对投标人2计算横向偏差={28.0-[（28.0+28.0+24.0+22.0）÷4]}÷[（28.0+28.0+24.0+22.0）÷4]×100%={28.0-25.50}÷[25.50]×100%=9.80%</w:t>
            </w:r>
          </w:p>
        </w:tc>
      </w:tr>
    </w:tbl>
    <w:p>
      <w:pPr>
        <w:spacing w:line="360" w:lineRule="auto"/>
        <w:ind w:firstLine="480" w:firstLineChars="200"/>
        <w:rPr>
          <w:rFonts w:ascii="Times New Roman"/>
          <w:szCs w:val="24"/>
          <w:highlight w:val="none"/>
        </w:rPr>
      </w:pPr>
      <w:r>
        <w:rPr>
          <w:rFonts w:hint="eastAsia" w:ascii="Times New Roman"/>
          <w:szCs w:val="24"/>
          <w:highlight w:val="none"/>
        </w:rPr>
        <w:t>②其次，根据评委技术文件详细评审打分汇总（以下简称“技术打分”），计算打分差值</w:t>
      </w:r>
    </w:p>
    <w:p>
      <w:pPr>
        <w:spacing w:line="360" w:lineRule="auto"/>
        <w:ind w:firstLine="480" w:firstLineChars="200"/>
        <w:rPr>
          <w:rFonts w:ascii="Times New Roman"/>
          <w:szCs w:val="24"/>
          <w:highlight w:val="none"/>
        </w:rPr>
      </w:pPr>
      <w:r>
        <w:rPr>
          <w:rFonts w:ascii="Times New Roman"/>
          <w:szCs w:val="24"/>
          <w:highlight w:val="none"/>
        </w:rPr>
        <w:t>a.</w:t>
      </w:r>
      <w:r>
        <w:rPr>
          <w:rFonts w:hint="eastAsia" w:ascii="Times New Roman"/>
          <w:szCs w:val="24"/>
          <w:highlight w:val="none"/>
        </w:rPr>
        <w:t>当未出现上述①中评委的技术打分不纳入投标人得分计算的情形时，根据评委对其评审的各投标人的技术打分进行排序，计算该评委最高与最低技术打分的差值；</w:t>
      </w:r>
    </w:p>
    <w:p>
      <w:pPr>
        <w:spacing w:line="360" w:lineRule="auto"/>
        <w:ind w:firstLine="480" w:firstLineChars="200"/>
        <w:rPr>
          <w:rFonts w:ascii="Times New Roman"/>
          <w:szCs w:val="24"/>
          <w:highlight w:val="none"/>
        </w:rPr>
      </w:pPr>
      <w:r>
        <w:rPr>
          <w:rFonts w:hint="eastAsia" w:ascii="Times New Roman"/>
          <w:szCs w:val="24"/>
          <w:highlight w:val="none"/>
        </w:rPr>
        <w:t>所有评委中技术打分差值最大的，其技术打分不纳入投标人得分计算。当出现技术打分差值最大的评委为2名或以上时，则计算该情形的评委次最高与最低技术打分的差值，次差值最大的评委的技术打分不纳入投标人得分计算；如次差值也相同时，则计算该情形的评委次次最高与最低技术打分的差值，次次差值最大的评委的技术打分不纳入投标人得分计算；以此类推。若最终仍然无法判断的，由评标委员会随机确定1位该情形评委的技术打分不纳入投标人得分计算。</w:t>
      </w:r>
    </w:p>
    <w:p>
      <w:pPr>
        <w:spacing w:line="360" w:lineRule="auto"/>
        <w:ind w:firstLine="480" w:firstLineChars="200"/>
        <w:rPr>
          <w:rFonts w:ascii="Times New Roman"/>
          <w:szCs w:val="24"/>
          <w:highlight w:val="none"/>
        </w:rPr>
      </w:pPr>
      <w:r>
        <w:rPr>
          <w:rFonts w:hint="eastAsia" w:ascii="Times New Roman"/>
          <w:szCs w:val="24"/>
          <w:highlight w:val="none"/>
        </w:rPr>
        <w:t>注：技术打分相同的，一并纳入同情形差值计算（见示例标示）。</w:t>
      </w:r>
    </w:p>
    <w:p>
      <w:pPr>
        <w:spacing w:line="360" w:lineRule="auto"/>
        <w:ind w:firstLine="480" w:firstLineChars="200"/>
        <w:rPr>
          <w:rFonts w:ascii="Times New Roman"/>
          <w:szCs w:val="24"/>
          <w:highlight w:val="none"/>
        </w:rPr>
      </w:pPr>
      <w:r>
        <w:rPr>
          <w:rFonts w:ascii="Times New Roman"/>
          <w:szCs w:val="24"/>
          <w:highlight w:val="none"/>
        </w:rPr>
        <w:t>b.</w:t>
      </w:r>
      <w:r>
        <w:rPr>
          <w:rFonts w:hint="eastAsia" w:ascii="Times New Roman"/>
          <w:szCs w:val="24"/>
          <w:highlight w:val="none"/>
        </w:rPr>
        <w:t>当出现上述①中评委的技术打分不纳入投标人得分计算的情形时，不再计算技术打分最大差值，直接进入下一步计算。</w:t>
      </w:r>
    </w:p>
    <w:p>
      <w:pPr>
        <w:spacing w:line="360" w:lineRule="auto"/>
        <w:ind w:firstLine="480" w:firstLineChars="200"/>
        <w:rPr>
          <w:rFonts w:ascii="Times New Roman"/>
          <w:szCs w:val="24"/>
          <w:highlight w:val="none"/>
        </w:rPr>
      </w:pPr>
      <w:r>
        <w:rPr>
          <w:rFonts w:hint="eastAsia" w:ascii="Times New Roman"/>
          <w:szCs w:val="24"/>
          <w:highlight w:val="none"/>
        </w:rPr>
        <w:t>③再次，计算技术文件详细评审得分</w:t>
      </w:r>
    </w:p>
    <w:p>
      <w:pPr>
        <w:spacing w:line="360" w:lineRule="auto"/>
        <w:ind w:firstLine="480" w:firstLineChars="200"/>
        <w:rPr>
          <w:rFonts w:ascii="Times New Roman"/>
          <w:szCs w:val="24"/>
          <w:highlight w:val="none"/>
        </w:rPr>
      </w:pPr>
      <w:r>
        <w:rPr>
          <w:rFonts w:hint="eastAsia" w:ascii="Times New Roman"/>
          <w:szCs w:val="24"/>
          <w:highlight w:val="none"/>
        </w:rPr>
        <w:t>依据上述①②的判断，按照剩余各评委的技术文件详细评审（本章第2.2.2（1）目）中对应的各评分（评审）因素的打分，去掉一个最高分和一个最低分后计算算术平均值，为该评分（评审）因素的得分；</w:t>
      </w:r>
    </w:p>
    <w:p>
      <w:pPr>
        <w:spacing w:line="360" w:lineRule="auto"/>
        <w:ind w:firstLine="480" w:firstLineChars="200"/>
        <w:rPr>
          <w:rFonts w:ascii="Times New Roman"/>
          <w:szCs w:val="24"/>
          <w:highlight w:val="none"/>
        </w:rPr>
      </w:pPr>
      <w:r>
        <w:rPr>
          <w:rFonts w:hint="eastAsia" w:ascii="Times New Roman"/>
          <w:szCs w:val="24"/>
          <w:highlight w:val="none"/>
        </w:rPr>
        <w:t>投标人第2.2.2（1）目得分A为该目中对应各评分（评审）因素得分的和；</w:t>
      </w:r>
    </w:p>
    <w:p>
      <w:pPr>
        <w:spacing w:line="360" w:lineRule="auto"/>
        <w:ind w:firstLine="480" w:firstLineChars="200"/>
        <w:rPr>
          <w:rFonts w:ascii="Times New Roman"/>
          <w:szCs w:val="24"/>
          <w:highlight w:val="none"/>
        </w:rPr>
      </w:pPr>
      <w:r>
        <w:rPr>
          <w:rFonts w:hint="eastAsia" w:ascii="Times New Roman"/>
          <w:szCs w:val="24"/>
          <w:highlight w:val="none"/>
        </w:rPr>
        <w:t>投标人技术文件详细评审得分=A。</w:t>
      </w:r>
    </w:p>
    <w:p>
      <w:pPr>
        <w:snapToGrid w:val="0"/>
        <w:spacing w:line="360" w:lineRule="auto"/>
        <w:ind w:firstLine="480" w:firstLineChars="200"/>
        <w:rPr>
          <w:rFonts w:hAnsi="宋体" w:cs="宋体"/>
          <w:highlight w:val="none"/>
        </w:rPr>
      </w:pPr>
    </w:p>
    <w:p>
      <w:pPr>
        <w:snapToGrid w:val="0"/>
        <w:spacing w:line="360" w:lineRule="auto"/>
        <w:ind w:firstLine="480" w:firstLineChars="200"/>
        <w:jc w:val="center"/>
        <w:outlineLvl w:val="0"/>
        <w:rPr>
          <w:rFonts w:hAnsi="宋体" w:cs="宋体"/>
          <w:highlight w:val="none"/>
        </w:rPr>
      </w:pPr>
      <w:r>
        <w:rPr>
          <w:rFonts w:hint="eastAsia" w:hAnsi="宋体" w:cs="宋体"/>
          <w:highlight w:val="none"/>
        </w:rPr>
        <w:br w:type="page"/>
      </w:r>
      <w:bookmarkStart w:id="484" w:name="_Toc4184"/>
      <w:bookmarkStart w:id="485" w:name="_Toc7868"/>
      <w:bookmarkStart w:id="486" w:name="_Toc140069423"/>
      <w:r>
        <w:rPr>
          <w:rFonts w:hint="eastAsia" w:ascii="黑体" w:hAnsi="黑体" w:eastAsia="黑体" w:cs="黑体"/>
          <w:highlight w:val="none"/>
        </w:rPr>
        <w:t>附件2：否决投标的其他情形</w:t>
      </w:r>
      <w:bookmarkEnd w:id="484"/>
      <w:bookmarkEnd w:id="485"/>
      <w:bookmarkEnd w:id="486"/>
    </w:p>
    <w:p>
      <w:pPr>
        <w:pStyle w:val="19"/>
        <w:spacing w:line="360" w:lineRule="auto"/>
        <w:ind w:firstLine="420" w:firstLineChars="200"/>
        <w:rPr>
          <w:rFonts w:hAnsi="宋体" w:cs="宋体"/>
          <w:highlight w:val="none"/>
        </w:rPr>
      </w:pPr>
      <w:r>
        <w:rPr>
          <w:rFonts w:hint="eastAsia" w:hAnsi="宋体" w:cs="宋体"/>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9"/>
        <w:spacing w:line="360" w:lineRule="auto"/>
        <w:ind w:firstLine="420" w:firstLineChars="200"/>
        <w:outlineLvl w:val="0"/>
        <w:rPr>
          <w:rFonts w:hAnsi="宋体" w:cs="宋体"/>
          <w:highlight w:val="none"/>
        </w:rPr>
      </w:pPr>
      <w:bookmarkStart w:id="487" w:name="_Toc21810"/>
      <w:bookmarkStart w:id="488" w:name="_Toc26069"/>
      <w:bookmarkStart w:id="489" w:name="_Toc26440"/>
      <w:bookmarkStart w:id="490" w:name="_Toc140069424"/>
      <w:r>
        <w:rPr>
          <w:rFonts w:hint="eastAsia" w:hAnsi="宋体" w:cs="宋体"/>
          <w:highlight w:val="none"/>
        </w:rPr>
        <w:t>（1）有下列情形之一的，属于投标人相互串通投标：</w:t>
      </w:r>
      <w:bookmarkEnd w:id="487"/>
      <w:bookmarkEnd w:id="488"/>
      <w:bookmarkEnd w:id="489"/>
      <w:bookmarkEnd w:id="490"/>
    </w:p>
    <w:p>
      <w:pPr>
        <w:pStyle w:val="19"/>
        <w:spacing w:line="360" w:lineRule="auto"/>
        <w:ind w:firstLine="420" w:firstLineChars="200"/>
        <w:rPr>
          <w:rFonts w:hAnsi="宋体" w:cs="宋体"/>
          <w:highlight w:val="none"/>
        </w:rPr>
      </w:pPr>
      <w:r>
        <w:rPr>
          <w:rFonts w:hint="eastAsia" w:hAnsi="宋体" w:cs="宋体"/>
          <w:highlight w:val="none"/>
        </w:rPr>
        <w:t>①投标人之间协商投标报价等投标文件的实质性内容；</w:t>
      </w:r>
    </w:p>
    <w:p>
      <w:pPr>
        <w:pStyle w:val="19"/>
        <w:spacing w:line="360" w:lineRule="auto"/>
        <w:ind w:firstLine="420" w:firstLineChars="200"/>
        <w:rPr>
          <w:rFonts w:hAnsi="宋体" w:cs="宋体"/>
          <w:highlight w:val="none"/>
        </w:rPr>
      </w:pPr>
      <w:r>
        <w:rPr>
          <w:rFonts w:hint="eastAsia" w:hAnsi="宋体" w:cs="宋体"/>
          <w:highlight w:val="none"/>
        </w:rPr>
        <w:t>②投标人之间约定中标人；</w:t>
      </w:r>
    </w:p>
    <w:p>
      <w:pPr>
        <w:pStyle w:val="19"/>
        <w:spacing w:line="360" w:lineRule="auto"/>
        <w:ind w:firstLine="420" w:firstLineChars="200"/>
        <w:rPr>
          <w:rFonts w:hAnsi="宋体" w:cs="宋体"/>
          <w:highlight w:val="none"/>
        </w:rPr>
      </w:pPr>
      <w:r>
        <w:rPr>
          <w:rFonts w:hint="eastAsia" w:hAnsi="宋体" w:cs="宋体"/>
          <w:highlight w:val="none"/>
        </w:rPr>
        <w:t>③投标人之间约定部分投标人放弃投标或中标；</w:t>
      </w:r>
    </w:p>
    <w:p>
      <w:pPr>
        <w:pStyle w:val="19"/>
        <w:spacing w:line="360" w:lineRule="auto"/>
        <w:ind w:firstLine="420" w:firstLineChars="200"/>
        <w:rPr>
          <w:rFonts w:hAnsi="宋体" w:cs="宋体"/>
          <w:highlight w:val="none"/>
        </w:rPr>
      </w:pPr>
      <w:r>
        <w:rPr>
          <w:rFonts w:hint="eastAsia" w:hAnsi="宋体" w:cs="宋体"/>
          <w:highlight w:val="none"/>
        </w:rPr>
        <w:t>④属于同一集团、协会、商会等组织成员的投标人按照该组织要求协同投标；</w:t>
      </w:r>
    </w:p>
    <w:p>
      <w:pPr>
        <w:pStyle w:val="19"/>
        <w:spacing w:line="360" w:lineRule="auto"/>
        <w:ind w:firstLine="420" w:firstLineChars="200"/>
        <w:rPr>
          <w:rFonts w:hAnsi="宋体" w:cs="宋体"/>
          <w:highlight w:val="none"/>
        </w:rPr>
      </w:pPr>
      <w:r>
        <w:rPr>
          <w:rFonts w:hint="eastAsia" w:hAnsi="宋体" w:cs="宋体"/>
          <w:highlight w:val="none"/>
        </w:rPr>
        <w:t>⑤投标人之间为谋取中标或排斥特定投标人而采取的其他联合行动。</w:t>
      </w:r>
    </w:p>
    <w:p>
      <w:pPr>
        <w:pStyle w:val="19"/>
        <w:spacing w:line="360" w:lineRule="auto"/>
        <w:ind w:firstLine="420" w:firstLineChars="200"/>
        <w:outlineLvl w:val="0"/>
        <w:rPr>
          <w:rFonts w:hAnsi="宋体" w:cs="宋体"/>
          <w:highlight w:val="none"/>
        </w:rPr>
      </w:pPr>
      <w:bookmarkStart w:id="491" w:name="_Toc20207"/>
      <w:bookmarkStart w:id="492" w:name="_Toc1679"/>
      <w:bookmarkStart w:id="493" w:name="_Toc140069425"/>
      <w:bookmarkStart w:id="494" w:name="_Toc12510"/>
      <w:r>
        <w:rPr>
          <w:rFonts w:hint="eastAsia" w:hAnsi="宋体" w:cs="宋体"/>
          <w:highlight w:val="none"/>
        </w:rPr>
        <w:t>（2）有下列情形之一的，视为投标人相互串通投标：</w:t>
      </w:r>
      <w:bookmarkEnd w:id="491"/>
      <w:bookmarkEnd w:id="492"/>
      <w:bookmarkEnd w:id="493"/>
      <w:bookmarkEnd w:id="494"/>
    </w:p>
    <w:p>
      <w:pPr>
        <w:pStyle w:val="19"/>
        <w:spacing w:line="360" w:lineRule="auto"/>
        <w:ind w:firstLine="420" w:firstLineChars="200"/>
        <w:rPr>
          <w:rFonts w:hAnsi="宋体" w:cs="宋体"/>
          <w:highlight w:val="none"/>
        </w:rPr>
      </w:pPr>
      <w:r>
        <w:rPr>
          <w:rFonts w:hint="eastAsia" w:hAnsi="宋体" w:cs="宋体"/>
          <w:highlight w:val="none"/>
        </w:rPr>
        <w:t>①不同投标人的投标文件由同一单位或个人编制；</w:t>
      </w:r>
    </w:p>
    <w:p>
      <w:pPr>
        <w:pStyle w:val="19"/>
        <w:spacing w:line="360" w:lineRule="auto"/>
        <w:ind w:firstLine="420" w:firstLineChars="200"/>
        <w:rPr>
          <w:rFonts w:hAnsi="宋体" w:cs="宋体"/>
          <w:highlight w:val="none"/>
        </w:rPr>
      </w:pPr>
      <w:r>
        <w:rPr>
          <w:rFonts w:hint="eastAsia" w:hAnsi="宋体" w:cs="宋体"/>
          <w:highlight w:val="none"/>
        </w:rPr>
        <w:t>②不同投标人委托同一单位或个人办理投标事宜；</w:t>
      </w:r>
    </w:p>
    <w:p>
      <w:pPr>
        <w:pStyle w:val="19"/>
        <w:spacing w:line="360" w:lineRule="auto"/>
        <w:ind w:firstLine="420" w:firstLineChars="200"/>
        <w:rPr>
          <w:rFonts w:hAnsi="宋体" w:cs="宋体"/>
          <w:highlight w:val="none"/>
        </w:rPr>
      </w:pPr>
      <w:r>
        <w:rPr>
          <w:rFonts w:hint="eastAsia" w:hAnsi="宋体" w:cs="宋体"/>
          <w:highlight w:val="none"/>
        </w:rPr>
        <w:t>③不同投标人的投标文件载明的项目管理成员为同一人；</w:t>
      </w:r>
    </w:p>
    <w:p>
      <w:pPr>
        <w:pStyle w:val="19"/>
        <w:spacing w:line="360" w:lineRule="auto"/>
        <w:ind w:firstLine="420" w:firstLineChars="200"/>
        <w:rPr>
          <w:rFonts w:hAnsi="宋体" w:cs="宋体"/>
          <w:highlight w:val="none"/>
        </w:rPr>
      </w:pPr>
      <w:r>
        <w:rPr>
          <w:rFonts w:hint="eastAsia" w:hAnsi="宋体" w:cs="宋体"/>
          <w:highlight w:val="none"/>
        </w:rPr>
        <w:t>④不同投标人的投标文件异常一致或投标报价呈规律性差异；</w:t>
      </w:r>
    </w:p>
    <w:p>
      <w:pPr>
        <w:pStyle w:val="19"/>
        <w:spacing w:line="360" w:lineRule="auto"/>
        <w:ind w:firstLine="420" w:firstLineChars="200"/>
        <w:rPr>
          <w:rFonts w:hAnsi="宋体" w:cs="宋体"/>
          <w:highlight w:val="none"/>
        </w:rPr>
      </w:pPr>
      <w:r>
        <w:rPr>
          <w:rFonts w:hint="eastAsia" w:hAnsi="宋体" w:cs="宋体"/>
          <w:highlight w:val="none"/>
        </w:rPr>
        <w:t>⑤不同投标人的投标文件相互混装；</w:t>
      </w:r>
    </w:p>
    <w:p>
      <w:pPr>
        <w:pStyle w:val="19"/>
        <w:spacing w:line="360" w:lineRule="auto"/>
        <w:ind w:firstLine="420" w:firstLineChars="200"/>
        <w:rPr>
          <w:rFonts w:hAnsi="宋体" w:cs="宋体"/>
          <w:highlight w:val="none"/>
        </w:rPr>
      </w:pPr>
      <w:r>
        <w:rPr>
          <w:rFonts w:hint="eastAsia" w:hAnsi="宋体" w:cs="宋体"/>
          <w:highlight w:val="none"/>
        </w:rPr>
        <w:t>⑥不同投标人的投标保证金从同一单位或个人的账户转出。</w:t>
      </w:r>
    </w:p>
    <w:p>
      <w:pPr>
        <w:pStyle w:val="19"/>
        <w:spacing w:line="360" w:lineRule="auto"/>
        <w:ind w:firstLine="420" w:firstLineChars="200"/>
        <w:outlineLvl w:val="0"/>
        <w:rPr>
          <w:rFonts w:hAnsi="宋体" w:cs="宋体"/>
          <w:highlight w:val="none"/>
        </w:rPr>
      </w:pPr>
      <w:bookmarkStart w:id="495" w:name="_Toc176"/>
      <w:bookmarkStart w:id="496" w:name="_Toc9376"/>
      <w:bookmarkStart w:id="497" w:name="_Toc140069426"/>
      <w:bookmarkStart w:id="498" w:name="_Toc4250"/>
      <w:r>
        <w:rPr>
          <w:rFonts w:hint="eastAsia" w:hAnsi="宋体" w:cs="宋体"/>
          <w:highlight w:val="none"/>
        </w:rPr>
        <w:t>（3）有下列情形之一的，属于招标人与投标人串通投标：</w:t>
      </w:r>
      <w:bookmarkEnd w:id="495"/>
      <w:bookmarkEnd w:id="496"/>
      <w:bookmarkEnd w:id="497"/>
      <w:bookmarkEnd w:id="498"/>
    </w:p>
    <w:p>
      <w:pPr>
        <w:pStyle w:val="19"/>
        <w:spacing w:line="360" w:lineRule="auto"/>
        <w:ind w:firstLine="420" w:firstLineChars="200"/>
        <w:rPr>
          <w:rFonts w:hAnsi="宋体" w:cs="宋体"/>
          <w:highlight w:val="none"/>
        </w:rPr>
      </w:pPr>
      <w:r>
        <w:rPr>
          <w:rFonts w:hint="eastAsia" w:hAnsi="宋体" w:cs="宋体"/>
          <w:highlight w:val="none"/>
        </w:rPr>
        <w:t>①招标人在开标前开启投标文件并将有关信息泄露给其他投标人；</w:t>
      </w:r>
    </w:p>
    <w:p>
      <w:pPr>
        <w:pStyle w:val="19"/>
        <w:spacing w:line="360" w:lineRule="auto"/>
        <w:ind w:firstLine="420" w:firstLineChars="200"/>
        <w:rPr>
          <w:rFonts w:hAnsi="宋体" w:cs="宋体"/>
          <w:highlight w:val="none"/>
        </w:rPr>
      </w:pPr>
      <w:r>
        <w:rPr>
          <w:rFonts w:hint="eastAsia" w:hAnsi="宋体" w:cs="宋体"/>
          <w:highlight w:val="none"/>
        </w:rPr>
        <w:t>②招标人直接或间接向投标人泄露标底、评标委员会成员等信息；</w:t>
      </w:r>
    </w:p>
    <w:p>
      <w:pPr>
        <w:pStyle w:val="19"/>
        <w:spacing w:line="360" w:lineRule="auto"/>
        <w:ind w:firstLine="420" w:firstLineChars="200"/>
        <w:rPr>
          <w:rFonts w:hAnsi="宋体" w:cs="宋体"/>
          <w:highlight w:val="none"/>
        </w:rPr>
      </w:pPr>
      <w:r>
        <w:rPr>
          <w:rFonts w:hint="eastAsia" w:hAnsi="宋体" w:cs="宋体"/>
          <w:highlight w:val="none"/>
        </w:rPr>
        <w:t>③招标人明示或暗示投标人压低或抬高投标报价；</w:t>
      </w:r>
    </w:p>
    <w:p>
      <w:pPr>
        <w:pStyle w:val="19"/>
        <w:spacing w:line="360" w:lineRule="auto"/>
        <w:ind w:firstLine="420" w:firstLineChars="200"/>
        <w:rPr>
          <w:rFonts w:hAnsi="宋体" w:cs="宋体"/>
          <w:highlight w:val="none"/>
        </w:rPr>
      </w:pPr>
      <w:r>
        <w:rPr>
          <w:rFonts w:hint="eastAsia" w:hAnsi="宋体" w:cs="宋体"/>
          <w:highlight w:val="none"/>
        </w:rPr>
        <w:t>④招标人授意投标人撤换、修改投标文件；</w:t>
      </w:r>
    </w:p>
    <w:p>
      <w:pPr>
        <w:pStyle w:val="19"/>
        <w:spacing w:line="360" w:lineRule="auto"/>
        <w:ind w:firstLine="420" w:firstLineChars="200"/>
        <w:rPr>
          <w:rFonts w:hAnsi="宋体" w:cs="宋体"/>
          <w:highlight w:val="none"/>
        </w:rPr>
      </w:pPr>
      <w:r>
        <w:rPr>
          <w:rFonts w:hint="eastAsia" w:hAnsi="宋体" w:cs="宋体"/>
          <w:highlight w:val="none"/>
        </w:rPr>
        <w:t>⑤招标人明示或暗示投标人为特定投标人中标提供方便；</w:t>
      </w:r>
    </w:p>
    <w:p>
      <w:pPr>
        <w:pStyle w:val="19"/>
        <w:spacing w:line="360" w:lineRule="auto"/>
        <w:ind w:firstLine="420" w:firstLineChars="200"/>
        <w:rPr>
          <w:rFonts w:hAnsi="宋体" w:cs="宋体"/>
          <w:highlight w:val="none"/>
        </w:rPr>
      </w:pPr>
      <w:r>
        <w:rPr>
          <w:rFonts w:hint="eastAsia" w:hAnsi="宋体" w:cs="宋体"/>
          <w:highlight w:val="none"/>
        </w:rPr>
        <w:t>⑥招标人与投标人为谋求特定投标人中标而采取的其他串通行为。</w:t>
      </w:r>
    </w:p>
    <w:p>
      <w:pPr>
        <w:pStyle w:val="19"/>
        <w:spacing w:line="360" w:lineRule="auto"/>
        <w:ind w:firstLine="420" w:firstLineChars="200"/>
        <w:outlineLvl w:val="0"/>
        <w:rPr>
          <w:rFonts w:hAnsi="宋体" w:cs="宋体"/>
          <w:highlight w:val="none"/>
        </w:rPr>
      </w:pPr>
      <w:bookmarkStart w:id="499" w:name="_Toc19455"/>
      <w:bookmarkStart w:id="500" w:name="_Toc1244"/>
      <w:bookmarkStart w:id="501" w:name="_Toc13009"/>
      <w:bookmarkStart w:id="502" w:name="_Toc140069427"/>
      <w:r>
        <w:rPr>
          <w:rFonts w:hint="eastAsia" w:hAnsi="宋体" w:cs="宋体"/>
          <w:highlight w:val="none"/>
        </w:rPr>
        <w:t>（4）投标人有下列情形之一的，属于弄虚作假的行为：</w:t>
      </w:r>
      <w:bookmarkEnd w:id="499"/>
      <w:bookmarkEnd w:id="500"/>
      <w:bookmarkEnd w:id="501"/>
      <w:bookmarkEnd w:id="502"/>
    </w:p>
    <w:p>
      <w:pPr>
        <w:pStyle w:val="19"/>
        <w:spacing w:line="360" w:lineRule="auto"/>
        <w:ind w:firstLine="420" w:firstLineChars="200"/>
        <w:rPr>
          <w:rFonts w:hAnsi="宋体" w:cs="宋体"/>
          <w:highlight w:val="none"/>
        </w:rPr>
      </w:pPr>
      <w:r>
        <w:rPr>
          <w:rFonts w:hint="eastAsia" w:hAnsi="宋体" w:cs="宋体"/>
          <w:highlight w:val="none"/>
        </w:rPr>
        <w:t>①使用通过受让或租借等方式获取的资格、资质证书投标；</w:t>
      </w:r>
    </w:p>
    <w:p>
      <w:pPr>
        <w:pStyle w:val="19"/>
        <w:spacing w:line="360" w:lineRule="auto"/>
        <w:ind w:firstLine="420" w:firstLineChars="200"/>
        <w:rPr>
          <w:rFonts w:hAnsi="宋体" w:cs="宋体"/>
          <w:highlight w:val="none"/>
        </w:rPr>
      </w:pPr>
      <w:r>
        <w:rPr>
          <w:rFonts w:hint="eastAsia" w:hAnsi="宋体" w:cs="宋体"/>
          <w:highlight w:val="none"/>
        </w:rPr>
        <w:t>②使用伪造、变造的许可证件；</w:t>
      </w:r>
    </w:p>
    <w:p>
      <w:pPr>
        <w:pStyle w:val="19"/>
        <w:spacing w:line="360" w:lineRule="auto"/>
        <w:ind w:firstLine="420" w:firstLineChars="200"/>
        <w:rPr>
          <w:rFonts w:hAnsi="宋体" w:cs="宋体"/>
          <w:highlight w:val="none"/>
        </w:rPr>
      </w:pPr>
      <w:r>
        <w:rPr>
          <w:rFonts w:hint="eastAsia" w:hAnsi="宋体" w:cs="宋体"/>
          <w:highlight w:val="none"/>
        </w:rPr>
        <w:t>③提供虚假的财务状况或业绩；</w:t>
      </w:r>
    </w:p>
    <w:p>
      <w:pPr>
        <w:pStyle w:val="19"/>
        <w:spacing w:line="360" w:lineRule="auto"/>
        <w:ind w:firstLine="420" w:firstLineChars="200"/>
        <w:rPr>
          <w:rFonts w:hAnsi="宋体" w:cs="宋体"/>
          <w:highlight w:val="none"/>
        </w:rPr>
      </w:pPr>
      <w:r>
        <w:rPr>
          <w:rFonts w:hint="eastAsia" w:hAnsi="宋体" w:cs="宋体"/>
          <w:highlight w:val="none"/>
        </w:rPr>
        <w:t>④提供虚假的项目负责人或主要技术人员简历、劳动关系证明；</w:t>
      </w:r>
    </w:p>
    <w:p>
      <w:pPr>
        <w:pStyle w:val="19"/>
        <w:spacing w:line="360" w:lineRule="auto"/>
        <w:ind w:firstLine="420" w:firstLineChars="200"/>
        <w:rPr>
          <w:rFonts w:hAnsi="宋体" w:cs="宋体"/>
          <w:highlight w:val="none"/>
        </w:rPr>
      </w:pPr>
      <w:r>
        <w:rPr>
          <w:rFonts w:hint="eastAsia" w:hAnsi="宋体" w:cs="宋体"/>
          <w:highlight w:val="none"/>
        </w:rPr>
        <w:t>⑤提供虚假的信用状况；</w:t>
      </w:r>
    </w:p>
    <w:p>
      <w:pPr>
        <w:pStyle w:val="19"/>
        <w:spacing w:line="360" w:lineRule="auto"/>
        <w:ind w:firstLine="420" w:firstLineChars="200"/>
        <w:rPr>
          <w:rFonts w:hAnsi="宋体" w:cs="宋体"/>
          <w:highlight w:val="none"/>
        </w:rPr>
      </w:pPr>
      <w:r>
        <w:rPr>
          <w:rFonts w:hint="eastAsia" w:hAnsi="宋体" w:cs="宋体"/>
          <w:highlight w:val="none"/>
        </w:rPr>
        <w:t>⑥其他弄虚作假的行为。</w:t>
      </w:r>
    </w:p>
    <w:p>
      <w:pPr>
        <w:keepNext/>
        <w:keepLines/>
        <w:spacing w:line="360" w:lineRule="auto"/>
        <w:outlineLvl w:val="1"/>
        <w:rPr>
          <w:rFonts w:hAnsi="宋体" w:cs="宋体"/>
          <w:highlight w:val="none"/>
        </w:rPr>
      </w:pPr>
      <w:r>
        <w:rPr>
          <w:rFonts w:hint="eastAsia" w:eastAsia="黑体" w:cs="宋体"/>
          <w:sz w:val="28"/>
          <w:highlight w:val="none"/>
        </w:rPr>
        <w:br w:type="page"/>
      </w:r>
      <w:bookmarkStart w:id="503" w:name="_Toc140069428"/>
      <w:bookmarkStart w:id="504" w:name="_Toc6479"/>
      <w:bookmarkStart w:id="505" w:name="_Toc2626"/>
      <w:bookmarkStart w:id="506" w:name="_Toc21216"/>
      <w:r>
        <w:rPr>
          <w:rFonts w:hint="eastAsia" w:ascii="黑体" w:hAnsi="黑体" w:eastAsia="黑体" w:cs="黑体"/>
          <w:sz w:val="32"/>
          <w:szCs w:val="32"/>
          <w:highlight w:val="none"/>
        </w:rPr>
        <w:t>1.评标方法</w:t>
      </w:r>
      <w:bookmarkEnd w:id="503"/>
      <w:bookmarkEnd w:id="504"/>
      <w:bookmarkEnd w:id="505"/>
      <w:bookmarkEnd w:id="506"/>
    </w:p>
    <w:p>
      <w:pPr>
        <w:snapToGrid w:val="0"/>
        <w:spacing w:line="360" w:lineRule="auto"/>
        <w:ind w:firstLine="480" w:firstLineChars="200"/>
        <w:rPr>
          <w:rFonts w:hAnsi="宋体" w:cs="宋体"/>
          <w:highlight w:val="none"/>
        </w:rPr>
      </w:pPr>
      <w:r>
        <w:rPr>
          <w:rFonts w:hint="eastAsia" w:hAnsi="宋体" w:cs="宋体"/>
          <w:highlight w:val="none"/>
        </w:rPr>
        <w:t>1.1本次评标采用综合评估法（一次平均）。</w:t>
      </w:r>
    </w:p>
    <w:p>
      <w:pPr>
        <w:snapToGrid w:val="0"/>
        <w:spacing w:line="360" w:lineRule="auto"/>
        <w:ind w:firstLine="480" w:firstLineChars="200"/>
        <w:rPr>
          <w:rFonts w:hAnsi="宋体" w:cs="宋体"/>
          <w:highlight w:val="none"/>
        </w:rPr>
      </w:pPr>
      <w:r>
        <w:rPr>
          <w:rFonts w:hint="eastAsia" w:hAnsi="宋体" w:cs="宋体"/>
          <w:highlight w:val="none"/>
        </w:rPr>
        <w:t>1.2评标委员会对所有按规定递交并成功导入评标系统的投标文件进行评审，评标委员会对投标文件按照规定的评审标准和评标程序进行评审，并按综合得分由高到低顺序推荐中标候选人，综合得分相等时，中标候选人排序方法见评标办法前附表；或根据招标人授权直接确定中标人。不得推荐为中标候选人、确定为中标人的情形见本章第3.7款、第3.8.1项。</w:t>
      </w:r>
    </w:p>
    <w:p>
      <w:pPr>
        <w:snapToGrid w:val="0"/>
        <w:spacing w:line="360" w:lineRule="auto"/>
        <w:ind w:firstLine="480" w:firstLineChars="200"/>
        <w:rPr>
          <w:rFonts w:hAnsi="宋体" w:cs="宋体"/>
          <w:highlight w:val="none"/>
        </w:rPr>
      </w:pPr>
      <w:r>
        <w:rPr>
          <w:rFonts w:hint="eastAsia" w:hAnsi="宋体" w:cs="宋体"/>
          <w:highlight w:val="none"/>
        </w:rPr>
        <w:t>1.3本次推荐中标候选人的先后顺序及最多可中标段数量见评标办法前附表。被推荐为第一中标候选人的标段个数已达到最多允许中标的标段个数的投标人，在后续标段不再被推荐为中标候选人，但仍参与评审。</w:t>
      </w:r>
    </w:p>
    <w:p>
      <w:pPr>
        <w:snapToGrid w:val="0"/>
        <w:spacing w:line="360" w:lineRule="auto"/>
        <w:ind w:firstLine="480" w:firstLineChars="200"/>
        <w:rPr>
          <w:rFonts w:hAnsi="宋体" w:cs="宋体"/>
          <w:highlight w:val="none"/>
        </w:rPr>
      </w:pPr>
      <w:r>
        <w:rPr>
          <w:rFonts w:hint="eastAsia" w:hAnsi="宋体" w:cs="宋体"/>
          <w:highlight w:val="none"/>
        </w:rPr>
        <w:t>1.4评标结束后如有某标段的第一中标候选人发生变化的情况，不影响其他标段排序。</w:t>
      </w:r>
    </w:p>
    <w:p>
      <w:pPr>
        <w:snapToGrid w:val="0"/>
        <w:spacing w:line="360" w:lineRule="auto"/>
        <w:ind w:firstLine="480" w:firstLineChars="200"/>
        <w:rPr>
          <w:rFonts w:hAnsi="宋体" w:cs="宋体"/>
          <w:highlight w:val="none"/>
        </w:rPr>
      </w:pPr>
      <w:r>
        <w:rPr>
          <w:rFonts w:hint="eastAsia" w:hAnsi="宋体" w:cs="宋体"/>
          <w:highlight w:val="none"/>
        </w:rPr>
        <w:t>1.5招标人应当根据项目的实际情况，在评标办法正文及前附表中列明所有否决投标的情形；第三章“评标办法”没有列明的否决投标的情形，一律不得作为评审依据。</w:t>
      </w:r>
    </w:p>
    <w:p>
      <w:pPr>
        <w:keepNext/>
        <w:keepLines/>
        <w:spacing w:line="360" w:lineRule="auto"/>
        <w:outlineLvl w:val="1"/>
        <w:rPr>
          <w:rFonts w:ascii="黑体" w:hAnsi="黑体" w:eastAsia="黑体" w:cs="黑体"/>
          <w:sz w:val="32"/>
          <w:szCs w:val="32"/>
          <w:highlight w:val="none"/>
        </w:rPr>
      </w:pPr>
      <w:bookmarkStart w:id="507" w:name="_Toc26950"/>
      <w:bookmarkStart w:id="508" w:name="_Toc30954"/>
      <w:bookmarkStart w:id="509" w:name="_Toc5088"/>
      <w:bookmarkStart w:id="510" w:name="_Toc140069429"/>
      <w:bookmarkStart w:id="511" w:name="_Toc31234"/>
      <w:r>
        <w:rPr>
          <w:rFonts w:hint="eastAsia" w:ascii="黑体" w:hAnsi="黑体" w:eastAsia="黑体" w:cs="黑体"/>
          <w:sz w:val="32"/>
          <w:szCs w:val="32"/>
          <w:highlight w:val="none"/>
        </w:rPr>
        <w:t>2.评审标准</w:t>
      </w:r>
      <w:bookmarkEnd w:id="507"/>
      <w:bookmarkEnd w:id="508"/>
      <w:bookmarkEnd w:id="509"/>
      <w:bookmarkEnd w:id="510"/>
      <w:bookmarkEnd w:id="511"/>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2.1初步评审标准</w:t>
      </w:r>
    </w:p>
    <w:p>
      <w:pPr>
        <w:snapToGrid w:val="0"/>
        <w:spacing w:line="360" w:lineRule="auto"/>
        <w:ind w:firstLine="480" w:firstLineChars="200"/>
        <w:rPr>
          <w:rFonts w:hAnsi="宋体" w:cs="宋体"/>
          <w:highlight w:val="none"/>
        </w:rPr>
      </w:pPr>
      <w:r>
        <w:rPr>
          <w:rFonts w:hint="eastAsia" w:hAnsi="宋体" w:cs="宋体"/>
          <w:highlight w:val="none"/>
        </w:rPr>
        <w:t>2.1.1 形式评审标准：见评标办法前附表。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2.1.2 资格评审标准：见评标办法前附表。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2.1.3 响应性评审标准：见评标办法前附表。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2.2</w:t>
      </w:r>
      <w:r>
        <w:rPr>
          <w:rFonts w:hint="eastAsia" w:cs="黑体"/>
          <w:snapToGrid w:val="0"/>
          <w:highlight w:val="none"/>
          <w:shd w:val="clear" w:color="auto" w:fill="FFFFFF"/>
        </w:rPr>
        <w:t>详细评审</w:t>
      </w:r>
      <w:r>
        <w:rPr>
          <w:rFonts w:hint="eastAsia" w:cs="黑体"/>
          <w:snapToGrid w:val="0"/>
          <w:highlight w:val="none"/>
          <w:shd w:val="clear" w:color="auto" w:fill="FFFFFF"/>
          <w:lang w:val="zh-CN"/>
        </w:rPr>
        <w:t>标准</w:t>
      </w:r>
    </w:p>
    <w:p>
      <w:pPr>
        <w:snapToGrid w:val="0"/>
        <w:spacing w:line="360" w:lineRule="auto"/>
        <w:ind w:firstLine="480" w:firstLineChars="200"/>
        <w:rPr>
          <w:rFonts w:hAnsi="宋体" w:cs="宋体"/>
          <w:highlight w:val="none"/>
        </w:rPr>
      </w:pPr>
      <w:r>
        <w:rPr>
          <w:rFonts w:hint="eastAsia" w:hAnsi="宋体" w:cs="宋体"/>
          <w:highlight w:val="none"/>
        </w:rPr>
        <w:t>2.2.1</w:t>
      </w:r>
      <w:r>
        <w:rPr>
          <w:rFonts w:hint="eastAsia" w:ascii="Times New Roman" w:cs="宋体"/>
          <w:szCs w:val="24"/>
          <w:highlight w:val="none"/>
        </w:rPr>
        <w:t>商务、技术和报价文件</w:t>
      </w:r>
      <w:r>
        <w:rPr>
          <w:rFonts w:hint="eastAsia" w:hAnsi="宋体" w:cs="宋体"/>
          <w:highlight w:val="none"/>
        </w:rPr>
        <w:t>分值构成：见评标办法前附表。</w:t>
      </w:r>
    </w:p>
    <w:p>
      <w:pPr>
        <w:snapToGrid w:val="0"/>
        <w:spacing w:line="360" w:lineRule="auto"/>
        <w:ind w:firstLine="480" w:firstLineChars="200"/>
        <w:rPr>
          <w:rFonts w:hAnsi="宋体" w:cs="宋体"/>
          <w:highlight w:val="none"/>
        </w:rPr>
      </w:pPr>
      <w:r>
        <w:rPr>
          <w:rFonts w:hint="eastAsia" w:hAnsi="宋体" w:cs="宋体"/>
          <w:highlight w:val="none"/>
        </w:rPr>
        <w:t>2.2.2评分标准</w:t>
      </w:r>
    </w:p>
    <w:p>
      <w:pPr>
        <w:snapToGrid w:val="0"/>
        <w:spacing w:line="360" w:lineRule="auto"/>
        <w:ind w:firstLine="480" w:firstLineChars="200"/>
        <w:rPr>
          <w:rFonts w:hAnsi="宋体" w:cs="宋体"/>
          <w:highlight w:val="none"/>
        </w:rPr>
      </w:pPr>
      <w:r>
        <w:rPr>
          <w:rFonts w:hint="eastAsia" w:hAnsi="宋体" w:cs="宋体"/>
          <w:highlight w:val="none"/>
        </w:rPr>
        <w:t>（1）技术</w:t>
      </w:r>
      <w:r>
        <w:rPr>
          <w:rFonts w:hint="eastAsia" w:ascii="Times New Roman" w:cs="宋体"/>
          <w:szCs w:val="24"/>
          <w:highlight w:val="none"/>
        </w:rPr>
        <w:t>文件评分</w:t>
      </w:r>
      <w:r>
        <w:rPr>
          <w:rFonts w:hint="eastAsia" w:hAnsi="宋体" w:cs="宋体"/>
          <w:highlight w:val="none"/>
        </w:rPr>
        <w:t>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（2）商务</w:t>
      </w:r>
      <w:r>
        <w:rPr>
          <w:rFonts w:hint="eastAsia" w:ascii="Times New Roman" w:cs="宋体"/>
          <w:szCs w:val="24"/>
          <w:highlight w:val="none"/>
        </w:rPr>
        <w:t>文件评分</w:t>
      </w:r>
      <w:r>
        <w:rPr>
          <w:rFonts w:hint="eastAsia" w:hAnsi="宋体" w:cs="宋体"/>
          <w:highlight w:val="none"/>
        </w:rPr>
        <w:t>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（3）报价文件评分标准：见评标办法前附表。</w:t>
      </w:r>
    </w:p>
    <w:p>
      <w:pPr>
        <w:keepNext/>
        <w:keepLines/>
        <w:spacing w:line="360" w:lineRule="auto"/>
        <w:outlineLvl w:val="1"/>
        <w:rPr>
          <w:rFonts w:ascii="黑体" w:hAnsi="黑体" w:eastAsia="黑体" w:cs="黑体"/>
          <w:sz w:val="32"/>
          <w:szCs w:val="32"/>
          <w:highlight w:val="none"/>
        </w:rPr>
      </w:pPr>
      <w:bookmarkStart w:id="512" w:name="_Toc27368"/>
      <w:bookmarkStart w:id="513" w:name="_Toc140069430"/>
      <w:bookmarkStart w:id="514" w:name="_Toc27642"/>
      <w:bookmarkStart w:id="515" w:name="_Toc6659"/>
      <w:bookmarkStart w:id="516" w:name="_Toc25919"/>
      <w:r>
        <w:rPr>
          <w:rFonts w:hint="eastAsia" w:ascii="黑体" w:hAnsi="黑体" w:eastAsia="黑体" w:cs="黑体"/>
          <w:sz w:val="32"/>
          <w:szCs w:val="32"/>
          <w:highlight w:val="none"/>
        </w:rPr>
        <w:t>3.评标程序</w:t>
      </w:r>
      <w:bookmarkEnd w:id="512"/>
      <w:bookmarkEnd w:id="513"/>
      <w:bookmarkEnd w:id="514"/>
      <w:bookmarkEnd w:id="515"/>
      <w:bookmarkEnd w:id="516"/>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3.1商务及技术文件初步评审</w:t>
      </w:r>
    </w:p>
    <w:p>
      <w:pPr>
        <w:spacing w:line="360" w:lineRule="auto"/>
        <w:ind w:firstLine="480" w:firstLineChars="200"/>
        <w:rPr>
          <w:rFonts w:hAnsi="宋体" w:cs="宋体"/>
          <w:highlight w:val="none"/>
        </w:rPr>
      </w:pPr>
      <w:r>
        <w:rPr>
          <w:rFonts w:hint="eastAsia" w:hAnsi="宋体" w:cs="宋体"/>
          <w:highlight w:val="none"/>
        </w:rPr>
        <w:t>评标委员会依据本章第2.1.1项、第2.1.2项、第2.1.3项规定的评审标准对商务及技术文件进行初步评审。有一项不符合评审标准的，评标委员会应否决其投标。</w:t>
      </w:r>
    </w:p>
    <w:p>
      <w:pPr>
        <w:pStyle w:val="2"/>
        <w:spacing w:beforeLines="100" w:afterLines="100" w:line="240" w:lineRule="auto"/>
        <w:rPr>
          <w:rFonts w:cs="黑体"/>
          <w:snapToGrid w:val="0"/>
          <w:highlight w:val="none"/>
          <w:shd w:val="clear" w:color="auto" w:fill="FFFFFF"/>
          <w:lang w:val="zh-CN"/>
        </w:rPr>
      </w:pPr>
      <w:bookmarkStart w:id="517" w:name="_Toc501460719"/>
      <w:r>
        <w:rPr>
          <w:rFonts w:hint="eastAsia" w:cs="黑体"/>
          <w:snapToGrid w:val="0"/>
          <w:highlight w:val="none"/>
          <w:shd w:val="clear" w:color="auto" w:fill="FFFFFF"/>
          <w:lang w:val="zh-CN"/>
        </w:rPr>
        <w:t>3.2商务及技术文件详细评审</w:t>
      </w:r>
      <w:bookmarkEnd w:id="517"/>
    </w:p>
    <w:p>
      <w:pPr>
        <w:spacing w:line="360" w:lineRule="auto"/>
        <w:ind w:firstLine="480" w:firstLineChars="200"/>
        <w:rPr>
          <w:rFonts w:hAnsi="宋体" w:cs="宋体"/>
          <w:highlight w:val="none"/>
        </w:rPr>
      </w:pPr>
      <w:r>
        <w:rPr>
          <w:rFonts w:hint="eastAsia" w:hAnsi="宋体" w:cs="宋体"/>
          <w:highlight w:val="none"/>
        </w:rPr>
        <w:t>3.2.1</w:t>
      </w:r>
      <w:r>
        <w:rPr>
          <w:rFonts w:hint="eastAsia" w:ascii="Times New Roman" w:cs="宋体"/>
          <w:szCs w:val="24"/>
          <w:highlight w:val="none"/>
        </w:rPr>
        <w:t>评标委员会按照本章第2.2款规定的量化因素和分值对商务及技术文件进行打分，并计算出各投标人商务及技术文件综合评估得分。</w:t>
      </w:r>
    </w:p>
    <w:p>
      <w:pPr>
        <w:spacing w:line="360" w:lineRule="auto"/>
        <w:ind w:firstLine="480" w:firstLineChars="200"/>
        <w:rPr>
          <w:rFonts w:hAnsi="宋体" w:cs="宋体"/>
          <w:highlight w:val="none"/>
        </w:rPr>
      </w:pPr>
      <w:r>
        <w:rPr>
          <w:rFonts w:hint="eastAsia" w:hAnsi="宋体" w:cs="宋体"/>
          <w:highlight w:val="none"/>
        </w:rPr>
        <w:t>（1）按照本章第</w:t>
      </w:r>
      <w:r>
        <w:rPr>
          <w:rFonts w:hint="eastAsia" w:ascii="Times New Roman"/>
          <w:szCs w:val="24"/>
          <w:highlight w:val="none"/>
        </w:rPr>
        <w:t>2.2.2（1）</w:t>
      </w:r>
      <w:r>
        <w:rPr>
          <w:rFonts w:hint="eastAsia" w:hAnsi="宋体" w:cs="宋体"/>
          <w:highlight w:val="none"/>
        </w:rPr>
        <w:t>目规定的评审因素和分值</w:t>
      </w:r>
      <w:r>
        <w:rPr>
          <w:rFonts w:hint="eastAsia" w:ascii="Times New Roman" w:cs="宋体"/>
          <w:szCs w:val="24"/>
          <w:highlight w:val="none"/>
        </w:rPr>
        <w:t>计算出</w:t>
      </w:r>
      <w:r>
        <w:rPr>
          <w:rFonts w:hint="eastAsia" w:hAnsi="宋体" w:cs="宋体"/>
          <w:highlight w:val="none"/>
        </w:rPr>
        <w:t>技术文件得分A；</w:t>
      </w:r>
    </w:p>
    <w:p>
      <w:pPr>
        <w:spacing w:line="360" w:lineRule="auto"/>
        <w:ind w:firstLine="480" w:firstLineChars="200"/>
        <w:rPr>
          <w:rFonts w:hAnsi="宋体" w:cs="宋体"/>
          <w:highlight w:val="none"/>
        </w:rPr>
      </w:pPr>
      <w:r>
        <w:rPr>
          <w:rFonts w:hint="eastAsia" w:hAnsi="宋体" w:cs="宋体"/>
          <w:highlight w:val="none"/>
        </w:rPr>
        <w:t>（2）按照本章第</w:t>
      </w:r>
      <w:r>
        <w:rPr>
          <w:rFonts w:hint="eastAsia" w:ascii="Times New Roman"/>
          <w:szCs w:val="24"/>
          <w:highlight w:val="none"/>
        </w:rPr>
        <w:t>2.2.2（2）</w:t>
      </w:r>
      <w:r>
        <w:rPr>
          <w:rFonts w:hint="eastAsia" w:hAnsi="宋体" w:cs="宋体"/>
          <w:highlight w:val="none"/>
        </w:rPr>
        <w:t>目规定的评审因素和分值</w:t>
      </w:r>
      <w:r>
        <w:rPr>
          <w:rFonts w:hint="eastAsia" w:ascii="Times New Roman" w:cs="宋体"/>
          <w:szCs w:val="24"/>
          <w:highlight w:val="none"/>
        </w:rPr>
        <w:t>计算出</w:t>
      </w:r>
      <w:r>
        <w:rPr>
          <w:rFonts w:hint="eastAsia" w:hAnsi="宋体" w:cs="宋体"/>
          <w:highlight w:val="none"/>
        </w:rPr>
        <w:t>商务文件得分B</w:t>
      </w:r>
      <w:bookmarkStart w:id="518" w:name="_Toc152042382"/>
      <w:bookmarkStart w:id="519" w:name="_Toc152045605"/>
      <w:bookmarkStart w:id="520" w:name="_Toc300835015"/>
      <w:bookmarkStart w:id="521" w:name="_Toc144974572"/>
      <w:bookmarkStart w:id="522" w:name="_Toc247527630"/>
      <w:bookmarkStart w:id="523" w:name="_Toc247514029"/>
      <w:bookmarkStart w:id="524" w:name="_Toc352691540"/>
      <w:bookmarkStart w:id="525" w:name="_Toc361508653"/>
      <w:bookmarkStart w:id="526" w:name="_Toc369531584"/>
      <w:bookmarkStart w:id="527" w:name="_Toc18141"/>
      <w:bookmarkStart w:id="528" w:name="_Toc384308279"/>
      <w:r>
        <w:rPr>
          <w:rFonts w:hint="eastAsia" w:hAnsi="宋体" w:cs="宋体"/>
          <w:highlight w:val="none"/>
        </w:rPr>
        <w:t>。</w:t>
      </w:r>
    </w:p>
    <w:bookmarkEnd w:id="518"/>
    <w:bookmarkEnd w:id="519"/>
    <w:bookmarkEnd w:id="520"/>
    <w:bookmarkEnd w:id="521"/>
    <w:bookmarkEnd w:id="522"/>
    <w:bookmarkEnd w:id="523"/>
    <w:bookmarkEnd w:id="524"/>
    <w:bookmarkEnd w:id="525"/>
    <w:bookmarkEnd w:id="526"/>
    <w:bookmarkEnd w:id="527"/>
    <w:bookmarkEnd w:id="528"/>
    <w:p>
      <w:pPr>
        <w:snapToGrid w:val="0"/>
        <w:spacing w:line="360" w:lineRule="auto"/>
        <w:ind w:firstLine="480" w:firstLineChars="200"/>
        <w:rPr>
          <w:rFonts w:hAnsi="宋体" w:cs="宋体"/>
          <w:highlight w:val="none"/>
        </w:rPr>
      </w:pPr>
      <w:r>
        <w:rPr>
          <w:rFonts w:hint="eastAsia" w:hAnsi="宋体" w:cs="宋体"/>
          <w:highlight w:val="none"/>
        </w:rPr>
        <w:t>3.2.2 得分计算的确定</w:t>
      </w:r>
    </w:p>
    <w:p>
      <w:pPr>
        <w:spacing w:line="360" w:lineRule="auto"/>
        <w:ind w:firstLine="480" w:firstLineChars="200"/>
        <w:rPr>
          <w:rFonts w:ascii="Times New Roman"/>
          <w:szCs w:val="24"/>
          <w:highlight w:val="none"/>
        </w:rPr>
      </w:pPr>
      <w:r>
        <w:rPr>
          <w:rFonts w:hint="eastAsia" w:ascii="Times New Roman"/>
          <w:szCs w:val="24"/>
          <w:highlight w:val="none"/>
        </w:rPr>
        <w:t>（1）技术文件详细评审得分计算</w:t>
      </w:r>
    </w:p>
    <w:p>
      <w:pPr>
        <w:spacing w:line="360" w:lineRule="auto"/>
        <w:ind w:firstLine="480" w:firstLineChars="200"/>
        <w:rPr>
          <w:rFonts w:ascii="Times New Roman"/>
          <w:szCs w:val="24"/>
          <w:highlight w:val="none"/>
        </w:rPr>
      </w:pPr>
      <w:r>
        <w:rPr>
          <w:rFonts w:hint="eastAsia" w:ascii="Times New Roman"/>
          <w:szCs w:val="24"/>
          <w:highlight w:val="none"/>
        </w:rPr>
        <w:t>本章第2.2.2（1）目属于技术文件详细评审内容，技术文件详细评审得分计算规则见评标办法前附表。</w:t>
      </w:r>
    </w:p>
    <w:p>
      <w:pPr>
        <w:spacing w:line="360" w:lineRule="auto"/>
        <w:ind w:firstLine="480" w:firstLineChars="200"/>
        <w:rPr>
          <w:rFonts w:ascii="Times New Roman"/>
          <w:szCs w:val="24"/>
          <w:highlight w:val="none"/>
        </w:rPr>
      </w:pPr>
      <w:r>
        <w:rPr>
          <w:rFonts w:hint="eastAsia" w:ascii="Times New Roman"/>
          <w:szCs w:val="24"/>
          <w:highlight w:val="none"/>
        </w:rPr>
        <w:t>（2）商务文件详细评审得分计算</w:t>
      </w:r>
    </w:p>
    <w:p>
      <w:pPr>
        <w:spacing w:line="360" w:lineRule="auto"/>
        <w:ind w:firstLine="480" w:firstLineChars="200"/>
        <w:rPr>
          <w:rFonts w:ascii="Times New Roman"/>
          <w:szCs w:val="24"/>
          <w:highlight w:val="none"/>
        </w:rPr>
      </w:pPr>
      <w:r>
        <w:rPr>
          <w:rFonts w:hint="eastAsia" w:ascii="Times New Roman"/>
          <w:szCs w:val="24"/>
          <w:highlight w:val="none"/>
        </w:rPr>
        <w:t>本章第2.2.2（2）目属于商务文件详细评审内容，投标人第2.2.2（2）目的得分以评标委员会各成员对该目的打分平均值确定。</w:t>
      </w:r>
    </w:p>
    <w:p>
      <w:pPr>
        <w:snapToGrid w:val="0"/>
        <w:spacing w:line="360" w:lineRule="auto"/>
        <w:ind w:firstLine="480" w:firstLineChars="200"/>
        <w:rPr>
          <w:rFonts w:hAnsi="宋体" w:cs="宋体"/>
          <w:highlight w:val="none"/>
        </w:rPr>
      </w:pPr>
      <w:r>
        <w:rPr>
          <w:rFonts w:hint="eastAsia" w:hAnsi="宋体" w:cs="宋体"/>
          <w:highlight w:val="none"/>
        </w:rPr>
        <w:t>3.2.3评委对技术文件打分在招标文件第2.2.2（1）目规定评审总分的90%以上（含）、60%以下（含）的投标人，评委应提出充足的理由，该理由在评标委员会集体讨论并确认后记入评标报告，否则该评委应当且仅就评分理由重新提出充足的理由。</w:t>
      </w:r>
    </w:p>
    <w:p>
      <w:pPr>
        <w:spacing w:line="360" w:lineRule="auto"/>
        <w:ind w:firstLine="480" w:firstLineChars="200"/>
        <w:rPr>
          <w:rFonts w:hAnsi="宋体" w:cs="宋体"/>
          <w:highlight w:val="none"/>
        </w:rPr>
      </w:pPr>
      <w:r>
        <w:rPr>
          <w:rFonts w:hint="eastAsia" w:hAnsi="宋体" w:cs="宋体"/>
          <w:highlight w:val="none"/>
        </w:rPr>
        <w:t>3.2.4投标人商务及技术文件综合得分=A+B。</w:t>
      </w:r>
    </w:p>
    <w:p>
      <w:pPr>
        <w:pStyle w:val="2"/>
        <w:spacing w:beforeLines="100" w:afterLines="100" w:line="240" w:lineRule="auto"/>
        <w:rPr>
          <w:rFonts w:cs="黑体"/>
          <w:snapToGrid w:val="0"/>
          <w:highlight w:val="none"/>
          <w:shd w:val="clear" w:color="auto" w:fill="FFFFFF"/>
          <w:lang w:val="zh-CN"/>
        </w:rPr>
      </w:pPr>
      <w:bookmarkStart w:id="529" w:name="_Toc26657036"/>
      <w:bookmarkStart w:id="530" w:name="_Toc14808"/>
      <w:r>
        <w:rPr>
          <w:rFonts w:hint="eastAsia" w:cs="黑体"/>
          <w:snapToGrid w:val="0"/>
          <w:highlight w:val="none"/>
          <w:shd w:val="clear" w:color="auto" w:fill="FFFFFF"/>
          <w:lang w:val="zh-CN"/>
        </w:rPr>
        <w:t>3.3报价文件</w:t>
      </w:r>
      <w:bookmarkEnd w:id="529"/>
      <w:r>
        <w:rPr>
          <w:rFonts w:hint="eastAsia" w:cs="黑体"/>
          <w:snapToGrid w:val="0"/>
          <w:highlight w:val="none"/>
          <w:shd w:val="clear" w:color="auto" w:fill="FFFFFF"/>
          <w:lang w:val="zh-CN"/>
        </w:rPr>
        <w:t>公布</w:t>
      </w:r>
      <w:bookmarkEnd w:id="530"/>
    </w:p>
    <w:p>
      <w:pPr>
        <w:spacing w:line="360" w:lineRule="auto"/>
        <w:ind w:firstLine="480" w:firstLineChars="200"/>
        <w:rPr>
          <w:highlight w:val="none"/>
        </w:rPr>
      </w:pPr>
      <w:r>
        <w:rPr>
          <w:rFonts w:hint="eastAsia"/>
          <w:highlight w:val="none"/>
        </w:rPr>
        <w:t>商务及技术文件评审结束后，招标人公布所有投标人的</w:t>
      </w:r>
      <w:r>
        <w:rPr>
          <w:rFonts w:hint="eastAsia" w:ascii="Times New Roman" w:cs="宋体"/>
          <w:szCs w:val="24"/>
          <w:highlight w:val="none"/>
        </w:rPr>
        <w:t>投标报价</w:t>
      </w:r>
      <w:r>
        <w:rPr>
          <w:rFonts w:hint="eastAsia"/>
          <w:highlight w:val="none"/>
        </w:rPr>
        <w:t>。</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3.4报价文件初步评审</w:t>
      </w:r>
    </w:p>
    <w:p>
      <w:pPr>
        <w:snapToGrid w:val="0"/>
        <w:spacing w:line="360" w:lineRule="auto"/>
        <w:ind w:firstLine="480" w:firstLineChars="200"/>
        <w:rPr>
          <w:rFonts w:hAnsi="宋体" w:cs="宋体"/>
          <w:highlight w:val="none"/>
        </w:rPr>
      </w:pPr>
      <w:r>
        <w:rPr>
          <w:rFonts w:hint="eastAsia" w:hAnsi="宋体" w:cs="宋体"/>
          <w:highlight w:val="none"/>
        </w:rPr>
        <w:t>3.4.1 评标委员会依据本章第2.1.1款、第2.1.3款规定的评审标准对报价文件进行初步评审。有一项不符合评审标准的，评标委员会应否决其投标。</w:t>
      </w:r>
    </w:p>
    <w:p>
      <w:pPr>
        <w:snapToGrid w:val="0"/>
        <w:spacing w:line="360" w:lineRule="auto"/>
        <w:ind w:firstLine="480" w:firstLineChars="200"/>
        <w:rPr>
          <w:rFonts w:hAnsi="宋体" w:cs="宋体"/>
          <w:highlight w:val="none"/>
        </w:rPr>
      </w:pPr>
      <w:r>
        <w:rPr>
          <w:rFonts w:hint="eastAsia" w:hAnsi="宋体" w:cs="宋体"/>
          <w:highlight w:val="none"/>
        </w:rPr>
        <w:t xml:space="preserve">3.4.2 投标报价有算术错误及其他错误的，评标委员会按照以下原则对投标报价进行修正，并要求投标人澄清确认。投标人拒不澄清确认的，评标委员会应当否决其投标： </w:t>
      </w:r>
    </w:p>
    <w:p>
      <w:pPr>
        <w:snapToGrid w:val="0"/>
        <w:spacing w:line="360" w:lineRule="auto"/>
        <w:ind w:firstLine="480" w:firstLineChars="200"/>
        <w:rPr>
          <w:rFonts w:hAnsi="宋体" w:cs="宋体"/>
          <w:highlight w:val="none"/>
        </w:rPr>
      </w:pPr>
      <w:r>
        <w:rPr>
          <w:rFonts w:hint="eastAsia" w:hAnsi="宋体" w:cs="宋体"/>
          <w:highlight w:val="none"/>
        </w:rPr>
        <w:t>（1）投标文件中的大写金额与小写金额不一致的，以大写金额为准；</w:t>
      </w:r>
    </w:p>
    <w:p>
      <w:pPr>
        <w:snapToGrid w:val="0"/>
        <w:spacing w:line="360" w:lineRule="auto"/>
        <w:ind w:firstLine="480" w:firstLineChars="200"/>
        <w:rPr>
          <w:rFonts w:hAnsi="宋体" w:cs="宋体"/>
          <w:highlight w:val="none"/>
        </w:rPr>
      </w:pPr>
      <w:r>
        <w:rPr>
          <w:rFonts w:hint="eastAsia" w:hAnsi="宋体" w:cs="宋体"/>
          <w:highlight w:val="none"/>
        </w:rPr>
        <w:t>（2）总价金额与单价金额不一致的，以单价金额为准，但单价金额小数点有明显错误的除外；</w:t>
      </w:r>
    </w:p>
    <w:p>
      <w:pPr>
        <w:snapToGrid w:val="0"/>
        <w:spacing w:line="360" w:lineRule="auto"/>
        <w:ind w:firstLine="480" w:firstLineChars="200"/>
        <w:rPr>
          <w:rFonts w:hAnsi="宋体" w:cs="宋体"/>
          <w:highlight w:val="none"/>
        </w:rPr>
      </w:pPr>
      <w:r>
        <w:rPr>
          <w:rFonts w:hint="eastAsia" w:hAnsi="宋体" w:cs="宋体"/>
          <w:highlight w:val="none"/>
        </w:rPr>
        <w:t>（3）投标报价为各分项报价金额之和，投标报价与分项报价的合价不一致的，应以各分项合价累计数为准，修正投标报价；</w:t>
      </w:r>
    </w:p>
    <w:p>
      <w:pPr>
        <w:snapToGrid w:val="0"/>
        <w:spacing w:line="360" w:lineRule="auto"/>
        <w:ind w:firstLine="480" w:firstLineChars="200"/>
        <w:rPr>
          <w:rFonts w:hAnsi="宋体" w:cs="宋体"/>
          <w:highlight w:val="none"/>
        </w:rPr>
      </w:pPr>
      <w:r>
        <w:rPr>
          <w:rFonts w:hint="eastAsia" w:hAnsi="宋体" w:cs="宋体"/>
          <w:highlight w:val="none"/>
        </w:rPr>
        <w:t>（4）如果分项报价中存在缺漏项，则视为缺漏项价格已包含在其他分项报价之中。</w:t>
      </w:r>
    </w:p>
    <w:p>
      <w:pPr>
        <w:snapToGrid w:val="0"/>
        <w:spacing w:line="360" w:lineRule="auto"/>
        <w:ind w:firstLine="480" w:firstLineChars="200"/>
        <w:rPr>
          <w:rFonts w:hAnsi="宋体" w:cs="宋体"/>
          <w:highlight w:val="none"/>
        </w:rPr>
      </w:pPr>
      <w:r>
        <w:rPr>
          <w:rFonts w:hint="eastAsia" w:hAnsi="宋体" w:cs="宋体"/>
          <w:highlight w:val="none"/>
        </w:rPr>
        <w:t>3.4.3投标人投标报价明显缺乏竞争性的，评标委员会可以否决所有投标。</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3.5报价文件详细评审</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1</w:t>
      </w:r>
      <w:r>
        <w:rPr>
          <w:rFonts w:hint="eastAsia" w:ascii="Times New Roman" w:cs="宋体"/>
          <w:szCs w:val="24"/>
          <w:highlight w:val="none"/>
        </w:rPr>
        <w:t>评标委员会按照本章第2.2.2（3）目规定的评审因素和分值计算出投标报价得分C。</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2</w:t>
      </w:r>
      <w:r>
        <w:rPr>
          <w:rFonts w:hint="eastAsia" w:ascii="Times New Roman" w:cs="宋体"/>
          <w:szCs w:val="24"/>
          <w:highlight w:val="none"/>
        </w:rPr>
        <w:t>评分分值计算保留小数点后两位，小数点后第三位“四舍五入”。</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3</w:t>
      </w:r>
      <w:r>
        <w:rPr>
          <w:rFonts w:hint="eastAsia" w:ascii="Times New Roman" w:cs="宋体"/>
          <w:szCs w:val="24"/>
          <w:highlight w:val="none"/>
        </w:rPr>
        <w:t>投标人综合得分=A+B+C。</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4</w:t>
      </w:r>
      <w:r>
        <w:rPr>
          <w:rFonts w:hint="eastAsia" w:ascii="Times New Roman" w:cs="宋体"/>
          <w:szCs w:val="24"/>
          <w:highlight w:val="none"/>
        </w:rPr>
        <w:t>评标委员会发现投标人的报价明显低于其他投标报价，使得其投标报价可能低于其个别成本的，应当要求该投标人作出说明并提供相应的证明材料。投标人不能合理说明或者不能提供相应证明材料的，评标委员会应当认定该投标人以低于成本报价竞标，否决其投标。</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3.6投标文件的澄清、说明或补正</w:t>
      </w:r>
    </w:p>
    <w:p>
      <w:pPr>
        <w:adjustRightInd w:val="0"/>
        <w:snapToGrid w:val="0"/>
        <w:spacing w:line="360" w:lineRule="auto"/>
        <w:ind w:firstLine="480" w:firstLineChars="200"/>
        <w:rPr>
          <w:rFonts w:hAnsi="宋体" w:cs="宋体"/>
          <w:highlight w:val="none"/>
        </w:rPr>
      </w:pPr>
      <w:r>
        <w:rPr>
          <w:rFonts w:hint="eastAsia" w:hAnsi="宋体" w:cs="宋体"/>
          <w:highlight w:val="none"/>
        </w:rPr>
        <w:t>3.6.1 在评标过程中，评标委员会可以要求投标人对投标文件中含义不明确、对同类问题表述不一致或者有明显文字和计算错误的内容作必要的澄清、说明或补正。评标委员会不接受投标人主动提出的澄清、说明或补正。</w:t>
      </w:r>
    </w:p>
    <w:p>
      <w:pPr>
        <w:spacing w:line="360" w:lineRule="auto"/>
        <w:ind w:firstLine="480" w:firstLineChars="200"/>
        <w:rPr>
          <w:rFonts w:hAnsi="宋体" w:cs="宋体"/>
          <w:highlight w:val="none"/>
        </w:rPr>
      </w:pPr>
      <w:r>
        <w:rPr>
          <w:rFonts w:hint="eastAsia" w:hAnsi="宋体" w:cs="宋体"/>
          <w:highlight w:val="none"/>
        </w:rPr>
        <w:t>3.6.2 澄清、说明或补正不得超出投标文件的范围且不得改变投标文件的实质性内容，并构成投标文件的组成部分。</w:t>
      </w:r>
    </w:p>
    <w:p>
      <w:pPr>
        <w:spacing w:line="360" w:lineRule="auto"/>
        <w:ind w:firstLine="480" w:firstLineChars="200"/>
        <w:rPr>
          <w:rFonts w:hAnsi="宋体" w:cs="宋体"/>
          <w:highlight w:val="none"/>
        </w:rPr>
      </w:pPr>
      <w:r>
        <w:rPr>
          <w:rFonts w:hint="eastAsia" w:hAnsi="宋体" w:cs="宋体"/>
          <w:highlight w:val="none"/>
        </w:rPr>
        <w:t>3.6.3 评标委员会对投标人提交的澄清、说明或补正有疑问的，可以要求投标人进一步澄清、说明或补正，直至满足评标委员会的要求。</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3.7否决投标的情形</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3.7.1 投标人不符合本章第3.1款、第3.4款的，评标委员会应否决其投标。</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3.7.2 否决投标的其他情形，见评标办法前附表。</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3.7.3 投标人未通过本章第3.5.4项评审的，评标委员会应否决其投标。</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3.8评标结果</w:t>
      </w:r>
    </w:p>
    <w:p>
      <w:pPr>
        <w:spacing w:line="360" w:lineRule="auto"/>
        <w:ind w:firstLine="480" w:firstLineChars="200"/>
        <w:rPr>
          <w:rFonts w:hAnsi="宋体" w:cs="宋体"/>
          <w:szCs w:val="24"/>
          <w:highlight w:val="none"/>
        </w:rPr>
      </w:pPr>
      <w:r>
        <w:rPr>
          <w:rFonts w:hint="eastAsia" w:hAnsi="宋体" w:cs="宋体"/>
          <w:szCs w:val="24"/>
          <w:highlight w:val="none"/>
        </w:rPr>
        <w:t>3.8.1评标委员会对拟推荐的中标候选人进行查询，存在投标人须知第1.4.4项规定情形的，不得推荐为中标候选人，查询要求如下：</w:t>
      </w:r>
    </w:p>
    <w:p>
      <w:pPr>
        <w:spacing w:line="360" w:lineRule="auto"/>
        <w:ind w:firstLine="480" w:firstLineChars="200"/>
        <w:rPr>
          <w:rFonts w:hAnsi="宋体" w:cs="宋体"/>
          <w:szCs w:val="24"/>
          <w:highlight w:val="none"/>
        </w:rPr>
      </w:pPr>
      <w:r>
        <w:rPr>
          <w:rFonts w:hint="eastAsia" w:hAnsi="宋体" w:cs="宋体"/>
          <w:szCs w:val="24"/>
          <w:highlight w:val="none"/>
        </w:rPr>
        <w:t>（1）评标委员会仅通过“国家企业信用信息公示系统”查询拟推荐中标候选人是否被列入严重违法失信名单，并将查询截图及查询结果在评标报告中予以记录；</w:t>
      </w:r>
    </w:p>
    <w:p>
      <w:pPr>
        <w:spacing w:line="360" w:lineRule="auto"/>
        <w:ind w:firstLine="480" w:firstLineChars="200"/>
        <w:rPr>
          <w:rFonts w:hAnsi="宋体" w:cs="宋体"/>
          <w:szCs w:val="24"/>
          <w:highlight w:val="none"/>
        </w:rPr>
      </w:pPr>
      <w:r>
        <w:rPr>
          <w:rFonts w:hint="eastAsia" w:hAnsi="宋体" w:cs="宋体"/>
          <w:szCs w:val="24"/>
          <w:highlight w:val="none"/>
        </w:rPr>
        <w:t>（2）评标委员会仅通过“信用中国”查询拟推荐中标候选人是否被列为失信被执行人、确定为重大税收违法失信主体，并将查询截图及查询结果在评标报告中予以记录；</w:t>
      </w:r>
    </w:p>
    <w:p>
      <w:pPr>
        <w:spacing w:line="360" w:lineRule="auto"/>
        <w:ind w:firstLine="480" w:firstLineChars="200"/>
        <w:rPr>
          <w:rFonts w:hAnsi="宋体" w:cs="宋体"/>
          <w:szCs w:val="24"/>
          <w:highlight w:val="none"/>
        </w:rPr>
      </w:pPr>
      <w:r>
        <w:rPr>
          <w:rFonts w:hint="eastAsia" w:hAnsi="宋体" w:cs="宋体"/>
          <w:szCs w:val="24"/>
          <w:highlight w:val="none"/>
        </w:rPr>
        <w:t>（3）其他要求见投标人须知前附表第1.4.4（4）目。</w:t>
      </w:r>
    </w:p>
    <w:p>
      <w:pPr>
        <w:spacing w:line="360" w:lineRule="auto"/>
        <w:ind w:firstLine="480" w:firstLineChars="200"/>
        <w:rPr>
          <w:rFonts w:hAnsi="宋体" w:cs="宋体"/>
          <w:szCs w:val="24"/>
          <w:highlight w:val="none"/>
        </w:rPr>
      </w:pPr>
      <w:r>
        <w:rPr>
          <w:rFonts w:hint="eastAsia" w:hAnsi="宋体" w:cs="宋体"/>
          <w:szCs w:val="24"/>
          <w:highlight w:val="none"/>
        </w:rPr>
        <w:t>除第二章投标人须知前附表授权直接确定中标人外，评标委员会按照评标办法的规定推荐中标候选人，并标明排列排序。</w:t>
      </w:r>
    </w:p>
    <w:p>
      <w:pPr>
        <w:spacing w:line="360" w:lineRule="auto"/>
        <w:ind w:firstLine="480" w:firstLineChars="200"/>
        <w:rPr>
          <w:rFonts w:ascii="Times New Roman" w:cs="宋体"/>
          <w:szCs w:val="24"/>
          <w:highlight w:val="none"/>
        </w:rPr>
      </w:pPr>
      <w:r>
        <w:rPr>
          <w:rFonts w:hint="eastAsia" w:hAnsi="宋体" w:cs="宋体"/>
          <w:szCs w:val="24"/>
          <w:highlight w:val="none"/>
        </w:rPr>
        <w:t>3.8.2 评标委员会完成评标后，应当向招标人提交评标报告</w:t>
      </w:r>
      <w:r>
        <w:rPr>
          <w:rFonts w:hint="eastAsia" w:ascii="Times New Roman"/>
          <w:szCs w:val="24"/>
          <w:highlight w:val="none"/>
        </w:rPr>
        <w:t>。</w:t>
      </w:r>
    </w:p>
    <w:p>
      <w:pPr>
        <w:pStyle w:val="3"/>
        <w:spacing w:beforeLines="100" w:afterLines="100" w:line="240" w:lineRule="auto"/>
        <w:jc w:val="center"/>
        <w:rPr>
          <w:b w:val="0"/>
          <w:highlight w:val="none"/>
        </w:rPr>
      </w:pPr>
      <w:r>
        <w:rPr>
          <w:rFonts w:hint="eastAsia"/>
          <w:b w:val="0"/>
          <w:highlight w:val="none"/>
        </w:rPr>
        <w:br w:type="page"/>
      </w:r>
      <w:bookmarkStart w:id="531" w:name="_Toc6354"/>
      <w:bookmarkStart w:id="532" w:name="_Toc15390"/>
      <w:bookmarkStart w:id="533" w:name="_Toc96"/>
      <w:bookmarkStart w:id="534" w:name="_Toc29954"/>
      <w:bookmarkStart w:id="535" w:name="_Toc26721381"/>
      <w:bookmarkStart w:id="536" w:name="_Toc30942"/>
      <w:bookmarkStart w:id="537" w:name="_Toc247527636"/>
      <w:bookmarkStart w:id="538" w:name="_Toc501460735"/>
      <w:bookmarkStart w:id="539" w:name="_Toc247514035"/>
      <w:bookmarkStart w:id="540" w:name="_Toc26700647"/>
      <w:bookmarkStart w:id="541" w:name="_Toc17100667"/>
      <w:bookmarkStart w:id="542" w:name="_Toc15753903"/>
      <w:bookmarkStart w:id="543" w:name="_Toc300835032"/>
      <w:bookmarkStart w:id="544" w:name="_Toc26700477"/>
      <w:bookmarkStart w:id="545" w:name="_Toc24965147"/>
      <w:bookmarkStart w:id="546" w:name="_Toc369531601"/>
      <w:bookmarkStart w:id="547" w:name="_Toc26721536"/>
      <w:r>
        <w:rPr>
          <w:rFonts w:hint="eastAsia" w:ascii="黑体" w:hAnsi="黑体" w:eastAsia="黑体" w:cs="黑体"/>
          <w:b w:val="0"/>
          <w:bCs w:val="0"/>
          <w:highlight w:val="none"/>
        </w:rPr>
        <w:t>第四章  合同条款及格式</w:t>
      </w:r>
      <w:bookmarkEnd w:id="531"/>
      <w:bookmarkEnd w:id="532"/>
      <w:bookmarkEnd w:id="533"/>
      <w:bookmarkEnd w:id="534"/>
    </w:p>
    <w:p>
      <w:pPr>
        <w:pStyle w:val="4"/>
        <w:spacing w:before="0" w:after="0" w:line="360" w:lineRule="auto"/>
        <w:jc w:val="center"/>
        <w:rPr>
          <w:rFonts w:ascii="Times New Roman" w:hAnsi="Times New Roman"/>
          <w:b w:val="0"/>
          <w:highlight w:val="none"/>
        </w:rPr>
      </w:pPr>
      <w:bookmarkStart w:id="548" w:name="_Toc26781085"/>
      <w:bookmarkStart w:id="549" w:name="_Toc18101"/>
      <w:bookmarkStart w:id="550" w:name="_Toc501460683"/>
      <w:bookmarkStart w:id="551" w:name="_Toc17575"/>
      <w:bookmarkStart w:id="552" w:name="_Toc15928646"/>
      <w:bookmarkStart w:id="553" w:name="_Toc24489"/>
      <w:bookmarkStart w:id="554" w:name="_Toc6288"/>
      <w:bookmarkStart w:id="555" w:name="_Toc140069432"/>
      <w:bookmarkStart w:id="556" w:name="_Toc6586"/>
      <w:r>
        <w:rPr>
          <w:rFonts w:ascii="Times New Roman" w:hAnsi="Times New Roman"/>
          <w:b w:val="0"/>
          <w:highlight w:val="none"/>
        </w:rPr>
        <w:t>第一节通用合同条款</w:t>
      </w:r>
      <w:bookmarkEnd w:id="548"/>
      <w:bookmarkEnd w:id="549"/>
      <w:bookmarkEnd w:id="550"/>
      <w:bookmarkEnd w:id="551"/>
      <w:bookmarkEnd w:id="552"/>
      <w:bookmarkEnd w:id="553"/>
      <w:bookmarkEnd w:id="554"/>
      <w:bookmarkEnd w:id="555"/>
      <w:bookmarkEnd w:id="556"/>
    </w:p>
    <w:bookmarkEnd w:id="535"/>
    <w:bookmarkEnd w:id="536"/>
    <w:bookmarkEnd w:id="537"/>
    <w:bookmarkEnd w:id="538"/>
    <w:bookmarkEnd w:id="539"/>
    <w:bookmarkEnd w:id="540"/>
    <w:bookmarkEnd w:id="541"/>
    <w:bookmarkEnd w:id="542"/>
    <w:bookmarkEnd w:id="543"/>
    <w:bookmarkEnd w:id="544"/>
    <w:bookmarkEnd w:id="545"/>
    <w:bookmarkEnd w:id="546"/>
    <w:bookmarkEnd w:id="547"/>
    <w:p>
      <w:pPr>
        <w:spacing w:line="360" w:lineRule="auto"/>
        <w:ind w:firstLine="105"/>
        <w:outlineLvl w:val="2"/>
        <w:rPr>
          <w:rFonts w:ascii="黑体" w:hAnsi="黑体" w:eastAsia="黑体" w:cs="黑体"/>
          <w:bCs/>
          <w:sz w:val="28"/>
          <w:szCs w:val="28"/>
          <w:highlight w:val="none"/>
        </w:rPr>
      </w:pPr>
      <w:r>
        <w:rPr>
          <w:rFonts w:hint="eastAsia" w:ascii="黑体" w:hAnsi="黑体" w:eastAsia="黑体" w:cs="黑体"/>
          <w:sz w:val="28"/>
          <w:szCs w:val="28"/>
          <w:highlight w:val="none"/>
        </w:rPr>
        <w:t>1. 一般约定</w:t>
      </w:r>
    </w:p>
    <w:p>
      <w:pPr>
        <w:spacing w:line="360" w:lineRule="auto"/>
        <w:ind w:firstLine="137"/>
        <w:outlineLvl w:val="3"/>
        <w:rPr>
          <w:rFonts w:ascii="黑体" w:hAnsi="黑体" w:eastAsia="黑体" w:cs="黑体"/>
          <w:highlight w:val="none"/>
        </w:rPr>
      </w:pPr>
      <w:bookmarkStart w:id="557" w:name="_Toc3381"/>
      <w:bookmarkStart w:id="558" w:name="_Toc369531602"/>
      <w:bookmarkStart w:id="559" w:name="_Toc501460736"/>
      <w:bookmarkStart w:id="560" w:name="_Toc246996255"/>
      <w:bookmarkStart w:id="561" w:name="_Toc296602500"/>
      <w:bookmarkStart w:id="562" w:name="_Toc246996998"/>
      <w:bookmarkStart w:id="563" w:name="_Toc247085770"/>
      <w:r>
        <w:rPr>
          <w:rFonts w:hint="eastAsia" w:ascii="黑体" w:hAnsi="黑体" w:eastAsia="黑体" w:cs="黑体"/>
          <w:highlight w:val="none"/>
        </w:rPr>
        <w:t>1.1 词语定义</w:t>
      </w:r>
      <w:bookmarkEnd w:id="557"/>
      <w:bookmarkEnd w:id="558"/>
      <w:bookmarkEnd w:id="559"/>
      <w:bookmarkEnd w:id="560"/>
      <w:bookmarkEnd w:id="561"/>
      <w:bookmarkEnd w:id="562"/>
      <w:bookmarkEnd w:id="563"/>
    </w:p>
    <w:p>
      <w:pPr>
        <w:spacing w:line="360" w:lineRule="auto"/>
        <w:ind w:firstLine="480" w:firstLineChars="200"/>
        <w:rPr>
          <w:rFonts w:hAnsi="宋体" w:cs="宋体"/>
          <w:highlight w:val="none"/>
        </w:rPr>
      </w:pPr>
      <w:r>
        <w:rPr>
          <w:rFonts w:hint="eastAsia" w:hAnsi="宋体" w:cs="宋体"/>
          <w:highlight w:val="none"/>
        </w:rPr>
        <w:t>除专用合同条款另有约定外，合同中的下列词语应具有本款所赋予的含义。</w:t>
      </w:r>
    </w:p>
    <w:p>
      <w:pPr>
        <w:spacing w:line="360" w:lineRule="auto"/>
        <w:ind w:firstLine="480" w:firstLineChars="200"/>
        <w:rPr>
          <w:rFonts w:hAnsi="宋体" w:cs="宋体"/>
          <w:highlight w:val="none"/>
        </w:rPr>
      </w:pPr>
      <w:r>
        <w:rPr>
          <w:rFonts w:hint="eastAsia" w:hAnsi="宋体" w:cs="宋体"/>
          <w:highlight w:val="none"/>
        </w:rPr>
        <w:t>1.1.1 合同</w:t>
      </w:r>
    </w:p>
    <w:p>
      <w:pPr>
        <w:spacing w:line="360" w:lineRule="auto"/>
        <w:ind w:firstLine="480" w:firstLineChars="200"/>
        <w:rPr>
          <w:rFonts w:hAnsi="宋体" w:cs="宋体"/>
          <w:highlight w:val="none"/>
        </w:rPr>
      </w:pPr>
      <w:r>
        <w:rPr>
          <w:rFonts w:hint="eastAsia" w:hAnsi="宋体" w:cs="宋体"/>
          <w:highlight w:val="none"/>
        </w:rPr>
        <w:t>1.1.1.1 合同文件（或称合同）：指合同协议书、中标通知书、投标函、商务和技术偏离表、专用合同条款、通用合同条款、供货要求、分项报价表、中标货物技术性能指标的详细描述、技术服务和质保期服务计划，以及其他构成合同组成部分的文件。</w:t>
      </w:r>
    </w:p>
    <w:p>
      <w:pPr>
        <w:spacing w:line="360" w:lineRule="auto"/>
        <w:ind w:firstLine="480" w:firstLineChars="200"/>
        <w:rPr>
          <w:rFonts w:hAnsi="宋体" w:cs="宋体"/>
          <w:highlight w:val="none"/>
        </w:rPr>
      </w:pPr>
      <w:r>
        <w:rPr>
          <w:rFonts w:hint="eastAsia" w:hAnsi="宋体" w:cs="宋体"/>
          <w:highlight w:val="none"/>
        </w:rPr>
        <w:t>1.1.1.2 合同协议书：指买方和卖方共同签署的合同协议书。</w:t>
      </w:r>
    </w:p>
    <w:p>
      <w:pPr>
        <w:spacing w:line="360" w:lineRule="auto"/>
        <w:ind w:firstLine="480" w:firstLineChars="200"/>
        <w:rPr>
          <w:rFonts w:hAnsi="宋体" w:cs="宋体"/>
          <w:highlight w:val="none"/>
        </w:rPr>
      </w:pPr>
      <w:r>
        <w:rPr>
          <w:rFonts w:hint="eastAsia" w:hAnsi="宋体" w:cs="宋体"/>
          <w:highlight w:val="none"/>
        </w:rPr>
        <w:t>1.1.1.3 中标通知书：指买方通知卖方中标的函件。</w:t>
      </w:r>
    </w:p>
    <w:p>
      <w:pPr>
        <w:spacing w:line="360" w:lineRule="auto"/>
        <w:ind w:firstLine="480" w:firstLineChars="200"/>
        <w:rPr>
          <w:rFonts w:hAnsi="宋体" w:cs="宋体"/>
          <w:highlight w:val="none"/>
        </w:rPr>
      </w:pPr>
      <w:r>
        <w:rPr>
          <w:rFonts w:hint="eastAsia" w:hAnsi="宋体" w:cs="宋体"/>
          <w:highlight w:val="none"/>
        </w:rPr>
        <w:t>1.1.1.4 投标函：指由卖方填写并签署的，名为“投标函”的函件。</w:t>
      </w:r>
    </w:p>
    <w:p>
      <w:pPr>
        <w:spacing w:line="360" w:lineRule="auto"/>
        <w:ind w:firstLine="480" w:firstLineChars="200"/>
        <w:rPr>
          <w:rFonts w:hAnsi="宋体" w:cs="宋体"/>
          <w:highlight w:val="none"/>
        </w:rPr>
      </w:pPr>
      <w:r>
        <w:rPr>
          <w:rFonts w:hint="eastAsia" w:hAnsi="宋体" w:cs="宋体"/>
          <w:highlight w:val="none"/>
        </w:rPr>
        <w:t>1.1.1.5 商务和技术偏离表：指卖方投标文件中的商务和技术偏离表。</w:t>
      </w:r>
    </w:p>
    <w:p>
      <w:pPr>
        <w:spacing w:line="360" w:lineRule="auto"/>
        <w:ind w:firstLine="480" w:firstLineChars="200"/>
        <w:rPr>
          <w:rFonts w:hAnsi="宋体" w:cs="宋体"/>
          <w:highlight w:val="none"/>
        </w:rPr>
      </w:pPr>
      <w:r>
        <w:rPr>
          <w:rFonts w:hint="eastAsia" w:hAnsi="宋体" w:cs="宋体"/>
          <w:highlight w:val="none"/>
        </w:rPr>
        <w:t>1.1.1.6 供货要求：指合同文件中名为“供货要求”的文件。</w:t>
      </w:r>
    </w:p>
    <w:p>
      <w:pPr>
        <w:spacing w:line="360" w:lineRule="auto"/>
        <w:ind w:firstLine="480" w:firstLineChars="200"/>
        <w:rPr>
          <w:rFonts w:hAnsi="宋体" w:cs="宋体"/>
          <w:highlight w:val="none"/>
        </w:rPr>
      </w:pPr>
      <w:r>
        <w:rPr>
          <w:rFonts w:hint="eastAsia" w:hAnsi="宋体" w:cs="宋体"/>
          <w:highlight w:val="none"/>
        </w:rPr>
        <w:t>1.1.1.7 中标货物技术性能指标的详细描述：指卖方投标文件中的投标货物技术性能指标的详细描述。</w:t>
      </w:r>
    </w:p>
    <w:p>
      <w:pPr>
        <w:spacing w:line="360" w:lineRule="auto"/>
        <w:ind w:firstLine="480" w:firstLineChars="200"/>
        <w:rPr>
          <w:rFonts w:hAnsi="宋体" w:cs="宋体"/>
          <w:highlight w:val="none"/>
        </w:rPr>
      </w:pPr>
      <w:r>
        <w:rPr>
          <w:rFonts w:hint="eastAsia" w:hAnsi="宋体" w:cs="宋体"/>
          <w:highlight w:val="none"/>
        </w:rPr>
        <w:t>1.1.1.8 技术服务和质保期服务计划：指卖方投标文件中的技术服务和质保期服务计划。</w:t>
      </w:r>
    </w:p>
    <w:p>
      <w:pPr>
        <w:spacing w:line="360" w:lineRule="auto"/>
        <w:ind w:firstLine="480" w:firstLineChars="200"/>
        <w:rPr>
          <w:rFonts w:hAnsi="宋体" w:cs="宋体"/>
          <w:highlight w:val="none"/>
        </w:rPr>
      </w:pPr>
      <w:r>
        <w:rPr>
          <w:rFonts w:hint="eastAsia" w:hAnsi="宋体" w:cs="宋体"/>
          <w:highlight w:val="none"/>
        </w:rPr>
        <w:t>1.1.1.9 分项报价表：指卖方投标文件中的分项报价表。</w:t>
      </w:r>
    </w:p>
    <w:p>
      <w:pPr>
        <w:spacing w:line="360" w:lineRule="auto"/>
        <w:ind w:firstLine="480" w:firstLineChars="200"/>
        <w:rPr>
          <w:rFonts w:hAnsi="宋体" w:cs="宋体"/>
          <w:highlight w:val="none"/>
        </w:rPr>
      </w:pPr>
      <w:r>
        <w:rPr>
          <w:rFonts w:hint="eastAsia" w:hAnsi="宋体" w:cs="宋体"/>
          <w:highlight w:val="none"/>
        </w:rPr>
        <w:t>1.1.1.10 其他合同文件：指经合同双方当事人确认构成合同文件的其他文件。</w:t>
      </w:r>
    </w:p>
    <w:p>
      <w:pPr>
        <w:spacing w:line="360" w:lineRule="auto"/>
        <w:ind w:firstLine="480" w:firstLineChars="200"/>
        <w:rPr>
          <w:rFonts w:hAnsi="宋体" w:cs="宋体"/>
          <w:bCs/>
          <w:highlight w:val="none"/>
        </w:rPr>
      </w:pPr>
      <w:r>
        <w:rPr>
          <w:rFonts w:hint="eastAsia" w:hAnsi="宋体" w:cs="宋体"/>
          <w:bCs/>
          <w:highlight w:val="none"/>
        </w:rPr>
        <w:t>1.1.2 合同当事人</w:t>
      </w:r>
    </w:p>
    <w:p>
      <w:pPr>
        <w:spacing w:line="360" w:lineRule="auto"/>
        <w:ind w:firstLine="480" w:firstLineChars="200"/>
        <w:rPr>
          <w:rFonts w:hAnsi="宋体" w:cs="宋体"/>
          <w:bCs/>
          <w:highlight w:val="none"/>
        </w:rPr>
      </w:pPr>
      <w:r>
        <w:rPr>
          <w:rFonts w:hint="eastAsia" w:hAnsi="宋体" w:cs="宋体"/>
          <w:bCs/>
          <w:highlight w:val="none"/>
        </w:rPr>
        <w:t>1.1.2.1 合同当事人：指买方和（或）卖方。</w:t>
      </w:r>
    </w:p>
    <w:p>
      <w:pPr>
        <w:spacing w:line="360" w:lineRule="auto"/>
        <w:ind w:firstLine="480" w:firstLineChars="200"/>
        <w:rPr>
          <w:rFonts w:hAnsi="宋体" w:cs="宋体"/>
          <w:bCs/>
          <w:highlight w:val="none"/>
        </w:rPr>
      </w:pPr>
      <w:r>
        <w:rPr>
          <w:rFonts w:hint="eastAsia" w:hAnsi="宋体" w:cs="宋体"/>
          <w:bCs/>
          <w:highlight w:val="none"/>
        </w:rPr>
        <w:t>1.1.2.2 买方：指与卖方签订合同协议书，购买合同货物和技术服务和质保期服务的当事人，及其合法继承人。</w:t>
      </w:r>
    </w:p>
    <w:p>
      <w:pPr>
        <w:spacing w:line="360" w:lineRule="auto"/>
        <w:ind w:firstLine="480" w:firstLineChars="200"/>
        <w:rPr>
          <w:rFonts w:hAnsi="宋体" w:cs="宋体"/>
          <w:bCs/>
          <w:highlight w:val="none"/>
        </w:rPr>
      </w:pPr>
      <w:r>
        <w:rPr>
          <w:rFonts w:hint="eastAsia" w:hAnsi="宋体" w:cs="宋体"/>
          <w:bCs/>
          <w:highlight w:val="none"/>
        </w:rPr>
        <w:t>1.1.2.3 卖方：指与买方签订合同协议书，提供合同货物和技术服务和质保期服务的当事人，及其合法继承人。</w:t>
      </w:r>
    </w:p>
    <w:p>
      <w:pPr>
        <w:spacing w:line="360" w:lineRule="auto"/>
        <w:ind w:firstLine="480" w:firstLineChars="200"/>
        <w:rPr>
          <w:rFonts w:hAnsi="宋体" w:cs="宋体"/>
          <w:bCs/>
          <w:highlight w:val="none"/>
        </w:rPr>
      </w:pPr>
      <w:r>
        <w:rPr>
          <w:rFonts w:hint="eastAsia" w:hAnsi="宋体" w:cs="宋体"/>
          <w:bCs/>
          <w:highlight w:val="none"/>
        </w:rPr>
        <w:t>1.1.3 合同价格</w:t>
      </w:r>
    </w:p>
    <w:p>
      <w:pPr>
        <w:spacing w:line="360" w:lineRule="auto"/>
        <w:ind w:firstLine="480" w:firstLineChars="200"/>
        <w:rPr>
          <w:rFonts w:hAnsi="宋体" w:cs="宋体"/>
          <w:bCs/>
          <w:highlight w:val="none"/>
        </w:rPr>
      </w:pPr>
      <w:r>
        <w:rPr>
          <w:rFonts w:hint="eastAsia" w:hAnsi="宋体" w:cs="宋体"/>
          <w:bCs/>
          <w:highlight w:val="none"/>
        </w:rPr>
        <w:t>1.1.3.1 签约合同价：是签订合同时合同协议书中写明的合同总金额。</w:t>
      </w:r>
    </w:p>
    <w:p>
      <w:pPr>
        <w:spacing w:line="360" w:lineRule="auto"/>
        <w:ind w:firstLine="480" w:firstLineChars="200"/>
        <w:rPr>
          <w:rFonts w:hAnsi="宋体" w:cs="宋体"/>
          <w:bCs/>
          <w:highlight w:val="none"/>
        </w:rPr>
      </w:pPr>
      <w:r>
        <w:rPr>
          <w:rFonts w:hint="eastAsia" w:hAnsi="宋体" w:cs="宋体"/>
          <w:bCs/>
          <w:highlight w:val="none"/>
        </w:rPr>
        <w:t>1.1.3.2 合同价格：指卖方按合同约定履行了全部合同义务后，买方应付给卖方的金额。</w:t>
      </w:r>
    </w:p>
    <w:p>
      <w:pPr>
        <w:spacing w:line="360" w:lineRule="auto"/>
        <w:ind w:firstLine="480" w:firstLineChars="200"/>
        <w:rPr>
          <w:rFonts w:hAnsi="宋体" w:cs="宋体"/>
          <w:highlight w:val="none"/>
        </w:rPr>
      </w:pPr>
      <w:r>
        <w:rPr>
          <w:rFonts w:hint="eastAsia" w:hAnsi="宋体" w:cs="宋体"/>
          <w:highlight w:val="none"/>
        </w:rPr>
        <w:t>1.1.4 合同货物：指卖方按合同约定应向买方提供的设备、装置、备品、备件、易损易耗件、配套使用的软件或其他辅助电子应用程序及技术资料，或其中任何一部分。</w:t>
      </w:r>
    </w:p>
    <w:p>
      <w:pPr>
        <w:spacing w:line="360" w:lineRule="auto"/>
        <w:ind w:firstLine="480" w:firstLineChars="200"/>
        <w:rPr>
          <w:rFonts w:hAnsi="宋体" w:cs="宋体"/>
          <w:highlight w:val="none"/>
        </w:rPr>
      </w:pPr>
      <w:r>
        <w:rPr>
          <w:rFonts w:hint="eastAsia" w:hAnsi="宋体" w:cs="宋体"/>
          <w:highlight w:val="none"/>
        </w:rPr>
        <w:t>1.1.5 技术资料：指各种纸质及电子载体的与合同货物的设计、检验、安装、调试、考核、操作、维修以及保养等有关的技术指标、规格、图纸和说明文件。</w:t>
      </w:r>
    </w:p>
    <w:p>
      <w:pPr>
        <w:spacing w:line="360" w:lineRule="auto"/>
        <w:ind w:firstLine="480" w:firstLineChars="200"/>
        <w:rPr>
          <w:rFonts w:hAnsi="宋体" w:cs="宋体"/>
          <w:highlight w:val="none"/>
        </w:rPr>
      </w:pPr>
      <w:r>
        <w:rPr>
          <w:rFonts w:hint="eastAsia" w:hAnsi="宋体" w:cs="宋体"/>
          <w:highlight w:val="none"/>
        </w:rPr>
        <w:t>1.1.6 安装：指对合同货物进行的组装、连接以</w:t>
      </w:r>
      <w:bookmarkStart w:id="564" w:name="_Toc15914"/>
      <w:r>
        <w:rPr>
          <w:rFonts w:hint="eastAsia" w:hAnsi="宋体" w:cs="宋体"/>
          <w:highlight w:val="none"/>
        </w:rPr>
        <w:t>及根据需要将合同货物固定在施</w:t>
      </w:r>
      <w:bookmarkEnd w:id="564"/>
      <w:r>
        <w:rPr>
          <w:rFonts w:hint="eastAsia" w:hAnsi="宋体" w:cs="宋体"/>
          <w:highlight w:val="none"/>
        </w:rPr>
        <w:t>工场地内一定的位置上，使其就位并与相关设备、工程实现连接。</w:t>
      </w:r>
    </w:p>
    <w:p>
      <w:pPr>
        <w:spacing w:line="360" w:lineRule="auto"/>
        <w:ind w:firstLine="480" w:firstLineChars="200"/>
        <w:rPr>
          <w:rFonts w:hAnsi="宋体" w:cs="宋体"/>
          <w:highlight w:val="none"/>
        </w:rPr>
      </w:pPr>
      <w:r>
        <w:rPr>
          <w:rFonts w:hint="eastAsia" w:hAnsi="宋体" w:cs="宋体"/>
          <w:highlight w:val="none"/>
        </w:rPr>
        <w:t>1.1.7 调试：指在合同货物安装完成后，对合同货物所进行的调校和测试。</w:t>
      </w:r>
    </w:p>
    <w:p>
      <w:pPr>
        <w:spacing w:line="360" w:lineRule="auto"/>
        <w:ind w:firstLine="480" w:firstLineChars="200"/>
        <w:rPr>
          <w:rFonts w:hAnsi="宋体" w:cs="宋体"/>
          <w:highlight w:val="none"/>
        </w:rPr>
      </w:pPr>
      <w:r>
        <w:rPr>
          <w:rFonts w:hint="eastAsia" w:hAnsi="宋体" w:cs="宋体"/>
          <w:highlight w:val="none"/>
        </w:rPr>
        <w:t>1.1.8 考核：指在合同货物调试完成后，对合同货物进行的用于确定其是否达到合同约定的技术性能考核指标的考核。</w:t>
      </w:r>
    </w:p>
    <w:p>
      <w:pPr>
        <w:spacing w:line="360" w:lineRule="auto"/>
        <w:ind w:firstLine="480" w:firstLineChars="200"/>
        <w:rPr>
          <w:rFonts w:hAnsi="宋体" w:cs="宋体"/>
          <w:highlight w:val="none"/>
        </w:rPr>
      </w:pPr>
      <w:r>
        <w:rPr>
          <w:rFonts w:hint="eastAsia" w:hAnsi="宋体" w:cs="宋体"/>
          <w:highlight w:val="none"/>
        </w:rPr>
        <w:t>1.1.9 验收：指合同货物通过考核达到合同约定的技术性能考核指标后，买方作出接受合同货物的确认。</w:t>
      </w:r>
    </w:p>
    <w:p>
      <w:pPr>
        <w:spacing w:line="360" w:lineRule="auto"/>
        <w:ind w:firstLine="480" w:firstLineChars="200"/>
        <w:rPr>
          <w:rFonts w:hAnsi="宋体" w:cs="宋体"/>
          <w:highlight w:val="none"/>
        </w:rPr>
      </w:pPr>
      <w:r>
        <w:rPr>
          <w:rFonts w:hint="eastAsia" w:hAnsi="宋体" w:cs="宋体"/>
          <w:highlight w:val="none"/>
        </w:rPr>
        <w:t>1.1.10 技术服务：指卖方按合同约定，在合同货物验收前，向买方提供的安装、调试、培训等，或者在由买方负责的安装、调试、考核中对买方进行的技术指导、协助、监督和培训等。</w:t>
      </w:r>
    </w:p>
    <w:p>
      <w:pPr>
        <w:spacing w:line="360" w:lineRule="auto"/>
        <w:ind w:firstLine="480" w:firstLineChars="200"/>
        <w:rPr>
          <w:rFonts w:hAnsi="宋体" w:cs="宋体"/>
          <w:highlight w:val="none"/>
        </w:rPr>
      </w:pPr>
      <w:r>
        <w:rPr>
          <w:rFonts w:hint="eastAsia" w:hAnsi="宋体" w:cs="宋体"/>
          <w:highlight w:val="none"/>
        </w:rPr>
        <w:t>1.1.11</w:t>
      </w:r>
      <w:bookmarkStart w:id="565" w:name="_Toc17041"/>
      <w:r>
        <w:rPr>
          <w:rFonts w:hint="eastAsia" w:hAnsi="宋体" w:cs="宋体"/>
          <w:highlight w:val="none"/>
        </w:rPr>
        <w:t xml:space="preserve"> 质量保证期：指合</w:t>
      </w:r>
      <w:bookmarkEnd w:id="565"/>
      <w:r>
        <w:rPr>
          <w:rFonts w:hint="eastAsia" w:hAnsi="宋体" w:cs="宋体"/>
          <w:highlight w:val="none"/>
        </w:rPr>
        <w:t>同货物验收后，卖方按合同约定保证合同货物适当、稳定运行，并负责消除合同货物故障的期限。</w:t>
      </w:r>
    </w:p>
    <w:p>
      <w:pPr>
        <w:spacing w:line="360" w:lineRule="auto"/>
        <w:ind w:firstLine="480" w:firstLineChars="200"/>
        <w:rPr>
          <w:rFonts w:hAnsi="宋体" w:cs="宋体"/>
          <w:highlight w:val="none"/>
        </w:rPr>
      </w:pPr>
      <w:r>
        <w:rPr>
          <w:rFonts w:hint="eastAsia" w:hAnsi="宋体" w:cs="宋体"/>
          <w:highlight w:val="none"/>
        </w:rPr>
        <w:t>1.1.12 质保期服务：指在质量保证期内，卖方向买方提供的合同货物维护服务、咨询服务、技术指导、协助以及对出现故障的合同货物进行修理或更换的服务。</w:t>
      </w:r>
    </w:p>
    <w:p>
      <w:pPr>
        <w:spacing w:line="360" w:lineRule="auto"/>
        <w:ind w:firstLine="480" w:firstLineChars="200"/>
        <w:rPr>
          <w:rFonts w:hAnsi="宋体" w:cs="宋体"/>
          <w:highlight w:val="none"/>
        </w:rPr>
      </w:pPr>
      <w:r>
        <w:rPr>
          <w:rFonts w:hint="eastAsia" w:hAnsi="宋体" w:cs="宋体"/>
          <w:highlight w:val="none"/>
        </w:rPr>
        <w:t>1.1.13 工程</w:t>
      </w:r>
    </w:p>
    <w:p>
      <w:pPr>
        <w:spacing w:line="360" w:lineRule="auto"/>
        <w:ind w:firstLine="480" w:firstLineChars="200"/>
        <w:rPr>
          <w:rFonts w:hAnsi="宋体" w:cs="宋体"/>
          <w:highlight w:val="none"/>
        </w:rPr>
      </w:pPr>
      <w:bookmarkStart w:id="566" w:name="_Toc30842"/>
      <w:bookmarkStart w:id="567" w:name="_Toc152042387"/>
      <w:bookmarkStart w:id="568" w:name="_Toc144974577"/>
      <w:bookmarkStart w:id="569" w:name="_Toc300835030"/>
      <w:bookmarkStart w:id="570" w:name="_Toc361508657"/>
      <w:bookmarkStart w:id="571" w:name="_Toc152045609"/>
      <w:bookmarkStart w:id="572" w:name="_Toc384308283"/>
      <w:bookmarkStart w:id="573" w:name="_Toc247514033"/>
      <w:bookmarkStart w:id="574" w:name="_Toc247527634"/>
      <w:bookmarkStart w:id="575" w:name="_Toc369531599"/>
      <w:bookmarkStart w:id="576" w:name="_Toc184635098"/>
      <w:bookmarkStart w:id="577" w:name="_Toc296602499"/>
      <w:bookmarkStart w:id="578" w:name="_Toc247085769"/>
      <w:bookmarkStart w:id="579" w:name="_Toc246996997"/>
      <w:bookmarkStart w:id="580" w:name="_Toc246996254"/>
      <w:r>
        <w:rPr>
          <w:rFonts w:hint="eastAsia" w:hAnsi="宋体" w:cs="宋体"/>
          <w:highlight w:val="none"/>
        </w:rPr>
        <w:t>1.1.13.1 工程：</w:t>
      </w:r>
      <w:bookmarkEnd w:id="566"/>
      <w:bookmarkEnd w:id="567"/>
      <w:bookmarkEnd w:id="568"/>
      <w:bookmarkEnd w:id="569"/>
      <w:bookmarkEnd w:id="570"/>
      <w:bookmarkEnd w:id="571"/>
      <w:bookmarkEnd w:id="572"/>
      <w:bookmarkEnd w:id="573"/>
      <w:bookmarkEnd w:id="574"/>
      <w:bookmarkEnd w:id="575"/>
      <w:r>
        <w:rPr>
          <w:rFonts w:hint="eastAsia" w:hAnsi="宋体" w:cs="宋体"/>
          <w:highlight w:val="none"/>
        </w:rPr>
        <w:t>指在专用合同条款中指明的，安装运行</w:t>
      </w:r>
      <w:bookmarkEnd w:id="576"/>
      <w:bookmarkEnd w:id="577"/>
      <w:bookmarkEnd w:id="578"/>
      <w:bookmarkEnd w:id="579"/>
      <w:bookmarkEnd w:id="580"/>
      <w:bookmarkStart w:id="581" w:name="_Toc9002"/>
      <w:r>
        <w:rPr>
          <w:rFonts w:hint="eastAsia" w:hAnsi="宋体" w:cs="宋体"/>
          <w:highlight w:val="none"/>
        </w:rPr>
        <w:t>合同货物</w:t>
      </w:r>
      <w:bookmarkEnd w:id="581"/>
      <w:bookmarkStart w:id="582" w:name="_Toc6626"/>
      <w:r>
        <w:rPr>
          <w:rFonts w:hint="eastAsia" w:hAnsi="宋体" w:cs="宋体"/>
          <w:highlight w:val="none"/>
        </w:rPr>
        <w:t>的工程。</w:t>
      </w:r>
    </w:p>
    <w:p>
      <w:pPr>
        <w:spacing w:line="360" w:lineRule="auto"/>
        <w:ind w:firstLine="480" w:firstLineChars="200"/>
        <w:rPr>
          <w:rFonts w:hAnsi="宋体" w:cs="宋体"/>
          <w:highlight w:val="none"/>
        </w:rPr>
      </w:pPr>
      <w:r>
        <w:rPr>
          <w:rFonts w:hint="eastAsia" w:hAnsi="宋体" w:cs="宋体"/>
          <w:highlight w:val="none"/>
        </w:rPr>
        <w:t>1.1</w:t>
      </w:r>
      <w:bookmarkEnd w:id="582"/>
      <w:r>
        <w:rPr>
          <w:rFonts w:hint="eastAsia" w:hAnsi="宋体" w:cs="宋体"/>
          <w:highlight w:val="none"/>
        </w:rPr>
        <w:t>.13.2 施工场地（或称工地、施工现场）：指专用合同条款中指明的工程所在场所。</w:t>
      </w:r>
    </w:p>
    <w:p>
      <w:pPr>
        <w:spacing w:line="360" w:lineRule="auto"/>
        <w:ind w:firstLine="480" w:firstLineChars="200"/>
        <w:rPr>
          <w:rFonts w:hAnsi="宋体" w:cs="宋体"/>
          <w:highlight w:val="none"/>
        </w:rPr>
      </w:pPr>
      <w:r>
        <w:rPr>
          <w:rFonts w:hint="eastAsia" w:hAnsi="宋体" w:cs="宋体"/>
          <w:highlight w:val="none"/>
        </w:rPr>
        <w:t>1.1.14 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480" w:firstLineChars="200"/>
        <w:rPr>
          <w:rFonts w:hAnsi="宋体" w:cs="宋体"/>
          <w:highlight w:val="none"/>
        </w:rPr>
      </w:pPr>
      <w:r>
        <w:rPr>
          <w:rFonts w:hint="eastAsia" w:hAnsi="宋体" w:cs="宋体"/>
          <w:highlight w:val="none"/>
        </w:rPr>
        <w:t>1.1.15 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480" w:firstLineChars="200"/>
        <w:rPr>
          <w:rFonts w:hAnsi="宋体" w:cs="宋体"/>
          <w:highlight w:val="none"/>
        </w:rPr>
      </w:pPr>
      <w:r>
        <w:rPr>
          <w:rFonts w:hint="eastAsia" w:hAnsi="宋体" w:cs="宋体"/>
          <w:highlight w:val="none"/>
        </w:rPr>
        <w:t>1.1.16 书面形式：指合同文件、信件和数据电文（包括电报、电传、传真、电子数据交换和电子邮件）等可以有形地表现所载内容的形式。</w:t>
      </w:r>
    </w:p>
    <w:p>
      <w:pPr>
        <w:spacing w:line="360" w:lineRule="auto"/>
        <w:ind w:firstLine="137"/>
        <w:outlineLvl w:val="3"/>
        <w:rPr>
          <w:rFonts w:ascii="黑体" w:hAnsi="黑体" w:eastAsia="黑体" w:cs="黑体"/>
          <w:highlight w:val="none"/>
        </w:rPr>
      </w:pPr>
      <w:bookmarkStart w:id="583" w:name="_Toc501460737"/>
      <w:bookmarkStart w:id="584" w:name="_Toc482188728"/>
      <w:r>
        <w:rPr>
          <w:rFonts w:hint="eastAsia" w:ascii="黑体" w:hAnsi="黑体" w:eastAsia="黑体" w:cs="黑体"/>
          <w:highlight w:val="none"/>
        </w:rPr>
        <w:t>1.2 语言文字</w:t>
      </w:r>
      <w:bookmarkEnd w:id="583"/>
      <w:bookmarkEnd w:id="584"/>
    </w:p>
    <w:p>
      <w:pPr>
        <w:spacing w:line="360" w:lineRule="auto"/>
        <w:ind w:firstLine="480" w:firstLineChars="200"/>
        <w:rPr>
          <w:rFonts w:hAnsi="宋体" w:cs="宋体"/>
          <w:highlight w:val="none"/>
        </w:rPr>
      </w:pPr>
      <w:r>
        <w:rPr>
          <w:rFonts w:hint="eastAsia" w:hAnsi="宋体" w:cs="宋体"/>
          <w:highlight w:val="none"/>
        </w:rPr>
        <w:t>合同使用的语言文字为中文。专用术语使用外文的，应附有中文注释。</w:t>
      </w:r>
    </w:p>
    <w:p>
      <w:pPr>
        <w:spacing w:line="360" w:lineRule="auto"/>
        <w:ind w:firstLine="137"/>
        <w:outlineLvl w:val="3"/>
        <w:rPr>
          <w:rFonts w:ascii="黑体" w:hAnsi="黑体" w:eastAsia="黑体" w:cs="黑体"/>
          <w:highlight w:val="none"/>
        </w:rPr>
      </w:pPr>
      <w:bookmarkStart w:id="585" w:name="_Toc501460738"/>
      <w:bookmarkStart w:id="586" w:name="_Toc482188729"/>
      <w:r>
        <w:rPr>
          <w:rFonts w:hint="eastAsia" w:ascii="黑体" w:hAnsi="黑体" w:eastAsia="黑体" w:cs="黑体"/>
          <w:highlight w:val="none"/>
        </w:rPr>
        <w:t>1.3合同文件的优先顺序</w:t>
      </w:r>
      <w:bookmarkEnd w:id="585"/>
      <w:bookmarkEnd w:id="586"/>
    </w:p>
    <w:p>
      <w:pPr>
        <w:spacing w:line="360" w:lineRule="auto"/>
        <w:ind w:firstLine="480" w:firstLineChars="200"/>
        <w:rPr>
          <w:rFonts w:hAnsi="宋体" w:cs="宋体"/>
          <w:highlight w:val="none"/>
        </w:rPr>
      </w:pPr>
      <w:r>
        <w:rPr>
          <w:rFonts w:hint="eastAsia" w:hAnsi="宋体" w:cs="宋体"/>
          <w:highlight w:val="none"/>
        </w:rPr>
        <w:t>组成合同的各项文件应互相解释，互为说明。除专用合同条款另有约定外，解释合同文件的优先顺序如下：</w:t>
      </w:r>
    </w:p>
    <w:p>
      <w:pPr>
        <w:spacing w:line="360" w:lineRule="auto"/>
        <w:ind w:firstLine="480" w:firstLineChars="200"/>
        <w:rPr>
          <w:rFonts w:hAnsi="宋体" w:cs="宋体"/>
          <w:highlight w:val="none"/>
        </w:rPr>
      </w:pPr>
      <w:r>
        <w:rPr>
          <w:rFonts w:hint="eastAsia" w:hAnsi="宋体" w:cs="宋体"/>
          <w:highlight w:val="none"/>
        </w:rPr>
        <w:t>（1）合同协议书；</w:t>
      </w:r>
    </w:p>
    <w:p>
      <w:pPr>
        <w:spacing w:line="360" w:lineRule="auto"/>
        <w:ind w:firstLine="480" w:firstLineChars="200"/>
        <w:rPr>
          <w:rFonts w:hAnsi="宋体" w:cs="宋体"/>
          <w:highlight w:val="none"/>
        </w:rPr>
      </w:pPr>
      <w:r>
        <w:rPr>
          <w:rFonts w:hint="eastAsia" w:hAnsi="宋体" w:cs="宋体"/>
          <w:highlight w:val="none"/>
        </w:rPr>
        <w:t>（2）中标通知书；</w:t>
      </w:r>
    </w:p>
    <w:p>
      <w:pPr>
        <w:spacing w:line="360" w:lineRule="auto"/>
        <w:ind w:firstLine="480" w:firstLineChars="200"/>
        <w:rPr>
          <w:rFonts w:hAnsi="宋体" w:cs="宋体"/>
          <w:highlight w:val="none"/>
        </w:rPr>
      </w:pPr>
      <w:r>
        <w:rPr>
          <w:rFonts w:hint="eastAsia" w:hAnsi="宋体" w:cs="宋体"/>
          <w:highlight w:val="none"/>
        </w:rPr>
        <w:t>（3）投标函；</w:t>
      </w:r>
    </w:p>
    <w:p>
      <w:pPr>
        <w:spacing w:line="360" w:lineRule="auto"/>
        <w:ind w:firstLine="480" w:firstLineChars="200"/>
        <w:rPr>
          <w:rFonts w:hAnsi="宋体" w:cs="宋体"/>
          <w:highlight w:val="none"/>
        </w:rPr>
      </w:pPr>
      <w:r>
        <w:rPr>
          <w:rFonts w:hint="eastAsia" w:hAnsi="宋体" w:cs="宋体"/>
          <w:highlight w:val="none"/>
        </w:rPr>
        <w:t>（4）商务和技术偏差表；</w:t>
      </w:r>
    </w:p>
    <w:p>
      <w:pPr>
        <w:spacing w:line="360" w:lineRule="auto"/>
        <w:ind w:firstLine="480" w:firstLineChars="200"/>
        <w:rPr>
          <w:rFonts w:hAnsi="宋体" w:cs="宋体"/>
          <w:highlight w:val="none"/>
        </w:rPr>
      </w:pPr>
      <w:r>
        <w:rPr>
          <w:rFonts w:hint="eastAsia" w:hAnsi="宋体" w:cs="宋体"/>
          <w:highlight w:val="none"/>
        </w:rPr>
        <w:t>（5）专用合同条款；</w:t>
      </w:r>
    </w:p>
    <w:p>
      <w:pPr>
        <w:spacing w:line="360" w:lineRule="auto"/>
        <w:ind w:firstLine="480" w:firstLineChars="200"/>
        <w:rPr>
          <w:rFonts w:hAnsi="宋体" w:cs="宋体"/>
          <w:highlight w:val="none"/>
        </w:rPr>
      </w:pPr>
      <w:r>
        <w:rPr>
          <w:rFonts w:hint="eastAsia" w:hAnsi="宋体" w:cs="宋体"/>
          <w:highlight w:val="none"/>
        </w:rPr>
        <w:t>（6）通用合同条款；</w:t>
      </w:r>
    </w:p>
    <w:p>
      <w:pPr>
        <w:spacing w:line="360" w:lineRule="auto"/>
        <w:ind w:firstLine="480" w:firstLineChars="200"/>
        <w:rPr>
          <w:rFonts w:hAnsi="宋体" w:cs="宋体"/>
          <w:highlight w:val="none"/>
        </w:rPr>
      </w:pPr>
      <w:r>
        <w:rPr>
          <w:rFonts w:hint="eastAsia" w:hAnsi="宋体" w:cs="宋体"/>
          <w:highlight w:val="none"/>
        </w:rPr>
        <w:t>（7）供货要求；</w:t>
      </w:r>
    </w:p>
    <w:p>
      <w:pPr>
        <w:spacing w:line="360" w:lineRule="auto"/>
        <w:ind w:firstLine="480" w:firstLineChars="200"/>
        <w:rPr>
          <w:rFonts w:hAnsi="宋体" w:cs="宋体"/>
          <w:highlight w:val="none"/>
        </w:rPr>
      </w:pPr>
      <w:r>
        <w:rPr>
          <w:rFonts w:hint="eastAsia" w:hAnsi="宋体" w:cs="宋体"/>
          <w:highlight w:val="none"/>
        </w:rPr>
        <w:t>（8）分项报价表；</w:t>
      </w:r>
    </w:p>
    <w:p>
      <w:pPr>
        <w:spacing w:line="360" w:lineRule="auto"/>
        <w:ind w:firstLine="480" w:firstLineChars="200"/>
        <w:rPr>
          <w:rFonts w:hAnsi="宋体" w:cs="宋体"/>
          <w:highlight w:val="none"/>
        </w:rPr>
      </w:pPr>
      <w:r>
        <w:rPr>
          <w:rFonts w:hint="eastAsia" w:hAnsi="宋体" w:cs="宋体"/>
          <w:highlight w:val="none"/>
        </w:rPr>
        <w:t>（9）中标货物技术性能指标的详细描述；</w:t>
      </w:r>
    </w:p>
    <w:p>
      <w:pPr>
        <w:spacing w:line="360" w:lineRule="auto"/>
        <w:ind w:firstLine="480" w:firstLineChars="200"/>
        <w:rPr>
          <w:rFonts w:hAnsi="宋体" w:cs="宋体"/>
          <w:highlight w:val="none"/>
        </w:rPr>
      </w:pPr>
      <w:r>
        <w:rPr>
          <w:rFonts w:hint="eastAsia" w:hAnsi="宋体" w:cs="宋体"/>
          <w:highlight w:val="none"/>
        </w:rPr>
        <w:t>（10）技术服务和质保期服务计划；</w:t>
      </w:r>
    </w:p>
    <w:p>
      <w:pPr>
        <w:spacing w:line="360" w:lineRule="auto"/>
        <w:ind w:firstLine="480" w:firstLineChars="200"/>
        <w:rPr>
          <w:rFonts w:hAnsi="宋体" w:cs="宋体"/>
          <w:highlight w:val="none"/>
        </w:rPr>
      </w:pPr>
      <w:r>
        <w:rPr>
          <w:rFonts w:hint="eastAsia" w:hAnsi="宋体" w:cs="宋体"/>
          <w:highlight w:val="none"/>
        </w:rPr>
        <w:t>（11）其他合同文件。</w:t>
      </w:r>
    </w:p>
    <w:p>
      <w:pPr>
        <w:spacing w:line="360" w:lineRule="auto"/>
        <w:ind w:firstLine="137"/>
        <w:outlineLvl w:val="3"/>
        <w:rPr>
          <w:rFonts w:ascii="黑体" w:hAnsi="黑体" w:eastAsia="黑体" w:cs="黑体"/>
          <w:highlight w:val="none"/>
        </w:rPr>
      </w:pPr>
      <w:bookmarkStart w:id="587" w:name="_Toc482188730"/>
      <w:bookmarkStart w:id="588" w:name="_Toc501460739"/>
      <w:r>
        <w:rPr>
          <w:rFonts w:hint="eastAsia" w:ascii="黑体" w:hAnsi="黑体" w:eastAsia="黑体" w:cs="黑体"/>
          <w:highlight w:val="none"/>
        </w:rPr>
        <w:t>1.4 合同的生效及变更</w:t>
      </w:r>
      <w:bookmarkEnd w:id="587"/>
      <w:bookmarkEnd w:id="588"/>
    </w:p>
    <w:p>
      <w:pPr>
        <w:spacing w:line="360" w:lineRule="auto"/>
        <w:ind w:firstLine="480" w:firstLineChars="200"/>
        <w:rPr>
          <w:rFonts w:hAnsi="宋体" w:cs="宋体"/>
          <w:highlight w:val="none"/>
        </w:rPr>
      </w:pPr>
      <w:r>
        <w:rPr>
          <w:rFonts w:hint="eastAsia" w:hAnsi="宋体" w:cs="宋体"/>
          <w:highlight w:val="none"/>
        </w:rPr>
        <w:t>1.4.1 除专用合同条款另有约定外，买方和卖方的法定代表人（单位负责人）或其授权代表在合同协议书上签字并加盖单位章后，合同生效。</w:t>
      </w:r>
    </w:p>
    <w:p>
      <w:pPr>
        <w:spacing w:line="360" w:lineRule="auto"/>
        <w:ind w:firstLine="480" w:firstLineChars="200"/>
        <w:rPr>
          <w:rFonts w:hAnsi="宋体" w:cs="宋体"/>
          <w:highlight w:val="none"/>
        </w:rPr>
      </w:pPr>
      <w:r>
        <w:rPr>
          <w:rFonts w:hint="eastAsia" w:hAnsi="宋体" w:cs="宋体"/>
          <w:highlight w:val="none"/>
        </w:rPr>
        <w:t>1.4.2 除专用合同条款另有约定外，在合同履行过程中，如需对合同进行变更，双方应签订书面协议，并经双方法定代表人（单位负责人）或其授权代表签字并加盖单位章后生效。</w:t>
      </w:r>
    </w:p>
    <w:p>
      <w:pPr>
        <w:spacing w:line="360" w:lineRule="auto"/>
        <w:ind w:firstLine="137"/>
        <w:outlineLvl w:val="3"/>
        <w:rPr>
          <w:rFonts w:ascii="黑体" w:hAnsi="黑体" w:eastAsia="黑体" w:cs="黑体"/>
          <w:highlight w:val="none"/>
        </w:rPr>
      </w:pPr>
      <w:bookmarkStart w:id="589" w:name="_Toc501460740"/>
      <w:bookmarkStart w:id="590" w:name="_Toc482188731"/>
      <w:r>
        <w:rPr>
          <w:rFonts w:hint="eastAsia" w:ascii="黑体" w:hAnsi="黑体" w:eastAsia="黑体" w:cs="黑体"/>
          <w:highlight w:val="none"/>
        </w:rPr>
        <w:t>1.5联络</w:t>
      </w:r>
      <w:bookmarkEnd w:id="589"/>
      <w:bookmarkEnd w:id="590"/>
    </w:p>
    <w:p>
      <w:pPr>
        <w:spacing w:line="360" w:lineRule="auto"/>
        <w:ind w:firstLine="480" w:firstLineChars="200"/>
        <w:rPr>
          <w:rFonts w:hAnsi="宋体" w:cs="宋体"/>
          <w:highlight w:val="none"/>
        </w:rPr>
      </w:pPr>
      <w:r>
        <w:rPr>
          <w:rFonts w:hint="eastAsia" w:hAnsi="宋体" w:cs="宋体"/>
          <w:highlight w:val="none"/>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spacing w:line="360" w:lineRule="auto"/>
        <w:ind w:firstLine="480" w:firstLineChars="200"/>
        <w:rPr>
          <w:rFonts w:hAnsi="宋体" w:cs="宋体"/>
          <w:highlight w:val="none"/>
        </w:rPr>
      </w:pPr>
      <w:r>
        <w:rPr>
          <w:rFonts w:hint="eastAsia" w:hAnsi="宋体" w:cs="宋体"/>
          <w:highlight w:val="none"/>
        </w:rPr>
        <w:t>1.5.2 合同履行中或与合同有关的任何联络，送达到第1.5.1项指定的联系人即视为送达。</w:t>
      </w:r>
    </w:p>
    <w:p>
      <w:pPr>
        <w:spacing w:line="360" w:lineRule="auto"/>
        <w:ind w:firstLine="480" w:firstLineChars="200"/>
        <w:rPr>
          <w:rFonts w:hAnsi="宋体" w:cs="宋体"/>
          <w:highlight w:val="none"/>
        </w:rPr>
      </w:pPr>
      <w:r>
        <w:rPr>
          <w:rFonts w:hint="eastAsia" w:hAnsi="宋体" w:cs="宋体"/>
          <w:highlight w:val="none"/>
        </w:rPr>
        <w:t>1.5.3 买方可以安排监理等相关人员作为买方人员，与卖方进行联络或参加合同货物的监造（如有）、交货前检验（如有）、开箱检验、安装、调试、考核、验收等，但应按照第1.5.1项的约定事先书面通知卖方。</w:t>
      </w:r>
    </w:p>
    <w:p>
      <w:pPr>
        <w:spacing w:line="360" w:lineRule="auto"/>
        <w:ind w:firstLine="137"/>
        <w:outlineLvl w:val="3"/>
        <w:rPr>
          <w:rFonts w:ascii="黑体" w:hAnsi="黑体" w:eastAsia="黑体" w:cs="黑体"/>
          <w:highlight w:val="none"/>
        </w:rPr>
      </w:pPr>
      <w:bookmarkStart w:id="591" w:name="_Toc482188732"/>
      <w:bookmarkStart w:id="592" w:name="_Toc501460741"/>
      <w:r>
        <w:rPr>
          <w:rFonts w:hint="eastAsia" w:ascii="黑体" w:hAnsi="黑体" w:eastAsia="黑体" w:cs="黑体"/>
          <w:highlight w:val="none"/>
        </w:rPr>
        <w:t>1.6 联合体</w:t>
      </w:r>
      <w:bookmarkEnd w:id="591"/>
      <w:bookmarkEnd w:id="592"/>
    </w:p>
    <w:p>
      <w:pPr>
        <w:spacing w:line="360" w:lineRule="auto"/>
        <w:ind w:firstLine="480" w:firstLineChars="200"/>
        <w:rPr>
          <w:rFonts w:hAnsi="宋体" w:cs="宋体"/>
          <w:highlight w:val="none"/>
        </w:rPr>
      </w:pPr>
      <w:r>
        <w:rPr>
          <w:rFonts w:hint="eastAsia" w:hAnsi="宋体" w:cs="宋体"/>
          <w:highlight w:val="none"/>
        </w:rPr>
        <w:t>1.6.1 卖方为联合体的，联合体各方应当共同与买方签订合同，并向买方为履行合同承担连带责任。</w:t>
      </w:r>
    </w:p>
    <w:p>
      <w:pPr>
        <w:spacing w:line="360" w:lineRule="auto"/>
        <w:ind w:firstLine="480" w:firstLineChars="200"/>
        <w:rPr>
          <w:rFonts w:hAnsi="宋体" w:cs="宋体"/>
          <w:highlight w:val="none"/>
        </w:rPr>
      </w:pPr>
      <w:r>
        <w:rPr>
          <w:rFonts w:hint="eastAsia" w:hAnsi="宋体" w:cs="宋体"/>
          <w:highlight w:val="none"/>
        </w:rPr>
        <w:t>1.6.2 在合同履行过程中，未经买方同意，不得修改联合体协议。联合体协议中关于联合体成员间权利义务的划分，并不影响或减损联合体各方应就履行合同向买方承担的连带责任。</w:t>
      </w:r>
    </w:p>
    <w:p>
      <w:pPr>
        <w:spacing w:line="360" w:lineRule="auto"/>
        <w:ind w:firstLine="480" w:firstLineChars="200"/>
        <w:rPr>
          <w:rFonts w:hAnsi="宋体" w:cs="宋体"/>
          <w:highlight w:val="none"/>
        </w:rPr>
      </w:pPr>
      <w:r>
        <w:rPr>
          <w:rFonts w:hint="eastAsia" w:hAnsi="宋体" w:cs="宋体"/>
          <w:highlight w:val="none"/>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spacing w:line="360" w:lineRule="auto"/>
        <w:ind w:firstLine="137"/>
        <w:outlineLvl w:val="3"/>
        <w:rPr>
          <w:rFonts w:ascii="黑体" w:hAnsi="黑体" w:eastAsia="黑体" w:cs="黑体"/>
          <w:highlight w:val="none"/>
        </w:rPr>
      </w:pPr>
      <w:bookmarkStart w:id="593" w:name="_Toc482188733"/>
      <w:bookmarkStart w:id="594" w:name="_Toc501460742"/>
      <w:r>
        <w:rPr>
          <w:rFonts w:hint="eastAsia" w:ascii="黑体" w:hAnsi="黑体" w:eastAsia="黑体" w:cs="黑体"/>
          <w:highlight w:val="none"/>
        </w:rPr>
        <w:t>1.7 转让</w:t>
      </w:r>
      <w:bookmarkEnd w:id="593"/>
      <w:bookmarkEnd w:id="594"/>
    </w:p>
    <w:p>
      <w:pPr>
        <w:spacing w:line="360" w:lineRule="auto"/>
        <w:ind w:firstLine="480" w:firstLineChars="200"/>
        <w:rPr>
          <w:rFonts w:hAnsi="宋体" w:cs="宋体"/>
          <w:highlight w:val="none"/>
        </w:rPr>
      </w:pPr>
      <w:r>
        <w:rPr>
          <w:rFonts w:hint="eastAsia" w:hAnsi="宋体" w:cs="宋体"/>
          <w:highlight w:val="none"/>
        </w:rPr>
        <w:t>未经对方当事人书面同意，合同任何一方均不得转让其在合同项下的权利和（或）义务。</w:t>
      </w:r>
    </w:p>
    <w:p>
      <w:pPr>
        <w:spacing w:line="360" w:lineRule="auto"/>
        <w:ind w:firstLine="137"/>
        <w:outlineLvl w:val="2"/>
        <w:rPr>
          <w:rFonts w:ascii="黑体" w:hAnsi="黑体" w:eastAsia="黑体" w:cs="黑体"/>
          <w:sz w:val="28"/>
          <w:szCs w:val="28"/>
          <w:highlight w:val="none"/>
        </w:rPr>
      </w:pPr>
      <w:bookmarkStart w:id="595" w:name="_Toc501460743"/>
      <w:bookmarkStart w:id="596" w:name="_Toc26700478"/>
      <w:bookmarkStart w:id="597" w:name="_Toc15753904"/>
      <w:bookmarkStart w:id="598" w:name="_Toc26721537"/>
      <w:bookmarkStart w:id="599" w:name="_Toc482188734"/>
      <w:bookmarkStart w:id="600" w:name="_Toc26721382"/>
      <w:bookmarkStart w:id="601" w:name="_Toc26700648"/>
      <w:bookmarkStart w:id="602" w:name="_Toc24965148"/>
      <w:bookmarkStart w:id="603" w:name="_Toc17100668"/>
      <w:r>
        <w:rPr>
          <w:rFonts w:hint="eastAsia" w:ascii="黑体" w:hAnsi="黑体" w:eastAsia="黑体" w:cs="黑体"/>
          <w:sz w:val="28"/>
          <w:szCs w:val="28"/>
          <w:highlight w:val="none"/>
        </w:rPr>
        <w:t>2. 合同范围</w:t>
      </w:r>
      <w:bookmarkEnd w:id="595"/>
      <w:bookmarkEnd w:id="596"/>
      <w:bookmarkEnd w:id="597"/>
      <w:bookmarkEnd w:id="598"/>
      <w:bookmarkEnd w:id="599"/>
      <w:bookmarkEnd w:id="600"/>
      <w:bookmarkEnd w:id="601"/>
      <w:bookmarkEnd w:id="602"/>
      <w:bookmarkEnd w:id="603"/>
    </w:p>
    <w:p>
      <w:pPr>
        <w:spacing w:line="360" w:lineRule="auto"/>
        <w:ind w:firstLine="480" w:firstLineChars="200"/>
        <w:rPr>
          <w:rFonts w:hAnsi="宋体" w:cs="宋体"/>
          <w:highlight w:val="none"/>
        </w:rPr>
      </w:pPr>
      <w:r>
        <w:rPr>
          <w:rFonts w:hint="eastAsia" w:hAnsi="宋体" w:cs="宋体"/>
          <w:highlight w:val="none"/>
        </w:rPr>
        <w:t>卖方应根据供货要求、中标货物技术性能指标的详细描述、技术服务和质保期服务计划等合同文件的约定向买方提供合同货物、技术服务和质保期服务。</w:t>
      </w:r>
    </w:p>
    <w:p>
      <w:pPr>
        <w:spacing w:line="360" w:lineRule="auto"/>
        <w:ind w:firstLine="137"/>
        <w:outlineLvl w:val="2"/>
        <w:rPr>
          <w:rFonts w:ascii="黑体" w:hAnsi="黑体" w:eastAsia="黑体" w:cs="黑体"/>
          <w:sz w:val="28"/>
          <w:szCs w:val="28"/>
          <w:highlight w:val="none"/>
        </w:rPr>
      </w:pPr>
      <w:bookmarkStart w:id="604" w:name="_Toc26721538"/>
      <w:bookmarkStart w:id="605" w:name="_Toc501460744"/>
      <w:bookmarkStart w:id="606" w:name="_Toc26721383"/>
      <w:bookmarkStart w:id="607" w:name="_Toc26700479"/>
      <w:bookmarkStart w:id="608" w:name="_Toc482188735"/>
      <w:bookmarkStart w:id="609" w:name="_Toc24965149"/>
      <w:bookmarkStart w:id="610" w:name="_Toc17100669"/>
      <w:bookmarkStart w:id="611" w:name="_Toc15753905"/>
      <w:bookmarkStart w:id="612" w:name="_Toc26700649"/>
      <w:r>
        <w:rPr>
          <w:rFonts w:hint="eastAsia" w:ascii="黑体" w:hAnsi="黑体" w:eastAsia="黑体" w:cs="黑体"/>
          <w:sz w:val="28"/>
          <w:szCs w:val="28"/>
          <w:highlight w:val="none"/>
        </w:rPr>
        <w:t>3. 合同价格与支付</w:t>
      </w:r>
      <w:bookmarkEnd w:id="604"/>
      <w:bookmarkEnd w:id="605"/>
      <w:bookmarkEnd w:id="606"/>
      <w:bookmarkEnd w:id="607"/>
      <w:bookmarkEnd w:id="608"/>
      <w:bookmarkEnd w:id="609"/>
      <w:bookmarkEnd w:id="610"/>
      <w:bookmarkEnd w:id="611"/>
      <w:bookmarkEnd w:id="612"/>
    </w:p>
    <w:p>
      <w:pPr>
        <w:spacing w:line="360" w:lineRule="auto"/>
        <w:ind w:firstLine="137"/>
        <w:outlineLvl w:val="3"/>
        <w:rPr>
          <w:rFonts w:ascii="黑体" w:hAnsi="黑体" w:eastAsia="黑体" w:cs="黑体"/>
          <w:highlight w:val="none"/>
        </w:rPr>
      </w:pPr>
      <w:bookmarkStart w:id="613" w:name="_Toc501460745"/>
      <w:bookmarkStart w:id="614" w:name="_Toc482188736"/>
      <w:r>
        <w:rPr>
          <w:rFonts w:hint="eastAsia" w:ascii="黑体" w:hAnsi="黑体" w:eastAsia="黑体" w:cs="黑体"/>
          <w:highlight w:val="none"/>
        </w:rPr>
        <w:t>3.1 合同价格</w:t>
      </w:r>
      <w:bookmarkEnd w:id="613"/>
      <w:bookmarkEnd w:id="614"/>
    </w:p>
    <w:p>
      <w:pPr>
        <w:spacing w:line="360" w:lineRule="auto"/>
        <w:ind w:firstLine="480" w:firstLineChars="200"/>
        <w:rPr>
          <w:rFonts w:hAnsi="宋体" w:cs="宋体"/>
          <w:highlight w:val="none"/>
        </w:rPr>
      </w:pPr>
      <w:r>
        <w:rPr>
          <w:rFonts w:hint="eastAsia" w:hAnsi="宋体" w:cs="宋体"/>
          <w:highlight w:val="none"/>
        </w:rPr>
        <w:t>3.1.1 合同协议书中载明的签约合同价包括卖方为完成合同全部义务应承担的一切成本、费用和支出以及卖方的合理利润。</w:t>
      </w:r>
    </w:p>
    <w:p>
      <w:pPr>
        <w:spacing w:line="360" w:lineRule="auto"/>
        <w:ind w:firstLine="480" w:firstLineChars="200"/>
        <w:rPr>
          <w:rFonts w:hAnsi="宋体" w:cs="宋体"/>
          <w:highlight w:val="none"/>
        </w:rPr>
      </w:pPr>
      <w:r>
        <w:rPr>
          <w:rFonts w:hint="eastAsia" w:hAnsi="宋体" w:cs="宋体"/>
          <w:highlight w:val="none"/>
        </w:rPr>
        <w:t>3.1.2 除专用合同条款另有约定外，签约合同价为固定价格。</w:t>
      </w:r>
    </w:p>
    <w:p>
      <w:pPr>
        <w:spacing w:line="360" w:lineRule="auto"/>
        <w:ind w:firstLine="137"/>
        <w:outlineLvl w:val="3"/>
        <w:rPr>
          <w:rFonts w:ascii="黑体" w:hAnsi="黑体" w:eastAsia="黑体" w:cs="黑体"/>
          <w:highlight w:val="none"/>
        </w:rPr>
      </w:pPr>
      <w:bookmarkStart w:id="615" w:name="_Toc501460746"/>
      <w:bookmarkStart w:id="616" w:name="_Toc482188737"/>
      <w:r>
        <w:rPr>
          <w:rFonts w:hint="eastAsia" w:ascii="黑体" w:hAnsi="黑体" w:eastAsia="黑体" w:cs="黑体"/>
          <w:highlight w:val="none"/>
        </w:rPr>
        <w:t>3.2合同价款的支付</w:t>
      </w:r>
      <w:bookmarkEnd w:id="615"/>
      <w:bookmarkEnd w:id="616"/>
    </w:p>
    <w:p>
      <w:pPr>
        <w:spacing w:line="360" w:lineRule="auto"/>
        <w:ind w:firstLine="480" w:firstLineChars="200"/>
        <w:rPr>
          <w:rFonts w:hAnsi="宋体" w:cs="宋体"/>
          <w:highlight w:val="none"/>
        </w:rPr>
      </w:pPr>
      <w:r>
        <w:rPr>
          <w:rFonts w:hint="eastAsia" w:hAnsi="宋体" w:cs="宋体"/>
          <w:highlight w:val="none"/>
        </w:rPr>
        <w:t>除专用合同条款另有约定外，买方应通过以下方式和比例向卖方支付合同价款：</w:t>
      </w:r>
    </w:p>
    <w:p>
      <w:pPr>
        <w:spacing w:line="360" w:lineRule="auto"/>
        <w:ind w:firstLine="480" w:firstLineChars="200"/>
        <w:rPr>
          <w:rFonts w:hAnsi="宋体" w:cs="宋体"/>
          <w:szCs w:val="24"/>
          <w:highlight w:val="none"/>
        </w:rPr>
      </w:pPr>
      <w:bookmarkStart w:id="617" w:name="_Toc501460747"/>
      <w:bookmarkStart w:id="618" w:name="_Toc482188738"/>
      <w:r>
        <w:rPr>
          <w:rFonts w:hint="eastAsia" w:hAnsi="宋体" w:cs="宋体"/>
          <w:szCs w:val="24"/>
          <w:highlight w:val="none"/>
        </w:rPr>
        <w:t>3.2.1 预付款</w:t>
      </w:r>
    </w:p>
    <w:p>
      <w:pPr>
        <w:spacing w:line="360" w:lineRule="auto"/>
        <w:ind w:firstLine="480" w:firstLineChars="200"/>
        <w:rPr>
          <w:rStyle w:val="66"/>
          <w:rFonts w:hAnsi="宋体" w:cs="宋体"/>
          <w:sz w:val="24"/>
          <w:szCs w:val="24"/>
          <w:highlight w:val="none"/>
        </w:rPr>
      </w:pPr>
      <w:bookmarkStart w:id="619" w:name="_Toc8892"/>
      <w:bookmarkStart w:id="620" w:name="_Toc296602502"/>
      <w:bookmarkStart w:id="621" w:name="_Toc369531604"/>
      <w:r>
        <w:rPr>
          <w:rFonts w:hint="eastAsia" w:hAnsi="宋体" w:cs="宋体"/>
          <w:szCs w:val="24"/>
          <w:highlight w:val="none"/>
        </w:rPr>
        <w:t>合同生</w:t>
      </w:r>
      <w:bookmarkEnd w:id="619"/>
      <w:bookmarkEnd w:id="620"/>
      <w:bookmarkEnd w:id="621"/>
      <w:r>
        <w:rPr>
          <w:rFonts w:hint="eastAsia" w:hAnsi="宋体" w:cs="宋体"/>
          <w:szCs w:val="24"/>
          <w:highlight w:val="none"/>
        </w:rPr>
        <w:t>效后，买方在收到卖方</w:t>
      </w:r>
      <w:r>
        <w:rPr>
          <w:rFonts w:hint="eastAsia" w:hAnsi="宋体" w:cs="宋体"/>
          <w:szCs w:val="24"/>
          <w:highlight w:val="none"/>
          <w:lang w:val="zh-CN"/>
        </w:rPr>
        <w:t>开具的注明应付预付款金</w:t>
      </w:r>
      <w:bookmarkStart w:id="622" w:name="_Toc14602"/>
      <w:r>
        <w:rPr>
          <w:rFonts w:hint="eastAsia" w:hAnsi="宋体" w:cs="宋体"/>
          <w:szCs w:val="24"/>
          <w:highlight w:val="none"/>
          <w:lang w:val="zh-CN"/>
        </w:rPr>
        <w:t>额的财务收据正本一份</w:t>
      </w:r>
      <w:r>
        <w:rPr>
          <w:rFonts w:hint="eastAsia" w:hAnsi="宋体" w:cs="宋体"/>
          <w:szCs w:val="24"/>
          <w:highlight w:val="none"/>
        </w:rPr>
        <w:t>并经审核无</w:t>
      </w:r>
      <w:bookmarkEnd w:id="622"/>
      <w:r>
        <w:rPr>
          <w:rFonts w:hint="eastAsia" w:hAnsi="宋体" w:cs="宋体"/>
          <w:szCs w:val="24"/>
          <w:highlight w:val="none"/>
        </w:rPr>
        <w:t>误后28日内，向卖方支付签约合同价的10%</w:t>
      </w:r>
      <w:r>
        <w:rPr>
          <w:rStyle w:val="66"/>
          <w:rFonts w:hint="eastAsia" w:hAnsi="宋体" w:cs="宋体"/>
          <w:sz w:val="24"/>
          <w:szCs w:val="24"/>
          <w:highlight w:val="none"/>
        </w:rPr>
        <w:t>作为预付款。</w:t>
      </w:r>
    </w:p>
    <w:p>
      <w:pPr>
        <w:spacing w:line="360" w:lineRule="auto"/>
        <w:ind w:firstLine="480" w:firstLineChars="200"/>
        <w:rPr>
          <w:rFonts w:hAnsi="宋体" w:cs="宋体"/>
          <w:szCs w:val="24"/>
          <w:highlight w:val="none"/>
        </w:rPr>
      </w:pPr>
      <w:r>
        <w:rPr>
          <w:rStyle w:val="66"/>
          <w:rFonts w:hint="eastAsia" w:hAnsi="宋体" w:cs="宋体"/>
          <w:sz w:val="24"/>
          <w:szCs w:val="24"/>
          <w:highlight w:val="none"/>
        </w:rPr>
        <w:t>买方支付预付款后，如卖方未履行合同义务，则买方有权收回预付款；如卖方依约履行了合同义务，则预付款抵作合同价款。</w:t>
      </w:r>
    </w:p>
    <w:p>
      <w:pPr>
        <w:spacing w:line="360" w:lineRule="auto"/>
        <w:ind w:firstLine="480" w:firstLineChars="200"/>
        <w:rPr>
          <w:rFonts w:hAnsi="宋体" w:cs="宋体"/>
          <w:szCs w:val="24"/>
          <w:highlight w:val="none"/>
        </w:rPr>
      </w:pPr>
      <w:r>
        <w:rPr>
          <w:rFonts w:hint="eastAsia" w:hAnsi="宋体" w:cs="宋体"/>
          <w:szCs w:val="24"/>
          <w:highlight w:val="none"/>
        </w:rPr>
        <w:t>3.2.2 交货款</w:t>
      </w:r>
    </w:p>
    <w:p>
      <w:pPr>
        <w:spacing w:line="360" w:lineRule="auto"/>
        <w:ind w:firstLine="480" w:firstLineChars="200"/>
        <w:rPr>
          <w:rFonts w:hAnsi="宋体" w:cs="宋体"/>
          <w:szCs w:val="24"/>
          <w:highlight w:val="none"/>
        </w:rPr>
      </w:pPr>
      <w:r>
        <w:rPr>
          <w:rFonts w:hint="eastAsia" w:hAnsi="宋体" w:cs="宋体"/>
          <w:szCs w:val="24"/>
          <w:highlight w:val="none"/>
        </w:rPr>
        <w:t>卖方按合同约定交付全部合同货物后，买方在收到卖方</w:t>
      </w:r>
      <w:bookmarkStart w:id="623" w:name="_Toc16718"/>
      <w:r>
        <w:rPr>
          <w:rFonts w:hint="eastAsia" w:hAnsi="宋体" w:cs="宋体"/>
          <w:szCs w:val="24"/>
          <w:highlight w:val="none"/>
        </w:rPr>
        <w:t>提交的下列全部单据并经</w:t>
      </w:r>
      <w:bookmarkEnd w:id="623"/>
      <w:r>
        <w:rPr>
          <w:rFonts w:hint="eastAsia" w:hAnsi="宋体" w:cs="宋体"/>
          <w:szCs w:val="24"/>
          <w:highlight w:val="none"/>
        </w:rPr>
        <w:t>审核无误后28日内，向卖方支付合同价格的60%：</w:t>
      </w:r>
    </w:p>
    <w:p>
      <w:pPr>
        <w:spacing w:line="360" w:lineRule="auto"/>
        <w:ind w:firstLine="480" w:firstLineChars="200"/>
        <w:rPr>
          <w:rFonts w:hAnsi="宋体" w:cs="宋体"/>
          <w:szCs w:val="24"/>
          <w:highlight w:val="none"/>
        </w:rPr>
      </w:pPr>
      <w:r>
        <w:rPr>
          <w:rFonts w:hint="eastAsia" w:hAnsi="宋体" w:cs="宋体"/>
          <w:szCs w:val="24"/>
          <w:highlight w:val="none"/>
        </w:rPr>
        <w:t>（1）卖方出具的交货清单正本一份；</w:t>
      </w:r>
    </w:p>
    <w:p>
      <w:pPr>
        <w:spacing w:line="360" w:lineRule="auto"/>
        <w:ind w:firstLine="480" w:firstLineChars="200"/>
        <w:rPr>
          <w:rFonts w:hAnsi="宋体" w:cs="宋体"/>
          <w:szCs w:val="24"/>
          <w:highlight w:val="none"/>
        </w:rPr>
      </w:pPr>
      <w:r>
        <w:rPr>
          <w:rFonts w:hint="eastAsia" w:hAnsi="宋体" w:cs="宋体"/>
          <w:szCs w:val="24"/>
          <w:highlight w:val="none"/>
        </w:rPr>
        <w:t>（2）买方签署的收货清单正本一份；</w:t>
      </w:r>
    </w:p>
    <w:p>
      <w:pPr>
        <w:spacing w:line="360" w:lineRule="auto"/>
        <w:ind w:firstLine="480" w:firstLineChars="200"/>
        <w:rPr>
          <w:rFonts w:hAnsi="宋体" w:cs="宋体"/>
          <w:szCs w:val="24"/>
          <w:highlight w:val="none"/>
        </w:rPr>
      </w:pPr>
      <w:r>
        <w:rPr>
          <w:rFonts w:hint="eastAsia" w:hAnsi="宋体" w:cs="宋体"/>
          <w:szCs w:val="24"/>
          <w:highlight w:val="none"/>
        </w:rPr>
        <w:t>（3）制造商出具的出厂质量合格证正本一份；</w:t>
      </w:r>
    </w:p>
    <w:p>
      <w:pPr>
        <w:tabs>
          <w:tab w:val="left" w:pos="0"/>
          <w:tab w:val="decimal" w:pos="6240"/>
          <w:tab w:val="right" w:leader="dot" w:pos="10800"/>
        </w:tabs>
        <w:autoSpaceDE w:val="0"/>
        <w:autoSpaceDN w:val="0"/>
        <w:adjustRightInd w:val="0"/>
        <w:spacing w:line="360" w:lineRule="auto"/>
        <w:ind w:firstLine="480" w:firstLineChars="200"/>
        <w:rPr>
          <w:rFonts w:hAnsi="宋体" w:cs="宋体"/>
          <w:szCs w:val="24"/>
          <w:highlight w:val="none"/>
        </w:rPr>
      </w:pPr>
      <w:r>
        <w:rPr>
          <w:rFonts w:hint="eastAsia" w:hAnsi="宋体" w:cs="宋体"/>
          <w:szCs w:val="24"/>
          <w:highlight w:val="none"/>
        </w:rPr>
        <w:t>（4）合同价格100%金额的增值税发票正本一份。</w:t>
      </w:r>
    </w:p>
    <w:p>
      <w:pPr>
        <w:spacing w:line="360" w:lineRule="auto"/>
        <w:ind w:firstLine="480" w:firstLineChars="200"/>
        <w:rPr>
          <w:rFonts w:hAnsi="宋体" w:cs="宋体"/>
          <w:szCs w:val="24"/>
          <w:highlight w:val="none"/>
        </w:rPr>
      </w:pPr>
      <w:r>
        <w:rPr>
          <w:rFonts w:hint="eastAsia" w:hAnsi="宋体" w:cs="宋体"/>
          <w:szCs w:val="24"/>
          <w:highlight w:val="none"/>
        </w:rPr>
        <w:t>3.2.3 验收款</w:t>
      </w:r>
    </w:p>
    <w:p>
      <w:pPr>
        <w:spacing w:line="360" w:lineRule="auto"/>
        <w:ind w:firstLine="480" w:firstLineChars="200"/>
        <w:rPr>
          <w:rFonts w:hAnsi="宋体" w:cs="宋体"/>
          <w:szCs w:val="24"/>
          <w:highlight w:val="none"/>
        </w:rPr>
      </w:pPr>
      <w:r>
        <w:rPr>
          <w:rFonts w:hint="eastAsia" w:hAnsi="宋体" w:cs="宋体"/>
          <w:szCs w:val="24"/>
          <w:highlight w:val="none"/>
        </w:rPr>
        <w:t>买方在收到卖方提交的买卖双方签署的合同货物验收证书</w:t>
      </w:r>
      <w:r>
        <w:rPr>
          <w:rStyle w:val="66"/>
          <w:rFonts w:hint="eastAsia" w:hAnsi="宋体" w:cs="宋体"/>
          <w:sz w:val="24"/>
          <w:szCs w:val="24"/>
          <w:highlight w:val="none"/>
        </w:rPr>
        <w:t>或已生效的验收款支付函</w:t>
      </w:r>
      <w:r>
        <w:rPr>
          <w:rFonts w:hint="eastAsia" w:hAnsi="宋体" w:cs="宋体"/>
          <w:szCs w:val="24"/>
          <w:highlight w:val="none"/>
        </w:rPr>
        <w:t>正本一份并经审核无误后28日内，向卖方支付合同价格的25%。</w:t>
      </w:r>
    </w:p>
    <w:p>
      <w:pPr>
        <w:spacing w:line="360" w:lineRule="auto"/>
        <w:ind w:firstLine="480" w:firstLineChars="200"/>
        <w:rPr>
          <w:rFonts w:hAnsi="宋体" w:cs="宋体"/>
          <w:szCs w:val="24"/>
          <w:highlight w:val="none"/>
        </w:rPr>
      </w:pPr>
      <w:r>
        <w:rPr>
          <w:rFonts w:hint="eastAsia" w:hAnsi="宋体" w:cs="宋体"/>
          <w:szCs w:val="24"/>
          <w:highlight w:val="none"/>
        </w:rPr>
        <w:t>3.2.4 结清款</w:t>
      </w:r>
    </w:p>
    <w:p>
      <w:pPr>
        <w:spacing w:line="360" w:lineRule="auto"/>
        <w:ind w:firstLine="480" w:firstLineChars="200"/>
        <w:rPr>
          <w:rFonts w:hAnsi="宋体" w:cs="宋体"/>
          <w:szCs w:val="24"/>
          <w:highlight w:val="none"/>
        </w:rPr>
      </w:pPr>
      <w:r>
        <w:rPr>
          <w:rFonts w:hint="eastAsia" w:hAnsi="宋体" w:cs="宋体"/>
          <w:szCs w:val="24"/>
          <w:highlight w:val="none"/>
        </w:rPr>
        <w:t>买方在收到卖方提交的买方签署的质量保证期届满证书或已生效的</w:t>
      </w:r>
      <w:r>
        <w:rPr>
          <w:rStyle w:val="66"/>
          <w:rFonts w:hint="eastAsia" w:hAnsi="宋体" w:cs="宋体"/>
          <w:sz w:val="24"/>
          <w:szCs w:val="24"/>
          <w:highlight w:val="none"/>
        </w:rPr>
        <w:t>结清款支付函</w:t>
      </w:r>
      <w:r>
        <w:rPr>
          <w:rFonts w:hint="eastAsia" w:hAnsi="宋体" w:cs="宋体"/>
          <w:szCs w:val="24"/>
          <w:highlight w:val="none"/>
        </w:rPr>
        <w:t>正本一份并经审核无误后28日内，向卖方支付合同价格的5%。</w:t>
      </w:r>
    </w:p>
    <w:p>
      <w:pPr>
        <w:spacing w:line="360" w:lineRule="auto"/>
        <w:ind w:firstLine="480" w:firstLineChars="200"/>
        <w:rPr>
          <w:rFonts w:hAnsi="宋体" w:cs="宋体"/>
          <w:szCs w:val="24"/>
          <w:highlight w:val="none"/>
        </w:rPr>
      </w:pPr>
      <w:r>
        <w:rPr>
          <w:rFonts w:hint="eastAsia" w:hAnsi="宋体" w:cs="宋体"/>
          <w:szCs w:val="24"/>
          <w:highlight w:val="none"/>
        </w:rPr>
        <w:t>如果依照合同第9.1项，卖方应向买方支付费用的，买方有权从结清款中直接扣除该笔费用。</w:t>
      </w:r>
      <w:bookmarkStart w:id="624" w:name="_Toc27927"/>
    </w:p>
    <w:bookmarkEnd w:id="624"/>
    <w:p>
      <w:pPr>
        <w:spacing w:line="360" w:lineRule="auto"/>
        <w:ind w:firstLine="480" w:firstLineChars="200"/>
        <w:rPr>
          <w:rFonts w:hAnsi="宋体" w:cs="宋体"/>
          <w:szCs w:val="24"/>
          <w:highlight w:val="none"/>
        </w:rPr>
      </w:pPr>
      <w:r>
        <w:rPr>
          <w:rFonts w:hint="eastAsia" w:hAnsi="宋体" w:cs="宋体"/>
          <w:szCs w:val="24"/>
          <w:highlight w:val="none"/>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spacing w:line="360" w:lineRule="auto"/>
        <w:ind w:firstLine="137"/>
        <w:outlineLvl w:val="3"/>
        <w:rPr>
          <w:rFonts w:ascii="黑体" w:hAnsi="黑体" w:eastAsia="黑体" w:cs="黑体"/>
          <w:highlight w:val="none"/>
        </w:rPr>
      </w:pPr>
      <w:r>
        <w:rPr>
          <w:rFonts w:hint="eastAsia" w:ascii="黑体" w:hAnsi="黑体" w:eastAsia="黑体" w:cs="黑体"/>
          <w:highlight w:val="none"/>
        </w:rPr>
        <w:t>3.3 买方扣款的权利</w:t>
      </w:r>
      <w:bookmarkEnd w:id="617"/>
      <w:bookmarkEnd w:id="618"/>
    </w:p>
    <w:p>
      <w:pPr>
        <w:spacing w:line="360" w:lineRule="auto"/>
        <w:ind w:firstLine="480" w:firstLineChars="200"/>
        <w:rPr>
          <w:rFonts w:hAnsi="宋体" w:cs="宋体"/>
          <w:highlight w:val="none"/>
        </w:rPr>
      </w:pPr>
      <w:r>
        <w:rPr>
          <w:rFonts w:hint="eastAsia" w:hAnsi="宋体" w:cs="宋体"/>
          <w:highlight w:val="none"/>
        </w:rPr>
        <w:t>当卖方应向买方支付合同项下的违约金或赔偿金时，买方有权从上述任何一笔应付款中予以直接扣除和（或）兑付履约保证金。</w:t>
      </w:r>
    </w:p>
    <w:p>
      <w:pPr>
        <w:spacing w:line="360" w:lineRule="auto"/>
        <w:ind w:firstLine="137"/>
        <w:outlineLvl w:val="2"/>
        <w:rPr>
          <w:rFonts w:ascii="黑体" w:hAnsi="黑体" w:eastAsia="黑体" w:cs="黑体"/>
          <w:sz w:val="28"/>
          <w:szCs w:val="28"/>
          <w:highlight w:val="none"/>
        </w:rPr>
      </w:pPr>
      <w:bookmarkStart w:id="625" w:name="_Toc26721539"/>
      <w:bookmarkStart w:id="626" w:name="_Toc17100670"/>
      <w:bookmarkStart w:id="627" w:name="_Toc24965150"/>
      <w:bookmarkStart w:id="628" w:name="_Toc26700480"/>
      <w:bookmarkStart w:id="629" w:name="_Toc26721384"/>
      <w:bookmarkStart w:id="630" w:name="_Toc501460748"/>
      <w:bookmarkStart w:id="631" w:name="_Toc482188739"/>
      <w:bookmarkStart w:id="632" w:name="_Toc15753906"/>
      <w:bookmarkStart w:id="633" w:name="_Toc26700650"/>
      <w:r>
        <w:rPr>
          <w:rFonts w:hint="eastAsia" w:ascii="黑体" w:hAnsi="黑体" w:eastAsia="黑体" w:cs="黑体"/>
          <w:sz w:val="28"/>
          <w:szCs w:val="28"/>
          <w:highlight w:val="none"/>
        </w:rPr>
        <w:t>4. 监造及交货前检验</w:t>
      </w:r>
      <w:bookmarkEnd w:id="625"/>
      <w:bookmarkEnd w:id="626"/>
      <w:bookmarkEnd w:id="627"/>
      <w:bookmarkEnd w:id="628"/>
      <w:bookmarkEnd w:id="629"/>
      <w:bookmarkEnd w:id="630"/>
      <w:bookmarkEnd w:id="631"/>
      <w:bookmarkEnd w:id="632"/>
      <w:bookmarkEnd w:id="633"/>
    </w:p>
    <w:p>
      <w:pPr>
        <w:spacing w:line="360" w:lineRule="auto"/>
        <w:ind w:firstLine="137"/>
        <w:outlineLvl w:val="3"/>
        <w:rPr>
          <w:rFonts w:ascii="黑体" w:hAnsi="黑体" w:eastAsia="黑体" w:cs="黑体"/>
          <w:highlight w:val="none"/>
        </w:rPr>
      </w:pPr>
      <w:bookmarkStart w:id="634" w:name="_Toc482188740"/>
      <w:bookmarkStart w:id="635" w:name="_Toc501460749"/>
      <w:r>
        <w:rPr>
          <w:rFonts w:hint="eastAsia" w:ascii="黑体" w:hAnsi="黑体" w:eastAsia="黑体" w:cs="黑体"/>
          <w:highlight w:val="none"/>
        </w:rPr>
        <w:t>4.1 监造</w:t>
      </w:r>
      <w:bookmarkEnd w:id="634"/>
      <w:bookmarkEnd w:id="635"/>
    </w:p>
    <w:p>
      <w:pPr>
        <w:spacing w:line="360" w:lineRule="auto"/>
        <w:ind w:firstLine="480" w:firstLineChars="200"/>
        <w:rPr>
          <w:rFonts w:hAnsi="宋体" w:cs="宋体"/>
          <w:highlight w:val="none"/>
        </w:rPr>
      </w:pPr>
      <w:r>
        <w:rPr>
          <w:rFonts w:hint="eastAsia" w:hAnsi="宋体" w:cs="宋体"/>
          <w:highlight w:val="none"/>
        </w:rPr>
        <w:t>专用合同条款约定买方对合同货物进行监造的，双方应按本款及专用合同条款约定履行。</w:t>
      </w:r>
    </w:p>
    <w:p>
      <w:pPr>
        <w:spacing w:line="360" w:lineRule="auto"/>
        <w:ind w:firstLine="480" w:firstLineChars="200"/>
        <w:rPr>
          <w:rFonts w:hAnsi="宋体" w:cs="宋体"/>
          <w:highlight w:val="none"/>
        </w:rPr>
      </w:pPr>
      <w:r>
        <w:rPr>
          <w:rFonts w:hint="eastAsia" w:hAnsi="宋体" w:cs="宋体"/>
          <w:highlight w:val="none"/>
        </w:rPr>
        <w:t>4.1.1 在合同货物的制造过程中，买方可派出监造人员，对合同货物的生产制造进行监造，监督合同货物制造、检验等情况。监造的范围、方式等应符合专用合同条款和（或）供货要求等合同文件的约定。</w:t>
      </w:r>
    </w:p>
    <w:p>
      <w:pPr>
        <w:spacing w:line="360" w:lineRule="auto"/>
        <w:ind w:firstLine="480" w:firstLineChars="200"/>
        <w:rPr>
          <w:rFonts w:hAnsi="宋体" w:cs="宋体"/>
          <w:highlight w:val="none"/>
        </w:rPr>
      </w:pPr>
      <w:r>
        <w:rPr>
          <w:rFonts w:hint="eastAsia" w:hAnsi="宋体" w:cs="宋体"/>
          <w:highlight w:val="none"/>
        </w:rPr>
        <w:t>4.1</w:t>
      </w:r>
      <w:bookmarkStart w:id="636" w:name="_Toc14217"/>
      <w:r>
        <w:rPr>
          <w:rFonts w:hint="eastAsia" w:hAnsi="宋体" w:cs="宋体"/>
          <w:highlight w:val="none"/>
        </w:rPr>
        <w:t>.2 除</w:t>
      </w:r>
      <w:bookmarkEnd w:id="636"/>
      <w:r>
        <w:rPr>
          <w:rFonts w:hint="eastAsia" w:hAnsi="宋体" w:cs="宋体"/>
          <w:highlight w:val="none"/>
        </w:rPr>
        <w:t>专用合同条款和（或）供货要求等合同文件另有约定外，买方监造人员可到合同货物及其关键部件的</w:t>
      </w:r>
      <w:bookmarkStart w:id="637" w:name="_Toc15205"/>
      <w:r>
        <w:rPr>
          <w:rFonts w:hint="eastAsia" w:hAnsi="宋体" w:cs="宋体"/>
          <w:highlight w:val="none"/>
        </w:rPr>
        <w:t>生产制造现</w:t>
      </w:r>
      <w:bookmarkEnd w:id="637"/>
      <w:r>
        <w:rPr>
          <w:rFonts w:hint="eastAsia" w:hAnsi="宋体" w:cs="宋体"/>
          <w:highlight w:val="none"/>
        </w:rPr>
        <w:t>场进行监造，卖方应予配合。卖方应免费为买方监造人员提供工作条件及便利，包括但不限于必要的办</w:t>
      </w:r>
      <w:bookmarkStart w:id="638" w:name="_Toc29415"/>
      <w:r>
        <w:rPr>
          <w:rFonts w:hint="eastAsia" w:hAnsi="宋体" w:cs="宋体"/>
          <w:highlight w:val="none"/>
        </w:rPr>
        <w:t>公场所、技术资料、检</w:t>
      </w:r>
      <w:bookmarkEnd w:id="638"/>
      <w:r>
        <w:rPr>
          <w:rFonts w:hint="eastAsia" w:hAnsi="宋体" w:cs="宋体"/>
          <w:highlight w:val="none"/>
        </w:rPr>
        <w:t>测</w:t>
      </w:r>
      <w:bookmarkStart w:id="639" w:name="_Toc32016"/>
      <w:r>
        <w:rPr>
          <w:rFonts w:hint="eastAsia" w:hAnsi="宋体" w:cs="宋体"/>
          <w:highlight w:val="none"/>
        </w:rPr>
        <w:t>工具及出入许可等</w:t>
      </w:r>
      <w:bookmarkEnd w:id="639"/>
      <w:r>
        <w:rPr>
          <w:rFonts w:hint="eastAsia" w:hAnsi="宋体" w:cs="宋体"/>
          <w:highlight w:val="none"/>
        </w:rPr>
        <w:t>。除专用合同条款另有约定外，买方监造人员的交通、食宿费用由买方承担。</w:t>
      </w:r>
    </w:p>
    <w:p>
      <w:pPr>
        <w:spacing w:line="360" w:lineRule="auto"/>
        <w:ind w:firstLine="480" w:firstLineChars="200"/>
        <w:rPr>
          <w:rFonts w:hAnsi="宋体" w:cs="宋体"/>
          <w:highlight w:val="none"/>
        </w:rPr>
      </w:pPr>
      <w:r>
        <w:rPr>
          <w:rFonts w:hint="eastAsia" w:hAnsi="宋体" w:cs="宋体"/>
          <w:highlight w:val="none"/>
        </w:rPr>
        <w:t>4.1.3 卖方制订生产制造合同货物的进度计划时，应将买方监造纳入计划安排，并提前通知买方；买方进行监造不应影响合同货物的正常生产。除专用合同条款和（或）供货要求等合同文件另有约定外，卖方应提前7日将需要买方监造人员现场监造事项通知买方；如买方监造人员未按通知出席</w:t>
      </w:r>
      <w:bookmarkStart w:id="640" w:name="_Toc7864"/>
      <w:bookmarkStart w:id="641" w:name="_Toc369531649"/>
      <w:r>
        <w:rPr>
          <w:rFonts w:hint="eastAsia" w:hAnsi="宋体" w:cs="宋体"/>
          <w:highlight w:val="none"/>
        </w:rPr>
        <w:t>，不影响合</w:t>
      </w:r>
      <w:bookmarkEnd w:id="640"/>
      <w:bookmarkEnd w:id="641"/>
      <w:r>
        <w:rPr>
          <w:rFonts w:hint="eastAsia" w:hAnsi="宋体" w:cs="宋体"/>
          <w:highlight w:val="none"/>
        </w:rPr>
        <w:t>同货物及其关键部件的制造或检验，但买方监造人员有权事后了解、查阅、复制相关制造或检验记录。</w:t>
      </w:r>
    </w:p>
    <w:p>
      <w:pPr>
        <w:spacing w:line="360" w:lineRule="auto"/>
        <w:ind w:firstLine="480" w:firstLineChars="200"/>
        <w:rPr>
          <w:rFonts w:hAnsi="宋体" w:cs="宋体"/>
          <w:highlight w:val="none"/>
        </w:rPr>
      </w:pPr>
      <w:r>
        <w:rPr>
          <w:rFonts w:hint="eastAsia" w:hAnsi="宋体" w:cs="宋体"/>
          <w:highlight w:val="none"/>
        </w:rPr>
        <w:t>4.1.4 买方监造人员在监造中如发现合同货物及其关键部件不符合合同约定的标准，则有权提出意见和建议。卖方应采取必要措施消除合同货物的不符，由此增加的费用和（或）造成的延误由卖方负责。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4.1.5 买方监造人员对合同货物的监造，不视为对合同货物质量的确认，不影响卖方交货后买方依照合同约定对合同货物提出质量异议和（或）退货的权利，也不免除卖方依照合同约定对合同货物所应承担的任何义务或责任。</w:t>
      </w:r>
    </w:p>
    <w:p>
      <w:pPr>
        <w:spacing w:line="360" w:lineRule="auto"/>
        <w:ind w:firstLine="137"/>
        <w:outlineLvl w:val="3"/>
        <w:rPr>
          <w:rFonts w:ascii="黑体" w:hAnsi="黑体" w:eastAsia="黑体" w:cs="黑体"/>
          <w:highlight w:val="none"/>
        </w:rPr>
      </w:pPr>
      <w:bookmarkStart w:id="642" w:name="_Toc482188741"/>
      <w:bookmarkStart w:id="643" w:name="_Toc501460750"/>
      <w:r>
        <w:rPr>
          <w:rFonts w:hint="eastAsia" w:ascii="黑体" w:hAnsi="黑体" w:eastAsia="黑体" w:cs="黑体"/>
          <w:highlight w:val="none"/>
        </w:rPr>
        <w:t>4.2 交货前检验</w:t>
      </w:r>
      <w:bookmarkEnd w:id="642"/>
      <w:bookmarkEnd w:id="643"/>
    </w:p>
    <w:p>
      <w:pPr>
        <w:spacing w:line="360" w:lineRule="auto"/>
        <w:ind w:firstLine="480" w:firstLineChars="200"/>
        <w:rPr>
          <w:rFonts w:hAnsi="宋体" w:cs="宋体"/>
          <w:highlight w:val="none"/>
        </w:rPr>
      </w:pPr>
      <w:r>
        <w:rPr>
          <w:rFonts w:hint="eastAsia" w:hAnsi="宋体" w:cs="宋体"/>
          <w:highlight w:val="none"/>
        </w:rPr>
        <w:t>专用合同条款约定买方参与交货前检验的，双方应按本款及专用合同条款约定履行。</w:t>
      </w:r>
    </w:p>
    <w:p>
      <w:pPr>
        <w:spacing w:line="360" w:lineRule="auto"/>
        <w:ind w:firstLine="480" w:firstLineChars="200"/>
        <w:rPr>
          <w:rFonts w:hAnsi="宋体" w:cs="宋体"/>
          <w:highlight w:val="none"/>
        </w:rPr>
      </w:pPr>
      <w:r>
        <w:rPr>
          <w:rFonts w:hint="eastAsia" w:hAnsi="宋体" w:cs="宋体"/>
          <w:highlight w:val="none"/>
        </w:rPr>
        <w:t>4.2.1 合同货物交货前，卖方应会同买方代表根据合同约定对合同货物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spacing w:line="360" w:lineRule="auto"/>
        <w:ind w:firstLine="420"/>
        <w:rPr>
          <w:rFonts w:hAnsi="宋体" w:cs="宋体"/>
          <w:highlight w:val="none"/>
        </w:rPr>
      </w:pPr>
      <w:r>
        <w:rPr>
          <w:rFonts w:hint="eastAsia" w:hAnsi="宋体" w:cs="宋体"/>
          <w:highlight w:val="none"/>
        </w:rPr>
        <w:t>4.2.2 除</w:t>
      </w:r>
      <w:bookmarkStart w:id="644" w:name="_Toc17093"/>
      <w:r>
        <w:rPr>
          <w:rFonts w:hint="eastAsia" w:hAnsi="宋体" w:cs="宋体"/>
          <w:highlight w:val="none"/>
        </w:rPr>
        <w:t>专用合同条款和（或）供</w:t>
      </w:r>
      <w:bookmarkEnd w:id="644"/>
      <w:r>
        <w:rPr>
          <w:rFonts w:hint="eastAsia" w:hAnsi="宋体" w:cs="宋体"/>
          <w:highlight w:val="none"/>
        </w:rPr>
        <w:t>货要求等合同文件另有约定外，卖方应提前7日将需要买方代表检验事项通知买方；如买方代表未按通知出席</w:t>
      </w:r>
      <w:bookmarkStart w:id="645" w:name="_Toc8000"/>
      <w:bookmarkStart w:id="646" w:name="_Toc369531653"/>
      <w:r>
        <w:rPr>
          <w:rFonts w:hint="eastAsia" w:hAnsi="宋体" w:cs="宋体"/>
          <w:highlight w:val="none"/>
        </w:rPr>
        <w:t>，不影响合同货物的</w:t>
      </w:r>
      <w:bookmarkEnd w:id="645"/>
      <w:bookmarkEnd w:id="646"/>
      <w:r>
        <w:rPr>
          <w:rFonts w:hint="eastAsia" w:hAnsi="宋体" w:cs="宋体"/>
          <w:highlight w:val="none"/>
        </w:rPr>
        <w:t>检验。若卖方未依照合同约定提前通知买方而自行检验，则买</w:t>
      </w:r>
      <w:bookmarkStart w:id="647" w:name="_Toc17628"/>
      <w:r>
        <w:rPr>
          <w:rFonts w:hint="eastAsia" w:hAnsi="宋体" w:cs="宋体"/>
          <w:highlight w:val="none"/>
        </w:rPr>
        <w:t>方有权要求卖方暂停发货</w:t>
      </w:r>
      <w:bookmarkEnd w:id="647"/>
      <w:r>
        <w:rPr>
          <w:rFonts w:hint="eastAsia" w:hAnsi="宋体" w:cs="宋体"/>
          <w:highlight w:val="none"/>
        </w:rPr>
        <w:t>并</w:t>
      </w:r>
      <w:bookmarkStart w:id="648" w:name="_Toc9228"/>
      <w:r>
        <w:rPr>
          <w:rFonts w:hint="eastAsia" w:hAnsi="宋体" w:cs="宋体"/>
          <w:highlight w:val="none"/>
        </w:rPr>
        <w:t>重新进行检验</w:t>
      </w:r>
      <w:bookmarkEnd w:id="648"/>
      <w:r>
        <w:rPr>
          <w:rFonts w:hint="eastAsia" w:hAnsi="宋体" w:cs="宋体"/>
          <w:highlight w:val="none"/>
        </w:rPr>
        <w:t>，由此增加的费用和（或）造成的延误由卖方负责。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4.2.3 买方代表在检验中如发现合同货物不符合合同约定的标准，则有权提出异议。卖方应采取必要措施消除合同货物的不符，由此增加的费用和（或）造成的延误由卖方负责。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4.2.4 买方代表参与交货前检验及签署交货前检验记录的行为，不视为对合同货物质量的确认，不影响卖方交货后买方依照合同约定对合同货物提出质量异议和（或）退货的权利，也不免除卖方依照合同约定对合同货物所应承担的任何义务或责任。</w:t>
      </w:r>
    </w:p>
    <w:p>
      <w:pPr>
        <w:spacing w:line="360" w:lineRule="auto"/>
        <w:ind w:firstLine="137"/>
        <w:outlineLvl w:val="2"/>
        <w:rPr>
          <w:rFonts w:ascii="黑体" w:hAnsi="黑体" w:eastAsia="黑体" w:cs="黑体"/>
          <w:sz w:val="28"/>
          <w:szCs w:val="28"/>
          <w:highlight w:val="none"/>
        </w:rPr>
      </w:pPr>
      <w:bookmarkStart w:id="649" w:name="_Toc26700481"/>
      <w:bookmarkStart w:id="650" w:name="_Toc501460751"/>
      <w:bookmarkStart w:id="651" w:name="_Toc15753907"/>
      <w:bookmarkStart w:id="652" w:name="_Toc482188742"/>
      <w:bookmarkStart w:id="653" w:name="_Toc26721385"/>
      <w:bookmarkStart w:id="654" w:name="_Toc26721540"/>
      <w:bookmarkStart w:id="655" w:name="_Toc26700651"/>
      <w:bookmarkStart w:id="656" w:name="_Toc17100671"/>
      <w:bookmarkStart w:id="657" w:name="_Toc24965151"/>
      <w:r>
        <w:rPr>
          <w:rFonts w:hint="eastAsia" w:ascii="黑体" w:hAnsi="黑体" w:eastAsia="黑体" w:cs="黑体"/>
          <w:sz w:val="28"/>
          <w:szCs w:val="28"/>
          <w:highlight w:val="none"/>
        </w:rPr>
        <w:t>5. 包装、标记、运输和交付</w:t>
      </w:r>
      <w:bookmarkEnd w:id="649"/>
      <w:bookmarkEnd w:id="650"/>
      <w:bookmarkEnd w:id="651"/>
      <w:bookmarkEnd w:id="652"/>
      <w:bookmarkEnd w:id="653"/>
      <w:bookmarkEnd w:id="654"/>
      <w:bookmarkEnd w:id="655"/>
      <w:bookmarkEnd w:id="656"/>
      <w:bookmarkEnd w:id="657"/>
    </w:p>
    <w:p>
      <w:pPr>
        <w:spacing w:line="360" w:lineRule="auto"/>
        <w:ind w:firstLine="137"/>
        <w:outlineLvl w:val="3"/>
        <w:rPr>
          <w:rFonts w:ascii="黑体" w:hAnsi="黑体" w:eastAsia="黑体" w:cs="黑体"/>
          <w:highlight w:val="none"/>
        </w:rPr>
      </w:pPr>
      <w:bookmarkStart w:id="658" w:name="_Toc482188743"/>
      <w:bookmarkStart w:id="659" w:name="_Toc501460752"/>
      <w:r>
        <w:rPr>
          <w:rFonts w:hint="eastAsia" w:ascii="黑体" w:hAnsi="黑体" w:eastAsia="黑体" w:cs="黑体"/>
          <w:highlight w:val="none"/>
        </w:rPr>
        <w:t>5.1 包装</w:t>
      </w:r>
      <w:bookmarkEnd w:id="658"/>
      <w:bookmarkEnd w:id="659"/>
    </w:p>
    <w:p>
      <w:pPr>
        <w:spacing w:line="360" w:lineRule="auto"/>
        <w:ind w:firstLine="480" w:firstLineChars="200"/>
        <w:rPr>
          <w:rFonts w:hAnsi="宋体" w:cs="宋体"/>
          <w:highlight w:val="none"/>
        </w:rPr>
      </w:pPr>
      <w:r>
        <w:rPr>
          <w:rFonts w:hint="eastAsia" w:hAnsi="宋体" w:cs="宋体"/>
          <w:highlight w:val="none"/>
        </w:rPr>
        <w:t>5.1.1 卖方应对合同货物进行妥善包装，以满足合同货物运至施工场地及在施工场地保管的需要。包装应采取防潮、防晒、防锈、防腐蚀、防震动及防止其他损坏的必要保护措施，从而保护合同货物能够经受多次搬运、装卸、长途运输并适宜保管。</w:t>
      </w:r>
    </w:p>
    <w:p>
      <w:pPr>
        <w:spacing w:line="360" w:lineRule="auto"/>
        <w:ind w:firstLine="480" w:firstLineChars="200"/>
        <w:rPr>
          <w:rFonts w:hAnsi="宋体" w:cs="宋体"/>
          <w:highlight w:val="none"/>
        </w:rPr>
      </w:pPr>
      <w:r>
        <w:rPr>
          <w:rFonts w:hint="eastAsia" w:hAnsi="宋体" w:cs="宋体"/>
          <w:highlight w:val="none"/>
        </w:rPr>
        <w:t>5.1.2 每个独立包装箱内应附装箱清单、质量合格证、装配图、说明书、操作指南等资料。</w:t>
      </w:r>
    </w:p>
    <w:p>
      <w:pPr>
        <w:spacing w:line="360" w:lineRule="auto"/>
        <w:ind w:firstLine="480" w:firstLineChars="200"/>
        <w:rPr>
          <w:rFonts w:hAnsi="宋体" w:cs="宋体"/>
          <w:highlight w:val="none"/>
        </w:rPr>
      </w:pPr>
      <w:r>
        <w:rPr>
          <w:rFonts w:hint="eastAsia" w:hAnsi="宋体" w:cs="宋体"/>
          <w:highlight w:val="none"/>
        </w:rPr>
        <w:t>5.1.3 除专用合同条款另有约定外，买方无需将包装物退还给卖方。</w:t>
      </w:r>
    </w:p>
    <w:p>
      <w:pPr>
        <w:spacing w:line="360" w:lineRule="auto"/>
        <w:ind w:firstLine="137"/>
        <w:outlineLvl w:val="3"/>
        <w:rPr>
          <w:rFonts w:ascii="黑体" w:hAnsi="黑体" w:eastAsia="黑体" w:cs="黑体"/>
          <w:highlight w:val="none"/>
        </w:rPr>
      </w:pPr>
      <w:bookmarkStart w:id="660" w:name="_Toc501460753"/>
      <w:bookmarkStart w:id="661" w:name="_Toc482188744"/>
      <w:r>
        <w:rPr>
          <w:rFonts w:hint="eastAsia" w:ascii="黑体" w:hAnsi="黑体" w:eastAsia="黑体" w:cs="黑体"/>
          <w:highlight w:val="none"/>
        </w:rPr>
        <w:t>5.2 标记</w:t>
      </w:r>
      <w:bookmarkEnd w:id="660"/>
      <w:bookmarkEnd w:id="661"/>
    </w:p>
    <w:p>
      <w:pPr>
        <w:spacing w:line="360" w:lineRule="auto"/>
        <w:ind w:firstLine="480" w:firstLineChars="200"/>
        <w:rPr>
          <w:rFonts w:hAnsi="宋体" w:cs="宋体"/>
          <w:highlight w:val="none"/>
        </w:rPr>
      </w:pPr>
      <w:r>
        <w:rPr>
          <w:rFonts w:hint="eastAsia" w:hAnsi="宋体" w:cs="宋体"/>
          <w:highlight w:val="none"/>
        </w:rPr>
        <w:t>5.2.1 除专用合同条款另有约定外，卖方应在每一包装箱相邻的四个侧面以不可擦除的、明显的方式标记必要的装运信息和标记，以满足合同货物运输和保管的需要。</w:t>
      </w:r>
    </w:p>
    <w:p>
      <w:pPr>
        <w:spacing w:line="360" w:lineRule="auto"/>
        <w:ind w:firstLine="480" w:firstLineChars="200"/>
        <w:rPr>
          <w:rFonts w:hAnsi="宋体" w:cs="宋体"/>
          <w:highlight w:val="none"/>
        </w:rPr>
      </w:pPr>
      <w:r>
        <w:rPr>
          <w:rFonts w:hint="eastAsia" w:hAnsi="宋体" w:cs="宋体"/>
          <w:highlight w:val="none"/>
        </w:rPr>
        <w:t>5.2.2 根据合同货物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货物中含有易燃易爆物品、腐蚀物品、放射性物质等危险品，则应在包装箱上标明危险品标志。</w:t>
      </w:r>
    </w:p>
    <w:p>
      <w:pPr>
        <w:spacing w:line="360" w:lineRule="auto"/>
        <w:ind w:firstLine="137"/>
        <w:outlineLvl w:val="3"/>
        <w:rPr>
          <w:rFonts w:ascii="黑体" w:hAnsi="黑体" w:eastAsia="黑体" w:cs="黑体"/>
          <w:highlight w:val="none"/>
        </w:rPr>
      </w:pPr>
      <w:bookmarkStart w:id="662" w:name="_Toc482188745"/>
      <w:bookmarkStart w:id="663" w:name="_Toc501460754"/>
      <w:r>
        <w:rPr>
          <w:rFonts w:hint="eastAsia" w:ascii="黑体" w:hAnsi="黑体" w:eastAsia="黑体" w:cs="黑体"/>
          <w:highlight w:val="none"/>
        </w:rPr>
        <w:t>5.3运输</w:t>
      </w:r>
      <w:bookmarkEnd w:id="662"/>
      <w:bookmarkEnd w:id="663"/>
    </w:p>
    <w:p>
      <w:pPr>
        <w:spacing w:line="360" w:lineRule="auto"/>
        <w:ind w:firstLine="480" w:firstLineChars="200"/>
        <w:rPr>
          <w:rFonts w:hAnsi="宋体" w:cs="宋体"/>
          <w:highlight w:val="none"/>
        </w:rPr>
      </w:pPr>
      <w:r>
        <w:rPr>
          <w:rFonts w:hint="eastAsia" w:hAnsi="宋体" w:cs="宋体"/>
          <w:highlight w:val="none"/>
        </w:rPr>
        <w:t>5.3.1 卖方应自行选择适宜的运输工具及线路安排合同货物运输。</w:t>
      </w:r>
    </w:p>
    <w:p>
      <w:pPr>
        <w:spacing w:line="360" w:lineRule="auto"/>
        <w:ind w:firstLine="480" w:firstLineChars="200"/>
        <w:rPr>
          <w:rFonts w:hAnsi="宋体" w:cs="宋体"/>
          <w:highlight w:val="none"/>
        </w:rPr>
      </w:pPr>
      <w:r>
        <w:rPr>
          <w:rFonts w:hint="eastAsia" w:hAnsi="宋体" w:cs="宋体"/>
          <w:highlight w:val="none"/>
        </w:rPr>
        <w:t>5.3.2 除专用合同条款另有约定外，每件能够独立运行的货物应整套装运。该货物安装、调试、考核和运行所使用的备品、备件、易损易耗件等应随相关的主机一起装运。</w:t>
      </w:r>
    </w:p>
    <w:p>
      <w:pPr>
        <w:spacing w:line="360" w:lineRule="auto"/>
        <w:ind w:firstLine="480" w:firstLineChars="200"/>
        <w:rPr>
          <w:rFonts w:hAnsi="宋体" w:cs="宋体"/>
          <w:highlight w:val="none"/>
        </w:rPr>
      </w:pPr>
      <w:r>
        <w:rPr>
          <w:rFonts w:hint="eastAsia" w:hAnsi="宋体" w:cs="宋体"/>
          <w:highlight w:val="none"/>
        </w:rPr>
        <w:t>5</w:t>
      </w:r>
      <w:bookmarkStart w:id="664" w:name="_Toc21215"/>
      <w:r>
        <w:rPr>
          <w:rFonts w:hint="eastAsia" w:hAnsi="宋体" w:cs="宋体"/>
          <w:highlight w:val="none"/>
        </w:rPr>
        <w:t>.3.3 除</w:t>
      </w:r>
      <w:bookmarkEnd w:id="664"/>
      <w:r>
        <w:rPr>
          <w:rFonts w:hint="eastAsia" w:hAnsi="宋体" w:cs="宋体"/>
          <w:highlight w:val="none"/>
        </w:rPr>
        <w:t>专用合同条款另有约定外，卖方应在合同货物预计启运7日前，将合同货物名称、数量、箱数、总毛重、总体积（用m</w:t>
      </w:r>
      <w:r>
        <w:rPr>
          <w:rFonts w:hint="eastAsia" w:hAnsi="宋体" w:cs="宋体"/>
          <w:position w:val="6"/>
          <w:highlight w:val="none"/>
        </w:rPr>
        <w:t>3</w:t>
      </w:r>
      <w:r>
        <w:rPr>
          <w:rFonts w:hint="eastAsia" w:hAnsi="宋体" w:cs="宋体"/>
          <w:highlight w:val="none"/>
        </w:rPr>
        <w:t>表示）、每箱尺寸（长×宽×高）、装运合同货物总金额、运输方式、预计交付日期和合同货物在运输、装卸、保管中的注意事项等预通知买方，并在合同货物启运后24小时之内正式通知买方。</w:t>
      </w:r>
    </w:p>
    <w:p>
      <w:pPr>
        <w:spacing w:line="360" w:lineRule="auto"/>
        <w:ind w:firstLine="480" w:firstLineChars="200"/>
        <w:rPr>
          <w:rFonts w:hAnsi="宋体" w:cs="宋体"/>
          <w:highlight w:val="none"/>
        </w:rPr>
      </w:pPr>
      <w:r>
        <w:rPr>
          <w:rFonts w:hint="eastAsia" w:hAnsi="宋体" w:cs="宋体"/>
          <w:highlight w:val="none"/>
        </w:rPr>
        <w:t>5.3.4 卖方在根据第5.3.3项进行通知时，如果发运合同货物中包括专用合同条款约定的超大超重包装，则卖方应将超大和（或）超重的每个包装箱的重量和尺寸通知买方；如果发运合同货物中包括易燃易爆物品、腐蚀物品、放射性物质等危险品，则危险品的品名、性质、在运输、装卸、保管方面的特殊要求、注意事项和处理意外情况的方法等，也应一并通知买方。</w:t>
      </w:r>
    </w:p>
    <w:p>
      <w:pPr>
        <w:spacing w:line="360" w:lineRule="auto"/>
        <w:ind w:firstLine="137"/>
        <w:outlineLvl w:val="3"/>
        <w:rPr>
          <w:rFonts w:ascii="黑体" w:hAnsi="黑体" w:eastAsia="黑体" w:cs="黑体"/>
          <w:highlight w:val="none"/>
        </w:rPr>
      </w:pPr>
      <w:bookmarkStart w:id="665" w:name="_Toc501460755"/>
      <w:bookmarkStart w:id="666" w:name="_Toc482188746"/>
      <w:r>
        <w:rPr>
          <w:rFonts w:hint="eastAsia" w:ascii="黑体" w:hAnsi="黑体" w:eastAsia="黑体" w:cs="黑体"/>
          <w:highlight w:val="none"/>
        </w:rPr>
        <w:t>5.4 交付</w:t>
      </w:r>
      <w:bookmarkEnd w:id="665"/>
      <w:bookmarkEnd w:id="666"/>
    </w:p>
    <w:p>
      <w:pPr>
        <w:spacing w:line="360" w:lineRule="auto"/>
        <w:ind w:firstLine="480" w:firstLineChars="200"/>
        <w:rPr>
          <w:rFonts w:hAnsi="宋体" w:cs="宋体"/>
          <w:highlight w:val="none"/>
        </w:rPr>
      </w:pPr>
      <w:r>
        <w:rPr>
          <w:rFonts w:hint="eastAsia" w:hAnsi="宋体" w:cs="宋体"/>
          <w:highlight w:val="none"/>
        </w:rPr>
        <w:t>5.4.1 除专用合同条款另有约定外，卖方应根据合同约定的交付时间和批次在施工场地车面上将合同货物交付给买方。买方对卖方交付的包装的合同货物的外观及件数进行清点核验后应签发收货清单，并自负风险和费用进行卸货。买方签发收货清单不代表对合同货物的接受，双方还应按合同约定进行后续的检验和验收。</w:t>
      </w:r>
    </w:p>
    <w:p>
      <w:pPr>
        <w:spacing w:line="360" w:lineRule="auto"/>
        <w:ind w:firstLine="480" w:firstLineChars="200"/>
        <w:rPr>
          <w:rFonts w:hAnsi="宋体" w:cs="宋体"/>
          <w:highlight w:val="none"/>
        </w:rPr>
      </w:pPr>
      <w:r>
        <w:rPr>
          <w:rFonts w:hint="eastAsia" w:hAnsi="宋体" w:cs="宋体"/>
          <w:highlight w:val="none"/>
        </w:rPr>
        <w:t>5.4.2 合同货物的所有权和风险自交付时起由卖方转移至买方，合同货物交付给买方之前包括运输在内的所有风险均由卖方承担。</w:t>
      </w:r>
    </w:p>
    <w:p>
      <w:pPr>
        <w:spacing w:line="360" w:lineRule="auto"/>
        <w:ind w:firstLine="480" w:firstLineChars="200"/>
        <w:rPr>
          <w:rFonts w:hAnsi="宋体" w:cs="宋体"/>
          <w:szCs w:val="24"/>
          <w:highlight w:val="none"/>
        </w:rPr>
      </w:pPr>
      <w:r>
        <w:rPr>
          <w:rFonts w:hint="eastAsia" w:hAnsi="宋体" w:cs="宋体"/>
          <w:szCs w:val="24"/>
          <w:highlight w:val="none"/>
        </w:rPr>
        <w:t>5.4.3 除专用合同条款另有约定外，买方如果发现技术资料存在短缺和（或）损坏，卖方应在收到买方的通知后7日内免费补齐短缺和（或）损坏的部分</w:t>
      </w:r>
      <w:bookmarkStart w:id="667" w:name="_Toc152042446"/>
      <w:bookmarkStart w:id="668" w:name="_Toc296602528"/>
      <w:bookmarkStart w:id="669" w:name="_Toc179632686"/>
      <w:bookmarkStart w:id="670" w:name="_Toc144974636"/>
      <w:bookmarkStart w:id="671" w:name="_Toc152045668"/>
      <w:bookmarkStart w:id="672" w:name="_Toc369531621"/>
      <w:bookmarkStart w:id="673" w:name="_Toc27630"/>
      <w:r>
        <w:rPr>
          <w:rFonts w:hint="eastAsia" w:hAnsi="宋体" w:cs="宋体"/>
          <w:szCs w:val="24"/>
          <w:highlight w:val="none"/>
        </w:rPr>
        <w:t>。如果买方发现卖方提供的</w:t>
      </w:r>
      <w:bookmarkEnd w:id="667"/>
      <w:bookmarkEnd w:id="668"/>
      <w:bookmarkEnd w:id="669"/>
      <w:bookmarkEnd w:id="670"/>
      <w:bookmarkEnd w:id="671"/>
      <w:r>
        <w:rPr>
          <w:rFonts w:hint="eastAsia" w:hAnsi="宋体" w:cs="宋体"/>
          <w:szCs w:val="24"/>
          <w:highlight w:val="none"/>
        </w:rPr>
        <w:t>技术</w:t>
      </w:r>
      <w:bookmarkEnd w:id="672"/>
      <w:bookmarkEnd w:id="673"/>
      <w:r>
        <w:rPr>
          <w:rFonts w:hint="eastAsia" w:hAnsi="宋体" w:cs="宋体"/>
          <w:szCs w:val="24"/>
          <w:highlight w:val="none"/>
        </w:rPr>
        <w:t>资</w:t>
      </w:r>
      <w:bookmarkStart w:id="674" w:name="_Toc20508"/>
      <w:r>
        <w:rPr>
          <w:rFonts w:hint="eastAsia" w:hAnsi="宋体" w:cs="宋体"/>
          <w:szCs w:val="24"/>
          <w:highlight w:val="none"/>
        </w:rPr>
        <w:t>料有误，卖方</w:t>
      </w:r>
      <w:bookmarkEnd w:id="674"/>
      <w:r>
        <w:rPr>
          <w:rFonts w:hint="eastAsia" w:hAnsi="宋体" w:cs="宋体"/>
          <w:szCs w:val="24"/>
          <w:highlight w:val="none"/>
        </w:rPr>
        <w:t>应在收到买方通知后7日内免费替换。如由于买方原因导致技术资料丢失和（或）损坏，卖方应在收到买方的通知后7日内补齐丢失和（或）损坏的部分，但买方应向卖方支付合理的复制、邮寄费用。</w:t>
      </w:r>
    </w:p>
    <w:p>
      <w:pPr>
        <w:spacing w:line="360" w:lineRule="auto"/>
        <w:ind w:firstLine="137"/>
        <w:outlineLvl w:val="2"/>
        <w:rPr>
          <w:rFonts w:ascii="黑体" w:hAnsi="黑体" w:eastAsia="黑体" w:cs="黑体"/>
          <w:sz w:val="28"/>
          <w:szCs w:val="28"/>
          <w:highlight w:val="none"/>
        </w:rPr>
      </w:pPr>
      <w:bookmarkStart w:id="675" w:name="_Toc482188747"/>
      <w:bookmarkStart w:id="676" w:name="_Toc26700482"/>
      <w:bookmarkStart w:id="677" w:name="_Toc501460756"/>
      <w:bookmarkStart w:id="678" w:name="_Toc15753908"/>
      <w:bookmarkStart w:id="679" w:name="_Toc26700652"/>
      <w:bookmarkStart w:id="680" w:name="_Toc26721386"/>
      <w:bookmarkStart w:id="681" w:name="_Toc24965152"/>
      <w:bookmarkStart w:id="682" w:name="_Toc26721541"/>
      <w:bookmarkStart w:id="683" w:name="_Toc17100672"/>
      <w:r>
        <w:rPr>
          <w:rFonts w:hint="eastAsia" w:ascii="黑体" w:hAnsi="黑体" w:eastAsia="黑体" w:cs="黑体"/>
          <w:sz w:val="28"/>
          <w:szCs w:val="28"/>
          <w:highlight w:val="none"/>
        </w:rPr>
        <w:t>6. 开箱检验、安装、调试、考核、验收</w:t>
      </w:r>
      <w:bookmarkEnd w:id="675"/>
      <w:bookmarkEnd w:id="676"/>
      <w:bookmarkEnd w:id="677"/>
      <w:bookmarkEnd w:id="678"/>
      <w:bookmarkEnd w:id="679"/>
      <w:bookmarkEnd w:id="680"/>
      <w:bookmarkEnd w:id="681"/>
      <w:bookmarkEnd w:id="682"/>
      <w:bookmarkEnd w:id="683"/>
    </w:p>
    <w:p>
      <w:pPr>
        <w:spacing w:line="360" w:lineRule="auto"/>
        <w:ind w:firstLine="137"/>
        <w:outlineLvl w:val="3"/>
        <w:rPr>
          <w:rFonts w:ascii="黑体" w:hAnsi="黑体" w:eastAsia="黑体" w:cs="黑体"/>
          <w:highlight w:val="none"/>
        </w:rPr>
      </w:pPr>
      <w:bookmarkStart w:id="684" w:name="_Toc501460757"/>
      <w:bookmarkStart w:id="685" w:name="_Toc482188748"/>
      <w:r>
        <w:rPr>
          <w:rFonts w:hint="eastAsia" w:ascii="黑体" w:hAnsi="黑体" w:eastAsia="黑体" w:cs="黑体"/>
          <w:highlight w:val="none"/>
        </w:rPr>
        <w:t>6.1 开箱检验</w:t>
      </w:r>
      <w:bookmarkEnd w:id="684"/>
      <w:bookmarkEnd w:id="685"/>
    </w:p>
    <w:p>
      <w:pPr>
        <w:spacing w:line="360" w:lineRule="auto"/>
        <w:ind w:firstLine="480" w:firstLineChars="200"/>
        <w:rPr>
          <w:rFonts w:hAnsi="宋体" w:cs="宋体"/>
          <w:highlight w:val="none"/>
        </w:rPr>
      </w:pPr>
      <w:r>
        <w:rPr>
          <w:rFonts w:hint="eastAsia" w:hAnsi="宋体" w:cs="宋体"/>
          <w:highlight w:val="none"/>
        </w:rPr>
        <w:t>6.1.1 合同货物交付后应进行开箱检验，即合同货物数量及外观检验。开箱检验在专用合同条款约定的下列任一种时间进行：</w:t>
      </w:r>
    </w:p>
    <w:p>
      <w:pPr>
        <w:spacing w:line="360" w:lineRule="auto"/>
        <w:ind w:firstLine="480" w:firstLineChars="200"/>
        <w:rPr>
          <w:rFonts w:hAnsi="宋体" w:cs="宋体"/>
          <w:highlight w:val="none"/>
        </w:rPr>
      </w:pPr>
      <w:r>
        <w:rPr>
          <w:rFonts w:hint="eastAsia" w:hAnsi="宋体" w:cs="宋体"/>
          <w:highlight w:val="none"/>
        </w:rPr>
        <w:t>（1）合同货物交付时；</w:t>
      </w:r>
    </w:p>
    <w:p>
      <w:pPr>
        <w:spacing w:line="360" w:lineRule="auto"/>
        <w:ind w:firstLine="480" w:firstLineChars="200"/>
        <w:rPr>
          <w:rFonts w:hAnsi="宋体" w:cs="宋体"/>
          <w:highlight w:val="none"/>
        </w:rPr>
      </w:pPr>
      <w:r>
        <w:rPr>
          <w:rFonts w:hint="eastAsia" w:hAnsi="宋体" w:cs="宋体"/>
          <w:highlight w:val="none"/>
        </w:rPr>
        <w:t>（2）合同货物交付后的一定期限内。</w:t>
      </w:r>
    </w:p>
    <w:p>
      <w:pPr>
        <w:spacing w:line="360" w:lineRule="auto"/>
        <w:ind w:firstLine="480" w:firstLineChars="200"/>
        <w:rPr>
          <w:rFonts w:hAnsi="宋体" w:cs="宋体"/>
          <w:highlight w:val="none"/>
        </w:rPr>
      </w:pPr>
      <w:r>
        <w:rPr>
          <w:rFonts w:hint="eastAsia" w:hAnsi="宋体" w:cs="宋体"/>
          <w:highlight w:val="none"/>
        </w:rPr>
        <w:t>如开箱检验不在合同货物交付时进行，买方应在开箱检验3日前将开箱检验的时间和地点通知卖方。</w:t>
      </w:r>
    </w:p>
    <w:p>
      <w:pPr>
        <w:spacing w:line="360" w:lineRule="auto"/>
        <w:ind w:firstLine="480" w:firstLineChars="200"/>
        <w:rPr>
          <w:rFonts w:hAnsi="宋体" w:cs="宋体"/>
          <w:highlight w:val="none"/>
        </w:rPr>
      </w:pPr>
      <w:r>
        <w:rPr>
          <w:rFonts w:hint="eastAsia" w:hAnsi="宋体" w:cs="宋体"/>
          <w:highlight w:val="none"/>
        </w:rPr>
        <w:t>6.1.2 除专用合同条款另有约定外，合同货物的开箱检验应在施工场地进行。</w:t>
      </w:r>
    </w:p>
    <w:p>
      <w:pPr>
        <w:spacing w:line="360" w:lineRule="auto"/>
        <w:ind w:firstLine="480" w:firstLineChars="200"/>
        <w:rPr>
          <w:rFonts w:hAnsi="宋体" w:cs="宋体"/>
          <w:highlight w:val="none"/>
        </w:rPr>
      </w:pPr>
      <w:r>
        <w:rPr>
          <w:rFonts w:hint="eastAsia" w:hAnsi="宋体" w:cs="宋体"/>
          <w:highlight w:val="none"/>
        </w:rPr>
        <w:t>6.1.3 开箱检验由买卖双方共同进行，卖方应自负费用派遣代表到场参加开箱检验。</w:t>
      </w:r>
    </w:p>
    <w:p>
      <w:pPr>
        <w:spacing w:line="360" w:lineRule="auto"/>
        <w:ind w:firstLine="480" w:firstLineChars="200"/>
        <w:rPr>
          <w:rFonts w:hAnsi="宋体" w:cs="宋体"/>
          <w:highlight w:val="none"/>
        </w:rPr>
      </w:pPr>
      <w:r>
        <w:rPr>
          <w:rFonts w:hint="eastAsia" w:hAnsi="宋体" w:cs="宋体"/>
          <w:highlight w:val="none"/>
        </w:rPr>
        <w:t>6.1.4 在开箱检验中，买方和卖方应共同签署数量、外观检验报告，报告应列明检验结果，包括检验合格或发现的任何短缺、损坏或其他与合同约定不符的情形。</w:t>
      </w:r>
    </w:p>
    <w:p>
      <w:pPr>
        <w:spacing w:line="360" w:lineRule="auto"/>
        <w:ind w:firstLine="480" w:firstLineChars="200"/>
        <w:rPr>
          <w:rFonts w:hAnsi="宋体" w:cs="宋体"/>
          <w:highlight w:val="none"/>
        </w:rPr>
      </w:pPr>
      <w:r>
        <w:rPr>
          <w:rFonts w:hint="eastAsia" w:hAnsi="宋体" w:cs="宋体"/>
          <w:highlight w:val="none"/>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spacing w:line="360" w:lineRule="auto"/>
        <w:ind w:firstLine="480" w:firstLineChars="200"/>
        <w:rPr>
          <w:rFonts w:hAnsi="宋体" w:cs="宋体"/>
          <w:highlight w:val="none"/>
        </w:rPr>
      </w:pPr>
      <w:r>
        <w:rPr>
          <w:rFonts w:hint="eastAsia" w:hAnsi="宋体" w:cs="宋体"/>
          <w:highlight w:val="none"/>
        </w:rPr>
        <w:t>6.1.6 如开箱检验不在合同货物交付时进行，则合同货物交付以后到开箱检验之前，应由买方负责按交货时外包装原样对合同货物进行妥善保管。除专用合同条款另有约定外，在开箱检验时如果合同货物外包装与交货时一致，则开箱检验中发现的合同货物的短缺、损坏或其他与合同约定不符的情形，由卖方负责，卖方应补齐、更换及采取其他补救措施。如果在开箱检验时合同货物外包装不是交货时的包装或虽是交货时的包装但与交货时不一致且出现很可能导致合同货物短缺或损坏的包装破损，则开箱检验中发现合同货物短缺、损坏或其他与合同约定不符的情形的风险，由买方承担，但买方能够证明是由于卖方原因或合同货物交付前非买方原因导致的除外。</w:t>
      </w:r>
    </w:p>
    <w:p>
      <w:pPr>
        <w:spacing w:line="360" w:lineRule="auto"/>
        <w:ind w:firstLine="480" w:firstLineChars="200"/>
        <w:rPr>
          <w:rFonts w:hAnsi="宋体" w:cs="宋体"/>
          <w:highlight w:val="none"/>
        </w:rPr>
      </w:pPr>
      <w:r>
        <w:rPr>
          <w:rFonts w:hint="eastAsia" w:hAnsi="宋体" w:cs="宋体"/>
          <w:highlight w:val="none"/>
        </w:rPr>
        <w:t>6.1.7 如双方在专用合同条款和（或）供货要求等合同文件中约定由第三方检测机构对合同货物进行开箱检验或在开箱检验过程中另行约定由第三方检验的，则第三方检测机构的检验结果对双方均具有约束力。</w:t>
      </w:r>
    </w:p>
    <w:p>
      <w:pPr>
        <w:spacing w:line="360" w:lineRule="auto"/>
        <w:ind w:firstLine="420"/>
        <w:rPr>
          <w:rFonts w:hAnsi="宋体" w:cs="宋体"/>
          <w:highlight w:val="none"/>
        </w:rPr>
      </w:pPr>
      <w:r>
        <w:rPr>
          <w:rFonts w:hint="eastAsia" w:hAnsi="宋体" w:cs="宋体"/>
          <w:highlight w:val="none"/>
        </w:rPr>
        <w:t>6.1.8 开箱检验的检验结果不能对抗在合同货物的安装、调试、考核、验收中及质量保证期内发现的合同货物质</w:t>
      </w:r>
      <w:bookmarkStart w:id="686" w:name="_Toc27556"/>
      <w:r>
        <w:rPr>
          <w:rFonts w:hint="eastAsia" w:hAnsi="宋体" w:cs="宋体"/>
          <w:highlight w:val="none"/>
        </w:rPr>
        <w:t>量问题，也不</w:t>
      </w:r>
      <w:bookmarkEnd w:id="686"/>
      <w:r>
        <w:rPr>
          <w:rFonts w:hint="eastAsia" w:hAnsi="宋体" w:cs="宋体"/>
          <w:highlight w:val="none"/>
        </w:rPr>
        <w:t>能免除或影响卖方依照合同约定对买方负有的包括合同货物质量在内的任何义务或责任。</w:t>
      </w:r>
    </w:p>
    <w:p>
      <w:pPr>
        <w:spacing w:line="360" w:lineRule="auto"/>
        <w:ind w:firstLine="137"/>
        <w:outlineLvl w:val="3"/>
        <w:rPr>
          <w:rFonts w:ascii="黑体" w:hAnsi="黑体" w:eastAsia="黑体" w:cs="黑体"/>
          <w:highlight w:val="none"/>
        </w:rPr>
      </w:pPr>
      <w:bookmarkStart w:id="687" w:name="_Toc482188749"/>
      <w:bookmarkStart w:id="688" w:name="_Toc501460758"/>
      <w:r>
        <w:rPr>
          <w:rFonts w:hint="eastAsia" w:ascii="黑体" w:hAnsi="黑体" w:eastAsia="黑体" w:cs="黑体"/>
          <w:highlight w:val="none"/>
        </w:rPr>
        <w:t>6.2 安装、调试</w:t>
      </w:r>
      <w:bookmarkEnd w:id="687"/>
      <w:bookmarkEnd w:id="688"/>
    </w:p>
    <w:p>
      <w:pPr>
        <w:spacing w:line="360" w:lineRule="auto"/>
        <w:ind w:firstLine="480" w:firstLineChars="200"/>
        <w:rPr>
          <w:rFonts w:hAnsi="宋体" w:cs="宋体"/>
          <w:highlight w:val="none"/>
        </w:rPr>
      </w:pPr>
      <w:r>
        <w:rPr>
          <w:rFonts w:hint="eastAsia" w:hAnsi="宋体" w:cs="宋体"/>
          <w:highlight w:val="none"/>
        </w:rPr>
        <w:t>6.2.1 开箱检验完成后，双方应对合同货物进行安装、调试，以使其具备考核的状态。安装、调试应按照专用合同条款约定的下列任一种方式进行：</w:t>
      </w:r>
    </w:p>
    <w:p>
      <w:pPr>
        <w:spacing w:line="360" w:lineRule="auto"/>
        <w:ind w:firstLine="480" w:firstLineChars="200"/>
        <w:rPr>
          <w:rFonts w:hAnsi="宋体" w:cs="宋体"/>
          <w:highlight w:val="none"/>
        </w:rPr>
      </w:pPr>
      <w:r>
        <w:rPr>
          <w:rFonts w:hint="eastAsia" w:hAnsi="宋体" w:cs="宋体"/>
          <w:highlight w:val="none"/>
        </w:rPr>
        <w:t>（1）卖方按照合同约定完成合同货物的安装、调试工作；</w:t>
      </w:r>
    </w:p>
    <w:p>
      <w:pPr>
        <w:spacing w:line="360" w:lineRule="auto"/>
        <w:ind w:firstLine="480" w:firstLineChars="200"/>
        <w:rPr>
          <w:rFonts w:hAnsi="宋体" w:cs="宋体"/>
          <w:highlight w:val="none"/>
        </w:rPr>
      </w:pPr>
      <w:r>
        <w:rPr>
          <w:rFonts w:hint="eastAsia" w:hAnsi="宋体" w:cs="宋体"/>
          <w:highlight w:val="none"/>
        </w:rPr>
        <w:t>（2）买方或买方安排第三方负责合同货物的安装、调试工作，卖方提供技术服务。</w:t>
      </w:r>
    </w:p>
    <w:p>
      <w:pPr>
        <w:spacing w:line="360" w:lineRule="auto"/>
        <w:ind w:firstLine="480" w:firstLineChars="200"/>
        <w:rPr>
          <w:rFonts w:hAnsi="宋体" w:cs="宋体"/>
          <w:highlight w:val="none"/>
          <w:lang w:val="zh-CN"/>
        </w:rPr>
      </w:pPr>
      <w:r>
        <w:rPr>
          <w:rFonts w:hint="eastAsia" w:hAnsi="宋体" w:cs="宋体"/>
          <w:highlight w:val="none"/>
        </w:rPr>
        <w:t>除专用合同条款另有约定外，</w:t>
      </w:r>
      <w:r>
        <w:rPr>
          <w:rFonts w:hint="eastAsia" w:hAnsi="宋体" w:cs="宋体"/>
          <w:highlight w:val="none"/>
          <w:lang w:val="zh-CN"/>
        </w:rPr>
        <w:t>在安装、调试过程中，如由于买方</w:t>
      </w:r>
      <w:r>
        <w:rPr>
          <w:rFonts w:hint="eastAsia" w:hAnsi="宋体" w:cs="宋体"/>
          <w:highlight w:val="none"/>
        </w:rPr>
        <w:t>或买方安排的第三方</w:t>
      </w:r>
      <w:r>
        <w:rPr>
          <w:rFonts w:hint="eastAsia" w:hAnsi="宋体" w:cs="宋体"/>
          <w:highlight w:val="none"/>
          <w:lang w:val="zh-CN"/>
        </w:rPr>
        <w:t>未按照卖方现场服务人员的指导导致安装、调试不成功和（或）出现合同货物损坏，买方应自行承担责任。如在买方</w:t>
      </w:r>
      <w:r>
        <w:rPr>
          <w:rFonts w:hint="eastAsia" w:hAnsi="宋体" w:cs="宋体"/>
          <w:highlight w:val="none"/>
        </w:rPr>
        <w:t>或买方安排的第三方</w:t>
      </w:r>
      <w:r>
        <w:rPr>
          <w:rFonts w:hint="eastAsia" w:hAnsi="宋体" w:cs="宋体"/>
          <w:highlight w:val="none"/>
          <w:lang w:val="zh-CN"/>
        </w:rPr>
        <w:t>按照卖方现场服务人员的指导进行安装、调试的情况下出现安装、调试不成功和（或）</w:t>
      </w:r>
      <w:r>
        <w:rPr>
          <w:rFonts w:hint="eastAsia" w:hAnsi="宋体" w:cs="宋体"/>
          <w:highlight w:val="none"/>
        </w:rPr>
        <w:t>造成</w:t>
      </w:r>
      <w:r>
        <w:rPr>
          <w:rFonts w:hint="eastAsia" w:hAnsi="宋体" w:cs="宋体"/>
          <w:highlight w:val="none"/>
          <w:lang w:val="zh-CN"/>
        </w:rPr>
        <w:t>合同货物损坏的情况，卖方应承担责任。</w:t>
      </w:r>
    </w:p>
    <w:p>
      <w:pPr>
        <w:spacing w:line="360" w:lineRule="auto"/>
        <w:ind w:firstLine="480" w:firstLineChars="200"/>
        <w:rPr>
          <w:rFonts w:hAnsi="宋体" w:cs="宋体"/>
          <w:highlight w:val="none"/>
          <w:lang w:val="zh-CN"/>
        </w:rPr>
      </w:pPr>
      <w:r>
        <w:rPr>
          <w:rFonts w:hint="eastAsia" w:hAnsi="宋体" w:cs="宋体"/>
          <w:highlight w:val="none"/>
          <w:lang w:val="zh-CN"/>
        </w:rPr>
        <w:t xml:space="preserve">6.2.2 </w:t>
      </w:r>
      <w:r>
        <w:rPr>
          <w:rFonts w:hint="eastAsia" w:hAnsi="宋体" w:cs="宋体"/>
          <w:highlight w:val="none"/>
        </w:rPr>
        <w:t>除专用合同条款另有约定外，安装、调试中合同货物运行需要的用水、用电、其他动力和原材料（如需要）等均由买方承担。</w:t>
      </w:r>
    </w:p>
    <w:p>
      <w:pPr>
        <w:spacing w:line="360" w:lineRule="auto"/>
        <w:ind w:firstLine="480" w:firstLineChars="200"/>
        <w:rPr>
          <w:rFonts w:hAnsi="宋体" w:cs="宋体"/>
          <w:highlight w:val="none"/>
        </w:rPr>
      </w:pPr>
      <w:r>
        <w:rPr>
          <w:rFonts w:hint="eastAsia" w:hAnsi="宋体" w:cs="宋体"/>
          <w:highlight w:val="none"/>
        </w:rPr>
        <w:t>6.2.3 双方应对合同货物的安装、调试情况共同及时进行记录。</w:t>
      </w:r>
    </w:p>
    <w:p>
      <w:pPr>
        <w:spacing w:line="360" w:lineRule="auto"/>
        <w:ind w:firstLine="137"/>
        <w:outlineLvl w:val="3"/>
        <w:rPr>
          <w:rFonts w:ascii="黑体" w:hAnsi="黑体" w:eastAsia="黑体" w:cs="黑体"/>
          <w:highlight w:val="none"/>
        </w:rPr>
      </w:pPr>
      <w:bookmarkStart w:id="689" w:name="_Toc482188750"/>
      <w:bookmarkStart w:id="690" w:name="_Toc501460759"/>
      <w:r>
        <w:rPr>
          <w:rFonts w:hint="eastAsia" w:ascii="黑体" w:hAnsi="黑体" w:eastAsia="黑体" w:cs="黑体"/>
          <w:highlight w:val="none"/>
        </w:rPr>
        <w:t>6.3 考核</w:t>
      </w:r>
      <w:bookmarkEnd w:id="689"/>
      <w:bookmarkEnd w:id="690"/>
    </w:p>
    <w:p>
      <w:pPr>
        <w:spacing w:line="360" w:lineRule="auto"/>
        <w:ind w:firstLine="480" w:firstLineChars="200"/>
        <w:rPr>
          <w:rFonts w:hAnsi="宋体" w:cs="宋体"/>
          <w:highlight w:val="none"/>
        </w:rPr>
      </w:pPr>
      <w:r>
        <w:rPr>
          <w:rFonts w:hint="eastAsia" w:hAnsi="宋体" w:cs="宋体"/>
          <w:highlight w:val="none"/>
        </w:rPr>
        <w:t>6.3.1 安装、调试完成后，双方应对合同货物进行</w:t>
      </w:r>
      <w:bookmarkStart w:id="691" w:name="_Toc6658"/>
      <w:r>
        <w:rPr>
          <w:rFonts w:hint="eastAsia" w:hAnsi="宋体" w:cs="宋体"/>
          <w:highlight w:val="none"/>
        </w:rPr>
        <w:t>考核，以确定合同货物是否达到合同约定的</w:t>
      </w:r>
      <w:bookmarkEnd w:id="691"/>
      <w:bookmarkStart w:id="692" w:name="_Toc18466"/>
      <w:r>
        <w:rPr>
          <w:rFonts w:hint="eastAsia" w:hAnsi="宋体" w:cs="宋体"/>
          <w:highlight w:val="none"/>
        </w:rPr>
        <w:t>技术性能考核指标。除专用合同条款另有约定外，考核中合同货物运行需要的用水、用电、其他动力和原材料（如需要）等均由买方承担。</w:t>
      </w:r>
    </w:p>
    <w:p>
      <w:pPr>
        <w:spacing w:line="360" w:lineRule="auto"/>
        <w:ind w:firstLine="480" w:firstLineChars="200"/>
        <w:rPr>
          <w:rFonts w:hAnsi="宋体" w:cs="宋体"/>
          <w:highlight w:val="none"/>
        </w:rPr>
      </w:pPr>
      <w:r>
        <w:rPr>
          <w:rFonts w:hint="eastAsia" w:hAnsi="宋体" w:cs="宋体"/>
          <w:highlight w:val="none"/>
        </w:rPr>
        <w:t>6.3.2</w:t>
      </w:r>
      <w:bookmarkEnd w:id="692"/>
      <w:r>
        <w:rPr>
          <w:rFonts w:hint="eastAsia" w:hAnsi="宋体" w:cs="宋体"/>
          <w:highlight w:val="none"/>
        </w:rPr>
        <w:t xml:space="preserve"> 如由于卖方原因合同货物在考核中未能达到合同约定的技术性能考核指标，则卖方应在双方同意的期限内采取措施消除合同货物中存在的缺陷，并在缺陷消除以后，尽快进行再次考核。</w:t>
      </w:r>
    </w:p>
    <w:p>
      <w:pPr>
        <w:spacing w:line="360" w:lineRule="auto"/>
        <w:ind w:firstLine="480" w:firstLineChars="200"/>
        <w:rPr>
          <w:rFonts w:hAnsi="宋体" w:cs="宋体"/>
          <w:highlight w:val="none"/>
        </w:rPr>
      </w:pPr>
      <w:r>
        <w:rPr>
          <w:rFonts w:hint="eastAsia" w:hAnsi="宋体" w:cs="宋体"/>
          <w:highlight w:val="none"/>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货物的最低技术性能考核指标，且合同货物达到了最低技术性能考核指标的，视为合同货物已达到技术性能考核指标，买方无权解除合同，且应接受合同货物，但卖方应按专用合同条款的约定进行减价或向买方支付补偿金。</w:t>
      </w:r>
    </w:p>
    <w:p>
      <w:pPr>
        <w:spacing w:line="360" w:lineRule="auto"/>
        <w:ind w:firstLine="480" w:firstLineChars="200"/>
        <w:rPr>
          <w:rFonts w:hAnsi="宋体" w:cs="宋体"/>
          <w:highlight w:val="none"/>
        </w:rPr>
      </w:pPr>
      <w:r>
        <w:rPr>
          <w:rFonts w:hint="eastAsia" w:hAnsi="宋体" w:cs="宋体"/>
          <w:highlight w:val="none"/>
        </w:rPr>
        <w:t>6.3.4 如由于买方原因合同货物在考核中未能达到合同约定的技术性能考核指标，则卖方应协助买方安排再次考核。由于买方原因未能达到技术性能考核指标时，为买方进行考核的机会不超过三次。</w:t>
      </w:r>
    </w:p>
    <w:p>
      <w:pPr>
        <w:spacing w:line="360" w:lineRule="auto"/>
        <w:ind w:firstLine="480" w:firstLineChars="200"/>
        <w:rPr>
          <w:rFonts w:hAnsi="宋体" w:cs="宋体"/>
          <w:highlight w:val="none"/>
        </w:rPr>
      </w:pPr>
      <w:r>
        <w:rPr>
          <w:rFonts w:hint="eastAsia" w:hAnsi="宋体" w:cs="宋体"/>
          <w:highlight w:val="none"/>
        </w:rPr>
        <w:t>6.3.5 考核期间，双方应及时共同记录合同货物的用水、用电、其他动力和原材料（如有）的使用及货物考核情况。对于未达到技术性能考核指标的，应如实记录货物表现、可能原因及处理情况等。</w:t>
      </w:r>
    </w:p>
    <w:p>
      <w:pPr>
        <w:spacing w:line="360" w:lineRule="auto"/>
        <w:ind w:firstLine="137"/>
        <w:outlineLvl w:val="3"/>
        <w:rPr>
          <w:rFonts w:ascii="黑体" w:hAnsi="黑体" w:eastAsia="黑体" w:cs="黑体"/>
          <w:highlight w:val="none"/>
        </w:rPr>
      </w:pPr>
      <w:bookmarkStart w:id="693" w:name="_Toc482188751"/>
      <w:bookmarkStart w:id="694" w:name="_Toc501460760"/>
      <w:r>
        <w:rPr>
          <w:rFonts w:hint="eastAsia" w:ascii="黑体" w:hAnsi="黑体" w:eastAsia="黑体" w:cs="黑体"/>
          <w:highlight w:val="none"/>
        </w:rPr>
        <w:t>6.4 验收</w:t>
      </w:r>
      <w:bookmarkEnd w:id="693"/>
      <w:bookmarkEnd w:id="694"/>
    </w:p>
    <w:p>
      <w:pPr>
        <w:spacing w:line="360" w:lineRule="auto"/>
        <w:ind w:firstLine="480" w:firstLineChars="200"/>
        <w:rPr>
          <w:rFonts w:hAnsi="宋体" w:cs="宋体"/>
          <w:highlight w:val="none"/>
        </w:rPr>
      </w:pPr>
      <w:r>
        <w:rPr>
          <w:rFonts w:hint="eastAsia" w:hAnsi="宋体" w:cs="宋体"/>
          <w:highlight w:val="none"/>
        </w:rPr>
        <w:t>6.4.1 如合同货物在考核中达到或视为达到技术性能考核指标，则买卖双方应在考核完成后7日内或专用合同条款另行约定的时间内签署合同货物验收证书一式二份，双方各持一份。验收日期应为合同货物达到或视为达到技术性能考核指标的日期。</w:t>
      </w:r>
    </w:p>
    <w:p>
      <w:pPr>
        <w:spacing w:line="360" w:lineRule="auto"/>
        <w:ind w:firstLine="480" w:firstLineChars="200"/>
        <w:rPr>
          <w:rFonts w:hAnsi="宋体" w:cs="宋体"/>
          <w:highlight w:val="none"/>
        </w:rPr>
      </w:pPr>
      <w:r>
        <w:rPr>
          <w:rFonts w:hint="eastAsia" w:hAnsi="宋体" w:cs="宋体"/>
          <w:highlight w:val="none"/>
        </w:rPr>
        <w:t>6.4.2 如由于买方原因合同货物在三次考核中均未能达到技术性能考核指标，买卖双方应在考核结束后7日内或专用合同条款另行约定的时间内签署</w:t>
      </w:r>
      <w:r>
        <w:rPr>
          <w:rStyle w:val="66"/>
          <w:rFonts w:hint="eastAsia" w:hAnsi="宋体" w:cs="宋体"/>
          <w:sz w:val="24"/>
          <w:highlight w:val="none"/>
        </w:rPr>
        <w:t>验收款支付函</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除专用合同条款另有约定</w:t>
      </w:r>
      <w:bookmarkStart w:id="695" w:name="_Toc369531639"/>
      <w:bookmarkStart w:id="696" w:name="_Toc1157"/>
      <w:r>
        <w:rPr>
          <w:rFonts w:hint="eastAsia" w:hAnsi="宋体" w:cs="宋体"/>
          <w:highlight w:val="none"/>
        </w:rPr>
        <w:t>外，卖方有义务在</w:t>
      </w:r>
      <w:bookmarkEnd w:id="695"/>
      <w:bookmarkEnd w:id="696"/>
      <w:r>
        <w:rPr>
          <w:rStyle w:val="66"/>
          <w:rFonts w:hint="eastAsia" w:hAnsi="宋体" w:cs="宋体"/>
          <w:sz w:val="24"/>
          <w:highlight w:val="none"/>
        </w:rPr>
        <w:t>验收款支付函</w:t>
      </w:r>
      <w:r>
        <w:rPr>
          <w:rFonts w:hint="eastAsia" w:hAnsi="宋体" w:cs="宋体"/>
          <w:highlight w:val="none"/>
        </w:rPr>
        <w:t>签署后12个月内应买方要求提供相关技术服务，协助买方采取一切必要措施使合同货物达到技术性能考核指标。买方应承</w:t>
      </w:r>
      <w:bookmarkStart w:id="697" w:name="_Toc25543"/>
      <w:r>
        <w:rPr>
          <w:rFonts w:hint="eastAsia" w:hAnsi="宋体" w:cs="宋体"/>
          <w:highlight w:val="none"/>
        </w:rPr>
        <w:t>担卖方因此产生的全部费用</w:t>
      </w:r>
      <w:bookmarkEnd w:id="697"/>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在上述12个月的期限内，如合同货物经过考核达到或视为达到技术性能考核指标，则买卖双方应按照第6.4.1项的约定签署合同货物验收证书。</w:t>
      </w:r>
    </w:p>
    <w:p>
      <w:pPr>
        <w:spacing w:line="360" w:lineRule="auto"/>
        <w:ind w:firstLine="480" w:firstLineChars="200"/>
        <w:rPr>
          <w:rFonts w:hAnsi="宋体" w:cs="宋体"/>
          <w:szCs w:val="24"/>
          <w:highlight w:val="none"/>
        </w:rPr>
      </w:pPr>
      <w:r>
        <w:rPr>
          <w:rFonts w:hint="eastAsia" w:hAnsi="宋体" w:cs="宋体"/>
          <w:szCs w:val="24"/>
          <w:highlight w:val="none"/>
        </w:rPr>
        <w:t>6.4.3 除专用合同条款另有约定外，如由于买方原因在最后一批合同货物交货后6个月内未能开始考核，则买卖双方应在上述期限</w:t>
      </w:r>
      <w:bookmarkStart w:id="698" w:name="_Toc3766"/>
      <w:r>
        <w:rPr>
          <w:rFonts w:hint="eastAsia" w:hAnsi="宋体" w:cs="宋体"/>
          <w:szCs w:val="24"/>
          <w:highlight w:val="none"/>
        </w:rPr>
        <w:t>届满后7日内或专用合同条款另行约定的时间内签署验收款支付函。</w:t>
      </w:r>
      <w:bookmarkEnd w:id="698"/>
    </w:p>
    <w:p>
      <w:pPr>
        <w:spacing w:line="360" w:lineRule="auto"/>
        <w:ind w:firstLine="480" w:firstLineChars="200"/>
        <w:rPr>
          <w:rFonts w:hAnsi="宋体" w:cs="宋体"/>
          <w:szCs w:val="24"/>
          <w:highlight w:val="none"/>
        </w:rPr>
      </w:pPr>
      <w:r>
        <w:rPr>
          <w:rFonts w:hint="eastAsia" w:hAnsi="宋体" w:cs="宋体"/>
          <w:szCs w:val="24"/>
          <w:highlight w:val="none"/>
        </w:rPr>
        <w:t>除专用合同条款另有约定外，卖方有义务在</w:t>
      </w:r>
      <w:r>
        <w:rPr>
          <w:rStyle w:val="66"/>
          <w:rFonts w:hint="eastAsia" w:hAnsi="宋体" w:cs="宋体"/>
          <w:sz w:val="24"/>
          <w:szCs w:val="24"/>
          <w:highlight w:val="none"/>
        </w:rPr>
        <w:t>验收款支付函</w:t>
      </w:r>
      <w:r>
        <w:rPr>
          <w:rFonts w:hint="eastAsia" w:hAnsi="宋体" w:cs="宋体"/>
          <w:szCs w:val="24"/>
          <w:highlight w:val="none"/>
        </w:rPr>
        <w:t>签署后6个月内应买方要求提供不超出合同范围的技术服务，协助买方采取一切必要措施使合同货物达到技术性能考核指标，且买方无需因此向卖方支付费用。</w:t>
      </w:r>
    </w:p>
    <w:p>
      <w:pPr>
        <w:spacing w:line="360" w:lineRule="auto"/>
        <w:ind w:firstLine="480" w:firstLineChars="200"/>
        <w:rPr>
          <w:rFonts w:hAnsi="宋体" w:cs="宋体"/>
          <w:szCs w:val="24"/>
          <w:highlight w:val="none"/>
        </w:rPr>
      </w:pPr>
      <w:r>
        <w:rPr>
          <w:rFonts w:hint="eastAsia" w:hAnsi="宋体" w:cs="宋体"/>
          <w:szCs w:val="24"/>
          <w:highlight w:val="none"/>
        </w:rPr>
        <w:t>在上述6个月的期限内，如合同货物经过考核达到或视为达到技术性能考核指标，则买卖双方应按照第6.4.1项的约定签署合同货物验收证书。</w:t>
      </w:r>
    </w:p>
    <w:p>
      <w:pPr>
        <w:spacing w:line="360" w:lineRule="auto"/>
        <w:ind w:firstLine="480" w:firstLineChars="200"/>
        <w:rPr>
          <w:rFonts w:hAnsi="宋体" w:cs="宋体"/>
          <w:szCs w:val="24"/>
          <w:highlight w:val="none"/>
        </w:rPr>
      </w:pPr>
      <w:r>
        <w:rPr>
          <w:rFonts w:hint="eastAsia" w:hAnsi="宋体" w:cs="宋体"/>
          <w:szCs w:val="24"/>
          <w:highlight w:val="none"/>
        </w:rPr>
        <w:t>6.4.4 在第6.4.2项和第6.4.3项情形下，卖方也可单方签署验收款支付函提交买方，如果买方在收到卖方签署的验收款支付函后14日内未向卖方提出书面异议，则验收款支付函自签署之日起生效。</w:t>
      </w:r>
    </w:p>
    <w:p>
      <w:pPr>
        <w:spacing w:line="360" w:lineRule="auto"/>
        <w:ind w:firstLine="480" w:firstLineChars="200"/>
        <w:rPr>
          <w:rFonts w:hAnsi="宋体" w:cs="宋体"/>
          <w:highlight w:val="none"/>
        </w:rPr>
      </w:pPr>
      <w:r>
        <w:rPr>
          <w:rFonts w:hint="eastAsia" w:hAnsi="宋体" w:cs="宋体"/>
          <w:highlight w:val="none"/>
        </w:rPr>
        <w:t>6.4.5合同货物验收证书的签署不能免除卖方在质量保证期内对合同货物应承担的保证责任。</w:t>
      </w:r>
    </w:p>
    <w:p>
      <w:pPr>
        <w:spacing w:line="360" w:lineRule="auto"/>
        <w:ind w:firstLine="137"/>
        <w:outlineLvl w:val="2"/>
        <w:rPr>
          <w:rFonts w:ascii="黑体" w:hAnsi="黑体" w:eastAsia="黑体" w:cs="黑体"/>
          <w:sz w:val="28"/>
          <w:szCs w:val="28"/>
          <w:highlight w:val="none"/>
        </w:rPr>
      </w:pPr>
      <w:bookmarkStart w:id="699" w:name="_Toc501460761"/>
      <w:bookmarkStart w:id="700" w:name="_Toc26700653"/>
      <w:bookmarkStart w:id="701" w:name="_Toc24965153"/>
      <w:bookmarkStart w:id="702" w:name="_Toc26721387"/>
      <w:bookmarkStart w:id="703" w:name="_Toc17100673"/>
      <w:bookmarkStart w:id="704" w:name="_Toc15753909"/>
      <w:bookmarkStart w:id="705" w:name="_Toc26721542"/>
      <w:bookmarkStart w:id="706" w:name="_Toc26700483"/>
      <w:bookmarkStart w:id="707" w:name="_Toc482188752"/>
      <w:r>
        <w:rPr>
          <w:rFonts w:hint="eastAsia" w:ascii="黑体" w:hAnsi="黑体" w:eastAsia="黑体" w:cs="黑体"/>
          <w:sz w:val="28"/>
          <w:szCs w:val="28"/>
          <w:highlight w:val="none"/>
        </w:rPr>
        <w:t>7. 技术服务</w:t>
      </w:r>
      <w:bookmarkEnd w:id="699"/>
      <w:bookmarkEnd w:id="700"/>
      <w:bookmarkEnd w:id="701"/>
      <w:bookmarkEnd w:id="702"/>
      <w:bookmarkEnd w:id="703"/>
      <w:bookmarkEnd w:id="704"/>
      <w:bookmarkEnd w:id="705"/>
      <w:bookmarkEnd w:id="706"/>
      <w:bookmarkEnd w:id="707"/>
    </w:p>
    <w:p>
      <w:pPr>
        <w:spacing w:line="360" w:lineRule="auto"/>
        <w:ind w:firstLine="480" w:firstLineChars="200"/>
        <w:rPr>
          <w:rFonts w:hAnsi="宋体" w:cs="宋体"/>
          <w:highlight w:val="none"/>
        </w:rPr>
      </w:pPr>
      <w:r>
        <w:rPr>
          <w:rFonts w:hint="eastAsia" w:hAnsi="宋体" w:cs="宋体"/>
          <w:highlight w:val="none"/>
        </w:rPr>
        <w:t>7.1 卖方应派遣技术熟练、称职的技术人员到施工场地为买方提供技术服务。卖方的技术服务应符合合同的约定。</w:t>
      </w:r>
    </w:p>
    <w:p>
      <w:pPr>
        <w:spacing w:line="360" w:lineRule="auto"/>
        <w:ind w:firstLine="480" w:firstLineChars="200"/>
        <w:rPr>
          <w:rFonts w:hAnsi="宋体" w:cs="宋体"/>
          <w:highlight w:val="none"/>
        </w:rPr>
      </w:pPr>
      <w:r>
        <w:rPr>
          <w:rFonts w:hint="eastAsia" w:hAnsi="宋体" w:cs="宋体"/>
          <w:highlight w:val="none"/>
        </w:rPr>
        <w:t>7.2 买方应免费为卖方技术人员提供工作条件及便利，包括但不限于必要的办公场所、技术资料及出入许可等。除专用合同条款另有约定外，卖方技术人员的交通、食宿费用由卖方承担。</w:t>
      </w:r>
    </w:p>
    <w:p>
      <w:pPr>
        <w:spacing w:line="360" w:lineRule="auto"/>
        <w:ind w:firstLine="480" w:firstLineChars="200"/>
        <w:rPr>
          <w:rFonts w:hAnsi="宋体" w:cs="宋体"/>
          <w:highlight w:val="none"/>
        </w:rPr>
      </w:pPr>
      <w:r>
        <w:rPr>
          <w:rFonts w:hint="eastAsia" w:hAnsi="宋体" w:cs="宋体"/>
          <w:highlight w:val="none"/>
        </w:rPr>
        <w:t>7.3 卖方技术人员应遵守买方施工现场的各项规章制度和安全操作规程，并服从买方的现场管理。</w:t>
      </w:r>
    </w:p>
    <w:p>
      <w:pPr>
        <w:spacing w:line="360" w:lineRule="auto"/>
        <w:ind w:firstLine="480" w:firstLineChars="200"/>
        <w:rPr>
          <w:rFonts w:hAnsi="宋体" w:cs="宋体"/>
          <w:highlight w:val="none"/>
        </w:rPr>
      </w:pPr>
      <w:r>
        <w:rPr>
          <w:rFonts w:hint="eastAsia" w:hAnsi="宋体" w:cs="宋体"/>
          <w:highlight w:val="none"/>
        </w:rPr>
        <w:t>7.4 如果任何技术人员不合格，买方有权要求卖方撤换，因撤换而产生的费用应由卖方承担。在不影响技术服务并且征得买方同意的条件下，卖方也可自负费用更换其技术人员。</w:t>
      </w:r>
    </w:p>
    <w:p>
      <w:pPr>
        <w:spacing w:line="360" w:lineRule="auto"/>
        <w:ind w:firstLine="137"/>
        <w:outlineLvl w:val="2"/>
        <w:rPr>
          <w:rFonts w:ascii="黑体" w:hAnsi="黑体" w:eastAsia="黑体" w:cs="黑体"/>
          <w:sz w:val="28"/>
          <w:szCs w:val="28"/>
          <w:highlight w:val="none"/>
        </w:rPr>
      </w:pPr>
      <w:bookmarkStart w:id="708" w:name="_Toc26700484"/>
      <w:bookmarkStart w:id="709" w:name="_Toc26700654"/>
      <w:bookmarkStart w:id="710" w:name="_Toc15753910"/>
      <w:bookmarkStart w:id="711" w:name="_Toc26721543"/>
      <w:bookmarkStart w:id="712" w:name="_Toc17100674"/>
      <w:bookmarkStart w:id="713" w:name="_Toc24965154"/>
      <w:bookmarkStart w:id="714" w:name="_Toc501460762"/>
      <w:bookmarkStart w:id="715" w:name="_Toc26721388"/>
      <w:bookmarkStart w:id="716" w:name="_Toc482188753"/>
      <w:r>
        <w:rPr>
          <w:rFonts w:hint="eastAsia" w:ascii="黑体" w:hAnsi="黑体" w:eastAsia="黑体" w:cs="黑体"/>
          <w:sz w:val="28"/>
          <w:szCs w:val="28"/>
          <w:highlight w:val="none"/>
        </w:rPr>
        <w:t>8. 质量保证期</w:t>
      </w:r>
      <w:bookmarkEnd w:id="708"/>
      <w:bookmarkEnd w:id="709"/>
      <w:bookmarkEnd w:id="710"/>
      <w:bookmarkEnd w:id="711"/>
      <w:bookmarkEnd w:id="712"/>
      <w:bookmarkEnd w:id="713"/>
      <w:bookmarkEnd w:id="714"/>
      <w:bookmarkEnd w:id="715"/>
      <w:bookmarkEnd w:id="716"/>
    </w:p>
    <w:p>
      <w:pPr>
        <w:spacing w:line="360" w:lineRule="auto"/>
        <w:ind w:firstLine="480" w:firstLineChars="200"/>
        <w:rPr>
          <w:rFonts w:hAnsi="宋体" w:cs="宋体"/>
          <w:szCs w:val="24"/>
          <w:highlight w:val="none"/>
        </w:rPr>
      </w:pPr>
      <w:bookmarkStart w:id="717" w:name="_Toc482188754"/>
      <w:bookmarkStart w:id="718" w:name="_Toc501460763"/>
      <w:bookmarkStart w:id="719" w:name="_Toc26700485"/>
      <w:bookmarkStart w:id="720" w:name="_Toc15753911"/>
      <w:bookmarkStart w:id="721" w:name="_Toc26721389"/>
      <w:bookmarkStart w:id="722" w:name="_Toc24965155"/>
      <w:bookmarkStart w:id="723" w:name="_Toc26721544"/>
      <w:bookmarkStart w:id="724" w:name="_Toc26700655"/>
      <w:bookmarkStart w:id="725" w:name="_Toc17100675"/>
      <w:r>
        <w:rPr>
          <w:rFonts w:hint="eastAsia" w:hAnsi="宋体" w:cs="宋体"/>
          <w:szCs w:val="24"/>
          <w:highlight w:val="none"/>
        </w:rPr>
        <w:t>8.1 除专用合同条款和（或）供货要求等合同文件另有约定外，合同货物整体质量保证期为验收之日起12个月。如对合同货物中关键部件的质量保证期有特殊要求的，买卖双方可在专用合同条款中约定。在合同第6.4.2项情形下，无论合同货物何时验收，其质量保证期最长为签署</w:t>
      </w:r>
      <w:r>
        <w:rPr>
          <w:rStyle w:val="66"/>
          <w:rFonts w:hint="eastAsia" w:hAnsi="宋体" w:cs="宋体"/>
          <w:sz w:val="24"/>
          <w:szCs w:val="24"/>
          <w:highlight w:val="none"/>
        </w:rPr>
        <w:t>验收款支付函后12个月。</w:t>
      </w:r>
      <w:r>
        <w:rPr>
          <w:rFonts w:hint="eastAsia" w:hAnsi="宋体" w:cs="宋体"/>
          <w:szCs w:val="24"/>
          <w:highlight w:val="none"/>
        </w:rPr>
        <w:t>在合同第6.4.3项情形下，无论合同货物何时验收，其质量保证期最长为签署</w:t>
      </w:r>
      <w:r>
        <w:rPr>
          <w:rStyle w:val="66"/>
          <w:rFonts w:hint="eastAsia" w:hAnsi="宋体" w:cs="宋体"/>
          <w:sz w:val="24"/>
          <w:szCs w:val="24"/>
          <w:highlight w:val="none"/>
        </w:rPr>
        <w:t>验收款支付函后6个月。</w:t>
      </w:r>
    </w:p>
    <w:p>
      <w:pPr>
        <w:spacing w:line="360" w:lineRule="auto"/>
        <w:ind w:firstLine="420"/>
        <w:rPr>
          <w:rFonts w:hAnsi="宋体" w:cs="宋体"/>
          <w:szCs w:val="24"/>
          <w:highlight w:val="none"/>
        </w:rPr>
      </w:pPr>
      <w:r>
        <w:rPr>
          <w:rFonts w:hint="eastAsia" w:hAnsi="宋体" w:cs="宋体"/>
          <w:szCs w:val="24"/>
          <w:highlight w:val="none"/>
        </w:rPr>
        <w:t>8.2 在质量保证期内如果合同货物出现故障，卖方应自负费用提供质保期服务，对相关合同货物进行修理或更换以消除故障。更换的合同货物和（或）关键部件的质量保证期应重新计算。但如果合同货物的故障是由于买方原因造成的，则对合同货物进行修理和更换的费用应由买方承担。</w:t>
      </w:r>
    </w:p>
    <w:p>
      <w:pPr>
        <w:spacing w:line="360" w:lineRule="auto"/>
        <w:ind w:firstLine="480" w:firstLineChars="200"/>
        <w:rPr>
          <w:rFonts w:hAnsi="宋体" w:cs="宋体"/>
          <w:szCs w:val="24"/>
          <w:highlight w:val="none"/>
        </w:rPr>
      </w:pPr>
      <w:r>
        <w:rPr>
          <w:rFonts w:hint="eastAsia" w:hAnsi="宋体" w:cs="宋体"/>
          <w:szCs w:val="24"/>
          <w:highlight w:val="none"/>
        </w:rPr>
        <w:t>8.3 质量保证期届满后，买方应在7日内或专用合同条款另行约定的时间内向卖方出具合同货物的质量保证期届满证书。</w:t>
      </w:r>
    </w:p>
    <w:p>
      <w:pPr>
        <w:spacing w:line="360" w:lineRule="auto"/>
        <w:ind w:firstLine="480" w:firstLineChars="200"/>
        <w:rPr>
          <w:rFonts w:hAnsi="宋体" w:cs="宋体"/>
          <w:szCs w:val="24"/>
          <w:highlight w:val="none"/>
        </w:rPr>
      </w:pPr>
      <w:r>
        <w:rPr>
          <w:rFonts w:hint="eastAsia" w:hAnsi="宋体" w:cs="宋体"/>
          <w:szCs w:val="24"/>
          <w:highlight w:val="none"/>
        </w:rPr>
        <w:t>8.4 在合同第6.4.2项情形下，如在</w:t>
      </w:r>
      <w:r>
        <w:rPr>
          <w:rStyle w:val="66"/>
          <w:rFonts w:hint="eastAsia" w:hAnsi="宋体" w:cs="宋体"/>
          <w:sz w:val="24"/>
          <w:szCs w:val="24"/>
          <w:highlight w:val="none"/>
        </w:rPr>
        <w:t>验收款支付函</w:t>
      </w:r>
      <w:r>
        <w:rPr>
          <w:rFonts w:hint="eastAsia" w:hAnsi="宋体" w:cs="宋体"/>
          <w:szCs w:val="24"/>
          <w:highlight w:val="none"/>
        </w:rPr>
        <w:t>签署后12个月内由于买方原因合同货物仍未能达到技术性能考核指标，则买卖双方应在该12个月届满后7日内或专用合同条款另行约定的时间内签署结清款支付函。</w:t>
      </w:r>
    </w:p>
    <w:p>
      <w:pPr>
        <w:spacing w:line="360" w:lineRule="auto"/>
        <w:ind w:firstLine="480" w:firstLineChars="200"/>
        <w:rPr>
          <w:rFonts w:hAnsi="宋体" w:cs="宋体"/>
          <w:szCs w:val="24"/>
          <w:highlight w:val="none"/>
        </w:rPr>
      </w:pPr>
      <w:r>
        <w:rPr>
          <w:rFonts w:hint="eastAsia" w:hAnsi="宋体" w:cs="宋体"/>
          <w:szCs w:val="24"/>
          <w:highlight w:val="none"/>
        </w:rPr>
        <w:t>8.5 在合同第6.4.3项情形下，如在</w:t>
      </w:r>
      <w:r>
        <w:rPr>
          <w:rStyle w:val="66"/>
          <w:rFonts w:hint="eastAsia" w:hAnsi="宋体" w:cs="宋体"/>
          <w:sz w:val="24"/>
          <w:szCs w:val="24"/>
          <w:highlight w:val="none"/>
        </w:rPr>
        <w:t>验收款支付函</w:t>
      </w:r>
      <w:r>
        <w:rPr>
          <w:rFonts w:hint="eastAsia" w:hAnsi="宋体" w:cs="宋体"/>
          <w:szCs w:val="24"/>
          <w:highlight w:val="none"/>
        </w:rPr>
        <w:t>签署后6个月内由于买方原因合同货物仍未进行考核或仍未达到技术性能考核指标，则买卖双方应在该6个月届满后7日内或专用合同条款另行约定的时间内签署结清款支付函。</w:t>
      </w:r>
    </w:p>
    <w:p>
      <w:pPr>
        <w:spacing w:line="360" w:lineRule="auto"/>
        <w:ind w:firstLine="480" w:firstLineChars="200"/>
        <w:rPr>
          <w:rFonts w:hAnsi="宋体" w:cs="宋体"/>
          <w:szCs w:val="24"/>
          <w:highlight w:val="none"/>
        </w:rPr>
      </w:pPr>
      <w:r>
        <w:rPr>
          <w:rFonts w:hint="eastAsia" w:hAnsi="宋体" w:cs="宋体"/>
          <w:szCs w:val="24"/>
          <w:highlight w:val="none"/>
        </w:rPr>
        <w:t>8.6 在第8.4款和第8.5款情形下，卖方也可单方签署结清款支付函提交买方，如果买方在收到卖方签署的结清款支付函后14日内未向卖方提出书面异议，则结清款支付函自签署之日起生效。</w:t>
      </w:r>
    </w:p>
    <w:p>
      <w:pPr>
        <w:spacing w:line="360" w:lineRule="auto"/>
        <w:ind w:firstLine="137"/>
        <w:outlineLvl w:val="2"/>
        <w:rPr>
          <w:rFonts w:ascii="黑体" w:hAnsi="黑体" w:eastAsia="黑体" w:cs="黑体"/>
          <w:sz w:val="28"/>
          <w:szCs w:val="28"/>
          <w:highlight w:val="none"/>
        </w:rPr>
      </w:pPr>
      <w:r>
        <w:rPr>
          <w:rFonts w:hint="eastAsia" w:ascii="黑体" w:hAnsi="黑体" w:eastAsia="黑体" w:cs="黑体"/>
          <w:sz w:val="28"/>
          <w:szCs w:val="28"/>
          <w:highlight w:val="none"/>
        </w:rPr>
        <w:t>9. 质保期服务</w:t>
      </w:r>
      <w:bookmarkEnd w:id="717"/>
      <w:bookmarkEnd w:id="718"/>
      <w:bookmarkEnd w:id="719"/>
      <w:bookmarkEnd w:id="720"/>
      <w:bookmarkEnd w:id="721"/>
      <w:bookmarkEnd w:id="722"/>
      <w:bookmarkEnd w:id="723"/>
      <w:bookmarkEnd w:id="724"/>
      <w:bookmarkEnd w:id="725"/>
    </w:p>
    <w:p>
      <w:pPr>
        <w:spacing w:line="360" w:lineRule="auto"/>
        <w:ind w:firstLine="480" w:firstLineChars="200"/>
        <w:rPr>
          <w:rFonts w:hAnsi="宋体" w:cs="宋体"/>
          <w:highlight w:val="none"/>
        </w:rPr>
      </w:pPr>
      <w:r>
        <w:rPr>
          <w:rFonts w:hint="eastAsia" w:hAnsi="宋体" w:cs="宋体"/>
          <w:highlight w:val="none"/>
        </w:rPr>
        <w:t>9.1 卖方应为质保期服务配备充足的技术人员、工具和备件并保证提供的联系方式畅通。除专用合同条款和（或）供货要求等合同文件另有约定外，卖方应在收到买方通知后24小时内做出响应，如需卖方到合同货物现场，卖方应在收到买方通知后48小时内到达，并在到达后7日内解决合同货物的故障（重大故障除外）。如果卖方未在上述时间内作出响应，则买方有权自行或委托他人解决相关问题或查找和解决合同货物的故障，卖方应承担由此发生的全部费用。</w:t>
      </w:r>
    </w:p>
    <w:p>
      <w:pPr>
        <w:spacing w:line="360" w:lineRule="auto"/>
        <w:ind w:firstLine="480" w:firstLineChars="200"/>
        <w:rPr>
          <w:rFonts w:hAnsi="宋体" w:cs="宋体"/>
          <w:highlight w:val="none"/>
        </w:rPr>
      </w:pPr>
      <w:r>
        <w:rPr>
          <w:rFonts w:hint="eastAsia" w:hAnsi="宋体" w:cs="宋体"/>
          <w:highlight w:val="none"/>
        </w:rPr>
        <w:t>9.2 如卖方技术人员需到合同货物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spacing w:line="360" w:lineRule="auto"/>
        <w:ind w:firstLine="480" w:firstLineChars="200"/>
        <w:rPr>
          <w:rFonts w:hAnsi="宋体" w:cs="宋体"/>
          <w:highlight w:val="none"/>
        </w:rPr>
      </w:pPr>
      <w:r>
        <w:rPr>
          <w:rFonts w:hint="eastAsia" w:hAnsi="宋体" w:cs="宋体"/>
          <w:highlight w:val="none"/>
        </w:rPr>
        <w:t>9.3 如果任何技术人员不合格，买方有权要求卖方撤换，因撤换而产生的费用应由卖方承担。在不影响质保期服务并且征得买方同意的条件下，卖方也可自负费用更换其技术人员。</w:t>
      </w:r>
    </w:p>
    <w:p>
      <w:pPr>
        <w:spacing w:line="360" w:lineRule="auto"/>
        <w:ind w:firstLine="480" w:firstLineChars="200"/>
        <w:rPr>
          <w:rFonts w:hAnsi="宋体" w:cs="宋体"/>
          <w:highlight w:val="none"/>
        </w:rPr>
      </w:pPr>
      <w:r>
        <w:rPr>
          <w:rFonts w:hint="eastAsia" w:hAnsi="宋体" w:cs="宋体"/>
          <w:highlight w:val="none"/>
        </w:rPr>
        <w:t>9.4 除专用合同条款另有约定外，卖方应就在施工现场进行质保期服务的情况进行记录，记载合同货物故障发生的时间、原因及解决情况等，由买方签字确认，并在质量保证期结束后提交给买方。</w:t>
      </w:r>
    </w:p>
    <w:p>
      <w:pPr>
        <w:spacing w:line="360" w:lineRule="auto"/>
        <w:outlineLvl w:val="2"/>
        <w:rPr>
          <w:rFonts w:ascii="黑体" w:hAnsi="黑体" w:eastAsia="黑体" w:cs="黑体"/>
          <w:sz w:val="28"/>
          <w:szCs w:val="28"/>
          <w:highlight w:val="none"/>
        </w:rPr>
      </w:pPr>
      <w:bookmarkStart w:id="726" w:name="_Toc482188755"/>
      <w:bookmarkStart w:id="727" w:name="_Toc15753912"/>
      <w:bookmarkStart w:id="728" w:name="_Toc26721545"/>
      <w:bookmarkStart w:id="729" w:name="_Toc26700486"/>
      <w:bookmarkStart w:id="730" w:name="_Toc501460764"/>
      <w:bookmarkStart w:id="731" w:name="_Toc26700656"/>
      <w:bookmarkStart w:id="732" w:name="_Toc26721390"/>
      <w:bookmarkStart w:id="733" w:name="_Toc24965156"/>
      <w:bookmarkStart w:id="734" w:name="_Toc17100676"/>
      <w:r>
        <w:rPr>
          <w:rFonts w:hint="eastAsia" w:ascii="黑体" w:hAnsi="黑体" w:eastAsia="黑体" w:cs="黑体"/>
          <w:sz w:val="28"/>
          <w:szCs w:val="28"/>
          <w:highlight w:val="none"/>
        </w:rPr>
        <w:t xml:space="preserve">10. </w:t>
      </w:r>
      <w:bookmarkEnd w:id="726"/>
      <w:r>
        <w:rPr>
          <w:rFonts w:hint="eastAsia" w:ascii="黑体" w:hAnsi="黑体" w:eastAsia="黑体" w:cs="黑体"/>
          <w:sz w:val="28"/>
          <w:szCs w:val="28"/>
          <w:highlight w:val="none"/>
        </w:rPr>
        <w:t>履约保证金</w:t>
      </w:r>
      <w:bookmarkEnd w:id="727"/>
      <w:bookmarkEnd w:id="728"/>
      <w:bookmarkEnd w:id="729"/>
      <w:bookmarkEnd w:id="730"/>
      <w:bookmarkEnd w:id="731"/>
      <w:bookmarkEnd w:id="732"/>
      <w:bookmarkEnd w:id="733"/>
      <w:bookmarkEnd w:id="734"/>
    </w:p>
    <w:p>
      <w:pPr>
        <w:spacing w:line="360" w:lineRule="auto"/>
        <w:ind w:firstLine="480" w:firstLineChars="200"/>
        <w:rPr>
          <w:rFonts w:hAnsi="宋体" w:cs="宋体"/>
          <w:highlight w:val="none"/>
        </w:rPr>
      </w:pPr>
      <w:r>
        <w:rPr>
          <w:rFonts w:hint="eastAsia" w:hAnsi="宋体" w:cs="宋体"/>
          <w:highlight w:val="none"/>
        </w:rPr>
        <w:t>除专用合同条款另有约定外，履约保证金自合同生效之日起生效，在合同货物验收证书或</w:t>
      </w:r>
      <w:r>
        <w:rPr>
          <w:rStyle w:val="66"/>
          <w:rFonts w:hint="eastAsia" w:hAnsi="宋体" w:cs="宋体"/>
          <w:sz w:val="24"/>
          <w:highlight w:val="none"/>
        </w:rPr>
        <w:t>验收款支付函</w:t>
      </w:r>
      <w:r>
        <w:rPr>
          <w:rFonts w:hint="eastAsia" w:hAnsi="宋体" w:cs="宋体"/>
          <w:highlight w:val="none"/>
        </w:rPr>
        <w:t>签署之日起28日后失效。如果卖方不履行合同约定的义务或其履行不符合合同的约定，买方有权扣划相应金额的履约保证金。</w:t>
      </w:r>
    </w:p>
    <w:p>
      <w:pPr>
        <w:spacing w:line="360" w:lineRule="auto"/>
        <w:ind w:firstLine="137"/>
        <w:outlineLvl w:val="2"/>
        <w:rPr>
          <w:rFonts w:ascii="黑体" w:hAnsi="黑体" w:eastAsia="黑体" w:cs="黑体"/>
          <w:sz w:val="28"/>
          <w:szCs w:val="28"/>
          <w:highlight w:val="none"/>
        </w:rPr>
      </w:pPr>
      <w:bookmarkStart w:id="735" w:name="_Toc501460765"/>
      <w:bookmarkStart w:id="736" w:name="_Toc26721391"/>
      <w:bookmarkStart w:id="737" w:name="_Toc482188756"/>
      <w:bookmarkStart w:id="738" w:name="_Toc17100677"/>
      <w:bookmarkStart w:id="739" w:name="_Toc26700487"/>
      <w:bookmarkStart w:id="740" w:name="_Toc26721546"/>
      <w:bookmarkStart w:id="741" w:name="_Toc26700657"/>
      <w:bookmarkStart w:id="742" w:name="_Toc15753913"/>
      <w:bookmarkStart w:id="743" w:name="_Toc24965157"/>
      <w:r>
        <w:rPr>
          <w:rFonts w:hint="eastAsia" w:ascii="黑体" w:hAnsi="黑体" w:eastAsia="黑体" w:cs="黑体"/>
          <w:sz w:val="28"/>
          <w:szCs w:val="28"/>
          <w:highlight w:val="none"/>
        </w:rPr>
        <w:t>11. 保证</w:t>
      </w:r>
      <w:bookmarkEnd w:id="735"/>
      <w:bookmarkEnd w:id="736"/>
      <w:bookmarkEnd w:id="737"/>
      <w:bookmarkEnd w:id="738"/>
      <w:bookmarkEnd w:id="739"/>
      <w:bookmarkEnd w:id="740"/>
      <w:bookmarkEnd w:id="741"/>
      <w:bookmarkEnd w:id="742"/>
      <w:bookmarkEnd w:id="743"/>
    </w:p>
    <w:p>
      <w:pPr>
        <w:spacing w:line="360" w:lineRule="auto"/>
        <w:ind w:firstLine="480" w:firstLineChars="200"/>
        <w:rPr>
          <w:rFonts w:hAnsi="宋体" w:cs="宋体"/>
          <w:highlight w:val="none"/>
        </w:rPr>
      </w:pPr>
      <w:r>
        <w:rPr>
          <w:rFonts w:hint="eastAsia" w:hAnsi="宋体" w:cs="宋体"/>
          <w:highlight w:val="none"/>
        </w:rPr>
        <w:t>11.1 卖方保证其具有完全的能力履行本合同项下的全部义务。</w:t>
      </w:r>
    </w:p>
    <w:p>
      <w:pPr>
        <w:spacing w:line="360" w:lineRule="auto"/>
        <w:ind w:firstLine="480" w:firstLineChars="200"/>
        <w:rPr>
          <w:rFonts w:hAnsi="宋体" w:cs="宋体"/>
          <w:highlight w:val="none"/>
        </w:rPr>
      </w:pPr>
      <w:r>
        <w:rPr>
          <w:rFonts w:hint="eastAsia" w:hAnsi="宋体" w:cs="宋体"/>
          <w:highlight w:val="none"/>
        </w:rPr>
        <w:t>11.2卖方保证其所提供的合同货物及对合同的履行符合所有应适用的法律、行政法规、地方性法规、自治条例和单行条例、规章及其他规范性文件的强制性规定。</w:t>
      </w:r>
    </w:p>
    <w:p>
      <w:pPr>
        <w:spacing w:line="360" w:lineRule="auto"/>
        <w:ind w:firstLine="480" w:firstLineChars="200"/>
        <w:rPr>
          <w:rFonts w:hAnsi="宋体" w:cs="宋体"/>
          <w:highlight w:val="none"/>
        </w:rPr>
      </w:pPr>
      <w:r>
        <w:rPr>
          <w:rFonts w:hint="eastAsia" w:hAnsi="宋体" w:cs="宋体"/>
          <w:highlight w:val="none"/>
        </w:rPr>
        <w:t>11.3 卖方保证其对合同货物的销售不损害任何第三方的合法权益和社会公众利益。任何第三方不会因卖方原因而基于所有权、抵押权、</w:t>
      </w:r>
      <w:bookmarkStart w:id="744" w:name="_Toc22234"/>
      <w:r>
        <w:rPr>
          <w:rFonts w:hint="eastAsia" w:hAnsi="宋体" w:cs="宋体"/>
          <w:highlight w:val="none"/>
        </w:rPr>
        <w:t>留置权或其他任何权利或事由</w:t>
      </w:r>
      <w:bookmarkEnd w:id="744"/>
      <w:r>
        <w:rPr>
          <w:rFonts w:hint="eastAsia" w:hAnsi="宋体" w:cs="宋体"/>
          <w:highlight w:val="none"/>
        </w:rPr>
        <w:t>对合同货物主张权利。</w:t>
      </w:r>
    </w:p>
    <w:p>
      <w:pPr>
        <w:spacing w:line="360" w:lineRule="auto"/>
        <w:ind w:firstLine="480" w:firstLineChars="200"/>
        <w:rPr>
          <w:rFonts w:hAnsi="宋体" w:cs="宋体"/>
          <w:highlight w:val="none"/>
        </w:rPr>
      </w:pPr>
      <w:r>
        <w:rPr>
          <w:rFonts w:hint="eastAsia" w:hAnsi="宋体" w:cs="宋体"/>
          <w:highlight w:val="none"/>
        </w:rPr>
        <w:t>11.4 卖方保证合同货物符合合同约定的规格、标准、技术性能考核指标等，能够安全和稳定地运行，且合同货物（包括全部部件）全新、完整、未使用过，除非专用合同条款和（或）供货要求等合同文件另有约定。</w:t>
      </w:r>
    </w:p>
    <w:p>
      <w:pPr>
        <w:spacing w:line="360" w:lineRule="auto"/>
        <w:ind w:firstLine="480" w:firstLineChars="200"/>
        <w:rPr>
          <w:rFonts w:hAnsi="宋体" w:cs="宋体"/>
          <w:highlight w:val="none"/>
        </w:rPr>
      </w:pPr>
      <w:r>
        <w:rPr>
          <w:rFonts w:hint="eastAsia" w:hAnsi="宋体" w:cs="宋体"/>
          <w:highlight w:val="none"/>
        </w:rPr>
        <w:t>11.5 卖方保证，卖方所提供的技术资料完整、清晰、准确，符合合同约定并且能够满足合同货物的安装、调试、考核、操作以及维修和保养的需要。</w:t>
      </w:r>
    </w:p>
    <w:p>
      <w:pPr>
        <w:spacing w:line="360" w:lineRule="auto"/>
        <w:ind w:firstLine="480" w:firstLineChars="200"/>
        <w:rPr>
          <w:rFonts w:hAnsi="宋体" w:cs="宋体"/>
          <w:highlight w:val="none"/>
        </w:rPr>
      </w:pPr>
      <w:r>
        <w:rPr>
          <w:rFonts w:hint="eastAsia" w:hAnsi="宋体" w:cs="宋体"/>
          <w:highlight w:val="none"/>
        </w:rPr>
        <w:t>11.6 卖方保证合同范围内提供的备品备件能够满足合同货物在质量保证期结束前正常运行及维修的需要，如在质量保证期结束前因卖方原因出现备品备件短缺影响合同货物正常运行的，卖方应免费提供。</w:t>
      </w:r>
    </w:p>
    <w:p>
      <w:pPr>
        <w:spacing w:line="360" w:lineRule="auto"/>
        <w:ind w:firstLine="480" w:firstLineChars="200"/>
        <w:rPr>
          <w:rFonts w:hAnsi="宋体" w:cs="宋体"/>
          <w:highlight w:val="none"/>
        </w:rPr>
      </w:pPr>
      <w:r>
        <w:rPr>
          <w:rFonts w:hint="eastAsia" w:hAnsi="宋体" w:cs="宋体"/>
          <w:highlight w:val="none"/>
        </w:rPr>
        <w:t>11.7 除专用合同条款和（或）供货要求等合同文件另有约定外，如果在合同货物设计使用寿命期内发生合同项下备品备件停止生产的情况，卖方应事先将拟停止生产的计划通知买方，使买方有足够的时间考虑备品备件的需求量。根据买方要求，卖方应：</w:t>
      </w:r>
    </w:p>
    <w:p>
      <w:pPr>
        <w:spacing w:line="360" w:lineRule="auto"/>
        <w:ind w:firstLine="480" w:firstLineChars="200"/>
        <w:rPr>
          <w:rFonts w:hAnsi="宋体" w:cs="宋体"/>
          <w:highlight w:val="none"/>
        </w:rPr>
      </w:pPr>
      <w:r>
        <w:rPr>
          <w:rFonts w:hint="eastAsia" w:hAnsi="宋体" w:cs="宋体"/>
          <w:highlight w:val="none"/>
        </w:rPr>
        <w:t>（1）以不高于同期市场价格或其向任何第三方销售同类产品的价格提供合同货物正常运行所需的全部备品备件；或</w:t>
      </w:r>
    </w:p>
    <w:p>
      <w:pPr>
        <w:spacing w:line="360" w:lineRule="auto"/>
        <w:ind w:firstLine="480" w:firstLineChars="200"/>
        <w:rPr>
          <w:rFonts w:hAnsi="宋体" w:cs="宋体"/>
          <w:highlight w:val="none"/>
        </w:rPr>
      </w:pPr>
      <w:r>
        <w:rPr>
          <w:rFonts w:hint="eastAsia" w:hAnsi="宋体" w:cs="宋体"/>
          <w:highlight w:val="none"/>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pPr>
        <w:spacing w:line="360" w:lineRule="auto"/>
        <w:ind w:firstLine="480" w:firstLineChars="200"/>
        <w:rPr>
          <w:rFonts w:hAnsi="宋体" w:cs="宋体"/>
          <w:highlight w:val="none"/>
        </w:rPr>
      </w:pPr>
      <w:r>
        <w:rPr>
          <w:rFonts w:hint="eastAsia" w:hAnsi="宋体" w:cs="宋体"/>
          <w:highlight w:val="none"/>
        </w:rPr>
        <w:t>11.8 卖方保证，在合同货物设计使用寿命期内，如果卖方发现合同货物由于设计、制造、标识等原因存在足以危及人身、财产安全的缺陷，卖方将及时通知买方并及时采取修正或者补充标识、修理、更换等措施消除缺陷。</w:t>
      </w:r>
      <w:bookmarkStart w:id="745" w:name="_Toc6654"/>
    </w:p>
    <w:bookmarkEnd w:id="745"/>
    <w:p>
      <w:pPr>
        <w:spacing w:line="360" w:lineRule="auto"/>
        <w:ind w:firstLine="137"/>
        <w:outlineLvl w:val="2"/>
        <w:rPr>
          <w:rFonts w:ascii="黑体" w:hAnsi="黑体" w:eastAsia="黑体" w:cs="黑体"/>
          <w:sz w:val="28"/>
          <w:szCs w:val="28"/>
          <w:highlight w:val="none"/>
        </w:rPr>
      </w:pPr>
      <w:bookmarkStart w:id="746" w:name="_Toc24965158"/>
      <w:bookmarkStart w:id="747" w:name="_Toc501460766"/>
      <w:bookmarkStart w:id="748" w:name="_Toc482188757"/>
      <w:bookmarkStart w:id="749" w:name="_Toc17100678"/>
      <w:bookmarkStart w:id="750" w:name="_Toc15753914"/>
      <w:bookmarkStart w:id="751" w:name="_Toc26721392"/>
      <w:bookmarkStart w:id="752" w:name="_Toc26721547"/>
      <w:bookmarkStart w:id="753" w:name="_Toc26700488"/>
      <w:bookmarkStart w:id="754" w:name="_Toc26700658"/>
      <w:r>
        <w:rPr>
          <w:rFonts w:hint="eastAsia" w:ascii="黑体" w:hAnsi="黑体" w:eastAsia="黑体" w:cs="黑体"/>
          <w:sz w:val="28"/>
          <w:szCs w:val="28"/>
          <w:highlight w:val="none"/>
        </w:rPr>
        <w:t>12. 知识产权</w:t>
      </w:r>
      <w:bookmarkEnd w:id="746"/>
      <w:bookmarkEnd w:id="747"/>
      <w:bookmarkEnd w:id="748"/>
      <w:bookmarkEnd w:id="749"/>
      <w:bookmarkEnd w:id="750"/>
      <w:bookmarkEnd w:id="751"/>
      <w:bookmarkEnd w:id="752"/>
      <w:bookmarkEnd w:id="753"/>
      <w:bookmarkEnd w:id="754"/>
    </w:p>
    <w:p>
      <w:pPr>
        <w:spacing w:line="360" w:lineRule="auto"/>
        <w:ind w:firstLine="480" w:firstLineChars="200"/>
        <w:rPr>
          <w:rFonts w:hAnsi="宋体" w:cs="宋体"/>
          <w:highlight w:val="none"/>
        </w:rPr>
      </w:pPr>
      <w:r>
        <w:rPr>
          <w:rFonts w:hint="eastAsia" w:hAnsi="宋体" w:cs="宋体"/>
          <w:highlight w:val="none"/>
        </w:rPr>
        <w:t>12.1 买方在履行合同过程中提供给卖方的全部图纸、文件和其他含有数据和信息的资料，其知识产权属于买方。</w:t>
      </w:r>
    </w:p>
    <w:p>
      <w:pPr>
        <w:spacing w:line="360" w:lineRule="auto"/>
        <w:ind w:firstLine="480" w:firstLineChars="200"/>
        <w:rPr>
          <w:rFonts w:hAnsi="宋体" w:cs="宋体"/>
          <w:highlight w:val="none"/>
        </w:rPr>
      </w:pPr>
      <w:r>
        <w:rPr>
          <w:rFonts w:hint="eastAsia" w:hAnsi="宋体" w:cs="宋体"/>
          <w:highlight w:val="none"/>
        </w:rPr>
        <w:t xml:space="preserve">12.2 除专用合同条款另有约定外，买方不因签署和履行合同而享有卖方在履行合同过程中提供给买方的图纸、文件、配套软件、电子辅助程序和其他含有数据和信息的资料的知识产权。 </w:t>
      </w:r>
    </w:p>
    <w:p>
      <w:pPr>
        <w:spacing w:line="360" w:lineRule="auto"/>
        <w:ind w:firstLine="480" w:firstLineChars="200"/>
        <w:rPr>
          <w:rFonts w:hAnsi="宋体" w:cs="宋体"/>
          <w:highlight w:val="none"/>
        </w:rPr>
      </w:pPr>
      <w:r>
        <w:rPr>
          <w:rFonts w:hint="eastAsia" w:hAnsi="宋体" w:cs="宋体"/>
          <w:highlight w:val="none"/>
        </w:rPr>
        <w:t>12.3 如合同货物涉及知识产权，则卖方保证买方在使用合同货物过程中免于受到第三方提出的有关知识产权侵权的主张、索赔或诉讼的伤害。</w:t>
      </w:r>
    </w:p>
    <w:p>
      <w:pPr>
        <w:spacing w:line="360" w:lineRule="auto"/>
        <w:ind w:firstLine="480" w:firstLineChars="200"/>
        <w:rPr>
          <w:rFonts w:hAnsi="宋体" w:cs="宋体"/>
          <w:highlight w:val="none"/>
        </w:rPr>
      </w:pPr>
      <w:r>
        <w:rPr>
          <w:rFonts w:hint="eastAsia" w:hAnsi="宋体" w:cs="宋体"/>
          <w:highlight w:val="none"/>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spacing w:line="360" w:lineRule="auto"/>
        <w:ind w:firstLine="137"/>
        <w:outlineLvl w:val="2"/>
        <w:rPr>
          <w:rFonts w:ascii="黑体" w:hAnsi="黑体" w:eastAsia="黑体" w:cs="黑体"/>
          <w:sz w:val="28"/>
          <w:szCs w:val="28"/>
          <w:highlight w:val="none"/>
        </w:rPr>
      </w:pPr>
      <w:bookmarkStart w:id="755" w:name="_Toc17100679"/>
      <w:bookmarkStart w:id="756" w:name="_Toc26721393"/>
      <w:bookmarkStart w:id="757" w:name="_Toc24965159"/>
      <w:bookmarkStart w:id="758" w:name="_Toc26700489"/>
      <w:bookmarkStart w:id="759" w:name="_Toc501460767"/>
      <w:bookmarkStart w:id="760" w:name="_Toc482188758"/>
      <w:bookmarkStart w:id="761" w:name="_Toc26721548"/>
      <w:bookmarkStart w:id="762" w:name="_Toc26700659"/>
      <w:bookmarkStart w:id="763" w:name="_Toc15753915"/>
      <w:r>
        <w:rPr>
          <w:rFonts w:hint="eastAsia" w:ascii="黑体" w:hAnsi="黑体" w:eastAsia="黑体" w:cs="黑体"/>
          <w:sz w:val="28"/>
          <w:szCs w:val="28"/>
          <w:highlight w:val="none"/>
        </w:rPr>
        <w:t>13. 保密</w:t>
      </w:r>
      <w:bookmarkEnd w:id="755"/>
      <w:bookmarkEnd w:id="756"/>
      <w:bookmarkEnd w:id="757"/>
      <w:bookmarkEnd w:id="758"/>
      <w:bookmarkEnd w:id="759"/>
      <w:bookmarkEnd w:id="760"/>
      <w:bookmarkEnd w:id="761"/>
      <w:bookmarkEnd w:id="762"/>
      <w:bookmarkEnd w:id="763"/>
    </w:p>
    <w:p>
      <w:pPr>
        <w:spacing w:line="360" w:lineRule="auto"/>
        <w:ind w:firstLine="480" w:firstLineChars="200"/>
        <w:rPr>
          <w:rFonts w:hAnsi="宋体" w:cs="宋体"/>
          <w:highlight w:val="none"/>
        </w:rPr>
      </w:pPr>
      <w:r>
        <w:rPr>
          <w:rFonts w:hint="eastAsia" w:hAnsi="宋体" w:cs="宋体"/>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360" w:lineRule="auto"/>
        <w:ind w:firstLine="480" w:firstLineChars="200"/>
        <w:rPr>
          <w:rFonts w:hAnsi="宋体" w:cs="宋体"/>
          <w:highlight w:val="none"/>
        </w:rPr>
      </w:pPr>
      <w:r>
        <w:rPr>
          <w:rFonts w:hint="eastAsia" w:hAnsi="宋体" w:cs="宋体"/>
          <w:highlight w:val="none"/>
        </w:rPr>
        <w:t>合同当事人的保密义务不适用于下列信息：</w:t>
      </w:r>
    </w:p>
    <w:p>
      <w:pPr>
        <w:numPr>
          <w:ilvl w:val="0"/>
          <w:numId w:val="4"/>
        </w:numPr>
        <w:spacing w:line="360" w:lineRule="auto"/>
        <w:ind w:firstLine="480" w:firstLineChars="200"/>
        <w:rPr>
          <w:rFonts w:hAnsi="宋体" w:cs="宋体"/>
          <w:highlight w:val="none"/>
        </w:rPr>
      </w:pPr>
      <w:r>
        <w:rPr>
          <w:rFonts w:hint="eastAsia" w:hAnsi="宋体" w:cs="宋体"/>
          <w:highlight w:val="none"/>
        </w:rPr>
        <w:t>非因接受信息一方的过失现在或以后进入公共领域的信息；</w:t>
      </w:r>
    </w:p>
    <w:p>
      <w:pPr>
        <w:spacing w:line="360" w:lineRule="auto"/>
        <w:ind w:firstLine="480" w:firstLineChars="200"/>
        <w:rPr>
          <w:rFonts w:hAnsi="宋体" w:cs="宋体"/>
          <w:highlight w:val="none"/>
        </w:rPr>
      </w:pPr>
      <w:r>
        <w:rPr>
          <w:rFonts w:hint="eastAsia" w:hAnsi="宋体" w:cs="宋体"/>
          <w:highlight w:val="none"/>
        </w:rPr>
        <w:t>（2）接受信息一方当事人合法地从第三方获得并且据其善意了解第三方也不对此承担保密义务的信息；</w:t>
      </w:r>
    </w:p>
    <w:p>
      <w:pPr>
        <w:spacing w:line="360" w:lineRule="auto"/>
        <w:ind w:firstLine="480" w:firstLineChars="200"/>
        <w:rPr>
          <w:rFonts w:hAnsi="宋体" w:cs="宋体"/>
          <w:highlight w:val="none"/>
        </w:rPr>
      </w:pPr>
      <w:r>
        <w:rPr>
          <w:rFonts w:hint="eastAsia" w:hAnsi="宋体" w:cs="宋体"/>
          <w:highlight w:val="none"/>
        </w:rPr>
        <w:t>（3）法律或法律的执行要求披露的信息。</w:t>
      </w:r>
    </w:p>
    <w:p>
      <w:pPr>
        <w:spacing w:line="360" w:lineRule="auto"/>
        <w:ind w:firstLine="137"/>
        <w:outlineLvl w:val="2"/>
        <w:rPr>
          <w:rFonts w:ascii="黑体" w:hAnsi="黑体" w:eastAsia="黑体" w:cs="黑体"/>
          <w:sz w:val="28"/>
          <w:szCs w:val="28"/>
          <w:highlight w:val="none"/>
        </w:rPr>
      </w:pPr>
      <w:bookmarkStart w:id="764" w:name="_Toc17100680"/>
      <w:bookmarkStart w:id="765" w:name="_Toc26721549"/>
      <w:bookmarkStart w:id="766" w:name="_Toc26721394"/>
      <w:bookmarkStart w:id="767" w:name="_Toc26700490"/>
      <w:bookmarkStart w:id="768" w:name="_Toc501460768"/>
      <w:bookmarkStart w:id="769" w:name="_Toc24965160"/>
      <w:bookmarkStart w:id="770" w:name="_Toc26700660"/>
      <w:bookmarkStart w:id="771" w:name="_Toc15753916"/>
      <w:bookmarkStart w:id="772" w:name="_Toc482188759"/>
      <w:r>
        <w:rPr>
          <w:rFonts w:hint="eastAsia" w:ascii="黑体" w:hAnsi="黑体" w:eastAsia="黑体" w:cs="黑体"/>
          <w:sz w:val="28"/>
          <w:szCs w:val="28"/>
          <w:highlight w:val="none"/>
        </w:rPr>
        <w:t>14. 违约责任</w:t>
      </w:r>
      <w:bookmarkEnd w:id="764"/>
      <w:bookmarkEnd w:id="765"/>
      <w:bookmarkEnd w:id="766"/>
      <w:bookmarkEnd w:id="767"/>
      <w:bookmarkEnd w:id="768"/>
      <w:bookmarkEnd w:id="769"/>
      <w:bookmarkEnd w:id="770"/>
      <w:bookmarkEnd w:id="771"/>
      <w:bookmarkEnd w:id="772"/>
    </w:p>
    <w:p>
      <w:pPr>
        <w:spacing w:line="360" w:lineRule="auto"/>
        <w:ind w:firstLine="480" w:firstLineChars="200"/>
        <w:rPr>
          <w:rFonts w:hAnsi="宋体" w:cs="宋体"/>
          <w:highlight w:val="none"/>
        </w:rPr>
      </w:pPr>
      <w:r>
        <w:rPr>
          <w:rFonts w:hint="eastAsia" w:hAnsi="宋体" w:cs="宋体"/>
          <w:highlight w:val="none"/>
        </w:rPr>
        <w:t>14.1合同一方不履行合同义务、履行合同义务不符合约定或者违反合同项下所作保证的，应向对方承担继续履行、采取修理、更换、退货等补救措施或者赔偿损失等违约责任。</w:t>
      </w:r>
    </w:p>
    <w:p>
      <w:pPr>
        <w:spacing w:line="360" w:lineRule="auto"/>
        <w:ind w:firstLine="480" w:firstLineChars="200"/>
        <w:rPr>
          <w:rFonts w:hAnsi="宋体" w:cs="宋体"/>
          <w:szCs w:val="24"/>
          <w:highlight w:val="none"/>
        </w:rPr>
      </w:pPr>
      <w:bookmarkStart w:id="773" w:name="_Toc26700661"/>
      <w:bookmarkStart w:id="774" w:name="_Toc501460769"/>
      <w:bookmarkStart w:id="775" w:name="_Toc24965161"/>
      <w:bookmarkStart w:id="776" w:name="_Toc26721550"/>
      <w:bookmarkStart w:id="777" w:name="_Toc482188760"/>
      <w:bookmarkStart w:id="778" w:name="_Toc26700491"/>
      <w:bookmarkStart w:id="779" w:name="_Toc15753917"/>
      <w:bookmarkStart w:id="780" w:name="_Toc17100681"/>
      <w:bookmarkStart w:id="781" w:name="_Toc26721395"/>
      <w:r>
        <w:rPr>
          <w:rFonts w:hint="eastAsia" w:hAnsi="宋体" w:cs="宋体"/>
          <w:szCs w:val="24"/>
          <w:highlight w:val="none"/>
        </w:rPr>
        <w:t>14.2 卖方未能按时交付合同货物（包括仅迟延交付技术资料但足以导致合同货物安装、调试、考核、验收工作推迟的）的，应向买方支付迟延交付违约金。除专用合同条款另有约定外，迟延交付违约金的计算方法如下：</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（1）从迟交的第一周到第四周，每周迟延交付违约金为迟交合同货物价格的0.5%；</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（2）从迟交的第五周到第八周，每周迟延交付违约金为迟交合同货物价格的1%；</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（3）从迟交第九周起，每周迟延交付违约金为迟交合同货物价格的1.5%。</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在计算迟延交付违约金时，迟交不足一周的按一周计算。迟延交付违约金的总额不得超过合同价格的10%。</w:t>
      </w:r>
    </w:p>
    <w:p>
      <w:pPr>
        <w:spacing w:line="360" w:lineRule="auto"/>
        <w:ind w:firstLine="480" w:firstLineChars="200"/>
        <w:rPr>
          <w:rFonts w:hAnsi="宋体" w:cs="宋体"/>
          <w:szCs w:val="24"/>
          <w:highlight w:val="none"/>
        </w:rPr>
      </w:pPr>
      <w:r>
        <w:rPr>
          <w:rFonts w:hint="eastAsia" w:hAnsi="宋体" w:cs="宋体"/>
          <w:szCs w:val="24"/>
          <w:highlight w:val="none"/>
        </w:rPr>
        <w:t>迟延交付违约金的支付不能免除卖方继续交付相关合同货物的义务，但如迟延交付必然导致合同货物安装、调试、考核、验收工作推迟的，相关工作应相应顺延。</w:t>
      </w:r>
    </w:p>
    <w:p>
      <w:pPr>
        <w:spacing w:line="360" w:lineRule="auto"/>
        <w:ind w:firstLine="480" w:firstLineChars="200"/>
        <w:rPr>
          <w:rFonts w:hAnsi="宋体" w:cs="宋体"/>
          <w:szCs w:val="24"/>
          <w:highlight w:val="none"/>
        </w:rPr>
      </w:pPr>
      <w:r>
        <w:rPr>
          <w:rFonts w:hint="eastAsia" w:hAnsi="宋体" w:cs="宋体"/>
          <w:szCs w:val="24"/>
          <w:highlight w:val="none"/>
        </w:rPr>
        <w:t>14.3买方未能按合同约定支付合同价款的，应向卖方支付延迟付款违约金。除专用合同条款另有约定外，迟延付款违约金的计算方法如下：</w:t>
      </w:r>
    </w:p>
    <w:p>
      <w:pPr>
        <w:spacing w:line="360" w:lineRule="auto"/>
        <w:ind w:firstLine="480" w:firstLineChars="200"/>
        <w:rPr>
          <w:rFonts w:hAnsi="宋体" w:cs="宋体"/>
          <w:szCs w:val="24"/>
          <w:highlight w:val="none"/>
        </w:rPr>
      </w:pPr>
      <w:r>
        <w:rPr>
          <w:rFonts w:hint="eastAsia" w:hAnsi="宋体" w:cs="宋体"/>
          <w:szCs w:val="24"/>
          <w:highlight w:val="none"/>
        </w:rPr>
        <w:t>（1）从迟付的第一周到第四周，每周迟延付款违约金为迟延付款金额的0.5%；</w:t>
      </w:r>
    </w:p>
    <w:p>
      <w:pPr>
        <w:spacing w:line="360" w:lineRule="auto"/>
        <w:ind w:left="480" w:leftChars="200"/>
        <w:rPr>
          <w:rFonts w:hAnsi="宋体" w:cs="宋体"/>
          <w:szCs w:val="24"/>
          <w:highlight w:val="none"/>
        </w:rPr>
      </w:pPr>
      <w:r>
        <w:rPr>
          <w:rFonts w:hint="eastAsia" w:hAnsi="宋体" w:cs="宋体"/>
          <w:szCs w:val="24"/>
          <w:highlight w:val="none"/>
        </w:rPr>
        <w:t>（2）从迟付的第五周到第八周，每周迟延付款违约金为迟延付款金额的1%；</w:t>
      </w:r>
    </w:p>
    <w:p>
      <w:pPr>
        <w:spacing w:line="360" w:lineRule="auto"/>
        <w:ind w:left="480" w:leftChars="200"/>
        <w:rPr>
          <w:rFonts w:hAnsi="宋体" w:cs="宋体"/>
          <w:szCs w:val="24"/>
          <w:highlight w:val="none"/>
        </w:rPr>
      </w:pPr>
      <w:r>
        <w:rPr>
          <w:rFonts w:hint="eastAsia" w:hAnsi="宋体" w:cs="宋体"/>
          <w:szCs w:val="24"/>
          <w:highlight w:val="none"/>
        </w:rPr>
        <w:t>（3）从迟付第九周起，每周迟延付款违约金为迟延付款金额的1.5%。</w:t>
      </w:r>
    </w:p>
    <w:p>
      <w:pPr>
        <w:spacing w:line="360" w:lineRule="auto"/>
        <w:ind w:firstLine="636" w:firstLineChars="265"/>
        <w:rPr>
          <w:rFonts w:hAnsi="宋体" w:cs="宋体"/>
          <w:szCs w:val="24"/>
          <w:highlight w:val="none"/>
        </w:rPr>
      </w:pPr>
      <w:r>
        <w:rPr>
          <w:rFonts w:hint="eastAsia" w:hAnsi="宋体" w:cs="宋体"/>
          <w:szCs w:val="24"/>
          <w:highlight w:val="none"/>
        </w:rPr>
        <w:t>在计算迟延付款违约金时，迟付不足一周的按一周计算。迟延付款违约金的总额不得超过合同价格的10%。</w:t>
      </w:r>
    </w:p>
    <w:p>
      <w:pPr>
        <w:spacing w:line="360" w:lineRule="auto"/>
        <w:ind w:firstLine="137"/>
        <w:outlineLvl w:val="2"/>
        <w:rPr>
          <w:rFonts w:ascii="黑体" w:hAnsi="黑体" w:eastAsia="黑体" w:cs="黑体"/>
          <w:sz w:val="28"/>
          <w:szCs w:val="28"/>
          <w:highlight w:val="none"/>
        </w:rPr>
      </w:pPr>
      <w:r>
        <w:rPr>
          <w:rFonts w:hint="eastAsia" w:ascii="黑体" w:hAnsi="黑体" w:eastAsia="黑体" w:cs="黑体"/>
          <w:sz w:val="28"/>
          <w:szCs w:val="28"/>
          <w:highlight w:val="none"/>
        </w:rPr>
        <w:t>15. 合同的解除</w:t>
      </w:r>
      <w:bookmarkEnd w:id="773"/>
      <w:bookmarkEnd w:id="774"/>
      <w:bookmarkEnd w:id="775"/>
      <w:bookmarkEnd w:id="776"/>
      <w:bookmarkEnd w:id="777"/>
      <w:bookmarkEnd w:id="778"/>
      <w:bookmarkEnd w:id="779"/>
      <w:bookmarkEnd w:id="780"/>
      <w:bookmarkEnd w:id="781"/>
    </w:p>
    <w:p>
      <w:pPr>
        <w:spacing w:line="360" w:lineRule="auto"/>
        <w:ind w:firstLine="480" w:firstLineChars="200"/>
        <w:rPr>
          <w:rFonts w:hAnsi="宋体" w:cs="宋体"/>
          <w:highlight w:val="none"/>
        </w:rPr>
      </w:pPr>
      <w:r>
        <w:rPr>
          <w:rFonts w:hint="eastAsia" w:hAnsi="宋体" w:cs="宋体"/>
          <w:highlight w:val="none"/>
        </w:rPr>
        <w:t>除专用合同条款另有约定外，有下述情形之一，当事人可发出书面通知全部或部分地解除合同，合同自通知到达对方时全部或部分地解除：</w:t>
      </w:r>
    </w:p>
    <w:p>
      <w:pPr>
        <w:spacing w:line="360" w:lineRule="auto"/>
        <w:ind w:firstLine="480" w:firstLineChars="200"/>
        <w:rPr>
          <w:rFonts w:hAnsi="宋体" w:cs="宋体"/>
          <w:highlight w:val="none"/>
        </w:rPr>
      </w:pPr>
      <w:r>
        <w:rPr>
          <w:rFonts w:hint="eastAsia" w:hAnsi="宋体" w:cs="宋体"/>
          <w:highlight w:val="none"/>
        </w:rPr>
        <w:t>（1）卖方迟延交付合同货物超过3个月；</w:t>
      </w:r>
    </w:p>
    <w:p>
      <w:pPr>
        <w:spacing w:line="360" w:lineRule="auto"/>
        <w:ind w:firstLine="480" w:firstLineChars="200"/>
        <w:rPr>
          <w:rFonts w:hAnsi="宋体" w:cs="宋体"/>
          <w:highlight w:val="none"/>
        </w:rPr>
      </w:pPr>
      <w:r>
        <w:rPr>
          <w:rFonts w:hint="eastAsia" w:hAnsi="宋体" w:cs="宋体"/>
          <w:highlight w:val="none"/>
        </w:rPr>
        <w:t>（2）合同货物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spacing w:line="360" w:lineRule="auto"/>
        <w:ind w:firstLine="480" w:firstLineChars="200"/>
        <w:rPr>
          <w:rFonts w:hAnsi="宋体" w:cs="宋体"/>
          <w:highlight w:val="none"/>
        </w:rPr>
      </w:pPr>
      <w:r>
        <w:rPr>
          <w:rFonts w:hint="eastAsia" w:hAnsi="宋体" w:cs="宋体"/>
          <w:highlight w:val="none"/>
        </w:rPr>
        <w:t>（3）买方迟延付款超过3个月；</w:t>
      </w:r>
    </w:p>
    <w:p>
      <w:pPr>
        <w:spacing w:line="360" w:lineRule="auto"/>
        <w:ind w:firstLine="480" w:firstLineChars="200"/>
        <w:rPr>
          <w:rFonts w:hAnsi="宋体" w:cs="宋体"/>
          <w:highlight w:val="none"/>
        </w:rPr>
      </w:pPr>
      <w:r>
        <w:rPr>
          <w:rFonts w:hint="eastAsia" w:hAnsi="宋体" w:cs="宋体"/>
          <w:highlight w:val="none"/>
        </w:rPr>
        <w:t>（4）合同一方当事人未能履行合同项下任何其他义务（细微义务除外），或在未事先征得另一方当事人同意的情况下，从事任何可能在实质上不利影响其履行合同能力的活动，经另一方当事人书面通知后14日内或在专用合同条款约定的其他期限内未能对其行为作出</w:t>
      </w:r>
      <w:bookmarkStart w:id="782" w:name="_Toc31629"/>
      <w:bookmarkStart w:id="783" w:name="_Toc369531680"/>
      <w:r>
        <w:rPr>
          <w:rFonts w:hint="eastAsia" w:hAnsi="宋体" w:cs="宋体"/>
          <w:highlight w:val="none"/>
        </w:rPr>
        <w:t>补救；</w:t>
      </w:r>
    </w:p>
    <w:p>
      <w:pPr>
        <w:spacing w:line="360" w:lineRule="auto"/>
        <w:ind w:firstLine="480" w:firstLineChars="200"/>
        <w:rPr>
          <w:rFonts w:hAnsi="宋体" w:cs="宋体"/>
          <w:highlight w:val="none"/>
        </w:rPr>
      </w:pPr>
      <w:r>
        <w:rPr>
          <w:rFonts w:hint="eastAsia" w:hAnsi="宋体" w:cs="宋体"/>
          <w:highlight w:val="none"/>
        </w:rPr>
        <w:t>（5）合同一方当事人出现破产、清算、资不抵债、成为失信被执行人等可能丧失履约能力的情形，且未能提供令对方满意的履约保证金。</w:t>
      </w:r>
    </w:p>
    <w:bookmarkEnd w:id="782"/>
    <w:bookmarkEnd w:id="783"/>
    <w:p>
      <w:pPr>
        <w:spacing w:line="360" w:lineRule="auto"/>
        <w:ind w:firstLine="137"/>
        <w:outlineLvl w:val="2"/>
        <w:rPr>
          <w:rFonts w:ascii="黑体" w:hAnsi="黑体" w:eastAsia="黑体" w:cs="黑体"/>
          <w:sz w:val="28"/>
          <w:szCs w:val="28"/>
          <w:highlight w:val="none"/>
        </w:rPr>
      </w:pPr>
      <w:bookmarkStart w:id="784" w:name="_Toc26721551"/>
      <w:bookmarkStart w:id="785" w:name="_Toc26700662"/>
      <w:bookmarkStart w:id="786" w:name="_Toc482188761"/>
      <w:bookmarkStart w:id="787" w:name="_Toc26721396"/>
      <w:bookmarkStart w:id="788" w:name="_Toc17100682"/>
      <w:bookmarkStart w:id="789" w:name="_Toc24965162"/>
      <w:bookmarkStart w:id="790" w:name="_Toc501460770"/>
      <w:bookmarkStart w:id="791" w:name="_Toc26700492"/>
      <w:bookmarkStart w:id="792" w:name="_Toc15753918"/>
      <w:r>
        <w:rPr>
          <w:rFonts w:hint="eastAsia" w:ascii="黑体" w:hAnsi="黑体" w:eastAsia="黑体" w:cs="黑体"/>
          <w:sz w:val="28"/>
          <w:szCs w:val="28"/>
          <w:highlight w:val="none"/>
        </w:rPr>
        <w:t>16. 不可抗力</w:t>
      </w:r>
      <w:bookmarkEnd w:id="784"/>
      <w:bookmarkEnd w:id="785"/>
      <w:bookmarkEnd w:id="786"/>
      <w:bookmarkEnd w:id="787"/>
      <w:bookmarkEnd w:id="788"/>
      <w:bookmarkEnd w:id="789"/>
      <w:bookmarkEnd w:id="790"/>
      <w:bookmarkEnd w:id="791"/>
      <w:bookmarkEnd w:id="792"/>
    </w:p>
    <w:p>
      <w:pPr>
        <w:spacing w:line="360" w:lineRule="auto"/>
        <w:ind w:firstLine="480" w:firstLineChars="200"/>
        <w:rPr>
          <w:rFonts w:hAnsi="宋体" w:cs="宋体"/>
          <w:highlight w:val="none"/>
        </w:rPr>
      </w:pPr>
      <w:r>
        <w:rPr>
          <w:rFonts w:hint="eastAsia" w:hAnsi="宋体" w:cs="宋体"/>
          <w:highlight w:val="none"/>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spacing w:line="360" w:lineRule="auto"/>
        <w:ind w:firstLine="480" w:firstLineChars="200"/>
        <w:rPr>
          <w:rFonts w:hAnsi="宋体" w:cs="宋体"/>
          <w:highlight w:val="none"/>
        </w:rPr>
      </w:pPr>
      <w:r>
        <w:rPr>
          <w:rFonts w:hint="eastAsia" w:hAnsi="宋体" w:cs="宋体"/>
          <w:highlight w:val="none"/>
        </w:rPr>
        <w:t>16.2 受不可抗力事件影响的一方当事人对于不可抗力事件导致的任何合同义务的迟延履行或不能履行不承担违</w:t>
      </w:r>
      <w:bookmarkStart w:id="793" w:name="_Toc369531672"/>
      <w:bookmarkStart w:id="794" w:name="_Toc6667"/>
      <w:r>
        <w:rPr>
          <w:rFonts w:hint="eastAsia" w:hAnsi="宋体" w:cs="宋体"/>
          <w:highlight w:val="none"/>
        </w:rPr>
        <w:t>约责任。但该方</w:t>
      </w:r>
      <w:bookmarkEnd w:id="793"/>
      <w:r>
        <w:rPr>
          <w:rFonts w:hint="eastAsia" w:hAnsi="宋体" w:cs="宋体"/>
          <w:highlight w:val="none"/>
        </w:rPr>
        <w:t>当事</w:t>
      </w:r>
      <w:bookmarkEnd w:id="794"/>
      <w:r>
        <w:rPr>
          <w:rFonts w:hint="eastAsia" w:hAnsi="宋体" w:cs="宋体"/>
          <w:highlight w:val="none"/>
        </w:rPr>
        <w:t>人</w:t>
      </w:r>
      <w:bookmarkStart w:id="795" w:name="_Toc369531673"/>
      <w:bookmarkStart w:id="796" w:name="_Toc28096"/>
      <w:r>
        <w:rPr>
          <w:rFonts w:hint="eastAsia" w:hAnsi="宋体" w:cs="宋体"/>
          <w:highlight w:val="none"/>
        </w:rPr>
        <w:t>应尽快将</w:t>
      </w:r>
      <w:bookmarkEnd w:id="795"/>
      <w:r>
        <w:rPr>
          <w:rFonts w:hint="eastAsia" w:hAnsi="宋体" w:cs="宋体"/>
          <w:highlight w:val="none"/>
        </w:rPr>
        <w:t>不可</w:t>
      </w:r>
      <w:bookmarkEnd w:id="796"/>
      <w:r>
        <w:rPr>
          <w:rFonts w:hint="eastAsia" w:hAnsi="宋体" w:cs="宋体"/>
          <w:highlight w:val="none"/>
        </w:rPr>
        <w:t>抗力事件结束或消除的情况通知另一方当事人。</w:t>
      </w:r>
    </w:p>
    <w:p>
      <w:pPr>
        <w:spacing w:line="360" w:lineRule="auto"/>
        <w:ind w:firstLine="480" w:firstLineChars="200"/>
        <w:rPr>
          <w:rFonts w:hAnsi="宋体" w:cs="宋体"/>
          <w:highlight w:val="none"/>
        </w:rPr>
      </w:pPr>
      <w:r>
        <w:rPr>
          <w:rFonts w:hint="eastAsia" w:hAnsi="宋体" w:cs="宋体"/>
          <w:highlight w:val="none"/>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spacing w:line="360" w:lineRule="auto"/>
        <w:ind w:firstLine="137"/>
        <w:outlineLvl w:val="2"/>
        <w:rPr>
          <w:rFonts w:ascii="黑体" w:hAnsi="黑体" w:eastAsia="黑体" w:cs="黑体"/>
          <w:sz w:val="28"/>
          <w:szCs w:val="28"/>
          <w:highlight w:val="none"/>
        </w:rPr>
      </w:pPr>
      <w:bookmarkStart w:id="797" w:name="_Toc501460771"/>
      <w:bookmarkStart w:id="798" w:name="_Toc26721552"/>
      <w:bookmarkStart w:id="799" w:name="_Toc26700493"/>
      <w:bookmarkStart w:id="800" w:name="_Toc17100683"/>
      <w:bookmarkStart w:id="801" w:name="_Toc482188762"/>
      <w:bookmarkStart w:id="802" w:name="_Toc15753919"/>
      <w:bookmarkStart w:id="803" w:name="_Toc26700663"/>
      <w:bookmarkStart w:id="804" w:name="_Toc24965163"/>
      <w:bookmarkStart w:id="805" w:name="_Toc26721397"/>
      <w:r>
        <w:rPr>
          <w:rFonts w:hint="eastAsia" w:ascii="黑体" w:hAnsi="黑体" w:eastAsia="黑体" w:cs="黑体"/>
          <w:sz w:val="28"/>
          <w:szCs w:val="28"/>
          <w:highlight w:val="none"/>
        </w:rPr>
        <w:t>17. 争议的解决</w:t>
      </w:r>
      <w:bookmarkEnd w:id="797"/>
      <w:bookmarkEnd w:id="798"/>
      <w:bookmarkEnd w:id="799"/>
      <w:bookmarkEnd w:id="800"/>
      <w:bookmarkEnd w:id="801"/>
      <w:bookmarkEnd w:id="802"/>
      <w:bookmarkEnd w:id="803"/>
      <w:bookmarkEnd w:id="804"/>
      <w:bookmarkEnd w:id="805"/>
    </w:p>
    <w:p>
      <w:pPr>
        <w:spacing w:line="360" w:lineRule="auto"/>
        <w:ind w:firstLine="480" w:firstLineChars="200"/>
        <w:rPr>
          <w:rFonts w:hAnsi="宋体" w:cs="宋体"/>
          <w:highlight w:val="none"/>
        </w:rPr>
      </w:pPr>
      <w:r>
        <w:rPr>
          <w:rFonts w:hint="eastAsia" w:hAnsi="宋体" w:cs="宋体"/>
          <w:highlight w:val="none"/>
          <w:shd w:val="clear" w:color="auto" w:fill="FFFFFF"/>
        </w:rPr>
        <w:t>因本合同引起的或与本合同有关的任何争议，</w:t>
      </w:r>
      <w:r>
        <w:rPr>
          <w:rFonts w:hint="eastAsia" w:hAnsi="宋体" w:cs="宋体"/>
          <w:highlight w:val="none"/>
        </w:rPr>
        <w:t>双方可通过友好协商解决。友好协商解决不成的，可在专用合同条款中约定下列一种方式解决：</w:t>
      </w:r>
    </w:p>
    <w:p>
      <w:pPr>
        <w:spacing w:line="360" w:lineRule="auto"/>
        <w:ind w:firstLine="480" w:firstLineChars="200"/>
        <w:rPr>
          <w:rFonts w:hAnsi="宋体" w:cs="宋体"/>
          <w:highlight w:val="none"/>
        </w:rPr>
      </w:pPr>
      <w:r>
        <w:rPr>
          <w:rFonts w:hint="eastAsia" w:hAnsi="宋体" w:cs="宋体"/>
          <w:highlight w:val="none"/>
        </w:rPr>
        <w:t>（1）向约定的仲裁委员会申请仲裁；</w:t>
      </w:r>
    </w:p>
    <w:p>
      <w:pPr>
        <w:spacing w:line="360" w:lineRule="auto"/>
        <w:ind w:firstLine="480" w:firstLineChars="200"/>
        <w:rPr>
          <w:rFonts w:hAnsi="宋体" w:cs="宋体"/>
          <w:highlight w:val="none"/>
        </w:rPr>
      </w:pPr>
      <w:r>
        <w:rPr>
          <w:rFonts w:hint="eastAsia" w:hAnsi="宋体" w:cs="宋体"/>
          <w:highlight w:val="none"/>
        </w:rPr>
        <w:t>（2）向有管辖权的人民法院提起诉讼。</w:t>
      </w:r>
    </w:p>
    <w:p>
      <w:pPr>
        <w:spacing w:line="360" w:lineRule="auto"/>
        <w:ind w:firstLine="480" w:firstLineChars="200"/>
        <w:rPr>
          <w:szCs w:val="21"/>
          <w:highlight w:val="none"/>
        </w:rPr>
      </w:pPr>
      <w:r>
        <w:rPr>
          <w:szCs w:val="21"/>
          <w:highlight w:val="none"/>
        </w:rPr>
        <w:br w:type="page"/>
      </w:r>
    </w:p>
    <w:p>
      <w:pPr>
        <w:pStyle w:val="4"/>
        <w:spacing w:before="0" w:after="0" w:line="360" w:lineRule="auto"/>
        <w:ind w:firstLine="640" w:firstLineChars="200"/>
        <w:jc w:val="center"/>
        <w:rPr>
          <w:rFonts w:ascii="Times New Roman" w:hAnsi="Times New Roman"/>
          <w:b w:val="0"/>
          <w:highlight w:val="none"/>
        </w:rPr>
      </w:pPr>
      <w:bookmarkStart w:id="806" w:name="_Toc140069433"/>
      <w:bookmarkStart w:id="807" w:name="_Toc501460712"/>
      <w:bookmarkStart w:id="808" w:name="_Toc26556"/>
      <w:bookmarkStart w:id="809" w:name="_Toc9422"/>
      <w:bookmarkStart w:id="810" w:name="_Toc32099"/>
      <w:bookmarkStart w:id="811" w:name="_Toc144974826"/>
      <w:bookmarkStart w:id="812" w:name="_Toc152045767"/>
      <w:bookmarkStart w:id="813" w:name="_Toc152042546"/>
      <w:bookmarkStart w:id="814" w:name="_Toc179632785"/>
      <w:r>
        <w:rPr>
          <w:rFonts w:ascii="Times New Roman" w:hAnsi="Times New Roman"/>
          <w:b w:val="0"/>
          <w:highlight w:val="none"/>
        </w:rPr>
        <w:t>第二节专用合同条款</w:t>
      </w:r>
      <w:bookmarkEnd w:id="806"/>
      <w:bookmarkEnd w:id="807"/>
      <w:bookmarkEnd w:id="808"/>
      <w:bookmarkEnd w:id="809"/>
      <w:bookmarkEnd w:id="810"/>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本《专用合同条款》是根据本项目特点对《通用合同条款》的具体补充和细化，如有不一致，以《专用合同条款》为准。</w:t>
      </w:r>
    </w:p>
    <w:p>
      <w:pPr>
        <w:spacing w:line="360" w:lineRule="auto"/>
        <w:ind w:firstLine="480" w:firstLineChars="200"/>
        <w:jc w:val="center"/>
        <w:outlineLvl w:val="2"/>
        <w:rPr>
          <w:rFonts w:eastAsia="黑体"/>
          <w:highlight w:val="none"/>
        </w:rPr>
      </w:pPr>
      <w:r>
        <w:rPr>
          <w:rFonts w:hint="eastAsia" w:eastAsia="黑体"/>
          <w:highlight w:val="none"/>
        </w:rPr>
        <w:t>专用合同条款数据表</w:t>
      </w:r>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说明：本数据表是项目专用合同条款中适用于本项目的信息和数据的归纳与提示，是项目专用合同条款的组成部分。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pPr>
              <w:snapToGrid w:val="0"/>
              <w:spacing w:line="360" w:lineRule="auto"/>
              <w:ind w:left="-120" w:leftChars="-50" w:right="-120" w:rightChars="-50"/>
              <w:jc w:val="center"/>
              <w:rPr>
                <w:rFonts w:hAnsi="宋体" w:cs="宋体"/>
                <w:highlight w:val="none"/>
              </w:rPr>
            </w:pPr>
            <w:r>
              <w:rPr>
                <w:rFonts w:hint="eastAsia" w:hAnsi="宋体" w:cs="宋体"/>
                <w:highlight w:val="none"/>
              </w:rPr>
              <w:t>序号</w:t>
            </w:r>
          </w:p>
        </w:tc>
        <w:tc>
          <w:tcPr>
            <w:tcW w:w="1111" w:type="dxa"/>
            <w:vAlign w:val="center"/>
          </w:tcPr>
          <w:p>
            <w:pPr>
              <w:snapToGrid w:val="0"/>
              <w:spacing w:line="360" w:lineRule="auto"/>
              <w:ind w:left="-120" w:leftChars="-50" w:right="-120" w:rightChars="-50"/>
              <w:jc w:val="center"/>
              <w:rPr>
                <w:rFonts w:hAnsi="宋体" w:cs="宋体"/>
                <w:highlight w:val="none"/>
              </w:rPr>
            </w:pPr>
            <w:r>
              <w:rPr>
                <w:rFonts w:hint="eastAsia" w:hAnsi="宋体" w:cs="宋体"/>
                <w:highlight w:val="none"/>
              </w:rPr>
              <w:t>条目号</w:t>
            </w:r>
          </w:p>
        </w:tc>
        <w:tc>
          <w:tcPr>
            <w:tcW w:w="7304" w:type="dxa"/>
            <w:vAlign w:val="center"/>
          </w:tcPr>
          <w:p>
            <w:pPr>
              <w:snapToGrid w:val="0"/>
              <w:spacing w:line="360" w:lineRule="auto"/>
              <w:jc w:val="center"/>
              <w:rPr>
                <w:rFonts w:hAnsi="宋体" w:cs="宋体"/>
                <w:highlight w:val="none"/>
              </w:rPr>
            </w:pPr>
            <w:r>
              <w:rPr>
                <w:rFonts w:hint="eastAsia" w:hAnsi="宋体" w:cs="宋体"/>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3.2.1</w:t>
            </w:r>
          </w:p>
        </w:tc>
        <w:tc>
          <w:tcPr>
            <w:tcW w:w="7304" w:type="dxa"/>
            <w:vAlign w:val="center"/>
          </w:tcPr>
          <w:p>
            <w:pPr>
              <w:snapToGrid w:val="0"/>
              <w:spacing w:line="360" w:lineRule="auto"/>
              <w:rPr>
                <w:rFonts w:hAnsi="宋体" w:cs="宋体"/>
                <w:b/>
                <w:bCs w:val="0"/>
                <w:highlight w:val="none"/>
              </w:rPr>
            </w:pPr>
            <w:r>
              <w:rPr>
                <w:rFonts w:hint="eastAsia" w:hAnsi="宋体" w:cs="宋体"/>
                <w:b/>
                <w:bCs w:val="0"/>
                <w:highlight w:val="none"/>
              </w:rPr>
              <w:t>预付款</w:t>
            </w:r>
          </w:p>
          <w:p>
            <w:pPr>
              <w:snapToGrid w:val="0"/>
              <w:spacing w:line="360" w:lineRule="auto"/>
              <w:rPr>
                <w:rFonts w:hAnsi="宋体" w:cs="宋体"/>
                <w:b/>
                <w:bCs w:val="0"/>
                <w:highlight w:val="none"/>
              </w:rPr>
            </w:pPr>
            <w:r>
              <w:rPr>
                <w:rFonts w:hint="eastAsia" w:hAnsi="宋体" w:cs="宋体"/>
                <w:b/>
                <w:bCs w:val="0"/>
                <w:highlight w:val="none"/>
              </w:rPr>
              <w:t>支付时间：</w:t>
            </w:r>
            <w:r>
              <w:rPr>
                <w:rFonts w:hint="eastAsia" w:hAnsi="宋体" w:cs="宋体"/>
                <w:b/>
                <w:bCs w:val="0"/>
                <w:highlight w:val="none"/>
                <w:u w:val="single"/>
              </w:rPr>
              <w:t>合同、担保措施生效以及具备实施条件后28日内支付给承包人</w:t>
            </w:r>
            <w:r>
              <w:rPr>
                <w:rFonts w:hint="eastAsia" w:hAnsi="宋体" w:cs="宋体"/>
                <w:b/>
                <w:bCs w:val="0"/>
                <w:highlight w:val="none"/>
              </w:rPr>
              <w:t>；</w:t>
            </w:r>
          </w:p>
          <w:p>
            <w:pPr>
              <w:snapToGrid w:val="0"/>
              <w:spacing w:line="360" w:lineRule="auto"/>
              <w:rPr>
                <w:rFonts w:hAnsi="宋体" w:cs="宋体"/>
                <w:b/>
                <w:bCs w:val="0"/>
                <w:highlight w:val="none"/>
              </w:rPr>
            </w:pPr>
            <w:r>
              <w:rPr>
                <w:rFonts w:hint="eastAsia" w:hAnsi="宋体" w:cs="宋体"/>
                <w:b/>
                <w:bCs w:val="0"/>
                <w:highlight w:val="none"/>
              </w:rPr>
              <w:t>支付比例或金额：</w:t>
            </w:r>
            <w:r>
              <w:rPr>
                <w:rFonts w:hint="eastAsia" w:hAnsi="宋体" w:cs="宋体"/>
                <w:b/>
                <w:bCs w:val="0"/>
                <w:highlight w:val="none"/>
                <w:u w:val="single"/>
              </w:rPr>
              <w:t>签约合同价（不含暂列金）的</w:t>
            </w:r>
            <w:r>
              <w:rPr>
                <w:rFonts w:hint="eastAsia" w:hAnsi="宋体" w:cs="宋体"/>
                <w:b/>
                <w:bCs w:val="0"/>
                <w:highlight w:val="none"/>
                <w:u w:val="single"/>
                <w:lang w:val="en-US" w:eastAsia="zh-CN"/>
              </w:rPr>
              <w:t>3</w:t>
            </w:r>
            <w:r>
              <w:rPr>
                <w:rFonts w:hint="eastAsia" w:hAnsi="宋体" w:cs="宋体"/>
                <w:b/>
                <w:bCs w:val="0"/>
                <w:highlight w:val="none"/>
                <w:u w:val="single"/>
              </w:rPr>
              <w:t xml:space="preserve">0% </w:t>
            </w:r>
            <w:r>
              <w:rPr>
                <w:rFonts w:hint="eastAsia" w:hAnsi="宋体" w:cs="宋体"/>
                <w:b/>
                <w:bCs w:val="0"/>
                <w:highlight w:val="none"/>
              </w:rPr>
              <w:t>；</w:t>
            </w:r>
          </w:p>
          <w:p>
            <w:pPr>
              <w:snapToGrid w:val="0"/>
              <w:spacing w:line="360" w:lineRule="auto"/>
              <w:rPr>
                <w:rFonts w:hAnsi="宋体" w:cs="宋体"/>
                <w:bCs/>
                <w:highlight w:val="none"/>
              </w:rPr>
            </w:pPr>
            <w:r>
              <w:rPr>
                <w:rFonts w:hint="eastAsia" w:hAnsi="宋体" w:cs="宋体"/>
                <w:b/>
                <w:bCs w:val="0"/>
                <w:highlight w:val="none"/>
              </w:rPr>
              <w:t>支付单据：承包人应提交银行、保险公司、担保公司等金融机构出具的电子保函、纸质保函等担保措施;如承包人在签订合同时书面明确表示无需预付款的,可不提供电子保函、纸质保函等担保措施，发包人将按照合同约定根据实际工程量按月支付工程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8.1</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合同设备整体质量保证期：</w:t>
            </w:r>
            <w:r>
              <w:rPr>
                <w:rFonts w:hint="eastAsia" w:hAnsi="宋体" w:cs="宋体"/>
                <w:bCs/>
                <w:highlight w:val="none"/>
                <w:u w:val="single"/>
              </w:rPr>
              <w:t xml:space="preserve"> </w:t>
            </w:r>
            <w:r>
              <w:rPr>
                <w:rFonts w:hint="eastAsia" w:hAnsi="宋体" w:cs="宋体"/>
                <w:bCs/>
                <w:highlight w:val="none"/>
                <w:u w:val="single"/>
                <w:lang w:val="en-US" w:eastAsia="zh-CN"/>
              </w:rPr>
              <w:t>36</w:t>
            </w:r>
            <w:r>
              <w:rPr>
                <w:rFonts w:hint="eastAsia" w:hAnsi="宋体" w:cs="宋体"/>
                <w:bCs/>
                <w:highlight w:val="none"/>
                <w:u w:val="single"/>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10</w:t>
            </w:r>
          </w:p>
        </w:tc>
        <w:tc>
          <w:tcPr>
            <w:tcW w:w="7304" w:type="dxa"/>
            <w:vAlign w:val="center"/>
          </w:tcPr>
          <w:p>
            <w:pPr>
              <w:snapToGrid w:val="0"/>
              <w:spacing w:line="360" w:lineRule="auto"/>
              <w:rPr>
                <w:rFonts w:hAnsi="宋体" w:cs="宋体"/>
                <w:bCs/>
                <w:highlight w:val="none"/>
                <w:u w:val="single"/>
              </w:rPr>
            </w:pPr>
            <w:r>
              <w:rPr>
                <w:rFonts w:hint="eastAsia" w:hAnsi="宋体" w:cs="宋体"/>
                <w:bCs/>
                <w:highlight w:val="none"/>
              </w:rPr>
              <w:t>履约保证金：</w:t>
            </w:r>
            <w:r>
              <w:rPr>
                <w:rFonts w:hint="eastAsia" w:hAnsi="宋体" w:cs="宋体"/>
                <w:bCs/>
                <w:highlight w:val="none"/>
                <w:u w:val="single"/>
              </w:rPr>
              <w:t>见投标人须知前附表。</w:t>
            </w:r>
          </w:p>
          <w:p>
            <w:pPr>
              <w:snapToGrid w:val="0"/>
              <w:spacing w:line="360" w:lineRule="auto"/>
              <w:rPr>
                <w:rFonts w:hAnsi="宋体" w:cs="宋体"/>
                <w:bCs/>
                <w:highlight w:val="none"/>
                <w:u w:val="single"/>
              </w:rPr>
            </w:pPr>
            <w:r>
              <w:rPr>
                <w:rFonts w:hint="eastAsia" w:hAnsi="宋体" w:cs="宋体"/>
                <w:bCs/>
                <w:highlight w:val="none"/>
              </w:rPr>
              <w:t>履约保证金的形式：</w:t>
            </w:r>
            <w:r>
              <w:rPr>
                <w:rFonts w:hint="eastAsia" w:hAnsi="宋体" w:cs="宋体"/>
                <w:bCs/>
                <w:highlight w:val="none"/>
                <w:u w:val="single"/>
              </w:rPr>
              <w:t>见投标人须知前附表。</w:t>
            </w:r>
          </w:p>
          <w:p>
            <w:pPr>
              <w:snapToGrid w:val="0"/>
              <w:spacing w:line="360" w:lineRule="auto"/>
              <w:rPr>
                <w:rFonts w:hAnsi="宋体" w:cs="宋体"/>
                <w:bCs/>
                <w:highlight w:val="none"/>
                <w:u w:val="single"/>
              </w:rPr>
            </w:pPr>
            <w:r>
              <w:rPr>
                <w:rFonts w:hint="eastAsia" w:hAnsi="宋体" w:cs="宋体"/>
                <w:bCs/>
                <w:highlight w:val="none"/>
              </w:rPr>
              <w:t>履约保证金的金额：</w:t>
            </w:r>
            <w:r>
              <w:rPr>
                <w:rFonts w:hint="eastAsia" w:hAnsi="宋体" w:cs="宋体"/>
                <w:bCs/>
                <w:highlight w:val="none"/>
                <w:u w:val="single"/>
              </w:rPr>
              <w:t>见投标人须知前附表。</w:t>
            </w:r>
          </w:p>
          <w:p>
            <w:pPr>
              <w:snapToGrid w:val="0"/>
              <w:spacing w:line="360" w:lineRule="auto"/>
              <w:rPr>
                <w:rFonts w:hint="eastAsia" w:hAnsi="宋体" w:eastAsia="宋体" w:cs="宋体"/>
                <w:bCs/>
                <w:highlight w:val="none"/>
                <w:u w:val="single"/>
                <w:lang w:eastAsia="zh-CN"/>
              </w:rPr>
            </w:pPr>
            <w:r>
              <w:rPr>
                <w:rFonts w:hint="eastAsia" w:hAnsi="宋体" w:cs="宋体"/>
                <w:highlight w:val="none"/>
              </w:rPr>
              <w:t>履约保证金</w:t>
            </w:r>
            <w:r>
              <w:rPr>
                <w:rFonts w:hint="eastAsia" w:hAnsi="宋体" w:cs="宋体"/>
                <w:bCs/>
                <w:highlight w:val="none"/>
              </w:rPr>
              <w:t>的期限：</w:t>
            </w:r>
            <w:r>
              <w:rPr>
                <w:rFonts w:hint="eastAsia" w:hAnsi="宋体" w:cs="宋体"/>
                <w:bCs/>
                <w:highlight w:val="none"/>
                <w:u w:val="single"/>
              </w:rPr>
              <w:t>履约保证金自合同生效之日起生效，在合同货物验收证书或验收款支付函签署之日起 28 日后失效</w:t>
            </w:r>
            <w:r>
              <w:rPr>
                <w:rFonts w:hint="eastAsia" w:hAnsi="宋体" w:cs="宋体"/>
                <w:bCs/>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项目负责人</w:t>
            </w:r>
          </w:p>
          <w:p>
            <w:pPr>
              <w:snapToGrid w:val="0"/>
              <w:spacing w:line="360" w:lineRule="auto"/>
              <w:rPr>
                <w:rFonts w:hAnsi="宋体" w:cs="宋体"/>
                <w:bCs/>
                <w:highlight w:val="none"/>
              </w:rPr>
            </w:pPr>
            <w:r>
              <w:rPr>
                <w:rFonts w:hint="eastAsia" w:hAnsi="宋体" w:cs="宋体"/>
                <w:bCs/>
                <w:highlight w:val="none"/>
              </w:rPr>
              <w:t>姓    名：</w:t>
            </w:r>
          </w:p>
          <w:p>
            <w:pPr>
              <w:snapToGrid w:val="0"/>
              <w:spacing w:line="360" w:lineRule="auto"/>
              <w:rPr>
                <w:rFonts w:hAnsi="宋体" w:cs="宋体"/>
                <w:bCs/>
                <w:highlight w:val="none"/>
              </w:rPr>
            </w:pPr>
            <w:r>
              <w:rPr>
                <w:rFonts w:hint="eastAsia" w:hAnsi="宋体" w:cs="宋体"/>
                <w:bCs/>
                <w:highlight w:val="none"/>
              </w:rPr>
              <w:t>身份证号：</w:t>
            </w:r>
          </w:p>
          <w:p>
            <w:pPr>
              <w:snapToGrid w:val="0"/>
              <w:spacing w:line="360" w:lineRule="auto"/>
              <w:rPr>
                <w:rFonts w:hAnsi="宋体" w:cs="宋体"/>
                <w:bCs/>
                <w:highlight w:val="none"/>
              </w:rPr>
            </w:pPr>
            <w:r>
              <w:rPr>
                <w:rFonts w:hint="eastAsia" w:hAnsi="宋体" w:cs="宋体"/>
                <w:bCs/>
                <w:highlight w:val="none"/>
              </w:rPr>
              <w:t>执业资格等级：</w:t>
            </w:r>
          </w:p>
          <w:p>
            <w:pPr>
              <w:snapToGrid w:val="0"/>
              <w:spacing w:line="360" w:lineRule="auto"/>
              <w:rPr>
                <w:rFonts w:hAnsi="宋体" w:cs="宋体"/>
                <w:bCs/>
                <w:highlight w:val="none"/>
              </w:rPr>
            </w:pPr>
            <w:r>
              <w:rPr>
                <w:rFonts w:hint="eastAsia" w:hAnsi="宋体" w:cs="宋体"/>
                <w:bCs/>
                <w:highlight w:val="none"/>
              </w:rPr>
              <w:t>注册证书号：</w:t>
            </w:r>
          </w:p>
        </w:tc>
      </w:tr>
    </w:tbl>
    <w:p>
      <w:pPr>
        <w:pStyle w:val="20"/>
        <w:spacing w:line="360" w:lineRule="auto"/>
        <w:ind w:firstLine="420"/>
        <w:rPr>
          <w:rFonts w:ascii="Times New Roman" w:hAnsi="Times New Roman" w:cs="宋体"/>
          <w:snapToGrid w:val="0"/>
          <w:sz w:val="21"/>
          <w:szCs w:val="21"/>
          <w:highlight w:val="none"/>
        </w:rPr>
      </w:pPr>
    </w:p>
    <w:p>
      <w:pPr>
        <w:pStyle w:val="2"/>
        <w:spacing w:before="0" w:after="0"/>
        <w:ind w:left="240" w:leftChars="100"/>
        <w:rPr>
          <w:rFonts w:cs="黑体"/>
          <w:bCs w:val="0"/>
          <w:highlight w:val="none"/>
        </w:rPr>
      </w:pPr>
      <w:bookmarkStart w:id="815" w:name="_Toc17100685"/>
      <w:bookmarkStart w:id="816" w:name="_Toc26721399"/>
      <w:bookmarkStart w:id="817" w:name="_Toc392227867"/>
      <w:bookmarkStart w:id="818" w:name="_Toc26721554"/>
      <w:bookmarkStart w:id="819" w:name="_Toc26700665"/>
      <w:bookmarkStart w:id="820" w:name="_Toc15753921"/>
      <w:bookmarkStart w:id="821" w:name="_Toc24965165"/>
      <w:bookmarkStart w:id="822" w:name="_Toc26700495"/>
      <w:r>
        <w:rPr>
          <w:rFonts w:hint="eastAsia" w:cs="黑体"/>
          <w:bCs w:val="0"/>
          <w:highlight w:val="none"/>
        </w:rPr>
        <w:t>1. 一般约定</w:t>
      </w:r>
      <w:bookmarkEnd w:id="815"/>
      <w:bookmarkEnd w:id="816"/>
      <w:bookmarkEnd w:id="817"/>
      <w:bookmarkEnd w:id="818"/>
      <w:bookmarkEnd w:id="819"/>
      <w:bookmarkEnd w:id="820"/>
      <w:bookmarkEnd w:id="821"/>
      <w:bookmarkEnd w:id="822"/>
    </w:p>
    <w:p>
      <w:pPr>
        <w:pStyle w:val="5"/>
        <w:spacing w:before="0" w:after="0"/>
        <w:rPr>
          <w:rFonts w:ascii="黑体" w:hAnsi="黑体" w:cs="黑体"/>
          <w:szCs w:val="24"/>
          <w:highlight w:val="none"/>
        </w:rPr>
      </w:pPr>
      <w:bookmarkStart w:id="823" w:name="_Toc392227868"/>
      <w:r>
        <w:rPr>
          <w:rFonts w:hint="eastAsia" w:ascii="黑体" w:hAnsi="黑体" w:cs="黑体"/>
          <w:szCs w:val="24"/>
          <w:highlight w:val="none"/>
        </w:rPr>
        <w:t>1.1 词语定义</w:t>
      </w:r>
      <w:bookmarkEnd w:id="823"/>
    </w:p>
    <w:p>
      <w:pPr>
        <w:spacing w:line="360" w:lineRule="auto"/>
        <w:ind w:firstLine="480" w:firstLineChars="200"/>
        <w:rPr>
          <w:rFonts w:hAnsi="宋体" w:cs="宋体"/>
          <w:highlight w:val="none"/>
        </w:rPr>
      </w:pPr>
      <w:r>
        <w:rPr>
          <w:rFonts w:hint="eastAsia" w:hAnsi="宋体" w:cs="宋体"/>
          <w:highlight w:val="none"/>
        </w:rPr>
        <w:t>1.1.1 合同</w:t>
      </w:r>
    </w:p>
    <w:p>
      <w:pPr>
        <w:spacing w:line="360" w:lineRule="auto"/>
        <w:ind w:firstLine="480" w:firstLineChars="200"/>
        <w:rPr>
          <w:rFonts w:hAnsi="宋体" w:cs="宋体"/>
          <w:highlight w:val="none"/>
        </w:rPr>
      </w:pPr>
      <w:r>
        <w:rPr>
          <w:rFonts w:hint="eastAsia" w:hAnsi="宋体" w:cs="宋体"/>
          <w:highlight w:val="none"/>
        </w:rPr>
        <w:t>1.1.1.10 其他合同文件：</w:t>
      </w:r>
      <w:r>
        <w:rPr>
          <w:rFonts w:hint="eastAsia" w:hAnsi="宋体" w:cs="宋体"/>
          <w:highlight w:val="none"/>
          <w:u w:val="single"/>
        </w:rPr>
        <w:t xml:space="preserve">指经合同双方当事人确认构成合同文件的其他文件。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1.1.13 工程</w:t>
      </w:r>
    </w:p>
    <w:p>
      <w:pPr>
        <w:spacing w:line="360" w:lineRule="auto"/>
        <w:ind w:firstLine="729" w:firstLineChars="304"/>
        <w:rPr>
          <w:rFonts w:hAnsi="宋体" w:cs="宋体"/>
          <w:highlight w:val="none"/>
        </w:rPr>
      </w:pPr>
      <w:r>
        <w:rPr>
          <w:rFonts w:hint="eastAsia" w:hAnsi="宋体" w:cs="宋体"/>
          <w:highlight w:val="none"/>
        </w:rPr>
        <w:t>1.1.13.1工程：。</w:t>
      </w:r>
    </w:p>
    <w:p>
      <w:pPr>
        <w:spacing w:line="360" w:lineRule="auto"/>
        <w:ind w:firstLine="729" w:firstLineChars="304"/>
        <w:rPr>
          <w:rFonts w:hAnsi="宋体" w:cs="宋体"/>
          <w:highlight w:val="none"/>
        </w:rPr>
      </w:pPr>
      <w:r>
        <w:rPr>
          <w:rFonts w:hint="eastAsia" w:hAnsi="宋体" w:cs="宋体"/>
          <w:highlight w:val="none"/>
        </w:rPr>
        <w:t xml:space="preserve">1.1.13.2 施工场地（或称工地、施工现场）：。 </w:t>
      </w:r>
    </w:p>
    <w:p>
      <w:pPr>
        <w:spacing w:line="360" w:lineRule="auto"/>
        <w:rPr>
          <w:rFonts w:hAnsi="宋体" w:cs="宋体"/>
          <w:highlight w:val="none"/>
        </w:rPr>
      </w:pPr>
      <w:r>
        <w:rPr>
          <w:rFonts w:hint="eastAsia" w:hAnsi="宋体" w:cs="宋体"/>
          <w:highlight w:val="none"/>
        </w:rPr>
        <w:t xml:space="preserve">    对通用合同条款中词语定义的不同约定： 。</w:t>
      </w:r>
    </w:p>
    <w:p>
      <w:pPr>
        <w:spacing w:line="360" w:lineRule="auto"/>
        <w:ind w:firstLine="137"/>
        <w:outlineLvl w:val="3"/>
        <w:rPr>
          <w:rFonts w:hAnsi="宋体" w:cs="宋体"/>
          <w:highlight w:val="none"/>
        </w:rPr>
      </w:pPr>
      <w:bookmarkStart w:id="824" w:name="_Toc392227869"/>
      <w:r>
        <w:rPr>
          <w:rFonts w:hint="eastAsia" w:hAnsi="宋体" w:cs="宋体"/>
          <w:highlight w:val="none"/>
        </w:rPr>
        <w:t>1.3 合同文件的优先顺序</w:t>
      </w:r>
      <w:bookmarkEnd w:id="824"/>
    </w:p>
    <w:p>
      <w:pPr>
        <w:spacing w:line="360" w:lineRule="auto"/>
        <w:ind w:firstLine="480" w:firstLineChars="200"/>
        <w:rPr>
          <w:rFonts w:hAnsi="宋体" w:cs="宋体"/>
          <w:highlight w:val="none"/>
        </w:rPr>
      </w:pPr>
      <w:r>
        <w:rPr>
          <w:rFonts w:hint="eastAsia" w:hAnsi="宋体" w:cs="宋体"/>
          <w:highlight w:val="none"/>
        </w:rPr>
        <w:t>解释合同文件的优先顺序：</w:t>
      </w:r>
      <w:r>
        <w:rPr>
          <w:rFonts w:hint="eastAsia" w:hAnsi="宋体" w:cs="宋体"/>
          <w:highlight w:val="none"/>
          <w:u w:val="single"/>
        </w:rPr>
        <w:t>1.本合同协议书；2.中标通知书；3.本合同专用条款及补充条款；4.招标文件；5.本合同通用条款；6.技术标准和要求；7.图纸；8.投标书及其附件；9.已标价工程量清单；10.其他合同文件。</w:t>
      </w:r>
      <w:r>
        <w:rPr>
          <w:rFonts w:hint="eastAsia" w:hAnsi="宋体" w:cs="宋体"/>
          <w:highlight w:val="none"/>
        </w:rPr>
        <w:t>。</w:t>
      </w:r>
    </w:p>
    <w:p>
      <w:pPr>
        <w:spacing w:line="360" w:lineRule="auto"/>
        <w:ind w:firstLine="137"/>
        <w:outlineLvl w:val="3"/>
        <w:rPr>
          <w:rFonts w:hAnsi="宋体" w:cs="宋体"/>
          <w:highlight w:val="none"/>
        </w:rPr>
      </w:pPr>
      <w:bookmarkStart w:id="825" w:name="_Toc392227870"/>
      <w:r>
        <w:rPr>
          <w:rFonts w:hint="eastAsia" w:hAnsi="宋体" w:cs="宋体"/>
          <w:highlight w:val="none"/>
        </w:rPr>
        <w:t>1.4 合同的生效及变更</w:t>
      </w:r>
      <w:bookmarkEnd w:id="825"/>
    </w:p>
    <w:p>
      <w:pPr>
        <w:spacing w:line="360" w:lineRule="auto"/>
        <w:ind w:firstLine="480" w:firstLineChars="200"/>
        <w:rPr>
          <w:rFonts w:hAnsi="宋体" w:cs="宋体"/>
          <w:highlight w:val="none"/>
        </w:rPr>
      </w:pPr>
      <w:r>
        <w:rPr>
          <w:rFonts w:hint="eastAsia" w:hAnsi="宋体" w:cs="宋体"/>
          <w:highlight w:val="none"/>
        </w:rPr>
        <w:t>1.4.1 合同生效条件：</w:t>
      </w:r>
      <w:r>
        <w:rPr>
          <w:rFonts w:hint="eastAsia" w:hAnsi="宋体" w:cs="宋体"/>
          <w:highlight w:val="none"/>
          <w:u w:val="single"/>
        </w:rPr>
        <w:t xml:space="preserve">双方签字并盖章后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1.4.2 合同变更的方式：</w:t>
      </w:r>
      <w:r>
        <w:rPr>
          <w:rFonts w:hint="eastAsia" w:hAnsi="宋体" w:cs="宋体"/>
          <w:highlight w:val="none"/>
          <w:u w:val="single"/>
        </w:rPr>
        <w:t>执行通用条款</w:t>
      </w:r>
      <w:r>
        <w:rPr>
          <w:rFonts w:hint="eastAsia" w:hAnsi="宋体" w:cs="宋体"/>
          <w:highlight w:val="none"/>
        </w:rPr>
        <w:t>。</w:t>
      </w:r>
    </w:p>
    <w:p>
      <w:pPr>
        <w:spacing w:line="360" w:lineRule="auto"/>
        <w:ind w:firstLine="137"/>
        <w:outlineLvl w:val="3"/>
        <w:rPr>
          <w:rFonts w:hAnsi="宋体" w:cs="宋体"/>
          <w:highlight w:val="none"/>
        </w:rPr>
      </w:pPr>
      <w:bookmarkStart w:id="826" w:name="_Toc392227871"/>
      <w:r>
        <w:rPr>
          <w:rFonts w:hint="eastAsia" w:hAnsi="宋体" w:cs="宋体"/>
          <w:highlight w:val="none"/>
        </w:rPr>
        <w:t>1.5 联络</w:t>
      </w:r>
      <w:bookmarkEnd w:id="826"/>
    </w:p>
    <w:p>
      <w:pPr>
        <w:spacing w:line="360" w:lineRule="auto"/>
        <w:ind w:firstLine="480" w:firstLineChars="200"/>
        <w:rPr>
          <w:rFonts w:hAnsi="宋体" w:cs="宋体"/>
          <w:highlight w:val="none"/>
          <w:u w:val="single"/>
        </w:rPr>
      </w:pPr>
      <w:r>
        <w:rPr>
          <w:rFonts w:hint="eastAsia" w:hAnsi="宋体" w:cs="宋体"/>
          <w:highlight w:val="none"/>
        </w:rPr>
        <w:t>买方指定的联系人和联系方式；</w:t>
      </w:r>
    </w:p>
    <w:p>
      <w:pPr>
        <w:spacing w:line="360" w:lineRule="auto"/>
        <w:ind w:firstLine="480" w:firstLineChars="200"/>
        <w:rPr>
          <w:rFonts w:hAnsi="宋体" w:cs="宋体"/>
          <w:highlight w:val="none"/>
        </w:rPr>
      </w:pPr>
      <w:r>
        <w:rPr>
          <w:rFonts w:hint="eastAsia" w:hAnsi="宋体" w:cs="宋体"/>
          <w:highlight w:val="none"/>
        </w:rPr>
        <w:t>卖方指定的联系人和联系方式。</w:t>
      </w:r>
    </w:p>
    <w:p>
      <w:pPr>
        <w:spacing w:line="360" w:lineRule="auto"/>
        <w:ind w:firstLine="137"/>
        <w:outlineLvl w:val="3"/>
        <w:rPr>
          <w:rFonts w:hAnsi="宋体" w:cs="宋体"/>
          <w:highlight w:val="none"/>
        </w:rPr>
      </w:pPr>
      <w:bookmarkStart w:id="827" w:name="_Toc392227872"/>
      <w:r>
        <w:rPr>
          <w:rFonts w:hint="eastAsia" w:hAnsi="宋体" w:cs="宋体"/>
          <w:highlight w:val="none"/>
        </w:rPr>
        <w:t>1.6 联合体</w:t>
      </w:r>
      <w:bookmarkEnd w:id="827"/>
    </w:p>
    <w:p>
      <w:pPr>
        <w:spacing w:line="360" w:lineRule="auto"/>
        <w:ind w:firstLine="480" w:firstLineChars="200"/>
        <w:rPr>
          <w:rFonts w:hAnsi="宋体" w:cs="宋体"/>
          <w:highlight w:val="none"/>
        </w:rPr>
      </w:pPr>
      <w:r>
        <w:rPr>
          <w:rFonts w:hint="eastAsia" w:hAnsi="宋体" w:cs="宋体"/>
          <w:highlight w:val="none"/>
        </w:rPr>
        <w:t>1.6.3 联合体各方对联合体牵头人的授权范围：。</w:t>
      </w:r>
    </w:p>
    <w:p>
      <w:pPr>
        <w:pStyle w:val="2"/>
        <w:spacing w:before="0" w:after="0"/>
        <w:ind w:left="240" w:leftChars="100"/>
        <w:rPr>
          <w:rFonts w:cs="黑体"/>
          <w:highlight w:val="none"/>
        </w:rPr>
      </w:pPr>
      <w:bookmarkStart w:id="828" w:name="_Toc15753922"/>
      <w:bookmarkStart w:id="829" w:name="_Toc26700496"/>
      <w:bookmarkStart w:id="830" w:name="_Toc26721555"/>
      <w:bookmarkStart w:id="831" w:name="_Toc24965166"/>
      <w:bookmarkStart w:id="832" w:name="_Toc26700666"/>
      <w:bookmarkStart w:id="833" w:name="_Toc26721400"/>
      <w:bookmarkStart w:id="834" w:name="_Toc17100686"/>
      <w:bookmarkStart w:id="835" w:name="_Toc392227873"/>
      <w:r>
        <w:rPr>
          <w:rFonts w:hint="eastAsia" w:cs="黑体"/>
          <w:highlight w:val="none"/>
        </w:rPr>
        <w:t>3. 合同价格与支付</w:t>
      </w:r>
      <w:bookmarkEnd w:id="828"/>
      <w:bookmarkEnd w:id="829"/>
      <w:bookmarkEnd w:id="830"/>
      <w:bookmarkEnd w:id="831"/>
      <w:bookmarkEnd w:id="832"/>
      <w:bookmarkEnd w:id="833"/>
      <w:bookmarkEnd w:id="834"/>
      <w:bookmarkEnd w:id="835"/>
    </w:p>
    <w:p>
      <w:pPr>
        <w:pStyle w:val="5"/>
        <w:spacing w:before="0" w:after="0"/>
        <w:rPr>
          <w:rFonts w:ascii="黑体" w:hAnsi="黑体" w:cs="黑体"/>
          <w:szCs w:val="24"/>
          <w:highlight w:val="none"/>
        </w:rPr>
      </w:pPr>
      <w:bookmarkStart w:id="836" w:name="_Toc392227874"/>
      <w:r>
        <w:rPr>
          <w:rFonts w:hint="eastAsia" w:ascii="黑体" w:hAnsi="黑体" w:cs="黑体"/>
          <w:szCs w:val="24"/>
          <w:highlight w:val="none"/>
        </w:rPr>
        <w:t>3.1 合同价格</w:t>
      </w:r>
      <w:bookmarkEnd w:id="836"/>
    </w:p>
    <w:p>
      <w:pPr>
        <w:spacing w:line="360" w:lineRule="auto"/>
        <w:ind w:firstLine="480" w:firstLineChars="200"/>
        <w:rPr>
          <w:rFonts w:hAnsi="宋体" w:cs="宋体"/>
          <w:highlight w:val="none"/>
        </w:rPr>
      </w:pPr>
      <w:r>
        <w:rPr>
          <w:rFonts w:hint="eastAsia" w:hAnsi="宋体" w:cs="宋体"/>
          <w:highlight w:val="none"/>
        </w:rPr>
        <w:t xml:space="preserve">3.1.2合同价格形式： </w:t>
      </w:r>
      <w:r>
        <w:rPr>
          <w:rFonts w:hint="eastAsia" w:hAnsi="宋体" w:cs="宋体"/>
          <w:highlight w:val="none"/>
          <w:u w:val="single"/>
        </w:rPr>
        <w:t xml:space="preserve">  </w:t>
      </w:r>
      <w:r>
        <w:rPr>
          <w:rFonts w:hint="eastAsia" w:ascii="MS Mincho" w:hAnsi="MS Mincho" w:eastAsia="MS Mincho" w:cs="MS Mincho"/>
          <w:highlight w:val="none"/>
          <w:u w:val="single"/>
        </w:rPr>
        <w:t>☑</w:t>
      </w:r>
      <w:r>
        <w:rPr>
          <w:rFonts w:hint="eastAsia" w:hAnsi="宋体" w:cs="宋体"/>
          <w:highlight w:val="none"/>
          <w:u w:val="single"/>
        </w:rPr>
        <w:t xml:space="preserve">固定价格  □可调价格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采用可调价格合同时，采用以下第种方式对合同价格进行调整：</w:t>
      </w:r>
    </w:p>
    <w:p>
      <w:pPr>
        <w:adjustRightInd w:val="0"/>
        <w:spacing w:line="360" w:lineRule="auto"/>
        <w:ind w:firstLine="480" w:firstLineChars="200"/>
        <w:rPr>
          <w:rFonts w:hAnsi="宋体" w:cs="宋体"/>
          <w:highlight w:val="none"/>
        </w:rPr>
      </w:pPr>
      <w:r>
        <w:rPr>
          <w:rFonts w:hint="eastAsia" w:hAnsi="宋体" w:cs="宋体"/>
          <w:highlight w:val="none"/>
        </w:rPr>
        <w:t>第1种方式：</w:t>
      </w:r>
    </w:p>
    <w:p>
      <w:pPr>
        <w:adjustRightInd w:val="0"/>
        <w:spacing w:line="360" w:lineRule="auto"/>
        <w:ind w:firstLine="480" w:firstLineChars="200"/>
        <w:rPr>
          <w:rFonts w:hAnsi="宋体" w:cs="宋体"/>
          <w:highlight w:val="none"/>
        </w:rPr>
      </w:pPr>
      <w:r>
        <w:rPr>
          <w:rFonts w:hint="eastAsia" w:hAnsi="宋体" w:cs="宋体"/>
          <w:highlight w:val="none"/>
        </w:rPr>
        <w:t>（1）关于基准价格的约定：。</w:t>
      </w:r>
    </w:p>
    <w:p>
      <w:pPr>
        <w:adjustRightInd w:val="0"/>
        <w:spacing w:line="360" w:lineRule="auto"/>
        <w:ind w:firstLine="480" w:firstLineChars="200"/>
        <w:rPr>
          <w:rFonts w:hAnsi="宋体" w:cs="宋体"/>
          <w:highlight w:val="none"/>
        </w:rPr>
      </w:pPr>
      <w:r>
        <w:rPr>
          <w:rFonts w:hint="eastAsia" w:hAnsi="宋体" w:cs="宋体"/>
          <w:highlight w:val="none"/>
        </w:rPr>
        <w:t>①卖方在分项报价表中载明的货物单价低于基准价格的：专用合同条款合同履行期间货物单价涨幅以基准价格为基础超过%时，或货物单价跌幅以分项报价表中载明货物单价为基础超过%时，其超过部分据实调整。</w:t>
      </w:r>
    </w:p>
    <w:p>
      <w:pPr>
        <w:adjustRightInd w:val="0"/>
        <w:spacing w:line="360" w:lineRule="auto"/>
        <w:ind w:firstLine="480" w:firstLineChars="200"/>
        <w:rPr>
          <w:rFonts w:hAnsi="宋体" w:cs="宋体"/>
          <w:highlight w:val="none"/>
        </w:rPr>
      </w:pPr>
      <w:r>
        <w:rPr>
          <w:rFonts w:hint="eastAsia" w:hAnsi="宋体" w:cs="宋体"/>
          <w:highlight w:val="none"/>
        </w:rPr>
        <w:t>②卖方在分项报价表中载明的货物单价高于基准价格的：专用合同条款合同履行期间货物单价跌幅以基准价格为基础超过%时，货物单价涨幅以分项报价表中载明货物单价为基础超过%时，其超过部分据实调整。</w:t>
      </w:r>
    </w:p>
    <w:p>
      <w:pPr>
        <w:adjustRightInd w:val="0"/>
        <w:spacing w:line="360" w:lineRule="auto"/>
        <w:ind w:firstLine="480" w:firstLineChars="200"/>
        <w:rPr>
          <w:rFonts w:hAnsi="宋体" w:cs="宋体"/>
          <w:highlight w:val="none"/>
        </w:rPr>
      </w:pPr>
      <w:r>
        <w:rPr>
          <w:rFonts w:hint="eastAsia" w:hAnsi="宋体" w:cs="宋体"/>
          <w:highlight w:val="none"/>
        </w:rPr>
        <w:t>③卖方在分项报价表中载明的货物单价等于基准单价的：专用合同条款合同履行期间货物单价涨跌幅以基准单价为基础超过±%时，其超过部分据实调整。</w:t>
      </w:r>
    </w:p>
    <w:p>
      <w:pPr>
        <w:spacing w:line="360" w:lineRule="auto"/>
        <w:ind w:firstLine="480" w:firstLineChars="200"/>
        <w:rPr>
          <w:rFonts w:hAnsi="宋体" w:cs="宋体"/>
          <w:highlight w:val="none"/>
        </w:rPr>
      </w:pPr>
      <w:r>
        <w:rPr>
          <w:rFonts w:hint="eastAsia" w:hAnsi="宋体" w:cs="宋体"/>
          <w:highlight w:val="none"/>
        </w:rPr>
        <w:t>第2种方式：。</w:t>
      </w:r>
    </w:p>
    <w:p>
      <w:pPr>
        <w:pStyle w:val="5"/>
        <w:spacing w:before="0" w:after="0"/>
        <w:rPr>
          <w:rFonts w:ascii="黑体" w:hAnsi="黑体" w:cs="黑体"/>
          <w:szCs w:val="24"/>
          <w:highlight w:val="none"/>
        </w:rPr>
      </w:pPr>
      <w:bookmarkStart w:id="837" w:name="_Toc392227875"/>
      <w:r>
        <w:rPr>
          <w:rFonts w:hint="eastAsia" w:ascii="黑体" w:hAnsi="黑体" w:cs="黑体"/>
          <w:szCs w:val="24"/>
          <w:highlight w:val="none"/>
        </w:rPr>
        <w:t>3.2 合同价款的支付</w:t>
      </w:r>
      <w:bookmarkEnd w:id="837"/>
    </w:p>
    <w:p>
      <w:pPr>
        <w:spacing w:line="360" w:lineRule="auto"/>
        <w:ind w:firstLine="480" w:firstLineChars="200"/>
        <w:rPr>
          <w:rFonts w:hAnsi="宋体" w:cs="宋体"/>
          <w:highlight w:val="none"/>
        </w:rPr>
      </w:pPr>
      <w:r>
        <w:rPr>
          <w:rFonts w:hint="eastAsia" w:hAnsi="宋体" w:cs="宋体"/>
          <w:highlight w:val="none"/>
        </w:rPr>
        <w:t>买方应通过以下方式和比例向卖方支付合同价款：</w:t>
      </w:r>
    </w:p>
    <w:p>
      <w:pPr>
        <w:spacing w:line="360" w:lineRule="auto"/>
        <w:ind w:firstLine="480" w:firstLineChars="200"/>
        <w:rPr>
          <w:rFonts w:hAnsi="宋体" w:cs="宋体"/>
          <w:highlight w:val="none"/>
        </w:rPr>
      </w:pPr>
      <w:r>
        <w:rPr>
          <w:rFonts w:hint="eastAsia" w:hAnsi="宋体" w:cs="宋体"/>
          <w:highlight w:val="none"/>
        </w:rPr>
        <w:t>3.2.1 预付款</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3.2.2 交货款 </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3.2.3 验收款 </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3.2.4结清款</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jc w:val="left"/>
        <w:rPr>
          <w:rFonts w:hAnsi="宋体" w:cs="宋体"/>
          <w:highlight w:val="none"/>
        </w:rPr>
      </w:pPr>
      <w:r>
        <w:rPr>
          <w:rFonts w:hint="eastAsia" w:hAnsi="宋体" w:cs="宋体"/>
          <w:highlight w:val="none"/>
        </w:rPr>
        <w:t>在不适用通用合同条款所约定的支付方式时，其他支付方式的约定：</w:t>
      </w:r>
      <w:bookmarkStart w:id="838" w:name="_Toc26721401"/>
      <w:bookmarkStart w:id="839" w:name="_Toc26700667"/>
      <w:bookmarkStart w:id="840" w:name="_Toc15753923"/>
      <w:bookmarkStart w:id="841" w:name="_Toc392227876"/>
      <w:bookmarkStart w:id="842" w:name="_Toc24965167"/>
      <w:bookmarkStart w:id="843" w:name="_Toc26721556"/>
      <w:bookmarkStart w:id="844" w:name="_Toc17100687"/>
      <w:bookmarkStart w:id="845" w:name="_Toc26700497"/>
      <w:bookmarkStart w:id="846" w:name="_Toc392346758"/>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货物进场验收合格后支付至合同总价的50%，工程完工后支付至合同价的80%，工程竣工验收合格后付至合同价的97%，余款在质量保证期满一次性付清。</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如中标人采用“电子保函、纸质保函等担保方式”提交等额余款的，则在结算完成后招标人应付至最终结算价款的100%。若以现金形式提交余款的（含从合同价款中以扣留方式提交的）同时退还银行同期活期存款利息。</w:t>
      </w:r>
    </w:p>
    <w:p>
      <w:pPr>
        <w:spacing w:line="360" w:lineRule="auto"/>
        <w:ind w:firstLine="480" w:firstLineChars="200"/>
        <w:rPr>
          <w:rFonts w:cs="黑体"/>
          <w:highlight w:val="none"/>
        </w:rPr>
      </w:pPr>
      <w:r>
        <w:rPr>
          <w:rFonts w:hint="eastAsia" w:cs="黑体"/>
          <w:highlight w:val="none"/>
        </w:rPr>
        <w:t>4. 监造及交货前检验</w:t>
      </w:r>
      <w:bookmarkEnd w:id="838"/>
      <w:bookmarkEnd w:id="839"/>
      <w:bookmarkEnd w:id="840"/>
      <w:bookmarkEnd w:id="841"/>
      <w:bookmarkEnd w:id="842"/>
      <w:bookmarkEnd w:id="843"/>
      <w:bookmarkEnd w:id="844"/>
      <w:bookmarkEnd w:id="845"/>
    </w:p>
    <w:p>
      <w:pPr>
        <w:pStyle w:val="5"/>
        <w:spacing w:before="0" w:after="0"/>
        <w:rPr>
          <w:rFonts w:ascii="黑体" w:hAnsi="黑体" w:cs="黑体"/>
          <w:szCs w:val="24"/>
          <w:highlight w:val="none"/>
        </w:rPr>
      </w:pPr>
      <w:bookmarkStart w:id="847" w:name="_Toc392227877"/>
      <w:r>
        <w:rPr>
          <w:rFonts w:hint="eastAsia" w:ascii="黑体" w:hAnsi="黑体" w:cs="黑体"/>
          <w:szCs w:val="24"/>
          <w:highlight w:val="none"/>
        </w:rPr>
        <w:t>4.1 监造</w:t>
      </w:r>
      <w:bookmarkEnd w:id="847"/>
    </w:p>
    <w:p>
      <w:pPr>
        <w:spacing w:line="360" w:lineRule="auto"/>
        <w:ind w:firstLine="480" w:firstLineChars="200"/>
        <w:rPr>
          <w:rFonts w:hAnsi="宋体" w:cs="宋体"/>
          <w:highlight w:val="none"/>
        </w:rPr>
      </w:pPr>
      <w:r>
        <w:rPr>
          <w:rFonts w:hint="eastAsia" w:hAnsi="宋体" w:cs="宋体"/>
          <w:highlight w:val="none"/>
        </w:rPr>
        <w:t>买方是否对合同设备进行监造：</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4.1.1 监造范围、方式：</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4.1.2 监造场所及配合：</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     买方监造人员的交通、食宿费用承担：</w:t>
      </w:r>
      <w:r>
        <w:rPr>
          <w:rFonts w:hint="eastAsia" w:hAnsi="宋体" w:cs="宋体"/>
          <w:highlight w:val="none"/>
          <w:u w:val="single"/>
        </w:rPr>
        <w:t xml:space="preserve">      否       </w:t>
      </w:r>
      <w:r>
        <w:rPr>
          <w:rFonts w:hint="eastAsia" w:hAnsi="宋体" w:cs="宋体"/>
          <w:highlight w:val="none"/>
        </w:rPr>
        <w:t>。</w:t>
      </w:r>
    </w:p>
    <w:p>
      <w:pPr>
        <w:spacing w:line="360" w:lineRule="auto"/>
        <w:rPr>
          <w:rFonts w:hAnsi="宋体" w:cs="宋体"/>
          <w:highlight w:val="none"/>
        </w:rPr>
      </w:pPr>
      <w:r>
        <w:rPr>
          <w:rFonts w:hint="eastAsia" w:hAnsi="宋体" w:cs="宋体"/>
          <w:highlight w:val="none"/>
        </w:rPr>
        <w:t xml:space="preserve">    4.1.3 卖方提前通知买方监造的期限的约定：</w:t>
      </w:r>
      <w:r>
        <w:rPr>
          <w:rFonts w:hint="eastAsia" w:hAnsi="宋体" w:cs="宋体"/>
          <w:highlight w:val="none"/>
          <w:u w:val="single"/>
        </w:rPr>
        <w:t xml:space="preserve">     否        </w:t>
      </w:r>
      <w:r>
        <w:rPr>
          <w:rFonts w:hint="eastAsia" w:hAnsi="宋体" w:cs="宋体"/>
          <w:highlight w:val="none"/>
        </w:rPr>
        <w:t>。</w:t>
      </w:r>
    </w:p>
    <w:p>
      <w:pPr>
        <w:pStyle w:val="5"/>
        <w:spacing w:before="0" w:after="0"/>
        <w:rPr>
          <w:rFonts w:ascii="黑体" w:hAnsi="黑体" w:cs="黑体"/>
          <w:szCs w:val="24"/>
          <w:highlight w:val="none"/>
        </w:rPr>
      </w:pPr>
      <w:bookmarkStart w:id="848" w:name="_Toc392227878"/>
      <w:r>
        <w:rPr>
          <w:rFonts w:hint="eastAsia" w:ascii="黑体" w:hAnsi="黑体" w:cs="黑体"/>
          <w:szCs w:val="24"/>
          <w:highlight w:val="none"/>
        </w:rPr>
        <w:t>4.2 交货前检验</w:t>
      </w:r>
      <w:bookmarkEnd w:id="848"/>
    </w:p>
    <w:p>
      <w:pPr>
        <w:spacing w:line="360" w:lineRule="auto"/>
        <w:ind w:firstLine="480" w:firstLineChars="200"/>
        <w:rPr>
          <w:rFonts w:hAnsi="宋体" w:cs="宋体"/>
          <w:highlight w:val="none"/>
        </w:rPr>
      </w:pPr>
      <w:r>
        <w:rPr>
          <w:rFonts w:hint="eastAsia" w:hAnsi="宋体" w:cs="宋体"/>
          <w:highlight w:val="none"/>
        </w:rPr>
        <w:t>买方是否参与交货前检验：</w:t>
      </w:r>
      <w:r>
        <w:rPr>
          <w:rFonts w:hint="eastAsia" w:hAnsi="宋体" w:cs="宋体"/>
          <w:highlight w:val="none"/>
          <w:u w:val="single"/>
        </w:rPr>
        <w:t xml:space="preserve">          是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4.2.1 买方代表的交通、食宿费用承担：</w:t>
      </w:r>
      <w:r>
        <w:rPr>
          <w:rFonts w:hint="eastAsia" w:hAnsi="宋体" w:cs="宋体"/>
          <w:highlight w:val="none"/>
          <w:u w:val="single"/>
        </w:rPr>
        <w:t xml:space="preserve">   卖方承担    </w:t>
      </w:r>
      <w:r>
        <w:rPr>
          <w:rFonts w:hint="eastAsia" w:hAnsi="宋体" w:cs="宋体"/>
          <w:highlight w:val="none"/>
        </w:rPr>
        <w:t>。</w:t>
      </w:r>
    </w:p>
    <w:p>
      <w:pPr>
        <w:spacing w:line="360" w:lineRule="auto"/>
        <w:rPr>
          <w:rFonts w:hAnsi="宋体" w:cs="宋体"/>
          <w:highlight w:val="none"/>
        </w:rPr>
      </w:pPr>
      <w:r>
        <w:rPr>
          <w:rFonts w:hint="eastAsia" w:hAnsi="宋体" w:cs="宋体"/>
          <w:highlight w:val="none"/>
        </w:rPr>
        <w:t xml:space="preserve">    4.2.2卖方提前通知买方检验的期限的约定</w:t>
      </w:r>
      <w:r>
        <w:rPr>
          <w:rFonts w:hint="eastAsia" w:hAnsi="宋体" w:cs="宋体"/>
          <w:highlight w:val="none"/>
          <w:u w:val="single"/>
        </w:rPr>
        <w:t xml:space="preserve">  执行通用条款</w:t>
      </w:r>
      <w:r>
        <w:rPr>
          <w:rFonts w:hint="eastAsia" w:hAnsi="宋体" w:cs="宋体"/>
          <w:highlight w:val="none"/>
        </w:rPr>
        <w:t>。</w:t>
      </w:r>
    </w:p>
    <w:p>
      <w:pPr>
        <w:pStyle w:val="2"/>
        <w:spacing w:before="0" w:after="0"/>
        <w:ind w:left="240" w:leftChars="100"/>
        <w:rPr>
          <w:rFonts w:cs="黑体"/>
          <w:highlight w:val="none"/>
        </w:rPr>
      </w:pPr>
      <w:bookmarkStart w:id="849" w:name="_Toc26721557"/>
      <w:bookmarkStart w:id="850" w:name="_Toc24965168"/>
      <w:bookmarkStart w:id="851" w:name="_Toc15753924"/>
      <w:bookmarkStart w:id="852" w:name="_Toc26700668"/>
      <w:bookmarkStart w:id="853" w:name="_Toc26700498"/>
      <w:bookmarkStart w:id="854" w:name="_Toc26721402"/>
      <w:bookmarkStart w:id="855" w:name="_Toc17100688"/>
      <w:r>
        <w:rPr>
          <w:rFonts w:hint="eastAsia" w:cs="黑体"/>
          <w:highlight w:val="none"/>
        </w:rPr>
        <w:t>5. 包装、标记、运输和交付</w:t>
      </w:r>
      <w:bookmarkEnd w:id="846"/>
      <w:bookmarkEnd w:id="849"/>
      <w:bookmarkEnd w:id="850"/>
      <w:bookmarkEnd w:id="851"/>
      <w:bookmarkEnd w:id="852"/>
      <w:bookmarkEnd w:id="853"/>
      <w:bookmarkEnd w:id="854"/>
      <w:bookmarkEnd w:id="855"/>
    </w:p>
    <w:p>
      <w:pPr>
        <w:pStyle w:val="5"/>
        <w:spacing w:before="0" w:after="0"/>
        <w:rPr>
          <w:rFonts w:ascii="黑体" w:hAnsi="黑体" w:cs="黑体"/>
          <w:szCs w:val="24"/>
          <w:highlight w:val="none"/>
        </w:rPr>
      </w:pPr>
      <w:bookmarkStart w:id="856" w:name="_Toc392346759"/>
      <w:r>
        <w:rPr>
          <w:rFonts w:hint="eastAsia" w:ascii="黑体" w:hAnsi="黑体" w:cs="黑体"/>
          <w:szCs w:val="24"/>
          <w:highlight w:val="none"/>
        </w:rPr>
        <w:t>5.1 包装</w:t>
      </w:r>
      <w:bookmarkEnd w:id="856"/>
    </w:p>
    <w:p>
      <w:pPr>
        <w:spacing w:line="360" w:lineRule="auto"/>
        <w:ind w:firstLine="480" w:firstLineChars="200"/>
        <w:rPr>
          <w:rFonts w:hAnsi="宋体" w:cs="宋体"/>
          <w:highlight w:val="none"/>
        </w:rPr>
      </w:pPr>
      <w:r>
        <w:rPr>
          <w:rFonts w:hint="eastAsia" w:hAnsi="宋体" w:cs="宋体"/>
          <w:highlight w:val="none"/>
        </w:rPr>
        <w:t>5.1.1 包装的其他要求：</w:t>
      </w:r>
      <w:r>
        <w:rPr>
          <w:rFonts w:hint="eastAsia" w:hAnsi="宋体" w:cs="宋体"/>
          <w:highlight w:val="none"/>
          <w:u w:val="single"/>
        </w:rPr>
        <w:t xml:space="preserve">   执行通用条款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5.1.3 买方是否需将包装物退还给卖方：</w:t>
      </w:r>
      <w:r>
        <w:rPr>
          <w:rFonts w:hint="eastAsia" w:hAnsi="宋体" w:cs="宋体"/>
          <w:highlight w:val="none"/>
          <w:u w:val="single"/>
        </w:rPr>
        <w:t xml:space="preserve">   不需要  </w:t>
      </w:r>
      <w:r>
        <w:rPr>
          <w:rFonts w:hint="eastAsia" w:hAnsi="宋体" w:cs="宋体"/>
          <w:highlight w:val="none"/>
        </w:rPr>
        <w:t>。</w:t>
      </w:r>
    </w:p>
    <w:p>
      <w:pPr>
        <w:pStyle w:val="5"/>
        <w:spacing w:before="0" w:after="0"/>
        <w:rPr>
          <w:rFonts w:ascii="黑体" w:hAnsi="黑体" w:cs="黑体"/>
          <w:szCs w:val="24"/>
          <w:highlight w:val="none"/>
        </w:rPr>
      </w:pPr>
      <w:bookmarkStart w:id="857" w:name="_Toc392346760"/>
      <w:r>
        <w:rPr>
          <w:rFonts w:hint="eastAsia" w:ascii="黑体" w:hAnsi="黑体" w:cs="黑体"/>
          <w:szCs w:val="24"/>
          <w:highlight w:val="none"/>
        </w:rPr>
        <w:t>5.2 标记</w:t>
      </w:r>
      <w:bookmarkEnd w:id="857"/>
    </w:p>
    <w:p>
      <w:pPr>
        <w:spacing w:line="360" w:lineRule="auto"/>
        <w:ind w:firstLine="480" w:firstLineChars="200"/>
        <w:rPr>
          <w:rFonts w:hAnsi="宋体" w:cs="宋体"/>
          <w:highlight w:val="none"/>
        </w:rPr>
      </w:pPr>
      <w:r>
        <w:rPr>
          <w:rFonts w:hint="eastAsia" w:hAnsi="宋体" w:cs="宋体"/>
          <w:highlight w:val="none"/>
        </w:rPr>
        <w:t>5.2.1标记要求：</w:t>
      </w:r>
      <w:r>
        <w:rPr>
          <w:rFonts w:hint="eastAsia" w:hAnsi="宋体" w:cs="宋体"/>
          <w:highlight w:val="none"/>
          <w:u w:val="single"/>
        </w:rPr>
        <w:t xml:space="preserve">  执行通用条款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5.2.2 超大超重件：</w:t>
      </w:r>
      <w:r>
        <w:rPr>
          <w:rFonts w:hint="eastAsia" w:hAnsi="宋体" w:cs="宋体"/>
          <w:snapToGrid w:val="0"/>
          <w:highlight w:val="none"/>
          <w:u w:val="single"/>
        </w:rPr>
        <w:t xml:space="preserve"> 执行通用条款 </w:t>
      </w:r>
      <w:r>
        <w:rPr>
          <w:rFonts w:hint="eastAsia" w:hAnsi="宋体" w:cs="宋体"/>
          <w:highlight w:val="none"/>
        </w:rPr>
        <w:t>。</w:t>
      </w:r>
    </w:p>
    <w:p>
      <w:pPr>
        <w:pStyle w:val="5"/>
        <w:spacing w:before="0" w:after="0"/>
        <w:rPr>
          <w:rFonts w:ascii="黑体" w:hAnsi="黑体" w:cs="黑体"/>
          <w:szCs w:val="24"/>
          <w:highlight w:val="none"/>
        </w:rPr>
      </w:pPr>
      <w:bookmarkStart w:id="858" w:name="_Toc392346761"/>
      <w:r>
        <w:rPr>
          <w:rFonts w:hint="eastAsia" w:ascii="黑体" w:hAnsi="黑体" w:cs="黑体"/>
          <w:szCs w:val="24"/>
          <w:highlight w:val="none"/>
        </w:rPr>
        <w:t>5.3 运输</w:t>
      </w:r>
      <w:bookmarkEnd w:id="858"/>
    </w:p>
    <w:p>
      <w:pPr>
        <w:snapToGrid w:val="0"/>
        <w:spacing w:line="360" w:lineRule="auto"/>
        <w:ind w:firstLine="480" w:firstLineChars="200"/>
        <w:rPr>
          <w:rFonts w:hAnsi="宋体" w:cs="宋体"/>
          <w:highlight w:val="none"/>
        </w:rPr>
      </w:pPr>
      <w:r>
        <w:rPr>
          <w:rFonts w:hint="eastAsia" w:hAnsi="宋体" w:cs="宋体"/>
          <w:highlight w:val="none"/>
        </w:rPr>
        <w:t>5.3.2整套装运要求：</w:t>
      </w:r>
      <w:r>
        <w:rPr>
          <w:rFonts w:hint="eastAsia" w:hAnsi="宋体" w:cs="宋体"/>
          <w:highlight w:val="none"/>
          <w:u w:val="single"/>
        </w:rPr>
        <w:t xml:space="preserve">  执行通用条款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5.3.3装运通知</w:t>
      </w:r>
    </w:p>
    <w:p>
      <w:pPr>
        <w:snapToGrid w:val="0"/>
        <w:spacing w:line="360" w:lineRule="auto"/>
        <w:ind w:firstLine="1080" w:firstLineChars="450"/>
        <w:rPr>
          <w:rFonts w:hAnsi="宋体" w:cs="宋体"/>
          <w:highlight w:val="none"/>
        </w:rPr>
      </w:pPr>
      <w:r>
        <w:rPr>
          <w:rFonts w:hint="eastAsia" w:hAnsi="宋体" w:cs="宋体"/>
          <w:highlight w:val="none"/>
        </w:rPr>
        <w:t>通知时间：</w:t>
      </w:r>
      <w:r>
        <w:rPr>
          <w:rFonts w:hint="eastAsia" w:hAnsi="宋体" w:cs="宋体"/>
          <w:highlight w:val="none"/>
          <w:u w:val="single"/>
        </w:rPr>
        <w:t xml:space="preserve">执行通用条款 </w:t>
      </w:r>
      <w:r>
        <w:rPr>
          <w:rFonts w:hint="eastAsia" w:hAnsi="宋体" w:cs="宋体"/>
          <w:highlight w:val="none"/>
        </w:rPr>
        <w:t>。</w:t>
      </w:r>
    </w:p>
    <w:p>
      <w:pPr>
        <w:snapToGrid w:val="0"/>
        <w:spacing w:line="360" w:lineRule="auto"/>
        <w:ind w:firstLine="1080" w:firstLineChars="450"/>
        <w:rPr>
          <w:rFonts w:hAnsi="宋体" w:cs="宋体"/>
          <w:highlight w:val="none"/>
        </w:rPr>
      </w:pPr>
      <w:r>
        <w:rPr>
          <w:rFonts w:hint="eastAsia" w:hAnsi="宋体" w:cs="宋体"/>
          <w:highlight w:val="none"/>
        </w:rPr>
        <w:t>通知内容：</w:t>
      </w:r>
      <w:r>
        <w:rPr>
          <w:rFonts w:hint="eastAsia" w:hAnsi="宋体" w:cs="宋体"/>
          <w:highlight w:val="none"/>
          <w:u w:val="single"/>
        </w:rPr>
        <w:t xml:space="preserve"> 执行通用条款</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5.3.4 超大超重包装：</w:t>
      </w:r>
      <w:r>
        <w:rPr>
          <w:rFonts w:hint="eastAsia" w:hAnsi="宋体" w:cs="宋体"/>
          <w:snapToGrid w:val="0"/>
          <w:highlight w:val="none"/>
          <w:u w:val="single"/>
        </w:rPr>
        <w:t xml:space="preserve"> 执行通用条款 </w:t>
      </w:r>
      <w:r>
        <w:rPr>
          <w:rFonts w:hint="eastAsia" w:hAnsi="宋体" w:cs="宋体"/>
          <w:highlight w:val="none"/>
        </w:rPr>
        <w:t>。</w:t>
      </w:r>
    </w:p>
    <w:p>
      <w:pPr>
        <w:pStyle w:val="5"/>
        <w:spacing w:before="0" w:after="0"/>
        <w:rPr>
          <w:rFonts w:ascii="黑体" w:hAnsi="黑体" w:cs="黑体"/>
          <w:szCs w:val="24"/>
          <w:highlight w:val="none"/>
        </w:rPr>
      </w:pPr>
      <w:bookmarkStart w:id="859" w:name="_Toc392346762"/>
      <w:r>
        <w:rPr>
          <w:rFonts w:hint="eastAsia" w:ascii="黑体" w:hAnsi="黑体" w:cs="黑体"/>
          <w:szCs w:val="24"/>
          <w:highlight w:val="none"/>
        </w:rPr>
        <w:t>5.4 交付</w:t>
      </w:r>
      <w:bookmarkEnd w:id="859"/>
    </w:p>
    <w:p>
      <w:pPr>
        <w:tabs>
          <w:tab w:val="left" w:pos="540"/>
          <w:tab w:val="left" w:pos="1260"/>
        </w:tabs>
        <w:adjustRightInd w:val="0"/>
        <w:snapToGrid w:val="0"/>
        <w:spacing w:line="360" w:lineRule="auto"/>
        <w:ind w:firstLine="480" w:firstLineChars="200"/>
        <w:rPr>
          <w:rFonts w:hAnsi="宋体" w:cs="宋体"/>
          <w:snapToGrid w:val="0"/>
          <w:highlight w:val="none"/>
          <w:u w:val="single"/>
        </w:rPr>
      </w:pPr>
      <w:r>
        <w:rPr>
          <w:rFonts w:hint="eastAsia" w:hAnsi="宋体" w:cs="宋体"/>
          <w:highlight w:val="none"/>
        </w:rPr>
        <w:t>4.4.1 交付时间、批次：</w:t>
      </w:r>
      <w:r>
        <w:rPr>
          <w:rFonts w:hint="eastAsia" w:hAnsi="宋体" w:cs="宋体"/>
          <w:snapToGrid w:val="0"/>
          <w:highlight w:val="none"/>
          <w:u w:val="single"/>
        </w:rPr>
        <w:t xml:space="preserve"> 根据买方具体通知</w:t>
      </w:r>
      <w:r>
        <w:rPr>
          <w:rFonts w:hint="eastAsia" w:hAnsi="宋体" w:cs="宋体"/>
          <w:highlight w:val="none"/>
        </w:rPr>
        <w:t>。</w:t>
      </w:r>
    </w:p>
    <w:p>
      <w:pPr>
        <w:tabs>
          <w:tab w:val="left" w:pos="540"/>
          <w:tab w:val="left" w:pos="1260"/>
        </w:tabs>
        <w:adjustRightInd w:val="0"/>
        <w:snapToGrid w:val="0"/>
        <w:spacing w:line="360" w:lineRule="auto"/>
        <w:ind w:firstLine="480" w:firstLineChars="200"/>
        <w:rPr>
          <w:rFonts w:hAnsi="宋体" w:cs="宋体"/>
          <w:highlight w:val="none"/>
          <w:u w:val="single"/>
        </w:rPr>
      </w:pPr>
      <w:r>
        <w:rPr>
          <w:rFonts w:hint="eastAsia" w:hAnsi="宋体" w:cs="宋体"/>
          <w:highlight w:val="none"/>
        </w:rPr>
        <w:t>交付地点：</w:t>
      </w:r>
      <w:r>
        <w:rPr>
          <w:rFonts w:hint="eastAsia" w:hAnsi="宋体" w:cs="宋体"/>
          <w:highlight w:val="none"/>
          <w:u w:val="single"/>
        </w:rPr>
        <w:t>根据买方具体通知</w:t>
      </w:r>
      <w:r>
        <w:rPr>
          <w:rFonts w:hint="eastAsia" w:hAnsi="宋体" w:cs="宋体"/>
          <w:highlight w:val="none"/>
        </w:rPr>
        <w:t>。</w:t>
      </w:r>
    </w:p>
    <w:p>
      <w:pPr>
        <w:tabs>
          <w:tab w:val="left" w:pos="540"/>
          <w:tab w:val="left" w:pos="1260"/>
        </w:tabs>
        <w:adjustRightInd w:val="0"/>
        <w:snapToGrid w:val="0"/>
        <w:spacing w:line="360" w:lineRule="auto"/>
        <w:ind w:firstLine="480" w:firstLineChars="200"/>
        <w:rPr>
          <w:rFonts w:hAnsi="宋体" w:cs="宋体"/>
          <w:snapToGrid w:val="0"/>
          <w:highlight w:val="none"/>
          <w:u w:val="single"/>
        </w:rPr>
      </w:pPr>
      <w:r>
        <w:rPr>
          <w:rFonts w:hint="eastAsia" w:hAnsi="宋体" w:cs="宋体"/>
          <w:highlight w:val="none"/>
        </w:rPr>
        <w:t>交付方式：</w:t>
      </w:r>
      <w:r>
        <w:rPr>
          <w:rFonts w:hint="eastAsia" w:hAnsi="宋体" w:cs="宋体"/>
          <w:highlight w:val="none"/>
          <w:u w:val="single"/>
        </w:rPr>
        <w:t>根据买方具体通知</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5.4.3 技术资料免费补齐的时间：</w:t>
      </w:r>
      <w:r>
        <w:rPr>
          <w:rFonts w:hint="eastAsia" w:hAnsi="宋体" w:cs="宋体"/>
          <w:highlight w:val="none"/>
          <w:u w:val="single"/>
        </w:rPr>
        <w:t xml:space="preserve"> 根据买方具体通知</w:t>
      </w:r>
      <w:r>
        <w:rPr>
          <w:rFonts w:hint="eastAsia" w:hAnsi="宋体" w:cs="宋体"/>
          <w:highlight w:val="none"/>
        </w:rPr>
        <w:t>。</w:t>
      </w:r>
    </w:p>
    <w:p>
      <w:pPr>
        <w:pStyle w:val="2"/>
        <w:spacing w:before="0" w:after="0"/>
        <w:ind w:left="240" w:leftChars="100"/>
        <w:rPr>
          <w:rFonts w:cs="黑体"/>
          <w:highlight w:val="none"/>
        </w:rPr>
      </w:pPr>
      <w:bookmarkStart w:id="860" w:name="_Toc24965169"/>
      <w:bookmarkStart w:id="861" w:name="_Toc26721403"/>
      <w:bookmarkStart w:id="862" w:name="_Toc26721558"/>
      <w:bookmarkStart w:id="863" w:name="_Toc392346763"/>
      <w:bookmarkStart w:id="864" w:name="_Toc15753925"/>
      <w:bookmarkStart w:id="865" w:name="_Toc26700669"/>
      <w:bookmarkStart w:id="866" w:name="_Toc17100689"/>
      <w:bookmarkStart w:id="867" w:name="_Toc26700499"/>
      <w:r>
        <w:rPr>
          <w:rFonts w:hint="eastAsia" w:cs="黑体"/>
          <w:highlight w:val="none"/>
        </w:rPr>
        <w:t>6. 开箱检验、安装、调试、考核、验收</w:t>
      </w:r>
      <w:bookmarkEnd w:id="860"/>
      <w:bookmarkEnd w:id="861"/>
      <w:bookmarkEnd w:id="862"/>
      <w:bookmarkEnd w:id="863"/>
      <w:bookmarkEnd w:id="864"/>
      <w:bookmarkEnd w:id="865"/>
      <w:bookmarkEnd w:id="866"/>
      <w:bookmarkEnd w:id="867"/>
    </w:p>
    <w:p>
      <w:pPr>
        <w:pStyle w:val="5"/>
        <w:spacing w:before="0" w:after="0"/>
        <w:rPr>
          <w:rFonts w:ascii="黑体" w:hAnsi="黑体" w:cs="黑体"/>
          <w:szCs w:val="24"/>
          <w:highlight w:val="none"/>
        </w:rPr>
      </w:pPr>
      <w:r>
        <w:rPr>
          <w:rFonts w:hint="eastAsia" w:ascii="黑体" w:hAnsi="黑体" w:cs="黑体"/>
          <w:szCs w:val="24"/>
          <w:highlight w:val="none"/>
        </w:rPr>
        <w:t>6.1 开箱检验</w:t>
      </w:r>
    </w:p>
    <w:p>
      <w:pPr>
        <w:spacing w:line="360" w:lineRule="auto"/>
        <w:ind w:firstLine="480" w:firstLineChars="200"/>
        <w:rPr>
          <w:rFonts w:hAnsi="宋体" w:cs="宋体"/>
          <w:highlight w:val="none"/>
        </w:rPr>
      </w:pPr>
      <w:r>
        <w:rPr>
          <w:rFonts w:hint="eastAsia" w:hAnsi="宋体" w:cs="宋体"/>
          <w:highlight w:val="none"/>
        </w:rPr>
        <w:t>6.1.1 开箱检验的时间按以下第</w:t>
      </w:r>
      <w:r>
        <w:rPr>
          <w:rFonts w:hint="eastAsia" w:hAnsi="宋体" w:cs="宋体"/>
          <w:highlight w:val="none"/>
          <w:u w:val="single"/>
        </w:rPr>
        <w:t>（1）</w:t>
      </w:r>
      <w:r>
        <w:rPr>
          <w:rFonts w:hint="eastAsia" w:hAnsi="宋体" w:cs="宋体"/>
          <w:highlight w:val="none"/>
        </w:rPr>
        <w:t>种方式确定。</w:t>
      </w:r>
    </w:p>
    <w:p>
      <w:pPr>
        <w:snapToGrid w:val="0"/>
        <w:spacing w:line="360" w:lineRule="auto"/>
        <w:ind w:firstLine="480" w:firstLineChars="200"/>
        <w:rPr>
          <w:rFonts w:hAnsi="宋体" w:cs="宋体"/>
          <w:snapToGrid w:val="0"/>
          <w:highlight w:val="none"/>
          <w:u w:val="single"/>
        </w:rPr>
      </w:pPr>
      <w:r>
        <w:rPr>
          <w:rFonts w:hint="eastAsia" w:hAnsi="宋体" w:cs="宋体"/>
          <w:snapToGrid w:val="0"/>
          <w:highlight w:val="none"/>
          <w:u w:val="single"/>
        </w:rPr>
        <w:t xml:space="preserve">（1）合同设备交付时； </w:t>
      </w:r>
    </w:p>
    <w:p>
      <w:pPr>
        <w:snapToGrid w:val="0"/>
        <w:spacing w:line="360" w:lineRule="auto"/>
        <w:ind w:firstLine="480" w:firstLineChars="200"/>
        <w:rPr>
          <w:rFonts w:hAnsi="宋体" w:cs="宋体"/>
          <w:snapToGrid w:val="0"/>
          <w:highlight w:val="none"/>
        </w:rPr>
      </w:pPr>
      <w:r>
        <w:rPr>
          <w:rFonts w:hint="eastAsia" w:hAnsi="宋体" w:cs="宋体"/>
          <w:snapToGrid w:val="0"/>
          <w:highlight w:val="none"/>
          <w:u w:val="single"/>
        </w:rPr>
        <w:t>（2）合同设备交付后的一定期限内。如开箱检验不在合同设备交付时进行，买方应在开箱检验   日前将开箱检验的时间和地点通知卖方。</w:t>
      </w:r>
    </w:p>
    <w:p>
      <w:pPr>
        <w:snapToGrid w:val="0"/>
        <w:spacing w:line="360" w:lineRule="auto"/>
        <w:ind w:firstLine="480" w:firstLineChars="200"/>
        <w:rPr>
          <w:rFonts w:hAnsi="宋体" w:cs="宋体"/>
          <w:highlight w:val="none"/>
        </w:rPr>
      </w:pPr>
      <w:r>
        <w:rPr>
          <w:rFonts w:hint="eastAsia" w:hAnsi="宋体" w:cs="宋体"/>
          <w:highlight w:val="none"/>
        </w:rPr>
        <w:t>6.1.2 合同设备的开箱检验地点：</w:t>
      </w:r>
      <w:r>
        <w:rPr>
          <w:rFonts w:hint="eastAsia" w:hAnsi="宋体" w:cs="宋体"/>
          <w:highlight w:val="none"/>
          <w:u w:val="single"/>
        </w:rPr>
        <w:t xml:space="preserve">根据买方具体通知 </w:t>
      </w:r>
      <w:r>
        <w:rPr>
          <w:rFonts w:hint="eastAsia" w:hAnsi="宋体" w:cs="宋体"/>
          <w:highlight w:val="none"/>
        </w:rPr>
        <w:t>。</w:t>
      </w:r>
    </w:p>
    <w:p>
      <w:pPr>
        <w:snapToGrid w:val="0"/>
        <w:spacing w:line="360" w:lineRule="auto"/>
        <w:ind w:firstLine="480" w:firstLineChars="200"/>
        <w:rPr>
          <w:rFonts w:hAnsi="宋体" w:cs="宋体"/>
          <w:snapToGrid w:val="0"/>
          <w:highlight w:val="none"/>
        </w:rPr>
      </w:pPr>
      <w:r>
        <w:rPr>
          <w:rFonts w:hint="eastAsia" w:hAnsi="宋体" w:cs="宋体"/>
          <w:highlight w:val="none"/>
        </w:rPr>
        <w:t>6.1.6 合同设备的短缺、损坏或其它与合同约定不符的情形：</w:t>
      </w:r>
      <w:r>
        <w:rPr>
          <w:rFonts w:hint="eastAsia" w:hAnsi="宋体" w:cs="宋体"/>
          <w:snapToGrid w:val="0"/>
          <w:highlight w:val="none"/>
          <w:u w:val="single"/>
        </w:rPr>
        <w:t xml:space="preserve"> 执行通用条款，并按短缺、损坏的设备相应货款的30%处以违约金</w:t>
      </w:r>
      <w:r>
        <w:rPr>
          <w:rFonts w:hint="eastAsia" w:hAnsi="宋体" w:cs="宋体"/>
          <w:snapToGrid w:val="0"/>
          <w:highlight w:val="none"/>
        </w:rPr>
        <w:t>。</w:t>
      </w:r>
    </w:p>
    <w:p>
      <w:pPr>
        <w:spacing w:line="360" w:lineRule="auto"/>
        <w:ind w:firstLine="480" w:firstLineChars="200"/>
        <w:rPr>
          <w:rFonts w:hAnsi="宋体" w:cs="宋体"/>
          <w:highlight w:val="none"/>
        </w:rPr>
      </w:pPr>
      <w:r>
        <w:rPr>
          <w:rFonts w:hint="eastAsia" w:hAnsi="宋体" w:cs="宋体"/>
          <w:highlight w:val="none"/>
        </w:rPr>
        <w:t>6.1.7 第三方检测机构的委托要求、费用承担和检验效力：</w:t>
      </w:r>
      <w:r>
        <w:rPr>
          <w:rFonts w:hint="eastAsia" w:hAnsi="宋体" w:cs="宋体"/>
          <w:highlight w:val="none"/>
          <w:u w:val="single"/>
        </w:rPr>
        <w:t>买方委托，费用卖方承担</w:t>
      </w:r>
      <w:r>
        <w:rPr>
          <w:rFonts w:hint="eastAsia" w:hAnsi="宋体" w:cs="宋体"/>
          <w:highlight w:val="none"/>
        </w:rPr>
        <w:t>。</w:t>
      </w:r>
    </w:p>
    <w:p>
      <w:pPr>
        <w:pStyle w:val="5"/>
        <w:spacing w:before="0" w:after="0"/>
        <w:rPr>
          <w:rFonts w:ascii="黑体" w:hAnsi="黑体" w:cs="黑体"/>
          <w:szCs w:val="24"/>
          <w:highlight w:val="none"/>
        </w:rPr>
      </w:pPr>
      <w:r>
        <w:rPr>
          <w:rFonts w:hint="eastAsia" w:ascii="黑体" w:hAnsi="黑体" w:cs="黑体"/>
          <w:szCs w:val="24"/>
          <w:highlight w:val="none"/>
        </w:rPr>
        <w:t>6.2 安装、调试</w:t>
      </w:r>
    </w:p>
    <w:p>
      <w:pPr>
        <w:snapToGrid w:val="0"/>
        <w:spacing w:line="360" w:lineRule="auto"/>
        <w:ind w:firstLine="480" w:firstLineChars="200"/>
        <w:rPr>
          <w:rFonts w:hAnsi="宋体" w:cs="宋体"/>
          <w:highlight w:val="none"/>
        </w:rPr>
      </w:pPr>
      <w:r>
        <w:rPr>
          <w:rFonts w:hint="eastAsia" w:hAnsi="宋体" w:cs="宋体"/>
          <w:highlight w:val="none"/>
        </w:rPr>
        <w:t>6.2.1 安装、调试按照下列</w:t>
      </w:r>
      <w:r>
        <w:rPr>
          <w:rFonts w:hint="eastAsia" w:hAnsi="宋体" w:cs="宋体"/>
          <w:highlight w:val="none"/>
          <w:u w:val="single"/>
        </w:rPr>
        <w:t xml:space="preserve"> （1）</w:t>
      </w:r>
      <w:r>
        <w:rPr>
          <w:rFonts w:hint="eastAsia" w:hAnsi="宋体" w:cs="宋体"/>
          <w:highlight w:val="none"/>
        </w:rPr>
        <w:t>方式进行：</w:t>
      </w:r>
    </w:p>
    <w:p>
      <w:pPr>
        <w:snapToGrid w:val="0"/>
        <w:spacing w:line="360" w:lineRule="auto"/>
        <w:ind w:firstLine="480" w:firstLineChars="200"/>
        <w:rPr>
          <w:rFonts w:hAnsi="宋体" w:cs="宋体"/>
          <w:highlight w:val="none"/>
        </w:rPr>
      </w:pPr>
      <w:r>
        <w:rPr>
          <w:rFonts w:hint="eastAsia" w:hAnsi="宋体" w:cs="宋体"/>
          <w:highlight w:val="none"/>
        </w:rPr>
        <w:t>（1）卖方按照合同约定完成合同设备的安装、调试工作；</w:t>
      </w:r>
    </w:p>
    <w:p>
      <w:pPr>
        <w:snapToGrid w:val="0"/>
        <w:spacing w:line="360" w:lineRule="auto"/>
        <w:ind w:firstLine="480" w:firstLineChars="200"/>
        <w:rPr>
          <w:rFonts w:hAnsi="宋体" w:cs="宋体"/>
          <w:highlight w:val="none"/>
        </w:rPr>
      </w:pPr>
      <w:r>
        <w:rPr>
          <w:rFonts w:hint="eastAsia" w:hAnsi="宋体" w:cs="宋体"/>
          <w:highlight w:val="none"/>
        </w:rPr>
        <w:t>（2）买方或买方安排第三方负责合同设备的安装、调试工作，卖方提供技术服务。</w:t>
      </w:r>
    </w:p>
    <w:p>
      <w:pPr>
        <w:snapToGrid w:val="0"/>
        <w:spacing w:line="360" w:lineRule="auto"/>
        <w:ind w:firstLine="480" w:firstLineChars="200"/>
        <w:rPr>
          <w:rFonts w:hAnsi="宋体" w:cs="宋体"/>
          <w:highlight w:val="none"/>
        </w:rPr>
      </w:pPr>
      <w:r>
        <w:rPr>
          <w:rFonts w:hint="eastAsia" w:hAnsi="宋体" w:cs="宋体"/>
          <w:highlight w:val="none"/>
          <w:lang w:val="zh-CN"/>
        </w:rPr>
        <w:t>买方</w:t>
      </w:r>
      <w:r>
        <w:rPr>
          <w:rFonts w:hint="eastAsia" w:hAnsi="宋体" w:cs="宋体"/>
          <w:highlight w:val="none"/>
        </w:rPr>
        <w:t>或买方安排的第三方</w:t>
      </w:r>
      <w:r>
        <w:rPr>
          <w:rFonts w:hint="eastAsia" w:hAnsi="宋体" w:cs="宋体"/>
          <w:highlight w:val="none"/>
          <w:lang w:val="zh-CN"/>
        </w:rPr>
        <w:t>未按照卖方现场服务人员的指导导致安装、调试不成功和（或）出现合同货物损坏的责任承担：</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6.2.2 安装、调试所需的动力、耗材和原材料（如需要）：</w:t>
      </w:r>
      <w:r>
        <w:rPr>
          <w:rFonts w:hint="eastAsia" w:hAnsi="宋体" w:cs="宋体"/>
          <w:highlight w:val="none"/>
          <w:u w:val="single"/>
        </w:rPr>
        <w:t>由卖方承担。</w:t>
      </w:r>
    </w:p>
    <w:p>
      <w:pPr>
        <w:pStyle w:val="5"/>
        <w:spacing w:before="0" w:after="0"/>
        <w:rPr>
          <w:rFonts w:ascii="黑体" w:hAnsi="黑体" w:cs="黑体"/>
          <w:szCs w:val="24"/>
          <w:highlight w:val="none"/>
        </w:rPr>
      </w:pPr>
      <w:bookmarkStart w:id="868" w:name="_Toc392227887"/>
      <w:r>
        <w:rPr>
          <w:rFonts w:hint="eastAsia" w:ascii="黑体" w:hAnsi="黑体" w:cs="黑体"/>
          <w:szCs w:val="24"/>
          <w:highlight w:val="none"/>
        </w:rPr>
        <w:t>6.3 考核</w:t>
      </w:r>
      <w:bookmarkEnd w:id="868"/>
    </w:p>
    <w:p>
      <w:pPr>
        <w:snapToGrid w:val="0"/>
        <w:spacing w:line="360" w:lineRule="auto"/>
        <w:ind w:firstLine="480" w:firstLineChars="200"/>
        <w:rPr>
          <w:rFonts w:hAnsi="宋体" w:cs="宋体"/>
          <w:highlight w:val="none"/>
        </w:rPr>
      </w:pPr>
      <w:r>
        <w:rPr>
          <w:rFonts w:hint="eastAsia" w:hAnsi="宋体" w:cs="宋体"/>
          <w:highlight w:val="none"/>
        </w:rPr>
        <w:t>6.3.1 考核所需的动力、耗材和原材料（如需要）的承担：</w:t>
      </w:r>
      <w:r>
        <w:rPr>
          <w:rFonts w:hint="eastAsia" w:hAnsi="宋体" w:cs="宋体"/>
          <w:highlight w:val="none"/>
          <w:u w:val="single"/>
        </w:rPr>
        <w:t>由卖方承担。</w:t>
      </w:r>
    </w:p>
    <w:p>
      <w:pPr>
        <w:snapToGrid w:val="0"/>
        <w:spacing w:line="360" w:lineRule="auto"/>
        <w:ind w:firstLine="480" w:firstLineChars="200"/>
        <w:rPr>
          <w:rFonts w:hAnsi="宋体" w:cs="宋体"/>
          <w:highlight w:val="none"/>
        </w:rPr>
      </w:pPr>
      <w:r>
        <w:rPr>
          <w:rFonts w:hint="eastAsia" w:hAnsi="宋体" w:cs="宋体"/>
          <w:highlight w:val="none"/>
        </w:rPr>
        <w:t>6.3.2 技术性能考核指标：</w:t>
      </w:r>
      <w:r>
        <w:rPr>
          <w:rFonts w:hint="eastAsia" w:hAnsi="宋体" w:cs="宋体"/>
          <w:highlight w:val="none"/>
          <w:u w:val="single"/>
        </w:rPr>
        <w:t>满足技术规范书及图纸要求。</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6.3.3 对卖方进行考核的次数：</w:t>
      </w:r>
      <w:r>
        <w:rPr>
          <w:rFonts w:hint="eastAsia" w:hAnsi="宋体" w:cs="宋体"/>
          <w:highlight w:val="none"/>
          <w:u w:val="single"/>
        </w:rPr>
        <w:t xml:space="preserve">  3  </w:t>
      </w:r>
      <w:r>
        <w:rPr>
          <w:rFonts w:hint="eastAsia" w:hAnsi="宋体" w:cs="宋体"/>
          <w:highlight w:val="none"/>
        </w:rPr>
        <w:t>次。</w:t>
      </w:r>
    </w:p>
    <w:p>
      <w:pPr>
        <w:snapToGrid w:val="0"/>
        <w:spacing w:line="360" w:lineRule="auto"/>
        <w:ind w:firstLine="480" w:firstLineChars="200"/>
        <w:rPr>
          <w:rFonts w:hAnsi="宋体" w:cs="宋体"/>
          <w:highlight w:val="none"/>
          <w:u w:val="single"/>
        </w:rPr>
      </w:pPr>
      <w:r>
        <w:rPr>
          <w:rFonts w:hint="eastAsia" w:hAnsi="宋体" w:cs="宋体"/>
          <w:highlight w:val="none"/>
        </w:rPr>
        <w:t>考核均未能达到合同约定的技术性能考核指标的处理办法：</w:t>
      </w:r>
      <w:r>
        <w:rPr>
          <w:rFonts w:hint="eastAsia" w:hAnsi="宋体" w:cs="宋体"/>
          <w:highlight w:val="none"/>
          <w:u w:val="single"/>
        </w:rPr>
        <w:t>执行通用条款，</w:t>
      </w:r>
    </w:p>
    <w:p>
      <w:pPr>
        <w:snapToGrid w:val="0"/>
        <w:spacing w:line="360" w:lineRule="auto"/>
        <w:ind w:firstLine="480" w:firstLineChars="200"/>
        <w:rPr>
          <w:rFonts w:hAnsi="宋体" w:cs="宋体"/>
          <w:highlight w:val="none"/>
          <w:u w:val="single"/>
        </w:rPr>
      </w:pPr>
      <w:r>
        <w:rPr>
          <w:rFonts w:hint="eastAsia" w:hAnsi="宋体" w:cs="宋体"/>
          <w:highlight w:val="none"/>
          <w:u w:val="single"/>
        </w:rPr>
        <w:t>并按设备相应货款的 30%处以违约金</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视为合同货物已达到技术性能考核指标时的减价或向买方支付补偿金的标准：</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如果买方委托第三方检测机构对合同设备进行技术性能考核，则第三方检测机构的检验结果对双方均具有约束力。检测费用由</w:t>
      </w:r>
      <w:r>
        <w:rPr>
          <w:rFonts w:hint="eastAsia" w:hAnsi="宋体" w:cs="宋体"/>
          <w:highlight w:val="none"/>
          <w:u w:val="single"/>
        </w:rPr>
        <w:t>卖方</w:t>
      </w:r>
      <w:r>
        <w:rPr>
          <w:rFonts w:hint="eastAsia" w:hAnsi="宋体" w:cs="宋体"/>
          <w:highlight w:val="none"/>
        </w:rPr>
        <w:t>承担。</w:t>
      </w:r>
    </w:p>
    <w:p>
      <w:pPr>
        <w:pStyle w:val="5"/>
        <w:spacing w:before="0" w:after="0"/>
        <w:rPr>
          <w:rFonts w:ascii="黑体" w:hAnsi="黑体" w:cs="黑体"/>
          <w:szCs w:val="24"/>
          <w:highlight w:val="none"/>
        </w:rPr>
      </w:pPr>
      <w:bookmarkStart w:id="869" w:name="_Toc392227888"/>
      <w:r>
        <w:rPr>
          <w:rFonts w:hint="eastAsia" w:ascii="黑体" w:hAnsi="黑体" w:cs="黑体"/>
          <w:szCs w:val="24"/>
          <w:highlight w:val="none"/>
        </w:rPr>
        <w:t>6.4 验收</w:t>
      </w:r>
      <w:bookmarkEnd w:id="869"/>
    </w:p>
    <w:p>
      <w:pPr>
        <w:snapToGrid w:val="0"/>
        <w:spacing w:line="360" w:lineRule="auto"/>
        <w:ind w:firstLine="480" w:firstLineChars="200"/>
        <w:rPr>
          <w:rFonts w:hAnsi="宋体" w:cs="宋体"/>
          <w:highlight w:val="none"/>
        </w:rPr>
      </w:pPr>
      <w:r>
        <w:rPr>
          <w:rFonts w:hint="eastAsia" w:hAnsi="宋体" w:cs="宋体"/>
          <w:highlight w:val="none"/>
        </w:rPr>
        <w:t>6.4.1 签署合同货物验收证书的时间：</w:t>
      </w:r>
      <w:r>
        <w:rPr>
          <w:rFonts w:hint="eastAsia" w:hAnsi="宋体" w:cs="宋体"/>
          <w:highlight w:val="none"/>
          <w:u w:val="single"/>
        </w:rPr>
        <w:t>达到合同及招标文件约定的标准后</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6.4.2 由于买方原因造成未能达到技术性能考核指标时签署验收款支付函的时间：</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未能达到技术性能考核指标时卖方提供的技术服务的期限：</w:t>
      </w:r>
      <w:r>
        <w:rPr>
          <w:rFonts w:hint="eastAsia" w:hAnsi="宋体" w:cs="宋体"/>
          <w:highlight w:val="none"/>
          <w:u w:val="single"/>
        </w:rPr>
        <w:t>执行通用条款</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6.4.3 由于买方原因未进行考核时验收款支付的期限：</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Style w:val="66"/>
          <w:rFonts w:hint="eastAsia" w:hAnsi="宋体" w:cs="宋体"/>
          <w:sz w:val="24"/>
          <w:highlight w:val="none"/>
        </w:rPr>
        <w:t>验收款支付函</w:t>
      </w:r>
      <w:r>
        <w:rPr>
          <w:rFonts w:hint="eastAsia" w:hAnsi="宋体" w:cs="宋体"/>
          <w:highlight w:val="none"/>
        </w:rPr>
        <w:t>签署后卖方提供的技术服务的期限：</w:t>
      </w:r>
      <w:r>
        <w:rPr>
          <w:rFonts w:hint="eastAsia" w:hAnsi="宋体" w:cs="宋体"/>
          <w:highlight w:val="none"/>
          <w:u w:val="single"/>
        </w:rPr>
        <w:t>执行通用条款</w:t>
      </w:r>
      <w:r>
        <w:rPr>
          <w:rFonts w:hint="eastAsia" w:hAnsi="宋体" w:cs="宋体"/>
          <w:highlight w:val="none"/>
        </w:rPr>
        <w:t>。</w:t>
      </w:r>
    </w:p>
    <w:p>
      <w:pPr>
        <w:pStyle w:val="2"/>
        <w:spacing w:before="0" w:after="0"/>
        <w:ind w:left="240" w:leftChars="100"/>
        <w:rPr>
          <w:rFonts w:cs="黑体"/>
          <w:highlight w:val="none"/>
        </w:rPr>
      </w:pPr>
      <w:bookmarkStart w:id="870" w:name="_Toc392346764"/>
      <w:bookmarkStart w:id="871" w:name="_Toc17100690"/>
      <w:bookmarkStart w:id="872" w:name="_Toc15753926"/>
      <w:bookmarkStart w:id="873" w:name="_Toc24965170"/>
      <w:bookmarkStart w:id="874" w:name="_Toc26700670"/>
      <w:bookmarkStart w:id="875" w:name="_Toc26700500"/>
      <w:bookmarkStart w:id="876" w:name="_Toc26721559"/>
      <w:bookmarkStart w:id="877" w:name="_Toc26721404"/>
      <w:r>
        <w:rPr>
          <w:rFonts w:hint="eastAsia" w:cs="黑体"/>
          <w:highlight w:val="none"/>
        </w:rPr>
        <w:t xml:space="preserve">7. </w:t>
      </w:r>
      <w:bookmarkEnd w:id="870"/>
      <w:bookmarkEnd w:id="871"/>
      <w:bookmarkEnd w:id="872"/>
      <w:bookmarkEnd w:id="873"/>
      <w:r>
        <w:rPr>
          <w:rFonts w:hint="eastAsia" w:cs="黑体"/>
          <w:highlight w:val="none"/>
        </w:rPr>
        <w:t>技术服务</w:t>
      </w:r>
      <w:bookmarkEnd w:id="874"/>
      <w:bookmarkEnd w:id="875"/>
      <w:bookmarkEnd w:id="876"/>
      <w:bookmarkEnd w:id="877"/>
    </w:p>
    <w:p>
      <w:pPr>
        <w:spacing w:line="360" w:lineRule="auto"/>
        <w:ind w:firstLine="480" w:firstLineChars="200"/>
        <w:rPr>
          <w:rFonts w:hAnsi="宋体" w:cs="宋体"/>
          <w:highlight w:val="none"/>
        </w:rPr>
      </w:pPr>
      <w:r>
        <w:rPr>
          <w:rFonts w:hint="eastAsia" w:hAnsi="宋体" w:cs="宋体"/>
          <w:highlight w:val="none"/>
        </w:rPr>
        <w:t>7.2卖方技术人员的费用承担：</w:t>
      </w:r>
      <w:r>
        <w:rPr>
          <w:rFonts w:hint="eastAsia" w:hAnsi="宋体" w:cs="宋体"/>
          <w:highlight w:val="none"/>
          <w:u w:val="single"/>
        </w:rPr>
        <w:t xml:space="preserve">卖方承担 </w:t>
      </w:r>
      <w:r>
        <w:rPr>
          <w:rFonts w:hint="eastAsia" w:hAnsi="宋体" w:cs="宋体"/>
          <w:highlight w:val="none"/>
        </w:rPr>
        <w:t>。</w:t>
      </w:r>
    </w:p>
    <w:p>
      <w:pPr>
        <w:pStyle w:val="2"/>
        <w:spacing w:before="0" w:after="0"/>
        <w:ind w:left="240" w:leftChars="100"/>
        <w:rPr>
          <w:rFonts w:cs="黑体"/>
          <w:highlight w:val="none"/>
        </w:rPr>
      </w:pPr>
      <w:bookmarkStart w:id="878" w:name="_Toc392346765"/>
      <w:bookmarkStart w:id="879" w:name="_Toc26700671"/>
      <w:bookmarkStart w:id="880" w:name="_Toc26700501"/>
      <w:bookmarkStart w:id="881" w:name="_Toc26721560"/>
      <w:bookmarkStart w:id="882" w:name="_Toc26721405"/>
      <w:bookmarkStart w:id="883" w:name="_Toc24965171"/>
      <w:bookmarkStart w:id="884" w:name="_Toc15753927"/>
      <w:bookmarkStart w:id="885" w:name="_Toc17100691"/>
      <w:r>
        <w:rPr>
          <w:rFonts w:hint="eastAsia" w:cs="黑体"/>
          <w:highlight w:val="none"/>
        </w:rPr>
        <w:t>8. 质量保证期</w:t>
      </w:r>
      <w:bookmarkEnd w:id="878"/>
      <w:bookmarkEnd w:id="879"/>
      <w:bookmarkEnd w:id="880"/>
      <w:bookmarkEnd w:id="881"/>
      <w:bookmarkEnd w:id="882"/>
      <w:bookmarkEnd w:id="883"/>
      <w:bookmarkEnd w:id="884"/>
      <w:bookmarkEnd w:id="885"/>
    </w:p>
    <w:p>
      <w:pPr>
        <w:spacing w:line="360" w:lineRule="auto"/>
        <w:ind w:firstLine="480" w:firstLineChars="200"/>
        <w:rPr>
          <w:rFonts w:hAnsi="宋体" w:cs="宋体"/>
          <w:highlight w:val="none"/>
        </w:rPr>
      </w:pPr>
      <w:r>
        <w:rPr>
          <w:rFonts w:hint="eastAsia" w:hAnsi="宋体" w:cs="宋体"/>
          <w:highlight w:val="none"/>
        </w:rPr>
        <w:t>8.1 合同货物整体质量保证期：</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napToGrid w:val="0"/>
        <w:spacing w:line="360" w:lineRule="auto"/>
        <w:ind w:firstLine="960" w:firstLineChars="400"/>
        <w:rPr>
          <w:rFonts w:hAnsi="宋体" w:cs="宋体"/>
          <w:highlight w:val="none"/>
        </w:rPr>
      </w:pPr>
      <w:r>
        <w:rPr>
          <w:rFonts w:hint="eastAsia" w:hAnsi="宋体" w:cs="宋体"/>
          <w:highlight w:val="none"/>
        </w:rPr>
        <w:t>关键部件质保期的特殊约定：</w:t>
      </w:r>
      <w:r>
        <w:rPr>
          <w:rFonts w:hint="eastAsia" w:ascii="Times New Roman"/>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8.3 出具质量保证期届满证书的时间：</w:t>
      </w:r>
      <w:r>
        <w:rPr>
          <w:rFonts w:hint="eastAsia" w:hAnsi="宋体" w:cs="宋体"/>
          <w:highlight w:val="none"/>
          <w:u w:val="single"/>
        </w:rPr>
        <w:t>整体质量保证期满后且校方确认后</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8.4由于买方原因合同货物未能达到技术性能考核指标时签署结清款支付函的期限：</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8.5 由于买方原因合同货物未进行考核或未达到技术性能考核指标时签署结清款支付函的期限：</w:t>
      </w:r>
      <w:r>
        <w:rPr>
          <w:rFonts w:hint="eastAsia" w:hAnsi="宋体" w:cs="宋体"/>
          <w:highlight w:val="none"/>
          <w:u w:val="single"/>
        </w:rPr>
        <w:t xml:space="preserve">     /       </w:t>
      </w:r>
      <w:r>
        <w:rPr>
          <w:rFonts w:hint="eastAsia" w:hAnsi="宋体" w:cs="宋体"/>
          <w:highlight w:val="none"/>
        </w:rPr>
        <w:t>。</w:t>
      </w:r>
    </w:p>
    <w:p>
      <w:pPr>
        <w:pStyle w:val="2"/>
        <w:spacing w:before="0" w:after="0"/>
        <w:ind w:left="240" w:leftChars="100"/>
        <w:rPr>
          <w:rFonts w:cs="黑体"/>
          <w:highlight w:val="none"/>
        </w:rPr>
      </w:pPr>
      <w:bookmarkStart w:id="886" w:name="_Toc26700672"/>
      <w:bookmarkStart w:id="887" w:name="_Toc17100692"/>
      <w:bookmarkStart w:id="888" w:name="_Toc24965172"/>
      <w:bookmarkStart w:id="889" w:name="_Toc527622464"/>
      <w:bookmarkStart w:id="890" w:name="_Toc26721561"/>
      <w:bookmarkStart w:id="891" w:name="_Toc15753928"/>
      <w:bookmarkStart w:id="892" w:name="_Toc26721406"/>
      <w:bookmarkStart w:id="893" w:name="_Toc512544417"/>
      <w:bookmarkStart w:id="894" w:name="_Toc512611674"/>
      <w:bookmarkStart w:id="895" w:name="_Toc512544524"/>
      <w:bookmarkStart w:id="896" w:name="_Toc26700502"/>
      <w:bookmarkStart w:id="897" w:name="_Toc525761973"/>
      <w:bookmarkStart w:id="898" w:name="_Toc392346766"/>
      <w:r>
        <w:rPr>
          <w:rFonts w:hint="eastAsia" w:cs="黑体"/>
          <w:highlight w:val="none"/>
        </w:rPr>
        <w:t>9. 质保期服务</w:t>
      </w:r>
      <w:bookmarkEnd w:id="886"/>
      <w:bookmarkEnd w:id="887"/>
      <w:bookmarkEnd w:id="888"/>
      <w:bookmarkEnd w:id="889"/>
      <w:bookmarkEnd w:id="890"/>
      <w:bookmarkEnd w:id="891"/>
      <w:bookmarkEnd w:id="892"/>
      <w:bookmarkEnd w:id="893"/>
      <w:bookmarkEnd w:id="894"/>
      <w:bookmarkEnd w:id="895"/>
      <w:bookmarkEnd w:id="896"/>
      <w:bookmarkEnd w:id="897"/>
    </w:p>
    <w:p>
      <w:pPr>
        <w:snapToGrid w:val="0"/>
        <w:spacing w:line="360" w:lineRule="auto"/>
        <w:ind w:firstLine="480" w:firstLineChars="200"/>
        <w:rPr>
          <w:rFonts w:hAnsi="宋体" w:cs="宋体"/>
          <w:highlight w:val="none"/>
        </w:rPr>
      </w:pPr>
      <w:r>
        <w:rPr>
          <w:rFonts w:hint="eastAsia" w:hAnsi="宋体" w:cs="宋体"/>
          <w:highlight w:val="none"/>
        </w:rPr>
        <w:t>9.1 质保期服务响应、到达现场和解决问题的时间：</w:t>
      </w:r>
      <w:r>
        <w:rPr>
          <w:rFonts w:hint="eastAsia" w:hAnsi="宋体" w:cs="宋体"/>
          <w:highlight w:val="none"/>
          <w:u w:val="single"/>
        </w:rPr>
        <w:t xml:space="preserve"> 24 小时 </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9.2 卖方技术人员的交通、食宿费用：</w:t>
      </w:r>
      <w:r>
        <w:rPr>
          <w:rFonts w:hint="eastAsia" w:hAnsi="宋体" w:cs="宋体"/>
          <w:highlight w:val="none"/>
          <w:u w:val="single"/>
        </w:rPr>
        <w:t>卖方承担</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9.4 质保期服务情况记录：</w:t>
      </w:r>
      <w:r>
        <w:rPr>
          <w:rFonts w:hint="eastAsia" w:hAnsi="宋体" w:cs="宋体"/>
          <w:highlight w:val="none"/>
          <w:u w:val="single"/>
        </w:rPr>
        <w:t xml:space="preserve">执行通用条款 </w:t>
      </w:r>
      <w:r>
        <w:rPr>
          <w:rFonts w:hint="eastAsia" w:hAnsi="宋体" w:cs="宋体"/>
          <w:highlight w:val="none"/>
        </w:rPr>
        <w:t>。</w:t>
      </w:r>
    </w:p>
    <w:p>
      <w:pPr>
        <w:pStyle w:val="2"/>
        <w:spacing w:before="0" w:after="0"/>
        <w:ind w:left="240" w:leftChars="100"/>
        <w:rPr>
          <w:rFonts w:cs="黑体"/>
          <w:highlight w:val="none"/>
        </w:rPr>
      </w:pPr>
      <w:bookmarkStart w:id="899" w:name="_Toc15753929"/>
      <w:bookmarkStart w:id="900" w:name="_Toc26700503"/>
      <w:bookmarkStart w:id="901" w:name="_Toc26721407"/>
      <w:bookmarkStart w:id="902" w:name="_Toc26721562"/>
      <w:bookmarkStart w:id="903" w:name="_Toc26700673"/>
      <w:bookmarkStart w:id="904" w:name="_Toc17100693"/>
      <w:bookmarkStart w:id="905" w:name="_Toc24965173"/>
      <w:r>
        <w:rPr>
          <w:rFonts w:hint="eastAsia" w:cs="黑体"/>
          <w:highlight w:val="none"/>
        </w:rPr>
        <w:t>10. 履约保证金</w:t>
      </w:r>
      <w:bookmarkEnd w:id="898"/>
      <w:bookmarkEnd w:id="899"/>
      <w:bookmarkEnd w:id="900"/>
      <w:bookmarkEnd w:id="901"/>
      <w:bookmarkEnd w:id="902"/>
      <w:bookmarkEnd w:id="903"/>
      <w:bookmarkEnd w:id="904"/>
      <w:bookmarkEnd w:id="905"/>
    </w:p>
    <w:p>
      <w:pPr>
        <w:spacing w:line="360" w:lineRule="auto"/>
        <w:ind w:firstLine="480" w:firstLineChars="200"/>
        <w:rPr>
          <w:rFonts w:hAnsi="宋体" w:cs="宋体"/>
          <w:highlight w:val="none"/>
          <w:u w:val="single"/>
        </w:rPr>
      </w:pPr>
      <w:r>
        <w:rPr>
          <w:rFonts w:hint="eastAsia" w:hAnsi="宋体" w:cs="宋体"/>
          <w:highlight w:val="none"/>
        </w:rPr>
        <w:t>履约保证金：见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履约保证金的形式：现金（银行转账、银行电汇）或银行保函或担保机构担保或保证保险。</w:t>
      </w:r>
    </w:p>
    <w:p>
      <w:pPr>
        <w:spacing w:line="360" w:lineRule="auto"/>
        <w:ind w:firstLine="480" w:firstLineChars="200"/>
        <w:rPr>
          <w:rFonts w:hAnsi="宋体" w:cs="宋体"/>
          <w:highlight w:val="none"/>
        </w:rPr>
      </w:pPr>
      <w:r>
        <w:rPr>
          <w:rFonts w:hint="eastAsia" w:hAnsi="宋体" w:cs="宋体"/>
          <w:highlight w:val="none"/>
        </w:rPr>
        <w:t>履约保证金的金额：见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履约保证金提交期限的要求：签订合同前。</w:t>
      </w:r>
    </w:p>
    <w:p>
      <w:pPr>
        <w:spacing w:line="360" w:lineRule="auto"/>
        <w:ind w:firstLine="480" w:firstLineChars="200"/>
        <w:rPr>
          <w:rFonts w:hAnsi="宋体" w:cs="宋体"/>
          <w:highlight w:val="none"/>
        </w:rPr>
      </w:pPr>
      <w:r>
        <w:rPr>
          <w:rFonts w:hint="eastAsia" w:hAnsi="宋体" w:cs="宋体"/>
          <w:highlight w:val="none"/>
        </w:rPr>
        <w:t>履约保证金的期限：见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履约保证金退还时限：见</w:t>
      </w:r>
      <w:r>
        <w:rPr>
          <w:rFonts w:hint="eastAsia" w:hAnsi="宋体" w:cs="宋体"/>
          <w:highlight w:val="none"/>
          <w:u w:val="single"/>
        </w:rPr>
        <w:t>《专用合同条款数据表》。</w:t>
      </w:r>
    </w:p>
    <w:p>
      <w:pPr>
        <w:pStyle w:val="2"/>
        <w:spacing w:before="0" w:after="0"/>
        <w:ind w:left="240" w:leftChars="100"/>
        <w:rPr>
          <w:rFonts w:cs="黑体"/>
          <w:highlight w:val="none"/>
        </w:rPr>
      </w:pPr>
      <w:bookmarkStart w:id="906" w:name="_Toc15753930"/>
      <w:bookmarkStart w:id="907" w:name="_Toc17100694"/>
      <w:bookmarkStart w:id="908" w:name="_Toc26700674"/>
      <w:bookmarkStart w:id="909" w:name="_Toc24965174"/>
      <w:bookmarkStart w:id="910" w:name="_Toc26700504"/>
      <w:bookmarkStart w:id="911" w:name="_Toc26721563"/>
      <w:bookmarkStart w:id="912" w:name="_Toc392346767"/>
      <w:bookmarkStart w:id="913" w:name="_Toc26721408"/>
      <w:r>
        <w:rPr>
          <w:rFonts w:hint="eastAsia" w:cs="黑体"/>
          <w:highlight w:val="none"/>
        </w:rPr>
        <w:t>11. 保证</w:t>
      </w:r>
      <w:bookmarkEnd w:id="906"/>
      <w:bookmarkEnd w:id="907"/>
      <w:bookmarkEnd w:id="908"/>
      <w:bookmarkEnd w:id="909"/>
      <w:bookmarkEnd w:id="910"/>
      <w:bookmarkEnd w:id="911"/>
      <w:bookmarkEnd w:id="912"/>
      <w:bookmarkEnd w:id="913"/>
    </w:p>
    <w:p>
      <w:pPr>
        <w:spacing w:line="360" w:lineRule="auto"/>
        <w:ind w:firstLine="480" w:firstLineChars="200"/>
        <w:rPr>
          <w:rFonts w:hAnsi="宋体" w:cs="宋体"/>
          <w:highlight w:val="none"/>
        </w:rPr>
      </w:pPr>
      <w:r>
        <w:rPr>
          <w:rFonts w:hint="eastAsia" w:hAnsi="宋体" w:cs="宋体"/>
          <w:highlight w:val="none"/>
        </w:rPr>
        <w:t>11.4 合同货物技术规格、质量标准的特殊要求：</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11.7 合同货物设计使用寿命期内备品备件停止生产时卖方的通知和配合义务：</w:t>
      </w:r>
      <w:r>
        <w:rPr>
          <w:rFonts w:hint="eastAsia" w:hAnsi="宋体" w:cs="宋体"/>
          <w:highlight w:val="none"/>
          <w:u w:val="single"/>
        </w:rPr>
        <w:t>执行通用条款</w:t>
      </w:r>
      <w:r>
        <w:rPr>
          <w:rFonts w:hint="eastAsia" w:hAnsi="宋体" w:cs="宋体"/>
          <w:highlight w:val="none"/>
        </w:rPr>
        <w:t>。</w:t>
      </w:r>
    </w:p>
    <w:p>
      <w:pPr>
        <w:pStyle w:val="2"/>
        <w:spacing w:before="0" w:after="0"/>
        <w:ind w:left="240" w:leftChars="100"/>
        <w:rPr>
          <w:rFonts w:cs="黑体"/>
          <w:highlight w:val="none"/>
        </w:rPr>
      </w:pPr>
      <w:bookmarkStart w:id="914" w:name="_Toc26700675"/>
      <w:bookmarkStart w:id="915" w:name="_Toc512544420"/>
      <w:bookmarkStart w:id="916" w:name="_Toc17100695"/>
      <w:bookmarkStart w:id="917" w:name="_Toc512544527"/>
      <w:bookmarkStart w:id="918" w:name="_Toc26721409"/>
      <w:bookmarkStart w:id="919" w:name="_Toc512611677"/>
      <w:bookmarkStart w:id="920" w:name="_Toc15753931"/>
      <w:bookmarkStart w:id="921" w:name="_Toc525761976"/>
      <w:bookmarkStart w:id="922" w:name="_Toc527622467"/>
      <w:bookmarkStart w:id="923" w:name="_Toc24965175"/>
      <w:bookmarkStart w:id="924" w:name="_Toc26721564"/>
      <w:bookmarkStart w:id="925" w:name="_Toc26700505"/>
      <w:bookmarkStart w:id="926" w:name="_Toc392346768"/>
      <w:r>
        <w:rPr>
          <w:rFonts w:hint="eastAsia" w:cs="黑体"/>
          <w:highlight w:val="none"/>
        </w:rPr>
        <w:t>12. 知识产权</w:t>
      </w:r>
      <w:bookmarkEnd w:id="914"/>
      <w:bookmarkEnd w:id="915"/>
      <w:bookmarkEnd w:id="916"/>
      <w:bookmarkEnd w:id="917"/>
      <w:bookmarkEnd w:id="918"/>
      <w:bookmarkEnd w:id="919"/>
      <w:bookmarkEnd w:id="920"/>
      <w:bookmarkEnd w:id="921"/>
      <w:bookmarkEnd w:id="922"/>
      <w:bookmarkEnd w:id="923"/>
      <w:bookmarkEnd w:id="924"/>
      <w:bookmarkEnd w:id="925"/>
    </w:p>
    <w:p>
      <w:pPr>
        <w:spacing w:line="360" w:lineRule="auto"/>
        <w:ind w:firstLine="480" w:firstLineChars="200"/>
        <w:rPr>
          <w:rFonts w:hAnsi="宋体" w:cs="宋体"/>
          <w:highlight w:val="none"/>
          <w:u w:val="single"/>
        </w:rPr>
      </w:pPr>
      <w:r>
        <w:rPr>
          <w:rFonts w:hint="eastAsia" w:hAnsi="宋体" w:cs="宋体"/>
          <w:highlight w:val="none"/>
        </w:rPr>
        <w:t>12.2 卖方提供给买方</w:t>
      </w:r>
      <w:r>
        <w:rPr>
          <w:rStyle w:val="66"/>
          <w:rFonts w:hint="eastAsia" w:hAnsi="宋体" w:cs="宋体"/>
          <w:sz w:val="24"/>
          <w:highlight w:val="none"/>
        </w:rPr>
        <w:t>的图纸、文件、配套软件、电子辅助程序和其他含有数据和信息的资料</w:t>
      </w:r>
      <w:r>
        <w:rPr>
          <w:rFonts w:hint="eastAsia" w:hAnsi="宋体" w:cs="宋体"/>
          <w:highlight w:val="none"/>
        </w:rPr>
        <w:t>的知识产权：</w:t>
      </w:r>
      <w:r>
        <w:rPr>
          <w:rFonts w:hint="eastAsia" w:hAnsi="宋体" w:cs="宋体"/>
          <w:highlight w:val="none"/>
          <w:u w:val="single"/>
        </w:rPr>
        <w:t>归买方及校方所有</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12.4 卖方应当对买方收到</w:t>
      </w:r>
      <w:r>
        <w:rPr>
          <w:rStyle w:val="66"/>
          <w:rFonts w:hint="eastAsia" w:hAnsi="宋体" w:cs="宋体"/>
          <w:sz w:val="24"/>
          <w:highlight w:val="none"/>
        </w:rPr>
        <w:t>任何第三方有关</w:t>
      </w:r>
      <w:r>
        <w:rPr>
          <w:rFonts w:hint="eastAsia" w:hAnsi="宋体" w:cs="宋体"/>
          <w:highlight w:val="none"/>
        </w:rPr>
        <w:t>知识产权导致的主张、索赔或诉讼进行处理的期限：</w:t>
      </w:r>
      <w:r>
        <w:rPr>
          <w:rFonts w:hint="eastAsia" w:hAnsi="宋体" w:cs="宋体"/>
          <w:highlight w:val="none"/>
          <w:u w:val="single"/>
        </w:rPr>
        <w:t>执行通用条款</w:t>
      </w:r>
      <w:r>
        <w:rPr>
          <w:rFonts w:hint="eastAsia" w:hAnsi="宋体" w:cs="宋体"/>
          <w:highlight w:val="none"/>
        </w:rPr>
        <w:t>。</w:t>
      </w:r>
    </w:p>
    <w:p>
      <w:pPr>
        <w:pStyle w:val="2"/>
        <w:spacing w:before="0" w:after="0"/>
        <w:ind w:left="240" w:leftChars="100"/>
        <w:rPr>
          <w:rFonts w:cs="黑体"/>
          <w:highlight w:val="none"/>
        </w:rPr>
      </w:pPr>
      <w:bookmarkStart w:id="927" w:name="_Toc26721410"/>
      <w:bookmarkStart w:id="928" w:name="_Toc24965176"/>
      <w:bookmarkStart w:id="929" w:name="_Toc26700676"/>
      <w:bookmarkStart w:id="930" w:name="_Toc26700506"/>
      <w:bookmarkStart w:id="931" w:name="_Toc17100696"/>
      <w:bookmarkStart w:id="932" w:name="_Toc26721565"/>
      <w:bookmarkStart w:id="933" w:name="_Toc15753932"/>
      <w:r>
        <w:rPr>
          <w:rFonts w:hint="eastAsia" w:cs="黑体"/>
          <w:highlight w:val="none"/>
        </w:rPr>
        <w:t>14. 违约</w:t>
      </w:r>
      <w:bookmarkEnd w:id="926"/>
      <w:r>
        <w:rPr>
          <w:rFonts w:hint="eastAsia" w:cs="黑体"/>
          <w:highlight w:val="none"/>
        </w:rPr>
        <w:t>责任</w:t>
      </w:r>
      <w:bookmarkEnd w:id="927"/>
      <w:bookmarkEnd w:id="928"/>
      <w:bookmarkEnd w:id="929"/>
      <w:bookmarkEnd w:id="930"/>
      <w:bookmarkEnd w:id="931"/>
      <w:bookmarkEnd w:id="932"/>
      <w:bookmarkEnd w:id="933"/>
    </w:p>
    <w:p>
      <w:pPr>
        <w:spacing w:line="360" w:lineRule="auto"/>
        <w:ind w:firstLine="480" w:firstLineChars="200"/>
        <w:rPr>
          <w:rFonts w:hAnsi="宋体" w:cs="宋体"/>
          <w:highlight w:val="none"/>
        </w:rPr>
      </w:pPr>
      <w:r>
        <w:rPr>
          <w:rFonts w:hint="eastAsia" w:hAnsi="宋体" w:cs="宋体"/>
          <w:highlight w:val="none"/>
        </w:rPr>
        <w:t>14.2迟延交付违约金的计算方法：</w:t>
      </w:r>
      <w:r>
        <w:rPr>
          <w:rFonts w:hint="eastAsia" w:hAnsi="宋体" w:cs="宋体"/>
          <w:highlight w:val="none"/>
          <w:u w:val="single"/>
        </w:rPr>
        <w:t xml:space="preserve">按招标文件约定执行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14.3迟延付款违约金的计算方法：</w:t>
      </w:r>
      <w:r>
        <w:rPr>
          <w:rFonts w:hint="eastAsia" w:hAnsi="宋体" w:cs="宋体"/>
          <w:highlight w:val="none"/>
          <w:u w:val="single"/>
        </w:rPr>
        <w:t xml:space="preserve">      /            </w:t>
      </w:r>
      <w:r>
        <w:rPr>
          <w:rFonts w:hint="eastAsia" w:hAnsi="宋体" w:cs="宋体"/>
          <w:highlight w:val="none"/>
        </w:rPr>
        <w:t>。</w:t>
      </w:r>
    </w:p>
    <w:p>
      <w:pPr>
        <w:pStyle w:val="2"/>
        <w:spacing w:before="0" w:after="0"/>
        <w:ind w:left="240" w:leftChars="100"/>
        <w:rPr>
          <w:rFonts w:cs="黑体"/>
          <w:highlight w:val="none"/>
        </w:rPr>
      </w:pPr>
      <w:bookmarkStart w:id="934" w:name="_Toc392346769"/>
      <w:bookmarkStart w:id="935" w:name="_Toc15753933"/>
      <w:bookmarkStart w:id="936" w:name="_Toc17100697"/>
      <w:bookmarkStart w:id="937" w:name="_Toc26721566"/>
      <w:bookmarkStart w:id="938" w:name="_Toc24965177"/>
      <w:bookmarkStart w:id="939" w:name="_Toc26700677"/>
      <w:bookmarkStart w:id="940" w:name="_Toc26721411"/>
      <w:bookmarkStart w:id="941" w:name="_Toc26700507"/>
      <w:r>
        <w:rPr>
          <w:rFonts w:hint="eastAsia" w:cs="黑体"/>
          <w:highlight w:val="none"/>
        </w:rPr>
        <w:t>15. 合同</w:t>
      </w:r>
      <w:bookmarkEnd w:id="934"/>
      <w:r>
        <w:rPr>
          <w:rFonts w:hint="eastAsia" w:cs="黑体"/>
          <w:highlight w:val="none"/>
        </w:rPr>
        <w:t>的解除</w:t>
      </w:r>
      <w:bookmarkEnd w:id="935"/>
      <w:bookmarkEnd w:id="936"/>
      <w:bookmarkEnd w:id="937"/>
      <w:bookmarkEnd w:id="938"/>
      <w:bookmarkEnd w:id="939"/>
      <w:bookmarkEnd w:id="940"/>
      <w:bookmarkEnd w:id="941"/>
    </w:p>
    <w:p>
      <w:pPr>
        <w:spacing w:line="360" w:lineRule="auto"/>
        <w:ind w:firstLine="480" w:firstLineChars="200"/>
        <w:rPr>
          <w:rFonts w:hAnsi="宋体" w:cs="宋体"/>
          <w:highlight w:val="none"/>
        </w:rPr>
      </w:pPr>
      <w:r>
        <w:rPr>
          <w:rFonts w:hint="eastAsia" w:hAnsi="宋体" w:cs="宋体"/>
          <w:highlight w:val="none"/>
        </w:rPr>
        <w:t>合同解除的其他情形：</w:t>
      </w:r>
      <w:r>
        <w:rPr>
          <w:rFonts w:hint="eastAsia" w:hAnsi="宋体" w:cs="宋体"/>
          <w:highlight w:val="none"/>
          <w:u w:val="single"/>
        </w:rPr>
        <w:t xml:space="preserve">执行通用条款 </w:t>
      </w:r>
      <w:r>
        <w:rPr>
          <w:rFonts w:hint="eastAsia" w:hAnsi="宋体" w:cs="宋体"/>
          <w:highlight w:val="none"/>
        </w:rPr>
        <w:t>。</w:t>
      </w:r>
    </w:p>
    <w:p>
      <w:pPr>
        <w:pStyle w:val="2"/>
        <w:spacing w:before="0" w:after="0"/>
        <w:ind w:left="240" w:leftChars="100"/>
        <w:rPr>
          <w:rFonts w:cs="黑体"/>
          <w:highlight w:val="none"/>
        </w:rPr>
      </w:pPr>
      <w:bookmarkStart w:id="942" w:name="_Toc24965178"/>
      <w:bookmarkStart w:id="943" w:name="_Toc26721412"/>
      <w:bookmarkStart w:id="944" w:name="_Toc15753934"/>
      <w:bookmarkStart w:id="945" w:name="_Toc17100698"/>
      <w:bookmarkStart w:id="946" w:name="_Toc26700678"/>
      <w:bookmarkStart w:id="947" w:name="_Toc512544530"/>
      <w:bookmarkStart w:id="948" w:name="_Toc26721567"/>
      <w:bookmarkStart w:id="949" w:name="_Toc512544423"/>
      <w:bookmarkStart w:id="950" w:name="_Toc527622470"/>
      <w:bookmarkStart w:id="951" w:name="_Toc26700508"/>
      <w:bookmarkStart w:id="952" w:name="_Toc525761979"/>
      <w:bookmarkStart w:id="953" w:name="_Toc512611680"/>
      <w:bookmarkStart w:id="954" w:name="_Toc392346770"/>
      <w:r>
        <w:rPr>
          <w:rFonts w:hint="eastAsia" w:cs="黑体"/>
          <w:highlight w:val="none"/>
        </w:rPr>
        <w:t>16. 不可抗力</w:t>
      </w:r>
      <w:bookmarkEnd w:id="942"/>
      <w:bookmarkEnd w:id="943"/>
      <w:bookmarkEnd w:id="944"/>
      <w:bookmarkEnd w:id="945"/>
      <w:bookmarkEnd w:id="946"/>
      <w:bookmarkEnd w:id="947"/>
      <w:bookmarkEnd w:id="948"/>
      <w:bookmarkEnd w:id="949"/>
      <w:bookmarkEnd w:id="950"/>
      <w:bookmarkEnd w:id="951"/>
      <w:bookmarkEnd w:id="952"/>
      <w:bookmarkEnd w:id="953"/>
    </w:p>
    <w:p>
      <w:pPr>
        <w:snapToGrid w:val="0"/>
        <w:spacing w:line="360" w:lineRule="auto"/>
        <w:ind w:firstLine="480" w:firstLineChars="200"/>
        <w:rPr>
          <w:rFonts w:hAnsi="宋体" w:cs="宋体"/>
          <w:highlight w:val="none"/>
          <w:u w:val="single"/>
        </w:rPr>
      </w:pPr>
      <w:r>
        <w:rPr>
          <w:rFonts w:hint="eastAsia" w:hAnsi="宋体" w:cs="宋体"/>
          <w:highlight w:val="none"/>
        </w:rPr>
        <w:t>16.1 不可抗力的其它情形：</w:t>
      </w:r>
      <w:r>
        <w:rPr>
          <w:rFonts w:hint="eastAsia" w:hAnsi="宋体" w:cs="宋体"/>
          <w:highlight w:val="none"/>
          <w:u w:val="single"/>
        </w:rPr>
        <w:t>执行通用条款（第 3 条除外）</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16.3 可以解除合同的不可抗力事件影响持续期限：</w:t>
      </w:r>
      <w:r>
        <w:rPr>
          <w:rFonts w:hint="eastAsia" w:hAnsi="宋体" w:cs="宋体"/>
          <w:highlight w:val="none"/>
          <w:u w:val="single"/>
        </w:rPr>
        <w:t>执行通用条款</w:t>
      </w:r>
      <w:r>
        <w:rPr>
          <w:rFonts w:hint="eastAsia" w:hAnsi="宋体" w:cs="宋体"/>
          <w:highlight w:val="none"/>
        </w:rPr>
        <w:t>。</w:t>
      </w:r>
    </w:p>
    <w:p>
      <w:pPr>
        <w:pStyle w:val="2"/>
        <w:spacing w:before="0" w:after="0"/>
        <w:ind w:left="240" w:leftChars="100"/>
        <w:rPr>
          <w:rFonts w:cs="黑体"/>
          <w:highlight w:val="none"/>
        </w:rPr>
      </w:pPr>
      <w:bookmarkStart w:id="955" w:name="_Toc26721413"/>
      <w:bookmarkStart w:id="956" w:name="_Toc26700509"/>
      <w:bookmarkStart w:id="957" w:name="_Toc24965179"/>
      <w:bookmarkStart w:id="958" w:name="_Toc15753935"/>
      <w:bookmarkStart w:id="959" w:name="_Toc26721568"/>
      <w:bookmarkStart w:id="960" w:name="_Toc17100699"/>
      <w:bookmarkStart w:id="961" w:name="_Toc26700679"/>
      <w:r>
        <w:rPr>
          <w:rFonts w:hint="eastAsia" w:cs="黑体"/>
          <w:highlight w:val="none"/>
        </w:rPr>
        <w:t>17. 争议的解决</w:t>
      </w:r>
      <w:bookmarkEnd w:id="954"/>
      <w:bookmarkEnd w:id="955"/>
      <w:bookmarkEnd w:id="956"/>
      <w:bookmarkEnd w:id="957"/>
      <w:bookmarkEnd w:id="958"/>
      <w:bookmarkEnd w:id="959"/>
      <w:bookmarkEnd w:id="960"/>
      <w:bookmarkEnd w:id="961"/>
    </w:p>
    <w:p>
      <w:pPr>
        <w:spacing w:line="360" w:lineRule="auto"/>
        <w:ind w:firstLine="480" w:firstLineChars="200"/>
        <w:rPr>
          <w:rFonts w:hAnsi="宋体" w:cs="宋体"/>
          <w:bCs/>
          <w:highlight w:val="none"/>
        </w:rPr>
      </w:pPr>
      <w:r>
        <w:rPr>
          <w:rFonts w:hint="eastAsia" w:hAnsi="宋体" w:cs="宋体"/>
          <w:highlight w:val="none"/>
          <w:shd w:val="clear" w:color="auto" w:fill="FFFFFF"/>
        </w:rPr>
        <w:t>因合同引起的或与合同有关的任何争议，</w:t>
      </w:r>
      <w:r>
        <w:rPr>
          <w:rFonts w:hint="eastAsia" w:hAnsi="宋体" w:cs="宋体"/>
          <w:bCs/>
          <w:highlight w:val="none"/>
        </w:rPr>
        <w:t>按下列第</w:t>
      </w:r>
      <w:r>
        <w:rPr>
          <w:rFonts w:hint="eastAsia" w:hAnsi="宋体" w:cs="宋体"/>
          <w:highlight w:val="none"/>
          <w:u w:val="single"/>
        </w:rPr>
        <w:t xml:space="preserve"> （2）</w:t>
      </w:r>
      <w:r>
        <w:rPr>
          <w:rFonts w:hint="eastAsia" w:hAnsi="宋体" w:cs="宋体"/>
          <w:bCs/>
          <w:highlight w:val="none"/>
        </w:rPr>
        <w:t>种方式解决：</w:t>
      </w:r>
    </w:p>
    <w:p>
      <w:pPr>
        <w:spacing w:line="360" w:lineRule="auto"/>
        <w:ind w:firstLine="360" w:firstLineChars="150"/>
        <w:rPr>
          <w:rFonts w:hAnsi="宋体" w:cs="宋体"/>
          <w:bCs/>
          <w:highlight w:val="none"/>
        </w:rPr>
      </w:pPr>
      <w:r>
        <w:rPr>
          <w:rFonts w:hint="eastAsia" w:hAnsi="宋体" w:cs="宋体"/>
          <w:bCs/>
          <w:highlight w:val="none"/>
        </w:rPr>
        <w:t>（1）向</w:t>
      </w:r>
      <w:r>
        <w:rPr>
          <w:rFonts w:hint="eastAsia" w:hAnsi="宋体" w:cs="宋体"/>
          <w:highlight w:val="none"/>
          <w:u w:val="single"/>
        </w:rPr>
        <w:t xml:space="preserve">  合肥 </w:t>
      </w:r>
      <w:r>
        <w:rPr>
          <w:rFonts w:hint="eastAsia" w:hAnsi="宋体" w:cs="宋体"/>
          <w:bCs/>
          <w:highlight w:val="none"/>
        </w:rPr>
        <w:t>仲裁委员会申请仲裁；</w:t>
      </w:r>
    </w:p>
    <w:p>
      <w:pPr>
        <w:spacing w:line="360" w:lineRule="auto"/>
        <w:ind w:firstLine="360" w:firstLineChars="150"/>
        <w:rPr>
          <w:rFonts w:hAnsi="宋体" w:cs="宋体"/>
          <w:bCs/>
          <w:highlight w:val="none"/>
        </w:rPr>
      </w:pPr>
      <w:r>
        <w:rPr>
          <w:rFonts w:hint="eastAsia" w:hAnsi="宋体" w:cs="宋体"/>
          <w:bCs/>
          <w:highlight w:val="none"/>
        </w:rPr>
        <w:t>（2）向</w:t>
      </w:r>
      <w:r>
        <w:rPr>
          <w:rFonts w:hint="eastAsia" w:hAnsi="宋体" w:cs="宋体"/>
          <w:highlight w:val="none"/>
          <w:u w:val="single"/>
        </w:rPr>
        <w:t xml:space="preserve"> 肥东县 </w:t>
      </w:r>
      <w:r>
        <w:rPr>
          <w:rFonts w:hint="eastAsia" w:hAnsi="宋体" w:cs="宋体"/>
          <w:bCs/>
          <w:highlight w:val="none"/>
        </w:rPr>
        <w:t>人民法院起诉。</w:t>
      </w:r>
    </w:p>
    <w:p>
      <w:pPr>
        <w:spacing w:line="360" w:lineRule="auto"/>
        <w:ind w:firstLine="480" w:firstLineChars="200"/>
        <w:rPr>
          <w:rFonts w:hAnsi="宋体" w:cs="宋体"/>
          <w:highlight w:val="none"/>
          <w:shd w:val="clear" w:color="auto" w:fill="FFFFFF"/>
        </w:rPr>
      </w:pPr>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附件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附件1：供货要求（见招标文件第五章）</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附件2：分项报价表（见投标文件）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附件3：履约保证金</w:t>
      </w:r>
    </w:p>
    <w:p>
      <w:pPr>
        <w:spacing w:line="360" w:lineRule="auto"/>
        <w:ind w:firstLine="480" w:firstLineChars="200"/>
        <w:jc w:val="left"/>
        <w:rPr>
          <w:rFonts w:ascii="Times New Roman"/>
          <w:b/>
          <w:highlight w:val="none"/>
        </w:rPr>
      </w:pPr>
      <w:r>
        <w:rPr>
          <w:rFonts w:hint="eastAsia" w:hAnsi="宋体" w:cs="宋体"/>
          <w:bCs/>
          <w:snapToGrid w:val="0"/>
          <w:highlight w:val="none"/>
        </w:rPr>
        <w:t>附件4：廉政协议</w:t>
      </w:r>
      <w:r>
        <w:rPr>
          <w:rFonts w:ascii="Times New Roman"/>
          <w:b/>
          <w:highlight w:val="none"/>
        </w:rPr>
        <w:br w:type="page"/>
      </w:r>
      <w:bookmarkStart w:id="962" w:name="_Toc29298"/>
      <w:bookmarkEnd w:id="962"/>
      <w:bookmarkStart w:id="963" w:name="_Toc369531676"/>
      <w:bookmarkEnd w:id="963"/>
      <w:bookmarkStart w:id="964" w:name="_Toc247085834"/>
      <w:bookmarkEnd w:id="964"/>
      <w:bookmarkStart w:id="965" w:name="_Toc369531675"/>
      <w:bookmarkEnd w:id="965"/>
      <w:bookmarkStart w:id="966" w:name="_Toc184635117"/>
      <w:bookmarkEnd w:id="966"/>
      <w:bookmarkStart w:id="967" w:name="_Toc246996319"/>
      <w:bookmarkEnd w:id="967"/>
      <w:bookmarkStart w:id="968" w:name="_Toc296602565"/>
      <w:bookmarkEnd w:id="968"/>
      <w:bookmarkStart w:id="969" w:name="_Toc246997062"/>
      <w:bookmarkEnd w:id="969"/>
      <w:bookmarkStart w:id="970" w:name="_Toc9766"/>
      <w:bookmarkEnd w:id="970"/>
      <w:bookmarkStart w:id="971" w:name="_Toc26369"/>
      <w:bookmarkStart w:id="972" w:name="_Toc501460713"/>
      <w:bookmarkStart w:id="973" w:name="_Toc140069434"/>
    </w:p>
    <w:p>
      <w:pPr>
        <w:spacing w:line="360" w:lineRule="auto"/>
        <w:ind w:firstLine="482" w:firstLineChars="200"/>
        <w:jc w:val="left"/>
        <w:rPr>
          <w:rFonts w:ascii="Times New Roman"/>
          <w:b/>
          <w:highlight w:val="none"/>
        </w:rPr>
      </w:pPr>
    </w:p>
    <w:p>
      <w:pPr>
        <w:spacing w:line="360" w:lineRule="auto"/>
        <w:ind w:firstLine="482" w:firstLineChars="200"/>
        <w:jc w:val="left"/>
        <w:rPr>
          <w:rFonts w:ascii="Times New Roman"/>
          <w:b/>
          <w:highlight w:val="none"/>
        </w:rPr>
      </w:pPr>
      <w:r>
        <w:rPr>
          <w:rFonts w:ascii="Times New Roman"/>
          <w:b/>
          <w:highlight w:val="none"/>
        </w:rPr>
        <w:t>第三节合同附件格式</w:t>
      </w:r>
      <w:bookmarkEnd w:id="971"/>
      <w:bookmarkEnd w:id="972"/>
      <w:bookmarkEnd w:id="973"/>
    </w:p>
    <w:p>
      <w:pPr>
        <w:pStyle w:val="2"/>
        <w:spacing w:before="0" w:after="0"/>
        <w:ind w:firstLine="137"/>
        <w:rPr>
          <w:rFonts w:ascii="宋体" w:hAnsi="宋体" w:eastAsia="宋体" w:cs="宋体"/>
          <w:highlight w:val="none"/>
        </w:rPr>
      </w:pPr>
      <w:r>
        <w:rPr>
          <w:rFonts w:ascii="Times New Roman" w:hAnsi="Times New Roman"/>
          <w:highlight w:val="none"/>
        </w:rPr>
        <w:br w:type="page"/>
      </w:r>
      <w:bookmarkEnd w:id="811"/>
      <w:bookmarkEnd w:id="812"/>
      <w:bookmarkEnd w:id="813"/>
      <w:bookmarkEnd w:id="814"/>
      <w:bookmarkStart w:id="974" w:name="_Toc501460714"/>
      <w:r>
        <w:rPr>
          <w:rFonts w:hint="eastAsia" w:cs="黑体"/>
          <w:highlight w:val="none"/>
        </w:rPr>
        <w:t>附件一：合同协议书</w:t>
      </w:r>
      <w:bookmarkEnd w:id="974"/>
    </w:p>
    <w:p>
      <w:pPr>
        <w:spacing w:line="360" w:lineRule="auto"/>
        <w:rPr>
          <w:rFonts w:hAnsi="宋体" w:cs="宋体"/>
          <w:highlight w:val="none"/>
        </w:rPr>
      </w:pPr>
    </w:p>
    <w:p>
      <w:pPr>
        <w:spacing w:line="360" w:lineRule="auto"/>
        <w:jc w:val="center"/>
        <w:rPr>
          <w:rFonts w:ascii="黑体" w:hAnsi="黑体" w:eastAsia="黑体" w:cs="黑体"/>
          <w:highlight w:val="none"/>
        </w:rPr>
      </w:pPr>
      <w:r>
        <w:rPr>
          <w:rFonts w:hint="eastAsia" w:ascii="黑体" w:hAnsi="黑体" w:eastAsia="黑体" w:cs="黑体"/>
          <w:highlight w:val="none"/>
        </w:rPr>
        <w:t>合同协议书</w:t>
      </w:r>
    </w:p>
    <w:p>
      <w:pPr>
        <w:spacing w:line="360" w:lineRule="auto"/>
        <w:rPr>
          <w:rFonts w:hAnsi="宋体" w:cs="宋体"/>
          <w:highlight w:val="none"/>
        </w:rPr>
      </w:pPr>
    </w:p>
    <w:p>
      <w:pPr>
        <w:spacing w:line="360" w:lineRule="auto"/>
        <w:ind w:firstLine="484" w:firstLineChars="202"/>
        <w:rPr>
          <w:rFonts w:hAnsi="宋体" w:cs="宋体"/>
          <w:highlight w:val="none"/>
        </w:rPr>
      </w:pPr>
      <w:r>
        <w:rPr>
          <w:rFonts w:hint="eastAsia" w:hAnsi="宋体" w:cs="宋体"/>
          <w:highlight w:val="none"/>
        </w:rPr>
        <w:t>（买方名称，以下简称“买方”）为获得（招标项目名称）合同货物和相关服务，已接受（卖方名称，以下简称“卖方”）为提供上述合同货物和相关服务所作的投标，买方和卖方共同达成如下协议：</w:t>
      </w:r>
    </w:p>
    <w:p>
      <w:pPr>
        <w:spacing w:line="360" w:lineRule="auto"/>
        <w:ind w:firstLine="480" w:firstLineChars="200"/>
        <w:rPr>
          <w:rFonts w:hAnsi="宋体" w:cs="宋体"/>
          <w:highlight w:val="none"/>
        </w:rPr>
      </w:pPr>
      <w:r>
        <w:rPr>
          <w:rFonts w:hint="eastAsia" w:hAnsi="宋体" w:cs="宋体"/>
          <w:highlight w:val="none"/>
        </w:rPr>
        <w:t>1.本协议书与下列文件一起构成合同文件：</w:t>
      </w:r>
    </w:p>
    <w:p>
      <w:pPr>
        <w:spacing w:line="360" w:lineRule="auto"/>
        <w:ind w:firstLine="480" w:firstLineChars="200"/>
        <w:rPr>
          <w:rFonts w:hAnsi="宋体" w:cs="宋体"/>
          <w:highlight w:val="none"/>
        </w:rPr>
      </w:pPr>
      <w:r>
        <w:rPr>
          <w:rFonts w:hint="eastAsia" w:hAnsi="宋体" w:cs="宋体"/>
          <w:highlight w:val="none"/>
        </w:rPr>
        <w:t>（1）中标通知书；</w:t>
      </w:r>
    </w:p>
    <w:p>
      <w:pPr>
        <w:spacing w:line="360" w:lineRule="auto"/>
        <w:ind w:firstLine="480" w:firstLineChars="200"/>
        <w:rPr>
          <w:rFonts w:hAnsi="宋体" w:cs="宋体"/>
          <w:highlight w:val="none"/>
        </w:rPr>
      </w:pPr>
      <w:r>
        <w:rPr>
          <w:rFonts w:hint="eastAsia" w:hAnsi="宋体" w:cs="宋体"/>
          <w:highlight w:val="none"/>
        </w:rPr>
        <w:t>（2）投标函；</w:t>
      </w:r>
    </w:p>
    <w:p>
      <w:pPr>
        <w:spacing w:line="360" w:lineRule="auto"/>
        <w:ind w:firstLine="480" w:firstLineChars="200"/>
        <w:rPr>
          <w:rFonts w:hAnsi="宋体" w:cs="宋体"/>
          <w:highlight w:val="none"/>
        </w:rPr>
      </w:pPr>
      <w:r>
        <w:rPr>
          <w:rFonts w:hint="eastAsia" w:hAnsi="宋体" w:cs="宋体"/>
          <w:highlight w:val="none"/>
        </w:rPr>
        <w:t>（3）商务和技术偏差表；</w:t>
      </w:r>
    </w:p>
    <w:p>
      <w:pPr>
        <w:spacing w:line="360" w:lineRule="auto"/>
        <w:ind w:firstLine="480" w:firstLineChars="200"/>
        <w:rPr>
          <w:rFonts w:hAnsi="宋体" w:cs="宋体"/>
          <w:highlight w:val="none"/>
        </w:rPr>
      </w:pPr>
      <w:r>
        <w:rPr>
          <w:rFonts w:hint="eastAsia" w:hAnsi="宋体" w:cs="宋体"/>
          <w:highlight w:val="none"/>
        </w:rPr>
        <w:t>（4）专用合同条款；</w:t>
      </w:r>
    </w:p>
    <w:p>
      <w:pPr>
        <w:spacing w:line="360" w:lineRule="auto"/>
        <w:ind w:firstLine="480" w:firstLineChars="200"/>
        <w:rPr>
          <w:rFonts w:hAnsi="宋体" w:cs="宋体"/>
          <w:highlight w:val="none"/>
        </w:rPr>
      </w:pPr>
      <w:r>
        <w:rPr>
          <w:rFonts w:hint="eastAsia" w:hAnsi="宋体" w:cs="宋体"/>
          <w:highlight w:val="none"/>
        </w:rPr>
        <w:t>（5）通用合同条款；</w:t>
      </w:r>
    </w:p>
    <w:p>
      <w:pPr>
        <w:spacing w:line="360" w:lineRule="auto"/>
        <w:ind w:firstLine="480" w:firstLineChars="200"/>
        <w:rPr>
          <w:rFonts w:hAnsi="宋体" w:cs="宋体"/>
          <w:highlight w:val="none"/>
        </w:rPr>
      </w:pPr>
      <w:r>
        <w:rPr>
          <w:rFonts w:hint="eastAsia" w:hAnsi="宋体" w:cs="宋体"/>
          <w:highlight w:val="none"/>
        </w:rPr>
        <w:t>（6）供货要求；</w:t>
      </w:r>
    </w:p>
    <w:p>
      <w:pPr>
        <w:spacing w:line="360" w:lineRule="auto"/>
        <w:ind w:firstLine="480" w:firstLineChars="200"/>
        <w:rPr>
          <w:rFonts w:hAnsi="宋体" w:cs="宋体"/>
          <w:highlight w:val="none"/>
        </w:rPr>
      </w:pPr>
      <w:r>
        <w:rPr>
          <w:rFonts w:hint="eastAsia" w:hAnsi="宋体" w:cs="宋体"/>
          <w:highlight w:val="none"/>
        </w:rPr>
        <w:t>（7）分项报价表；</w:t>
      </w:r>
    </w:p>
    <w:p>
      <w:pPr>
        <w:spacing w:line="360" w:lineRule="auto"/>
        <w:ind w:firstLine="480" w:firstLineChars="200"/>
        <w:rPr>
          <w:rFonts w:hAnsi="宋体" w:cs="宋体"/>
          <w:highlight w:val="none"/>
        </w:rPr>
      </w:pPr>
      <w:r>
        <w:rPr>
          <w:rFonts w:hint="eastAsia" w:hAnsi="宋体" w:cs="宋体"/>
          <w:highlight w:val="none"/>
        </w:rPr>
        <w:t>（8）中标货物技术性能指标的详细描述；</w:t>
      </w:r>
    </w:p>
    <w:p>
      <w:pPr>
        <w:spacing w:line="360" w:lineRule="auto"/>
        <w:ind w:firstLine="480" w:firstLineChars="200"/>
        <w:rPr>
          <w:rFonts w:hAnsi="宋体" w:cs="宋体"/>
          <w:highlight w:val="none"/>
        </w:rPr>
      </w:pPr>
      <w:r>
        <w:rPr>
          <w:rFonts w:hint="eastAsia" w:hAnsi="宋体" w:cs="宋体"/>
          <w:highlight w:val="none"/>
        </w:rPr>
        <w:t>（9）相关服务计划；</w:t>
      </w:r>
    </w:p>
    <w:p>
      <w:pPr>
        <w:spacing w:line="360" w:lineRule="auto"/>
        <w:ind w:firstLine="480" w:firstLineChars="200"/>
        <w:rPr>
          <w:rFonts w:hAnsi="宋体" w:cs="宋体"/>
          <w:highlight w:val="none"/>
        </w:rPr>
      </w:pPr>
      <w:r>
        <w:rPr>
          <w:rFonts w:hint="eastAsia" w:hAnsi="宋体" w:cs="宋体"/>
          <w:highlight w:val="none"/>
        </w:rPr>
        <w:t>（10）其他合同文件。</w:t>
      </w:r>
    </w:p>
    <w:p>
      <w:pPr>
        <w:spacing w:line="360" w:lineRule="auto"/>
        <w:ind w:firstLine="480" w:firstLineChars="200"/>
        <w:rPr>
          <w:rFonts w:hAnsi="宋体" w:cs="宋体"/>
          <w:highlight w:val="none"/>
        </w:rPr>
      </w:pPr>
      <w:r>
        <w:rPr>
          <w:rFonts w:hint="eastAsia" w:hAnsi="宋体" w:cs="宋体"/>
          <w:highlight w:val="none"/>
        </w:rPr>
        <w:t>2.上述合同文件互相补充和解释。如果合同文件之间存在矛盾或不一致之处，以上述文件的排列顺序在先者为准。</w:t>
      </w:r>
    </w:p>
    <w:p>
      <w:pPr>
        <w:spacing w:line="360" w:lineRule="auto"/>
        <w:ind w:firstLine="480" w:firstLineChars="200"/>
        <w:rPr>
          <w:rFonts w:hAnsi="宋体" w:cs="宋体"/>
          <w:highlight w:val="none"/>
        </w:rPr>
      </w:pPr>
      <w:r>
        <w:rPr>
          <w:rFonts w:hint="eastAsia" w:hAnsi="宋体" w:cs="宋体"/>
          <w:highlight w:val="none"/>
        </w:rPr>
        <w:t>3. 签约合同价：人民币（大写）（¥）。</w:t>
      </w:r>
    </w:p>
    <w:p>
      <w:pPr>
        <w:spacing w:line="360" w:lineRule="auto"/>
        <w:ind w:firstLine="480" w:firstLineChars="200"/>
        <w:rPr>
          <w:rFonts w:hAnsi="宋体" w:cs="宋体"/>
          <w:highlight w:val="none"/>
        </w:rPr>
      </w:pPr>
      <w:r>
        <w:rPr>
          <w:rFonts w:hint="eastAsia" w:hAnsi="宋体" w:cs="宋体"/>
          <w:highlight w:val="none"/>
        </w:rPr>
        <w:t>4.卖方承诺保证完全按照合同约定提供合同货物和相关服务并修补缺陷。</w:t>
      </w:r>
    </w:p>
    <w:p>
      <w:pPr>
        <w:spacing w:line="360" w:lineRule="auto"/>
        <w:ind w:firstLine="480" w:firstLineChars="200"/>
        <w:rPr>
          <w:rFonts w:hAnsi="宋体" w:cs="宋体"/>
          <w:highlight w:val="none"/>
        </w:rPr>
      </w:pPr>
      <w:r>
        <w:rPr>
          <w:rFonts w:hint="eastAsia" w:hAnsi="宋体" w:cs="宋体"/>
          <w:highlight w:val="none"/>
        </w:rPr>
        <w:t>5.买方承诺保证按照合同约定的条件、时间和方式向卖方支付合同价款。</w:t>
      </w:r>
    </w:p>
    <w:p>
      <w:pPr>
        <w:spacing w:line="360" w:lineRule="auto"/>
        <w:ind w:firstLine="480" w:firstLineChars="200"/>
        <w:rPr>
          <w:rFonts w:hAnsi="宋体" w:cs="宋体"/>
          <w:highlight w:val="none"/>
        </w:rPr>
      </w:pPr>
      <w:r>
        <w:rPr>
          <w:rFonts w:hint="eastAsia" w:hAnsi="宋体" w:cs="宋体"/>
          <w:highlight w:val="none"/>
        </w:rPr>
        <w:t>6.本合同协议书一式份，合同双方各执份。</w:t>
      </w:r>
    </w:p>
    <w:p>
      <w:pPr>
        <w:spacing w:line="360" w:lineRule="auto"/>
        <w:ind w:firstLine="480" w:firstLineChars="200"/>
        <w:rPr>
          <w:rFonts w:hAnsi="宋体" w:cs="宋体"/>
          <w:highlight w:val="none"/>
        </w:rPr>
      </w:pPr>
      <w:r>
        <w:rPr>
          <w:rFonts w:hint="eastAsia" w:hAnsi="宋体" w:cs="宋体"/>
          <w:highlight w:val="none"/>
        </w:rPr>
        <w:t>7.合同未尽事宜，双方另行签订补充协议，补充协议是合同的组成部分。</w:t>
      </w:r>
    </w:p>
    <w:p>
      <w:pPr>
        <w:adjustRightInd w:val="0"/>
        <w:snapToGrid w:val="0"/>
        <w:spacing w:line="360" w:lineRule="auto"/>
        <w:rPr>
          <w:rFonts w:hAnsi="宋体" w:cs="宋体"/>
          <w:highlight w:val="none"/>
        </w:rPr>
      </w:pPr>
    </w:p>
    <w:p>
      <w:pPr>
        <w:tabs>
          <w:tab w:val="left" w:pos="4395"/>
        </w:tabs>
        <w:spacing w:line="360" w:lineRule="auto"/>
        <w:ind w:firstLine="3000" w:firstLineChars="1250"/>
        <w:rPr>
          <w:rFonts w:hAnsi="宋体" w:cs="宋体"/>
          <w:highlight w:val="none"/>
        </w:rPr>
      </w:pPr>
      <w:r>
        <w:rPr>
          <w:rFonts w:hint="eastAsia" w:hAnsi="宋体" w:cs="宋体"/>
          <w:highlight w:val="none"/>
        </w:rPr>
        <w:t>买方：（盖单位章）</w:t>
      </w:r>
    </w:p>
    <w:p>
      <w:pPr>
        <w:tabs>
          <w:tab w:val="left" w:pos="4395"/>
        </w:tabs>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4867" w:firstLineChars="2028"/>
        <w:jc w:val="right"/>
        <w:rPr>
          <w:rFonts w:hAnsi="宋体" w:cs="宋体"/>
          <w:highlight w:val="none"/>
        </w:rPr>
      </w:pPr>
      <w:r>
        <w:rPr>
          <w:rFonts w:hint="eastAsia" w:hAnsi="宋体" w:cs="宋体"/>
          <w:highlight w:val="none"/>
        </w:rPr>
        <w:t>年</w:t>
      </w:r>
      <w:r>
        <w:rPr>
          <w:rFonts w:hint="eastAsia" w:hAnsi="宋体" w:cs="宋体"/>
          <w:highlight w:val="none"/>
          <w:lang w:val="en-US" w:eastAsia="zh-CN"/>
        </w:rPr>
        <w:t xml:space="preserve"> </w:t>
      </w:r>
      <w:r>
        <w:rPr>
          <w:rFonts w:hint="eastAsia" w:hAnsi="宋体" w:cs="宋体"/>
          <w:highlight w:val="none"/>
        </w:rPr>
        <w:t>月</w:t>
      </w:r>
      <w:r>
        <w:rPr>
          <w:rFonts w:hint="eastAsia" w:hAnsi="宋体" w:cs="宋体"/>
          <w:highlight w:val="none"/>
          <w:lang w:val="en-US" w:eastAsia="zh-CN"/>
        </w:rPr>
        <w:t xml:space="preserve"> </w:t>
      </w:r>
      <w:r>
        <w:rPr>
          <w:rFonts w:hint="eastAsia" w:hAnsi="宋体" w:cs="宋体"/>
          <w:highlight w:val="none"/>
        </w:rPr>
        <w:t>日</w:t>
      </w:r>
    </w:p>
    <w:p>
      <w:pPr>
        <w:tabs>
          <w:tab w:val="left" w:pos="4395"/>
        </w:tabs>
        <w:spacing w:line="360" w:lineRule="auto"/>
        <w:rPr>
          <w:rFonts w:hAnsi="宋体" w:cs="宋体"/>
          <w:highlight w:val="none"/>
        </w:rPr>
      </w:pPr>
    </w:p>
    <w:p>
      <w:pPr>
        <w:tabs>
          <w:tab w:val="left" w:pos="4395"/>
        </w:tabs>
        <w:spacing w:line="360" w:lineRule="auto"/>
        <w:rPr>
          <w:rFonts w:hAnsi="宋体" w:cs="宋体"/>
          <w:highlight w:val="none"/>
        </w:rPr>
      </w:pPr>
    </w:p>
    <w:p>
      <w:pPr>
        <w:tabs>
          <w:tab w:val="left" w:pos="4395"/>
        </w:tabs>
        <w:spacing w:line="360" w:lineRule="auto"/>
        <w:ind w:firstLine="2880" w:firstLineChars="1200"/>
        <w:rPr>
          <w:rFonts w:hAnsi="宋体" w:cs="宋体"/>
          <w:highlight w:val="none"/>
        </w:rPr>
      </w:pPr>
      <w:r>
        <w:rPr>
          <w:rFonts w:hint="eastAsia" w:hAnsi="宋体" w:cs="宋体"/>
          <w:highlight w:val="none"/>
        </w:rPr>
        <w:t>卖方：（盖单位章）</w:t>
      </w:r>
    </w:p>
    <w:p>
      <w:pPr>
        <w:tabs>
          <w:tab w:val="left" w:pos="4395"/>
        </w:tabs>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4867" w:firstLineChars="2028"/>
        <w:jc w:val="right"/>
        <w:rPr>
          <w:rFonts w:hAnsi="宋体" w:cs="宋体"/>
          <w:highlight w:val="none"/>
        </w:rPr>
      </w:pPr>
      <w:r>
        <w:rPr>
          <w:rFonts w:hint="eastAsia" w:hAnsi="宋体" w:cs="宋体"/>
          <w:highlight w:val="none"/>
        </w:rPr>
        <w:t>年</w:t>
      </w:r>
      <w:r>
        <w:rPr>
          <w:rFonts w:hint="eastAsia" w:hAnsi="宋体" w:cs="宋体"/>
          <w:highlight w:val="none"/>
          <w:lang w:val="en-US" w:eastAsia="zh-CN"/>
        </w:rPr>
        <w:t xml:space="preserve"> </w:t>
      </w:r>
      <w:r>
        <w:rPr>
          <w:rFonts w:hint="eastAsia" w:hAnsi="宋体" w:cs="宋体"/>
          <w:highlight w:val="none"/>
        </w:rPr>
        <w:t>月</w:t>
      </w:r>
      <w:r>
        <w:rPr>
          <w:rFonts w:hint="eastAsia" w:hAnsi="宋体" w:cs="宋体"/>
          <w:highlight w:val="none"/>
          <w:lang w:val="en-US" w:eastAsia="zh-CN"/>
        </w:rPr>
        <w:t xml:space="preserve"> </w:t>
      </w:r>
      <w:r>
        <w:rPr>
          <w:rFonts w:hint="eastAsia" w:hAnsi="宋体" w:cs="宋体"/>
          <w:highlight w:val="none"/>
        </w:rPr>
        <w:t>日</w:t>
      </w:r>
    </w:p>
    <w:p>
      <w:pPr>
        <w:adjustRightInd w:val="0"/>
        <w:snapToGrid w:val="0"/>
        <w:spacing w:line="360" w:lineRule="auto"/>
        <w:rPr>
          <w:rFonts w:hAnsi="宋体" w:cs="宋体"/>
          <w:highlight w:val="none"/>
        </w:rPr>
      </w:pPr>
      <w:r>
        <w:rPr>
          <w:rFonts w:hint="eastAsia" w:hAnsi="宋体" w:cs="宋体"/>
          <w:highlight w:val="none"/>
        </w:rPr>
        <w:br w:type="page"/>
      </w:r>
    </w:p>
    <w:p>
      <w:pPr>
        <w:pStyle w:val="2"/>
        <w:spacing w:before="0" w:after="0"/>
        <w:ind w:firstLine="137"/>
        <w:rPr>
          <w:rFonts w:cs="黑体"/>
          <w:highlight w:val="none"/>
        </w:rPr>
      </w:pPr>
      <w:bookmarkStart w:id="975" w:name="_Toc501460715"/>
      <w:r>
        <w:rPr>
          <w:rFonts w:hint="eastAsia" w:cs="黑体"/>
          <w:highlight w:val="none"/>
        </w:rPr>
        <w:t>附件二：履约保证金格式</w:t>
      </w:r>
      <w:bookmarkEnd w:id="975"/>
    </w:p>
    <w:p>
      <w:pPr>
        <w:spacing w:line="360" w:lineRule="auto"/>
        <w:rPr>
          <w:rFonts w:hAnsi="宋体" w:cs="宋体"/>
          <w:highlight w:val="none"/>
        </w:rPr>
      </w:pPr>
      <w:r>
        <w:rPr>
          <w:rFonts w:hint="eastAsia" w:hAnsi="宋体" w:cs="宋体"/>
          <w:highlight w:val="none"/>
        </w:rPr>
        <w:t>如采用银行保函，格式如下。</w:t>
      </w:r>
    </w:p>
    <w:p>
      <w:pPr>
        <w:spacing w:line="360" w:lineRule="auto"/>
        <w:jc w:val="center"/>
        <w:rPr>
          <w:rFonts w:ascii="黑体" w:hAnsi="黑体" w:eastAsia="黑体" w:cs="黑体"/>
          <w:highlight w:val="none"/>
        </w:rPr>
      </w:pPr>
      <w:r>
        <w:rPr>
          <w:rFonts w:hint="eastAsia" w:ascii="黑体" w:hAnsi="黑体" w:eastAsia="黑体" w:cs="黑体"/>
          <w:highlight w:val="none"/>
        </w:rPr>
        <w:t>履约保证金</w:t>
      </w:r>
    </w:p>
    <w:p>
      <w:pPr>
        <w:spacing w:line="360" w:lineRule="auto"/>
        <w:jc w:val="center"/>
        <w:rPr>
          <w:rFonts w:hAnsi="宋体" w:cs="宋体"/>
          <w:highlight w:val="none"/>
          <w:u w:val="single"/>
        </w:rPr>
      </w:pPr>
    </w:p>
    <w:p>
      <w:pPr>
        <w:spacing w:line="360" w:lineRule="auto"/>
        <w:rPr>
          <w:rFonts w:hAnsi="宋体" w:cs="宋体"/>
          <w:highlight w:val="none"/>
        </w:rPr>
      </w:pPr>
      <w:r>
        <w:rPr>
          <w:rFonts w:hint="eastAsia" w:hAnsi="宋体" w:cs="宋体"/>
          <w:highlight w:val="none"/>
        </w:rPr>
        <w:t>（买方名称）：</w:t>
      </w:r>
    </w:p>
    <w:p>
      <w:pPr>
        <w:spacing w:line="360" w:lineRule="auto"/>
        <w:ind w:firstLine="480" w:firstLineChars="200"/>
        <w:rPr>
          <w:rFonts w:hAnsi="宋体" w:cs="宋体"/>
          <w:highlight w:val="none"/>
        </w:rPr>
      </w:pPr>
      <w:r>
        <w:rPr>
          <w:rFonts w:hint="eastAsia" w:hAnsi="宋体" w:cs="宋体"/>
          <w:highlight w:val="none"/>
        </w:rPr>
        <w:t>鉴于（卖方名称，以下称“卖方”） 为（项目名称）的中标（成交）人，应卖方申请，我方愿意无条件地、不可撤销地就卖方履行与你方签订的合同，向你方提供连带责任担保。我方愿意无条件地、不可撤销地就卖方履行与你方订立的合同，向你方提供连带责任担保。</w:t>
      </w:r>
    </w:p>
    <w:p>
      <w:pPr>
        <w:spacing w:line="360" w:lineRule="auto"/>
        <w:ind w:firstLine="480" w:firstLineChars="200"/>
        <w:rPr>
          <w:rFonts w:hAnsi="宋体" w:cs="宋体"/>
          <w:highlight w:val="none"/>
        </w:rPr>
      </w:pPr>
      <w:r>
        <w:rPr>
          <w:rFonts w:hint="eastAsia" w:hAnsi="宋体" w:cs="宋体"/>
          <w:highlight w:val="none"/>
        </w:rPr>
        <w:t>1. 担保金额人民币（大写）（¥）。</w:t>
      </w:r>
    </w:p>
    <w:p>
      <w:pPr>
        <w:spacing w:line="360" w:lineRule="auto"/>
        <w:ind w:firstLine="480" w:firstLineChars="200"/>
        <w:rPr>
          <w:rFonts w:hAnsi="宋体" w:cs="宋体"/>
          <w:highlight w:val="none"/>
        </w:rPr>
      </w:pPr>
      <w:r>
        <w:rPr>
          <w:rFonts w:hint="eastAsia" w:hAnsi="宋体" w:cs="宋体"/>
          <w:highlight w:val="none"/>
        </w:rPr>
        <w:t>2. 担保有效期自买方与卖方签订的合同生效之日起至你方</w:t>
      </w:r>
      <w:r>
        <w:rPr>
          <w:rFonts w:hint="eastAsia" w:hAnsi="宋体" w:cs="宋体"/>
          <w:bCs/>
          <w:highlight w:val="none"/>
        </w:rPr>
        <w:t>签发合同货物验收证书或验收款支付函且卖方按照合同约定缴纳质量保证金之日为止。</w:t>
      </w:r>
    </w:p>
    <w:p>
      <w:pPr>
        <w:spacing w:line="360" w:lineRule="auto"/>
        <w:ind w:firstLine="480" w:firstLineChars="200"/>
        <w:rPr>
          <w:rFonts w:hAnsi="宋体" w:cs="宋体"/>
          <w:highlight w:val="none"/>
        </w:rPr>
      </w:pPr>
      <w:r>
        <w:rPr>
          <w:rFonts w:hint="eastAsia" w:hAnsi="宋体" w:cs="宋体"/>
          <w:highlight w:val="none"/>
        </w:rPr>
        <w:t>3. 在本担保有效期内，如果卖方不履行合同约定的义务或其履行不符合合同的约定，我方在收到你方以书面形式提出的在担保金额内的赔偿要求后，在7日内无条件支付。</w:t>
      </w:r>
    </w:p>
    <w:p>
      <w:pPr>
        <w:spacing w:line="360" w:lineRule="auto"/>
        <w:ind w:firstLine="480" w:firstLineChars="200"/>
        <w:rPr>
          <w:rFonts w:hAnsi="宋体" w:cs="宋体"/>
          <w:highlight w:val="none"/>
        </w:rPr>
      </w:pPr>
      <w:r>
        <w:rPr>
          <w:rFonts w:hint="eastAsia" w:hAnsi="宋体" w:cs="宋体"/>
          <w:highlight w:val="none"/>
        </w:rPr>
        <w:t>4. 买方和卖方按合同约定变更合同时</w:t>
      </w:r>
      <w:bookmarkStart w:id="976" w:name="_Toc384308366"/>
      <w:bookmarkStart w:id="977" w:name="_Toc184635123"/>
      <w:bookmarkStart w:id="978" w:name="_Toc296602586"/>
      <w:bookmarkStart w:id="979" w:name="_Toc246997079"/>
      <w:bookmarkStart w:id="980" w:name="_Toc246996336"/>
      <w:bookmarkStart w:id="981" w:name="_Toc361508743"/>
      <w:bookmarkStart w:id="982" w:name="_Toc247085851"/>
      <w:bookmarkStart w:id="983" w:name="_Toc369531685"/>
      <w:bookmarkStart w:id="984" w:name="_Toc247514198"/>
      <w:bookmarkStart w:id="985" w:name="_Toc300835200"/>
      <w:bookmarkStart w:id="986" w:name="_Toc247527799"/>
      <w:bookmarkStart w:id="987" w:name="_Toc361231267"/>
      <w:r>
        <w:rPr>
          <w:rFonts w:hint="eastAsia" w:hAnsi="宋体" w:cs="宋体"/>
          <w:highlight w:val="none"/>
        </w:rPr>
        <w:t>，无论我方是否收到该</w:t>
      </w:r>
      <w:bookmarkEnd w:id="976"/>
      <w:bookmarkEnd w:id="977"/>
      <w:bookmarkEnd w:id="978"/>
      <w:bookmarkEnd w:id="979"/>
      <w:bookmarkEnd w:id="980"/>
      <w:bookmarkEnd w:id="981"/>
      <w:bookmarkEnd w:id="982"/>
      <w:bookmarkEnd w:id="983"/>
      <w:bookmarkEnd w:id="984"/>
      <w:bookmarkEnd w:id="985"/>
      <w:bookmarkEnd w:id="986"/>
      <w:bookmarkEnd w:id="987"/>
      <w:r>
        <w:rPr>
          <w:rFonts w:hint="eastAsia" w:hAnsi="宋体" w:cs="宋体"/>
          <w:highlight w:val="none"/>
        </w:rPr>
        <w:t>变</w:t>
      </w:r>
      <w:bookmarkStart w:id="988" w:name="_Toc300835201"/>
      <w:bookmarkStart w:id="989" w:name="_Toc179632786"/>
      <w:bookmarkStart w:id="990" w:name="_Toc152045768"/>
      <w:bookmarkStart w:id="991" w:name="_Toc384308367"/>
      <w:bookmarkStart w:id="992" w:name="_Toc144974827"/>
      <w:bookmarkStart w:id="993" w:name="_Toc361508744"/>
      <w:bookmarkStart w:id="994" w:name="_Toc152042547"/>
      <w:bookmarkStart w:id="995" w:name="_Toc369531686"/>
      <w:bookmarkStart w:id="996" w:name="_Toc247527800"/>
      <w:bookmarkStart w:id="997" w:name="_Toc247085852"/>
      <w:bookmarkStart w:id="998" w:name="_Toc361231268"/>
      <w:bookmarkStart w:id="999" w:name="_Toc246996337"/>
      <w:bookmarkStart w:id="1000" w:name="_Toc246997080"/>
      <w:bookmarkStart w:id="1001" w:name="_Toc5746"/>
      <w:bookmarkStart w:id="1002" w:name="_Toc247514199"/>
      <w:r>
        <w:rPr>
          <w:rFonts w:hint="eastAsia" w:hAnsi="宋体" w:cs="宋体"/>
          <w:highlight w:val="none"/>
        </w:rPr>
        <w:t>更，我方承担本</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Pr>
          <w:rFonts w:hint="eastAsia" w:hAnsi="宋体" w:cs="宋体"/>
          <w:highlight w:val="none"/>
        </w:rPr>
        <w:t>担保规定的义务不变。</w:t>
      </w:r>
    </w:p>
    <w:p>
      <w:pPr>
        <w:spacing w:line="360" w:lineRule="auto"/>
        <w:ind w:firstLine="480" w:firstLineChars="200"/>
        <w:rPr>
          <w:rFonts w:hAnsi="宋体" w:cs="宋体"/>
          <w:highlight w:val="none"/>
        </w:rPr>
      </w:pPr>
      <w:r>
        <w:rPr>
          <w:rFonts w:hint="eastAsia" w:hAnsi="宋体" w:cs="宋体"/>
          <w:highlight w:val="none"/>
        </w:rPr>
        <w:t>5. 因本保函发生的纠纷，可由双方协商解决，协商不成的，任何一方均可提请仲裁委员会仲裁。</w:t>
      </w:r>
    </w:p>
    <w:p>
      <w:pPr>
        <w:spacing w:line="360" w:lineRule="auto"/>
        <w:ind w:firstLine="480" w:firstLineChars="200"/>
        <w:rPr>
          <w:rFonts w:hAnsi="宋体" w:cs="宋体"/>
          <w:highlight w:val="none"/>
        </w:rPr>
      </w:pPr>
      <w:r>
        <w:rPr>
          <w:rFonts w:hint="eastAsia" w:hAnsi="宋体" w:cs="宋体"/>
          <w:highlight w:val="none"/>
        </w:rPr>
        <w:t>6. 本保函自我方法定代表人（或其授权代理人）签字并加盖公章之日起生效。</w:t>
      </w:r>
    </w:p>
    <w:p>
      <w:pPr>
        <w:spacing w:line="360" w:lineRule="auto"/>
        <w:ind w:firstLine="2640" w:firstLineChars="1100"/>
        <w:rPr>
          <w:rFonts w:hAnsi="宋体" w:cs="宋体"/>
          <w:highlight w:val="none"/>
        </w:rPr>
      </w:pPr>
    </w:p>
    <w:p>
      <w:pPr>
        <w:spacing w:line="360" w:lineRule="auto"/>
        <w:jc w:val="right"/>
        <w:rPr>
          <w:rFonts w:hAnsi="宋体" w:cs="宋体"/>
          <w:highlight w:val="none"/>
        </w:rPr>
      </w:pPr>
      <w:r>
        <w:rPr>
          <w:rFonts w:hint="eastAsia" w:hAnsi="宋体" w:cs="宋体"/>
          <w:highlight w:val="none"/>
        </w:rPr>
        <w:t>担保人名称：（盖单位章）</w:t>
      </w:r>
    </w:p>
    <w:p>
      <w:pPr>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2640" w:firstLineChars="1100"/>
        <w:rPr>
          <w:rFonts w:hAnsi="宋体" w:cs="宋体"/>
          <w:highlight w:val="none"/>
        </w:rPr>
      </w:pPr>
      <w:r>
        <w:rPr>
          <w:rFonts w:hint="eastAsia" w:hAnsi="宋体" w:cs="宋体"/>
          <w:highlight w:val="none"/>
        </w:rPr>
        <w:t>地址：</w:t>
      </w:r>
    </w:p>
    <w:p>
      <w:pPr>
        <w:spacing w:line="360" w:lineRule="auto"/>
        <w:ind w:firstLine="2640" w:firstLineChars="1100"/>
        <w:rPr>
          <w:rFonts w:hAnsi="宋体" w:cs="宋体"/>
          <w:highlight w:val="none"/>
        </w:rPr>
      </w:pPr>
      <w:r>
        <w:rPr>
          <w:rFonts w:hint="eastAsia" w:hAnsi="宋体" w:cs="宋体"/>
          <w:highlight w:val="none"/>
        </w:rPr>
        <w:t>邮政编码：</w:t>
      </w:r>
    </w:p>
    <w:p>
      <w:pPr>
        <w:spacing w:line="360" w:lineRule="auto"/>
        <w:ind w:firstLine="2640" w:firstLineChars="1100"/>
        <w:rPr>
          <w:rFonts w:hAnsi="宋体" w:cs="宋体"/>
          <w:highlight w:val="none"/>
        </w:rPr>
      </w:pPr>
      <w:r>
        <w:rPr>
          <w:rFonts w:hint="eastAsia" w:hAnsi="宋体" w:cs="宋体"/>
          <w:highlight w:val="none"/>
        </w:rPr>
        <w:t>电话：</w:t>
      </w:r>
    </w:p>
    <w:p>
      <w:pPr>
        <w:spacing w:line="360" w:lineRule="auto"/>
        <w:ind w:right="840" w:rightChars="350" w:firstLine="2640" w:firstLineChars="1100"/>
        <w:jc w:val="right"/>
        <w:rPr>
          <w:rFonts w:hAnsi="宋体" w:cs="宋体"/>
          <w:highlight w:val="none"/>
        </w:rPr>
      </w:pPr>
      <w:r>
        <w:rPr>
          <w:rFonts w:hint="eastAsia" w:hAnsi="宋体" w:cs="宋体"/>
          <w:highlight w:val="none"/>
        </w:rPr>
        <w:t>年</w:t>
      </w:r>
      <w:r>
        <w:rPr>
          <w:rFonts w:hint="eastAsia" w:hAnsi="宋体" w:cs="宋体"/>
          <w:highlight w:val="none"/>
          <w:lang w:val="en-US" w:eastAsia="zh-CN"/>
        </w:rPr>
        <w:t xml:space="preserve"> </w:t>
      </w:r>
      <w:r>
        <w:rPr>
          <w:rFonts w:hint="eastAsia" w:hAnsi="宋体" w:cs="宋体"/>
          <w:highlight w:val="none"/>
        </w:rPr>
        <w:t>月</w:t>
      </w:r>
      <w:r>
        <w:rPr>
          <w:rFonts w:hint="eastAsia" w:hAnsi="宋体" w:cs="宋体"/>
          <w:highlight w:val="none"/>
          <w:lang w:val="en-US" w:eastAsia="zh-CN"/>
        </w:rPr>
        <w:t xml:space="preserve"> </w:t>
      </w:r>
      <w:r>
        <w:rPr>
          <w:rFonts w:hint="eastAsia" w:hAnsi="宋体" w:cs="宋体"/>
          <w:highlight w:val="none"/>
        </w:rPr>
        <w:t>日</w:t>
      </w:r>
    </w:p>
    <w:p>
      <w:pPr>
        <w:outlineLvl w:val="2"/>
        <w:rPr>
          <w:rFonts w:ascii="黑体" w:hAnsi="黑体" w:eastAsia="黑体" w:cs="黑体"/>
          <w:bCs/>
          <w:highlight w:val="none"/>
        </w:rPr>
      </w:pPr>
      <w:r>
        <w:rPr>
          <w:rFonts w:hint="eastAsia" w:ascii="黑体" w:hAnsi="黑体" w:eastAsia="黑体" w:cs="黑体"/>
          <w:bCs/>
          <w:highlight w:val="none"/>
        </w:rPr>
        <w:br w:type="page"/>
      </w:r>
      <w:r>
        <w:rPr>
          <w:rFonts w:hint="eastAsia" w:ascii="黑体" w:hAnsi="黑体" w:eastAsia="黑体" w:cs="黑体"/>
          <w:bCs/>
          <w:highlight w:val="none"/>
        </w:rPr>
        <w:t>附</w:t>
      </w:r>
      <w:bookmarkStart w:id="1003" w:name="_Toc296346732"/>
      <w:bookmarkStart w:id="1004" w:name="_Toc296891271"/>
      <w:bookmarkStart w:id="1005" w:name="_Toc296347230"/>
      <w:bookmarkStart w:id="1006" w:name="_Toc296503231"/>
      <w:bookmarkStart w:id="1007" w:name="_Toc296891059"/>
      <w:bookmarkStart w:id="1008" w:name="_Toc296944570"/>
      <w:r>
        <w:rPr>
          <w:rFonts w:hint="eastAsia" w:ascii="黑体" w:hAnsi="黑体" w:eastAsia="黑体" w:cs="黑体"/>
          <w:bCs/>
          <w:highlight w:val="none"/>
        </w:rPr>
        <w:t>件三：廉政协议</w:t>
      </w:r>
    </w:p>
    <w:bookmarkEnd w:id="1003"/>
    <w:bookmarkEnd w:id="1004"/>
    <w:bookmarkEnd w:id="1005"/>
    <w:bookmarkEnd w:id="1006"/>
    <w:bookmarkEnd w:id="1007"/>
    <w:bookmarkEnd w:id="1008"/>
    <w:p>
      <w:pPr>
        <w:widowControl/>
        <w:spacing w:line="360" w:lineRule="auto"/>
        <w:ind w:firstLine="643"/>
        <w:jc w:val="center"/>
        <w:outlineLvl w:val="0"/>
        <w:rPr>
          <w:rFonts w:hAnsi="宋体" w:cs="宋体"/>
          <w:bCs/>
          <w:highlight w:val="none"/>
        </w:rPr>
      </w:pPr>
      <w:bookmarkStart w:id="1009" w:name="_Toc2270"/>
      <w:bookmarkStart w:id="1010" w:name="_Toc18547"/>
      <w:bookmarkStart w:id="1011" w:name="_Toc117002184"/>
      <w:bookmarkStart w:id="1012" w:name="_Toc140069435"/>
      <w:r>
        <w:rPr>
          <w:rFonts w:hint="eastAsia" w:hAnsi="宋体" w:cs="宋体"/>
          <w:bCs/>
          <w:highlight w:val="none"/>
        </w:rPr>
        <w:t>廉政协议</w:t>
      </w:r>
      <w:bookmarkEnd w:id="1009"/>
      <w:bookmarkEnd w:id="1010"/>
      <w:bookmarkEnd w:id="1011"/>
      <w:bookmarkEnd w:id="1012"/>
    </w:p>
    <w:p>
      <w:pPr>
        <w:widowControl/>
        <w:spacing w:line="360" w:lineRule="auto"/>
        <w:ind w:firstLine="480" w:firstLineChars="200"/>
        <w:jc w:val="left"/>
        <w:rPr>
          <w:rFonts w:hAnsi="宋体" w:cs="宋体"/>
          <w:highlight w:val="none"/>
        </w:rPr>
      </w:pPr>
      <w:r>
        <w:rPr>
          <w:rFonts w:hint="eastAsia" w:hAnsi="宋体" w:cs="宋体"/>
          <w:highlight w:val="none"/>
        </w:rPr>
        <w:t>为促进双方诚信经营、廉洁从业，防范商业贿赂，保护国家、集体和当事人的合法权益，根据国家有关法律法规和安徽省、合肥市廉政建设的规定，（买方名称，以下简称“买方”）与（卖方名称，以下称“卖方”），特此订立本协议共同遵照执行。</w:t>
      </w:r>
    </w:p>
    <w:p>
      <w:pPr>
        <w:widowControl/>
        <w:spacing w:line="360" w:lineRule="auto"/>
        <w:ind w:firstLine="480" w:firstLineChars="200"/>
        <w:jc w:val="left"/>
        <w:outlineLvl w:val="0"/>
        <w:rPr>
          <w:rFonts w:hAnsi="宋体" w:cs="宋体"/>
          <w:highlight w:val="none"/>
        </w:rPr>
      </w:pPr>
      <w:bookmarkStart w:id="1013" w:name="_Toc18846"/>
      <w:bookmarkStart w:id="1014" w:name="_Toc117002185"/>
      <w:bookmarkStart w:id="1015" w:name="_Toc140069436"/>
      <w:bookmarkStart w:id="1016" w:name="_Toc15924"/>
      <w:r>
        <w:rPr>
          <w:rFonts w:hint="eastAsia" w:hAnsi="宋体" w:cs="宋体"/>
          <w:highlight w:val="none"/>
        </w:rPr>
        <w:t>第一条 买卖双方的权利和义务</w:t>
      </w:r>
      <w:bookmarkEnd w:id="1013"/>
      <w:bookmarkEnd w:id="1014"/>
      <w:bookmarkEnd w:id="1015"/>
      <w:bookmarkEnd w:id="1016"/>
    </w:p>
    <w:p>
      <w:pPr>
        <w:widowControl/>
        <w:spacing w:line="360" w:lineRule="auto"/>
        <w:ind w:firstLine="480" w:firstLineChars="200"/>
        <w:jc w:val="left"/>
        <w:rPr>
          <w:rFonts w:hAnsi="宋体" w:cs="宋体"/>
          <w:highlight w:val="none"/>
        </w:rPr>
      </w:pPr>
      <w:r>
        <w:rPr>
          <w:rFonts w:hint="eastAsia" w:hAnsi="宋体" w:cs="宋体"/>
          <w:highlight w:val="none"/>
        </w:rPr>
        <w:t>（一）买卖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80" w:firstLineChars="200"/>
        <w:jc w:val="left"/>
        <w:rPr>
          <w:rFonts w:hAnsi="宋体" w:cs="宋体"/>
          <w:highlight w:val="none"/>
        </w:rPr>
      </w:pPr>
      <w:r>
        <w:rPr>
          <w:rFonts w:hint="eastAsia" w:hAnsi="宋体" w:cs="宋体"/>
          <w:highlight w:val="none"/>
        </w:rPr>
        <w:t>（二）严格执行的合同要求，自觉履行合同约定的相关义务。</w:t>
      </w:r>
    </w:p>
    <w:p>
      <w:pPr>
        <w:widowControl/>
        <w:spacing w:line="360" w:lineRule="auto"/>
        <w:ind w:firstLine="480" w:firstLineChars="200"/>
        <w:jc w:val="left"/>
        <w:rPr>
          <w:rFonts w:hAnsi="宋体" w:cs="宋体"/>
          <w:highlight w:val="none"/>
        </w:rPr>
      </w:pPr>
      <w:r>
        <w:rPr>
          <w:rFonts w:hint="eastAsia" w:hAnsi="宋体" w:cs="宋体"/>
          <w:highlight w:val="none"/>
        </w:rPr>
        <w:t>（三）在业务活动中坚持公开、公正、诚信、透明的原则，不得损害国家、集体利益。</w:t>
      </w:r>
    </w:p>
    <w:p>
      <w:pPr>
        <w:widowControl/>
        <w:spacing w:line="360" w:lineRule="auto"/>
        <w:ind w:firstLine="480" w:firstLineChars="200"/>
        <w:jc w:val="left"/>
        <w:rPr>
          <w:rFonts w:hAnsi="宋体" w:cs="宋体"/>
          <w:highlight w:val="none"/>
        </w:rPr>
      </w:pPr>
      <w:r>
        <w:rPr>
          <w:rFonts w:hint="eastAsia" w:hAnsi="宋体" w:cs="宋体"/>
          <w:highlight w:val="none"/>
        </w:rPr>
        <w:t>（四）建立健全廉政制度，开展廉政教育，公布举报电话，监督并认真查处违法违纪行为。</w:t>
      </w:r>
    </w:p>
    <w:p>
      <w:pPr>
        <w:widowControl/>
        <w:spacing w:line="360" w:lineRule="auto"/>
        <w:ind w:firstLine="480" w:firstLineChars="200"/>
        <w:jc w:val="left"/>
        <w:rPr>
          <w:rFonts w:hAnsi="宋体" w:cs="宋体"/>
          <w:highlight w:val="none"/>
        </w:rPr>
      </w:pPr>
      <w:r>
        <w:rPr>
          <w:rFonts w:hint="eastAsia" w:hAnsi="宋体" w:cs="宋体"/>
          <w:highlight w:val="none"/>
        </w:rPr>
        <w:t>（五）发现对方在业务活动中有违反廉政规定的行为，应及时提醒对方纠正。情节严重的，应向其上级有关部门举报、建议给予处理，并有权要求告知处理结果。</w:t>
      </w:r>
    </w:p>
    <w:p>
      <w:pPr>
        <w:widowControl/>
        <w:spacing w:line="360" w:lineRule="auto"/>
        <w:ind w:firstLine="480" w:firstLineChars="200"/>
        <w:jc w:val="left"/>
        <w:outlineLvl w:val="0"/>
        <w:rPr>
          <w:rFonts w:hAnsi="宋体" w:cs="宋体"/>
          <w:highlight w:val="none"/>
        </w:rPr>
      </w:pPr>
      <w:bookmarkStart w:id="1017" w:name="_Toc117002186"/>
      <w:bookmarkStart w:id="1018" w:name="_Toc29243"/>
      <w:bookmarkStart w:id="1019" w:name="_Toc25934"/>
      <w:bookmarkStart w:id="1020" w:name="_Toc140069437"/>
      <w:r>
        <w:rPr>
          <w:rFonts w:hint="eastAsia" w:hAnsi="宋体" w:cs="宋体"/>
          <w:highlight w:val="none"/>
        </w:rPr>
        <w:t>第二条 买方的义务</w:t>
      </w:r>
      <w:bookmarkEnd w:id="1017"/>
      <w:bookmarkEnd w:id="1018"/>
      <w:bookmarkEnd w:id="1019"/>
      <w:bookmarkEnd w:id="1020"/>
    </w:p>
    <w:p>
      <w:pPr>
        <w:widowControl/>
        <w:spacing w:line="360" w:lineRule="auto"/>
        <w:ind w:firstLine="600" w:firstLineChars="250"/>
        <w:jc w:val="left"/>
        <w:rPr>
          <w:rFonts w:hAnsi="宋体" w:cs="宋体"/>
          <w:highlight w:val="none"/>
        </w:rPr>
      </w:pPr>
      <w:r>
        <w:rPr>
          <w:rFonts w:hint="eastAsia" w:hAnsi="宋体" w:cs="宋体"/>
          <w:highlight w:val="none"/>
        </w:rPr>
        <w:t>（一）买方及其工作人员不得索要或接受卖方的礼金、有价证券和贵重物品，不得在卖方报销任何应由买方单位或个人支付的费用等。</w:t>
      </w:r>
    </w:p>
    <w:p>
      <w:pPr>
        <w:widowControl/>
        <w:spacing w:line="360" w:lineRule="auto"/>
        <w:ind w:firstLine="480" w:firstLineChars="200"/>
        <w:jc w:val="left"/>
        <w:rPr>
          <w:rFonts w:hAnsi="宋体" w:cs="宋体"/>
          <w:highlight w:val="none"/>
        </w:rPr>
      </w:pPr>
      <w:r>
        <w:rPr>
          <w:rFonts w:hint="eastAsia" w:hAnsi="宋体" w:cs="宋体"/>
          <w:highlight w:val="none"/>
        </w:rPr>
        <w:t>（二）买方工作人员不得参加卖方安排的可能影响相关业务公开、公正、公平性的宴请和娱乐活动；不得参与任何形式的赌博，严禁通过赌博方式取得卖方及其工作人员的财物；不得接受卖方提供的通讯工具和高档办公用品等。</w:t>
      </w:r>
    </w:p>
    <w:p>
      <w:pPr>
        <w:widowControl/>
        <w:spacing w:line="360" w:lineRule="auto"/>
        <w:ind w:firstLine="480" w:firstLineChars="200"/>
        <w:jc w:val="left"/>
        <w:rPr>
          <w:rFonts w:hAnsi="宋体" w:cs="宋体"/>
          <w:highlight w:val="none"/>
        </w:rPr>
      </w:pPr>
      <w:r>
        <w:rPr>
          <w:rFonts w:hint="eastAsia" w:hAnsi="宋体" w:cs="宋体"/>
          <w:highlight w:val="none"/>
        </w:rPr>
        <w:t>（三）买方及其工作人员不得要求或者接受卖方为其住房装修、婚丧嫁娶活动、配偶子女工作安排以及出国出境、旅游等提供方便等。</w:t>
      </w:r>
    </w:p>
    <w:p>
      <w:pPr>
        <w:widowControl/>
        <w:spacing w:line="360" w:lineRule="auto"/>
        <w:ind w:firstLine="480" w:firstLineChars="200"/>
        <w:jc w:val="left"/>
        <w:rPr>
          <w:rFonts w:hAnsi="宋体" w:cs="宋体"/>
          <w:highlight w:val="none"/>
        </w:rPr>
      </w:pPr>
      <w:r>
        <w:rPr>
          <w:rFonts w:hint="eastAsia" w:hAnsi="宋体" w:cs="宋体"/>
          <w:highlight w:val="none"/>
        </w:rPr>
        <w:t>（四）买方工作人员不得在卖方有股权关联的企业兼职，不得向卖方介绍家属或者亲友从事与买方业务有关的经济活动。</w:t>
      </w:r>
    </w:p>
    <w:p>
      <w:pPr>
        <w:widowControl/>
        <w:spacing w:line="360" w:lineRule="auto"/>
        <w:ind w:firstLine="480" w:firstLineChars="200"/>
        <w:jc w:val="left"/>
        <w:rPr>
          <w:rFonts w:hAnsi="宋体" w:cs="宋体"/>
          <w:highlight w:val="none"/>
        </w:rPr>
      </w:pPr>
      <w:r>
        <w:rPr>
          <w:rFonts w:hint="eastAsia" w:hAnsi="宋体" w:cs="宋体"/>
          <w:highlight w:val="none"/>
        </w:rPr>
        <w:t>（五）买方工作人员不得以明显低于市场的价格向卖方购买房屋、汽车等物品；不得以明显高于市场的价格向卖方出售房屋、汽车等物品；不得以其他交易形式非法收受请托人财物。</w:t>
      </w:r>
    </w:p>
    <w:p>
      <w:pPr>
        <w:widowControl/>
        <w:spacing w:line="360" w:lineRule="auto"/>
        <w:ind w:firstLine="480" w:firstLineChars="200"/>
        <w:jc w:val="left"/>
        <w:rPr>
          <w:rFonts w:hAnsi="宋体" w:cs="宋体"/>
          <w:highlight w:val="none"/>
        </w:rPr>
      </w:pPr>
      <w:r>
        <w:rPr>
          <w:rFonts w:hint="eastAsia" w:hAnsi="宋体" w:cs="宋体"/>
          <w:highlight w:val="none"/>
        </w:rPr>
        <w:t>（六）买方工作人员不得利用职务之便收受卖方以回扣、手续费、加班费、咨询费、劳务费、协调费、辛苦费等各种名义给予或赠送的钱物。</w:t>
      </w:r>
    </w:p>
    <w:p>
      <w:pPr>
        <w:widowControl/>
        <w:spacing w:line="360" w:lineRule="auto"/>
        <w:ind w:firstLine="480" w:firstLineChars="200"/>
        <w:jc w:val="left"/>
        <w:rPr>
          <w:rFonts w:hAnsi="宋体" w:cs="宋体"/>
          <w:highlight w:val="none"/>
        </w:rPr>
      </w:pPr>
      <w:r>
        <w:rPr>
          <w:rFonts w:hint="eastAsia" w:hAnsi="宋体" w:cs="宋体"/>
          <w:highlight w:val="none"/>
        </w:rPr>
        <w:t>（七）买方工作人员不得接受卖方给予或赠送的干股或红利。</w:t>
      </w:r>
    </w:p>
    <w:p>
      <w:pPr>
        <w:widowControl/>
        <w:spacing w:line="360" w:lineRule="auto"/>
        <w:ind w:firstLine="480" w:firstLineChars="200"/>
        <w:jc w:val="left"/>
        <w:rPr>
          <w:rFonts w:hAnsi="宋体" w:cs="宋体"/>
          <w:highlight w:val="none"/>
        </w:rPr>
      </w:pPr>
      <w:r>
        <w:rPr>
          <w:rFonts w:hint="eastAsia" w:hAnsi="宋体" w:cs="宋体"/>
          <w:highlight w:val="none"/>
        </w:rPr>
        <w:t>（八）买方任何人不得以个人的名义向卖方推荐设备、部件等供货商以及其它合作单位。</w:t>
      </w:r>
    </w:p>
    <w:p>
      <w:pPr>
        <w:widowControl/>
        <w:spacing w:line="360" w:lineRule="auto"/>
        <w:ind w:firstLine="480" w:firstLineChars="200"/>
        <w:jc w:val="left"/>
        <w:outlineLvl w:val="0"/>
        <w:rPr>
          <w:rFonts w:hAnsi="宋体" w:cs="宋体"/>
          <w:highlight w:val="none"/>
        </w:rPr>
      </w:pPr>
      <w:bookmarkStart w:id="1021" w:name="_Toc14968"/>
      <w:bookmarkStart w:id="1022" w:name="_Toc117002187"/>
      <w:bookmarkStart w:id="1023" w:name="_Toc6050"/>
      <w:bookmarkStart w:id="1024" w:name="_Toc140069438"/>
      <w:r>
        <w:rPr>
          <w:rFonts w:hint="eastAsia" w:hAnsi="宋体" w:cs="宋体"/>
          <w:highlight w:val="none"/>
        </w:rPr>
        <w:t>第三条 卖方的义务</w:t>
      </w:r>
      <w:bookmarkEnd w:id="1021"/>
      <w:bookmarkEnd w:id="1022"/>
      <w:bookmarkEnd w:id="1023"/>
      <w:bookmarkEnd w:id="1024"/>
    </w:p>
    <w:p>
      <w:pPr>
        <w:widowControl/>
        <w:spacing w:line="360" w:lineRule="auto"/>
        <w:ind w:firstLine="484" w:firstLineChars="202"/>
        <w:jc w:val="left"/>
        <w:rPr>
          <w:rFonts w:hAnsi="宋体" w:cs="宋体"/>
          <w:highlight w:val="none"/>
        </w:rPr>
      </w:pPr>
      <w:r>
        <w:rPr>
          <w:rFonts w:hint="eastAsia" w:hAnsi="宋体" w:cs="宋体"/>
          <w:highlight w:val="none"/>
        </w:rPr>
        <w:t>（一）卖方不得以任何理由向买方及其工作人员行贿或馈赠礼金、有价证券、贵重礼品。</w:t>
      </w:r>
    </w:p>
    <w:p>
      <w:pPr>
        <w:widowControl/>
        <w:spacing w:line="360" w:lineRule="auto"/>
        <w:ind w:firstLine="484" w:firstLineChars="202"/>
        <w:jc w:val="left"/>
        <w:rPr>
          <w:rFonts w:hAnsi="宋体" w:cs="宋体"/>
          <w:highlight w:val="none"/>
        </w:rPr>
      </w:pPr>
      <w:r>
        <w:rPr>
          <w:rFonts w:hint="eastAsia" w:hAnsi="宋体" w:cs="宋体"/>
          <w:highlight w:val="none"/>
        </w:rPr>
        <w:t>（二）卖方不得以任何名义为买方及其工作人员报销应由买方单位或个人支付的任何费用。</w:t>
      </w:r>
    </w:p>
    <w:p>
      <w:pPr>
        <w:widowControl/>
        <w:spacing w:line="360" w:lineRule="auto"/>
        <w:ind w:firstLine="484" w:firstLineChars="202"/>
        <w:jc w:val="left"/>
        <w:rPr>
          <w:rFonts w:hAnsi="宋体" w:cs="宋体"/>
          <w:highlight w:val="none"/>
        </w:rPr>
      </w:pPr>
      <w:r>
        <w:rPr>
          <w:rFonts w:hint="eastAsia" w:hAnsi="宋体" w:cs="宋体"/>
          <w:highlight w:val="none"/>
        </w:rPr>
        <w:t>（三）卖方不得以任何理由安排买方工作人员参加可能影响相关业务公开、公正、公平性的宴请及娱乐活动。</w:t>
      </w:r>
    </w:p>
    <w:p>
      <w:pPr>
        <w:widowControl/>
        <w:spacing w:line="360" w:lineRule="auto"/>
        <w:ind w:firstLine="480" w:firstLineChars="200"/>
        <w:jc w:val="left"/>
        <w:rPr>
          <w:rFonts w:hAnsi="宋体" w:cs="宋体"/>
          <w:highlight w:val="none"/>
        </w:rPr>
      </w:pPr>
      <w:r>
        <w:rPr>
          <w:rFonts w:hint="eastAsia" w:hAnsi="宋体" w:cs="宋体"/>
          <w:highlight w:val="none"/>
        </w:rPr>
        <w:t>（四）卖方不得为买方单位和个人购置或提供通讯工具和高档办公用品等物品，也不得为买方提供与工作无关的房屋、汽车等。</w:t>
      </w:r>
    </w:p>
    <w:p>
      <w:pPr>
        <w:widowControl/>
        <w:spacing w:line="360" w:lineRule="auto"/>
        <w:ind w:firstLine="480" w:firstLineChars="200"/>
        <w:jc w:val="left"/>
        <w:rPr>
          <w:rFonts w:hAnsi="宋体" w:cs="宋体"/>
          <w:highlight w:val="none"/>
        </w:rPr>
      </w:pPr>
      <w:r>
        <w:rPr>
          <w:rFonts w:hint="eastAsia" w:hAnsi="宋体" w:cs="宋体"/>
          <w:highlight w:val="none"/>
        </w:rPr>
        <w:t>（五）卖方不得与买方工作人员就合同中的质量、数量、价格、工程量、验收等条款进行私下商谈或者达成默契。</w:t>
      </w:r>
    </w:p>
    <w:p>
      <w:pPr>
        <w:widowControl/>
        <w:spacing w:line="360" w:lineRule="auto"/>
        <w:ind w:firstLine="480" w:firstLineChars="200"/>
        <w:jc w:val="left"/>
        <w:rPr>
          <w:rFonts w:hAnsi="宋体" w:cs="宋体"/>
          <w:highlight w:val="none"/>
        </w:rPr>
      </w:pPr>
      <w:r>
        <w:rPr>
          <w:rFonts w:hint="eastAsia" w:hAnsi="宋体" w:cs="宋体"/>
          <w:highlight w:val="none"/>
        </w:rPr>
        <w:t>（六）卖方不得以回扣、手续费、加班费、咨询费、劳务费、协调费、辛苦费等各种名义向买方工作人员给予或赠送钱物。</w:t>
      </w:r>
    </w:p>
    <w:p>
      <w:pPr>
        <w:widowControl/>
        <w:spacing w:line="360" w:lineRule="auto"/>
        <w:ind w:firstLine="480" w:firstLineChars="200"/>
        <w:jc w:val="left"/>
        <w:rPr>
          <w:rFonts w:hAnsi="宋体" w:cs="宋体"/>
          <w:highlight w:val="none"/>
        </w:rPr>
      </w:pPr>
      <w:r>
        <w:rPr>
          <w:rFonts w:hint="eastAsia" w:hAnsi="宋体" w:cs="宋体"/>
          <w:highlight w:val="none"/>
        </w:rPr>
        <w:t>（七）卖方不得向买方工作人员提供干股或红利。</w:t>
      </w:r>
    </w:p>
    <w:p>
      <w:pPr>
        <w:widowControl/>
        <w:spacing w:line="360" w:lineRule="auto"/>
        <w:ind w:firstLine="480" w:firstLineChars="200"/>
        <w:jc w:val="left"/>
        <w:rPr>
          <w:rFonts w:hAnsi="宋体" w:cs="宋体"/>
          <w:highlight w:val="none"/>
        </w:rPr>
      </w:pPr>
      <w:r>
        <w:rPr>
          <w:rFonts w:hint="eastAsia" w:hAnsi="宋体" w:cs="宋体"/>
          <w:highlight w:val="none"/>
        </w:rPr>
        <w:t>（八）卖方须按专项纪检监察工作组（如有）要求开展相关工作。</w:t>
      </w:r>
    </w:p>
    <w:p>
      <w:pPr>
        <w:widowControl/>
        <w:spacing w:line="360" w:lineRule="auto"/>
        <w:ind w:firstLine="480" w:firstLineChars="200"/>
        <w:jc w:val="left"/>
        <w:outlineLvl w:val="0"/>
        <w:rPr>
          <w:rFonts w:hAnsi="宋体" w:cs="宋体"/>
          <w:highlight w:val="none"/>
        </w:rPr>
      </w:pPr>
      <w:bookmarkStart w:id="1025" w:name="_Toc21236"/>
      <w:bookmarkStart w:id="1026" w:name="_Toc140069439"/>
      <w:bookmarkStart w:id="1027" w:name="_Toc117002188"/>
      <w:bookmarkStart w:id="1028" w:name="_Toc2102"/>
      <w:r>
        <w:rPr>
          <w:rFonts w:hint="eastAsia" w:hAnsi="宋体" w:cs="宋体"/>
          <w:highlight w:val="none"/>
        </w:rPr>
        <w:t>第四条 违约责任</w:t>
      </w:r>
      <w:bookmarkEnd w:id="1025"/>
      <w:bookmarkEnd w:id="1026"/>
      <w:bookmarkEnd w:id="1027"/>
      <w:bookmarkEnd w:id="1028"/>
    </w:p>
    <w:p>
      <w:pPr>
        <w:widowControl/>
        <w:spacing w:line="360" w:lineRule="auto"/>
        <w:ind w:firstLine="480" w:firstLineChars="200"/>
        <w:jc w:val="left"/>
        <w:rPr>
          <w:rFonts w:hAnsi="宋体" w:cs="宋体"/>
          <w:highlight w:val="none"/>
        </w:rPr>
      </w:pPr>
      <w:r>
        <w:rPr>
          <w:rFonts w:hint="eastAsia" w:hAnsi="宋体" w:cs="宋体"/>
          <w:highlight w:val="none"/>
        </w:rPr>
        <w:t>（一）买方及其工作人员违反本协议第一、二条规定。买方按管理权限，对相关责任人依据有关规定给予党纪、政纪处分或组织处理；涉嫌犯罪的，移交司法机关追究刑事责任；给卖方单位造成经济损失的，应予以赔偿。</w:t>
      </w:r>
    </w:p>
    <w:p>
      <w:pPr>
        <w:widowControl/>
        <w:spacing w:line="360" w:lineRule="auto"/>
        <w:ind w:firstLine="480" w:firstLineChars="200"/>
        <w:jc w:val="left"/>
        <w:rPr>
          <w:rFonts w:hAnsi="宋体" w:cs="宋体"/>
          <w:highlight w:val="none"/>
        </w:rPr>
      </w:pPr>
      <w:r>
        <w:rPr>
          <w:rFonts w:hint="eastAsia" w:hAnsi="宋体" w:cs="宋体"/>
          <w:highlight w:val="none"/>
        </w:rPr>
        <w:t>买方投诉联系部门：，联系电话：。</w:t>
      </w:r>
    </w:p>
    <w:p>
      <w:pPr>
        <w:widowControl/>
        <w:spacing w:line="360" w:lineRule="auto"/>
        <w:ind w:firstLine="480" w:firstLineChars="200"/>
        <w:jc w:val="left"/>
        <w:rPr>
          <w:rFonts w:hAnsi="宋体" w:cs="宋体"/>
          <w:highlight w:val="none"/>
        </w:rPr>
      </w:pPr>
      <w:r>
        <w:rPr>
          <w:rFonts w:hint="eastAsia" w:hAnsi="宋体" w:cs="宋体"/>
          <w:highlight w:val="none"/>
        </w:rPr>
        <w:t>（二）卖方及其工作人员违反本协议第一、三条规定。根据具体情节和造成的后果，买方有权对卖方采取以下一种或多种处理办法：</w:t>
      </w:r>
    </w:p>
    <w:p>
      <w:pPr>
        <w:widowControl/>
        <w:spacing w:line="360" w:lineRule="auto"/>
        <w:ind w:firstLine="480" w:firstLineChars="200"/>
        <w:jc w:val="left"/>
        <w:rPr>
          <w:rFonts w:hAnsi="宋体" w:cs="宋体"/>
          <w:highlight w:val="none"/>
        </w:rPr>
      </w:pPr>
      <w:r>
        <w:rPr>
          <w:rFonts w:hint="eastAsia" w:hAnsi="宋体" w:cs="宋体"/>
          <w:highlight w:val="none"/>
        </w:rPr>
        <w:t xml:space="preserve">1.全额收取卖方合同履约保证金不予退还； </w:t>
      </w:r>
    </w:p>
    <w:p>
      <w:pPr>
        <w:widowControl/>
        <w:spacing w:line="360" w:lineRule="auto"/>
        <w:ind w:firstLine="480" w:firstLineChars="200"/>
        <w:jc w:val="left"/>
        <w:rPr>
          <w:rFonts w:hAnsi="宋体" w:cs="宋体"/>
          <w:highlight w:val="none"/>
        </w:rPr>
      </w:pPr>
      <w:r>
        <w:rPr>
          <w:rFonts w:hint="eastAsia" w:hAnsi="宋体" w:cs="宋体"/>
          <w:highlight w:val="none"/>
        </w:rPr>
        <w:t>2.追究卖方其他违约责任；</w:t>
      </w:r>
    </w:p>
    <w:p>
      <w:pPr>
        <w:widowControl/>
        <w:spacing w:line="360" w:lineRule="auto"/>
        <w:ind w:firstLine="480" w:firstLineChars="200"/>
        <w:jc w:val="left"/>
        <w:rPr>
          <w:rFonts w:hAnsi="宋体" w:cs="宋体"/>
          <w:highlight w:val="none"/>
        </w:rPr>
      </w:pPr>
      <w:r>
        <w:rPr>
          <w:rFonts w:hint="eastAsia" w:hAnsi="宋体" w:cs="宋体"/>
          <w:highlight w:val="none"/>
        </w:rPr>
        <w:t>3.终止或解除双方已签订的包括本合同在内的所有合同；</w:t>
      </w:r>
    </w:p>
    <w:p>
      <w:pPr>
        <w:widowControl/>
        <w:spacing w:line="360" w:lineRule="auto"/>
        <w:ind w:firstLine="480" w:firstLineChars="200"/>
        <w:jc w:val="left"/>
        <w:rPr>
          <w:rFonts w:hAnsi="宋体" w:cs="宋体"/>
          <w:highlight w:val="none"/>
        </w:rPr>
      </w:pPr>
      <w:r>
        <w:rPr>
          <w:rFonts w:hint="eastAsia" w:hAnsi="宋体" w:cs="宋体"/>
          <w:highlight w:val="none"/>
        </w:rPr>
        <w:t>4.卖方一定期限内（6个月至3年，具体由买方根据情况而定）不得参与买方作为发包人（业主）的项目投标。</w:t>
      </w:r>
    </w:p>
    <w:p>
      <w:pPr>
        <w:widowControl/>
        <w:spacing w:line="360" w:lineRule="auto"/>
        <w:ind w:firstLine="480" w:firstLineChars="200"/>
        <w:jc w:val="left"/>
        <w:rPr>
          <w:rFonts w:hAnsi="宋体" w:cs="宋体"/>
          <w:highlight w:val="none"/>
        </w:rPr>
      </w:pPr>
      <w:r>
        <w:rPr>
          <w:rFonts w:hint="eastAsia" w:hAnsi="宋体" w:cs="宋体"/>
          <w:highlight w:val="none"/>
        </w:rPr>
        <w:t>买方作出的处理意见，卖方应无条件接受并承担给买方造成的损失，全额返还通过不正当手段从买方获取的非法所得，并承担相应的法律责任。</w:t>
      </w:r>
    </w:p>
    <w:p>
      <w:pPr>
        <w:widowControl/>
        <w:spacing w:line="360" w:lineRule="auto"/>
        <w:ind w:firstLine="480" w:firstLineChars="200"/>
        <w:jc w:val="left"/>
        <w:outlineLvl w:val="0"/>
        <w:rPr>
          <w:rFonts w:hAnsi="宋体" w:cs="宋体"/>
          <w:highlight w:val="none"/>
        </w:rPr>
      </w:pPr>
      <w:bookmarkStart w:id="1029" w:name="_Toc3715"/>
      <w:bookmarkStart w:id="1030" w:name="_Toc117002189"/>
      <w:bookmarkStart w:id="1031" w:name="_Toc140069440"/>
      <w:bookmarkStart w:id="1032" w:name="_Toc9611"/>
      <w:r>
        <w:rPr>
          <w:rFonts w:hint="eastAsia" w:hAnsi="宋体" w:cs="宋体"/>
          <w:highlight w:val="none"/>
        </w:rPr>
        <w:t>第五条 双方约定</w:t>
      </w:r>
      <w:bookmarkEnd w:id="1029"/>
      <w:bookmarkEnd w:id="1030"/>
      <w:bookmarkEnd w:id="1031"/>
      <w:bookmarkEnd w:id="1032"/>
    </w:p>
    <w:p>
      <w:pPr>
        <w:widowControl/>
        <w:spacing w:line="360" w:lineRule="auto"/>
        <w:ind w:firstLine="480" w:firstLineChars="200"/>
        <w:jc w:val="left"/>
        <w:rPr>
          <w:rFonts w:hAnsi="宋体" w:cs="宋体"/>
          <w:highlight w:val="none"/>
        </w:rPr>
      </w:pPr>
      <w:r>
        <w:rPr>
          <w:rFonts w:hint="eastAsia" w:hAnsi="宋体" w:cs="宋体"/>
          <w:highlight w:val="none"/>
        </w:rPr>
        <w:t>本协议由双方或双方上级单位负责监督。可由买方或买方上级单位的纪检监察部门约请卖方或卖方上级单位的纪检监察部门对本协议履行情况进行检查，提出在本协议规定范围内的裁定意见。</w:t>
      </w:r>
    </w:p>
    <w:p>
      <w:pPr>
        <w:widowControl/>
        <w:spacing w:line="360" w:lineRule="auto"/>
        <w:ind w:firstLine="480" w:firstLineChars="200"/>
        <w:jc w:val="left"/>
        <w:outlineLvl w:val="0"/>
        <w:rPr>
          <w:rFonts w:hAnsi="宋体" w:cs="宋体"/>
          <w:highlight w:val="none"/>
        </w:rPr>
      </w:pPr>
      <w:bookmarkStart w:id="1033" w:name="_Toc3087"/>
      <w:bookmarkStart w:id="1034" w:name="_Toc117002190"/>
      <w:bookmarkStart w:id="1035" w:name="_Toc9718"/>
      <w:bookmarkStart w:id="1036" w:name="_Toc140069441"/>
      <w:r>
        <w:rPr>
          <w:rFonts w:hint="eastAsia" w:hAnsi="宋体" w:cs="宋体"/>
          <w:highlight w:val="none"/>
        </w:rPr>
        <w:t>第六条  本协议有效期为买卖双方签署之日起至合同终止。</w:t>
      </w:r>
      <w:bookmarkEnd w:id="1033"/>
      <w:bookmarkEnd w:id="1034"/>
      <w:bookmarkEnd w:id="1035"/>
      <w:bookmarkEnd w:id="1036"/>
    </w:p>
    <w:p>
      <w:pPr>
        <w:widowControl/>
        <w:spacing w:line="360" w:lineRule="auto"/>
        <w:ind w:firstLine="480" w:firstLineChars="200"/>
        <w:jc w:val="left"/>
        <w:outlineLvl w:val="0"/>
        <w:rPr>
          <w:rFonts w:hAnsi="宋体" w:cs="宋体"/>
          <w:highlight w:val="none"/>
        </w:rPr>
      </w:pPr>
      <w:bookmarkStart w:id="1037" w:name="_Toc2344"/>
      <w:bookmarkStart w:id="1038" w:name="_Toc140069442"/>
      <w:bookmarkStart w:id="1039" w:name="_Toc26216"/>
      <w:r>
        <w:rPr>
          <w:rFonts w:hint="eastAsia" w:hAnsi="宋体" w:cs="宋体"/>
          <w:highlight w:val="none"/>
        </w:rPr>
        <w:t>第七条  本协议作为合同的附件，与本合同具有同等法律效力。</w:t>
      </w:r>
      <w:bookmarkEnd w:id="1037"/>
      <w:bookmarkEnd w:id="1038"/>
      <w:bookmarkEnd w:id="1039"/>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买方（盖章）：            卖方（盖章）：</w:t>
      </w:r>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法定代表人或                            法定代表人或</w:t>
      </w:r>
    </w:p>
    <w:p>
      <w:pPr>
        <w:widowControl/>
        <w:spacing w:line="360" w:lineRule="auto"/>
        <w:ind w:firstLine="480" w:firstLineChars="200"/>
        <w:jc w:val="left"/>
        <w:rPr>
          <w:rFonts w:hAnsi="宋体" w:cs="宋体"/>
          <w:highlight w:val="none"/>
        </w:rPr>
      </w:pPr>
      <w:r>
        <w:rPr>
          <w:rFonts w:hint="eastAsia" w:hAnsi="宋体" w:cs="宋体"/>
          <w:highlight w:val="none"/>
        </w:rPr>
        <w:t>授权代表：</w:t>
      </w:r>
      <w:r>
        <w:rPr>
          <w:rFonts w:hint="eastAsia" w:hAnsi="宋体" w:cs="宋体"/>
          <w:highlight w:val="none"/>
          <w:u w:val="single"/>
        </w:rPr>
        <w:t xml:space="preserve">            （</w:t>
      </w:r>
      <w:r>
        <w:rPr>
          <w:rFonts w:hint="eastAsia" w:hAnsi="宋体" w:cs="宋体"/>
          <w:highlight w:val="none"/>
        </w:rPr>
        <w:t>职务）           授权代表：</w:t>
      </w:r>
      <w:r>
        <w:rPr>
          <w:rFonts w:hint="eastAsia" w:hAnsi="宋体" w:cs="宋体"/>
          <w:highlight w:val="none"/>
          <w:u w:val="single"/>
        </w:rPr>
        <w:t xml:space="preserve">         （</w:t>
      </w:r>
      <w:r>
        <w:rPr>
          <w:rFonts w:hint="eastAsia" w:hAnsi="宋体" w:cs="宋体"/>
          <w:highlight w:val="none"/>
        </w:rPr>
        <w:t>职务）</w:t>
      </w:r>
    </w:p>
    <w:p>
      <w:pPr>
        <w:widowControl/>
        <w:spacing w:line="360" w:lineRule="auto"/>
        <w:ind w:firstLine="480" w:firstLineChars="200"/>
        <w:jc w:val="left"/>
        <w:rPr>
          <w:rFonts w:hAnsi="宋体" w:cs="宋体"/>
          <w:highlight w:val="none"/>
        </w:rPr>
      </w:pPr>
      <w:r>
        <w:rPr>
          <w:rFonts w:hint="eastAsia" w:hAnsi="宋体" w:cs="宋体"/>
          <w:highlight w:val="none"/>
        </w:rPr>
        <w:t>姓名：                      姓名：</w:t>
      </w:r>
    </w:p>
    <w:p>
      <w:pPr>
        <w:widowControl/>
        <w:spacing w:line="360" w:lineRule="auto"/>
        <w:ind w:firstLine="480" w:firstLineChars="200"/>
        <w:jc w:val="left"/>
        <w:rPr>
          <w:rFonts w:hAnsi="宋体" w:cs="宋体"/>
          <w:highlight w:val="none"/>
        </w:rPr>
      </w:pPr>
      <w:r>
        <w:rPr>
          <w:rFonts w:hint="eastAsia" w:hAnsi="宋体" w:cs="宋体"/>
          <w:highlight w:val="none"/>
        </w:rPr>
        <w:t>签字：                      签字：</w:t>
      </w:r>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廉政监督联系人                           廉政监督联系人</w:t>
      </w:r>
    </w:p>
    <w:p>
      <w:pPr>
        <w:widowControl/>
        <w:spacing w:line="360" w:lineRule="auto"/>
        <w:ind w:firstLine="480" w:firstLineChars="200"/>
        <w:jc w:val="left"/>
        <w:rPr>
          <w:rFonts w:hAnsi="宋体" w:cs="宋体"/>
          <w:highlight w:val="none"/>
        </w:rPr>
      </w:pPr>
      <w:r>
        <w:rPr>
          <w:rFonts w:hint="eastAsia" w:hAnsi="宋体" w:cs="宋体"/>
          <w:highlight w:val="none"/>
        </w:rPr>
        <w:t>姓名：            姓名：</w:t>
      </w:r>
    </w:p>
    <w:p>
      <w:pPr>
        <w:widowControl/>
        <w:spacing w:line="360" w:lineRule="auto"/>
        <w:ind w:firstLine="480" w:firstLineChars="200"/>
        <w:jc w:val="left"/>
        <w:rPr>
          <w:rFonts w:hAnsi="宋体" w:cs="宋体"/>
          <w:highlight w:val="none"/>
        </w:rPr>
      </w:pPr>
      <w:r>
        <w:rPr>
          <w:rFonts w:hint="eastAsia" w:hAnsi="宋体" w:cs="宋体"/>
          <w:highlight w:val="none"/>
        </w:rPr>
        <w:t>签字：            签字：</w:t>
      </w:r>
    </w:p>
    <w:p>
      <w:pPr>
        <w:widowControl/>
        <w:spacing w:line="360" w:lineRule="auto"/>
        <w:ind w:firstLine="480" w:firstLineChars="200"/>
        <w:jc w:val="left"/>
        <w:rPr>
          <w:rFonts w:hAnsi="宋体" w:cs="宋体"/>
          <w:highlight w:val="none"/>
        </w:rPr>
      </w:pPr>
      <w:r>
        <w:rPr>
          <w:rFonts w:hint="eastAsia" w:hAnsi="宋体" w:cs="宋体"/>
          <w:highlight w:val="none"/>
        </w:rPr>
        <w:t>电话：            电话：</w:t>
      </w:r>
    </w:p>
    <w:p>
      <w:pPr>
        <w:widowControl/>
        <w:spacing w:line="360" w:lineRule="auto"/>
        <w:ind w:firstLine="480" w:firstLineChars="200"/>
        <w:jc w:val="left"/>
        <w:rPr>
          <w:rFonts w:hAnsi="宋体" w:cs="宋体"/>
          <w:highlight w:val="none"/>
        </w:rPr>
      </w:pPr>
      <w:r>
        <w:rPr>
          <w:rFonts w:hint="eastAsia" w:hAnsi="宋体" w:cs="宋体"/>
          <w:highlight w:val="none"/>
        </w:rPr>
        <w:t>地址：            地址：</w:t>
      </w:r>
    </w:p>
    <w:p>
      <w:pPr>
        <w:widowControl/>
        <w:spacing w:line="360" w:lineRule="auto"/>
        <w:ind w:firstLine="480" w:firstLineChars="200"/>
        <w:jc w:val="left"/>
        <w:rPr>
          <w:rFonts w:hAnsi="宋体" w:cs="宋体"/>
          <w:highlight w:val="none"/>
        </w:rPr>
      </w:pPr>
      <w:r>
        <w:rPr>
          <w:rFonts w:hint="eastAsia" w:hAnsi="宋体" w:cs="宋体"/>
          <w:highlight w:val="none"/>
        </w:rPr>
        <w:t>日期：            日期：</w:t>
      </w:r>
    </w:p>
    <w:p>
      <w:pPr>
        <w:pStyle w:val="3"/>
        <w:spacing w:before="240" w:beforeLines="100" w:after="240" w:afterLines="100" w:line="240" w:lineRule="auto"/>
        <w:jc w:val="center"/>
        <w:rPr>
          <w:highlight w:val="none"/>
        </w:rPr>
      </w:pPr>
      <w:r>
        <w:rPr>
          <w:rFonts w:hint="eastAsia" w:eastAsia="黑体"/>
          <w:b w:val="0"/>
          <w:highlight w:val="none"/>
        </w:rPr>
        <w:br w:type="page"/>
      </w:r>
      <w:bookmarkStart w:id="1040" w:name="_Toc30332"/>
      <w:bookmarkStart w:id="1041" w:name="_Toc4445"/>
      <w:r>
        <w:rPr>
          <w:rFonts w:hint="eastAsia" w:ascii="黑体" w:hAnsi="黑体" w:eastAsia="黑体" w:cs="黑体"/>
          <w:b w:val="0"/>
          <w:bCs w:val="0"/>
          <w:highlight w:val="none"/>
        </w:rPr>
        <w:t>第五章  供货要求</w:t>
      </w:r>
      <w:bookmarkEnd w:id="1040"/>
      <w:bookmarkEnd w:id="1041"/>
    </w:p>
    <w:p>
      <w:pPr>
        <w:pStyle w:val="4"/>
        <w:spacing w:before="0" w:after="0" w:line="360" w:lineRule="auto"/>
        <w:ind w:firstLine="560"/>
        <w:rPr>
          <w:rFonts w:ascii="黑体" w:hAnsi="黑体" w:eastAsia="黑体" w:cs="黑体"/>
          <w:b w:val="0"/>
          <w:sz w:val="28"/>
          <w:szCs w:val="28"/>
        </w:rPr>
      </w:pPr>
      <w:bookmarkStart w:id="1042" w:name="_Toc30573"/>
      <w:bookmarkStart w:id="1043" w:name="_Toc501460778"/>
      <w:bookmarkStart w:id="1044" w:name="_Toc13784"/>
      <w:bookmarkStart w:id="1045" w:name="_Toc26181"/>
      <w:bookmarkStart w:id="1046" w:name="_Toc3606"/>
      <w:r>
        <w:rPr>
          <w:rFonts w:hint="eastAsia" w:ascii="黑体" w:hAnsi="黑体" w:eastAsia="黑体" w:cs="黑体"/>
          <w:b w:val="0"/>
          <w:sz w:val="28"/>
          <w:szCs w:val="28"/>
        </w:rPr>
        <w:t>一、项目概况</w:t>
      </w:r>
      <w:bookmarkEnd w:id="1042"/>
      <w:bookmarkEnd w:id="1043"/>
      <w:bookmarkEnd w:id="1044"/>
      <w:bookmarkEnd w:id="1045"/>
      <w:bookmarkEnd w:id="1046"/>
    </w:p>
    <w:p>
      <w:pPr>
        <w:ind w:firstLine="240" w:firstLineChars="100"/>
        <w:rPr>
          <w:rFonts w:hint="eastAsia"/>
        </w:rPr>
      </w:pPr>
      <w:r>
        <w:rPr>
          <w:rFonts w:hint="eastAsia" w:hAnsi="宋体" w:cs="宋体"/>
        </w:rPr>
        <w:t xml:space="preserve"> </w:t>
      </w:r>
      <w:r>
        <w:rPr>
          <w:rFonts w:hint="eastAsia" w:hAnsi="宋体" w:cs="宋体"/>
          <w:lang w:val="en-US" w:eastAsia="zh-CN"/>
        </w:rPr>
        <w:t xml:space="preserve"> </w:t>
      </w:r>
      <w:r>
        <w:rPr>
          <w:rFonts w:hint="eastAsia" w:hAnsi="宋体" w:cs="宋体"/>
          <w:b/>
          <w:bCs/>
          <w:color w:val="000000"/>
          <w:lang w:bidi="ar"/>
        </w:rPr>
        <w:t>（一）</w:t>
      </w:r>
      <w:r>
        <w:rPr>
          <w:rFonts w:hAnsi="宋体" w:cs="宋体"/>
          <w:b/>
          <w:bCs/>
          <w:color w:val="000000"/>
          <w:lang w:bidi="ar"/>
        </w:rPr>
        <w:t>建设内容</w:t>
      </w:r>
    </w:p>
    <w:p>
      <w:pPr>
        <w:spacing w:line="360" w:lineRule="auto"/>
        <w:ind w:firstLine="480" w:firstLineChars="200"/>
        <w:rPr>
          <w:rFonts w:hint="eastAsia" w:hAnsi="宋体" w:cs="宋体"/>
        </w:rPr>
      </w:pPr>
      <w:r>
        <w:rPr>
          <w:rFonts w:hint="eastAsia" w:hAnsi="宋体" w:cs="宋体"/>
        </w:rPr>
        <w:t>建设地点：合肥东部新城核心区龙泉路与瑶岗路路交口东北侧</w:t>
      </w:r>
    </w:p>
    <w:p>
      <w:pPr>
        <w:spacing w:line="360" w:lineRule="auto"/>
        <w:ind w:firstLine="480" w:firstLineChars="200"/>
        <w:rPr>
          <w:rFonts w:hint="eastAsia" w:hAnsi="宋体" w:cs="宋体"/>
        </w:rPr>
      </w:pPr>
      <w:r>
        <w:rPr>
          <w:rFonts w:hint="eastAsia" w:hAnsi="宋体" w:cs="宋体"/>
        </w:rPr>
        <w:t>建设规模：项目占地面积约70亩，主要建设内容为：教学楼、教研综合楼、学术报告厅、学员公寓楼（含餐厅）、体育馆、连廊、地下室等建设，配套室内外运动场、道路、给排水、变配电、消防、绿化等。项目总建筑面积约39931平方米，其中地上建筑面积32718平方米、地下建筑面积7213平方米。本次实施中共肥东县委党校新校区建设项目智能化工程。</w:t>
      </w:r>
    </w:p>
    <w:p>
      <w:pPr>
        <w:spacing w:line="360" w:lineRule="auto"/>
        <w:ind w:firstLine="410" w:firstLineChars="171"/>
        <w:rPr>
          <w:rFonts w:hAnsi="宋体" w:cs="宋体"/>
        </w:rPr>
      </w:pPr>
      <w:r>
        <w:rPr>
          <w:rFonts w:hint="eastAsia" w:hAnsi="宋体" w:cs="宋体"/>
        </w:rPr>
        <w:t xml:space="preserve"> 招标范围：主要建设内容包括但不限于：综合布线系统、计算机网络系统、综合安防系统、一卡通管理系统、机房系统、多媒体会议系统、多媒体教学系统、信息发布系统、能耗监测系统、综合管路系统、智慧党校平台系统、停车场管理系统等内容，其中会议系统只实施150人报告厅、教学楼讨论室、教研综合楼的党员活动室及大会议室；多媒体教学系统只实施4间普通教室及情景模拟实训室并能实现与150人报告厅同步教学内容，包括声音、视频、发言等的互联互通，实现主分课、会场的功能；信息发布系统只实施报告厅一层门厅及150人报告厅内的LED大屏，其余信息发布点末端设备不在本次招标范围；智慧党校平台仅实施综合门户系统、学员管理系统、教务教学系统、学员网课系统、移动应用系统、基础支撑平台、系统集成平台，其他智慧党校平台内的系统不在本次招标范围；电梯五方对讲布线，线缆工程量含在综合布线系统中；另包括本项目智能化系统60天稳定运行调试、安防检测、等保测评、防雷、消防等其他各类本项目智能化工程验收所需的第三方检测及测评。详见招标文件、图纸（图纸中如出现本项目智能化工程设计遗漏情况以设计单位出具的补充图纸为准并施工完成）、技术规范书及工程量清单等。</w:t>
      </w:r>
    </w:p>
    <w:p>
      <w:pPr>
        <w:spacing w:line="360" w:lineRule="auto"/>
        <w:ind w:firstLine="412" w:firstLineChars="171"/>
        <w:rPr>
          <w:rFonts w:hint="eastAsia" w:hAnsi="宋体" w:cs="宋体"/>
          <w:b/>
          <w:bCs/>
        </w:rPr>
      </w:pPr>
      <w:r>
        <w:rPr>
          <w:rFonts w:hint="eastAsia" w:hAnsi="宋体" w:cs="宋体"/>
          <w:b/>
          <w:bCs/>
        </w:rPr>
        <w:t xml:space="preserve">（二）建设目标及原则 </w:t>
      </w:r>
    </w:p>
    <w:p>
      <w:pPr>
        <w:spacing w:line="360" w:lineRule="auto"/>
        <w:ind w:firstLine="410" w:firstLineChars="171"/>
        <w:rPr>
          <w:rFonts w:hint="eastAsia" w:hAnsi="宋体" w:cs="宋体"/>
        </w:rPr>
      </w:pPr>
      <w:r>
        <w:rPr>
          <w:rFonts w:hint="eastAsia" w:hAnsi="宋体" w:cs="宋体"/>
        </w:rPr>
        <w:t>1.本招标项目货物需求详见附件技术规范书、图纸及工程量清单，本项目提供的图纸、技术规范书、工程量清单如有不一致的，则技术参数以技术规范书为准，货物种类及数量以工程量清单为准，技术规范书与招标文件正文中如有不一致的，以招标文件正文为准；技术规范书不作为资格审查要求，且技术规范书中要求提供的相关证明材料投标文件中均无须提供，仅作为中标人中标后供货和履约的依据。</w:t>
      </w:r>
    </w:p>
    <w:p>
      <w:pPr>
        <w:spacing w:line="360" w:lineRule="auto"/>
        <w:ind w:firstLine="410" w:firstLineChars="171"/>
        <w:rPr>
          <w:rFonts w:hint="eastAsia" w:hAnsi="宋体" w:cs="宋体"/>
        </w:rPr>
      </w:pPr>
      <w:r>
        <w:rPr>
          <w:rFonts w:hint="eastAsia" w:hAnsi="宋体" w:cs="宋体"/>
        </w:rPr>
        <w:t>2.技术规范书的全部内容。</w:t>
      </w:r>
    </w:p>
    <w:p>
      <w:pPr>
        <w:spacing w:line="360" w:lineRule="auto"/>
        <w:ind w:firstLine="410" w:firstLineChars="171"/>
        <w:rPr>
          <w:rFonts w:hint="eastAsia" w:hAnsi="宋体" w:cs="宋体"/>
        </w:rPr>
      </w:pPr>
      <w:r>
        <w:rPr>
          <w:rFonts w:hint="eastAsia" w:hAnsi="宋体" w:cs="宋体"/>
        </w:rPr>
        <w:t>3.所有施工内容准确，确保线路标识到位、线路安装整洁有序便于维修拆换、服从项目内的管线综合布线要求、做到工完料尽场地清。</w:t>
      </w:r>
    </w:p>
    <w:p>
      <w:pPr>
        <w:spacing w:line="360" w:lineRule="auto"/>
        <w:ind w:firstLine="410" w:firstLineChars="171"/>
        <w:rPr>
          <w:rFonts w:hint="eastAsia" w:hAnsi="宋体" w:cs="宋体"/>
        </w:rPr>
      </w:pPr>
      <w:r>
        <w:rPr>
          <w:rFonts w:hint="eastAsia" w:hAnsi="宋体" w:cs="宋体"/>
        </w:rPr>
        <w:t>4.与装饰工程、消防、人防、室外道路、景观、运动场工程的对接、细部完善必须满足验收标准。</w:t>
      </w:r>
    </w:p>
    <w:p>
      <w:pPr>
        <w:spacing w:line="360" w:lineRule="auto"/>
        <w:ind w:firstLine="410" w:firstLineChars="171"/>
        <w:rPr>
          <w:rFonts w:hint="eastAsia" w:hAnsi="宋体" w:cs="宋体"/>
        </w:rPr>
      </w:pPr>
      <w:r>
        <w:rPr>
          <w:rFonts w:hint="eastAsia" w:hAnsi="宋体" w:cs="宋体"/>
        </w:rPr>
        <w:t>5.配合检测、监理、三巡、公安、数据局、建设单位、校方等部门的综合验收和调试联动。</w:t>
      </w:r>
    </w:p>
    <w:p>
      <w:pPr>
        <w:spacing w:line="360" w:lineRule="auto"/>
        <w:ind w:firstLine="410" w:firstLineChars="171"/>
        <w:rPr>
          <w:rFonts w:hint="eastAsia" w:hAnsi="宋体" w:cs="宋体"/>
        </w:rPr>
      </w:pPr>
      <w:r>
        <w:rPr>
          <w:rFonts w:hint="eastAsia" w:hAnsi="宋体" w:cs="宋体"/>
        </w:rPr>
        <w:t>6.设备投入运行时，需对所有接管设备的运营单位上岗人员进行岗前培训直至顺利交接。</w:t>
      </w:r>
    </w:p>
    <w:p>
      <w:pPr>
        <w:spacing w:line="360" w:lineRule="auto"/>
        <w:ind w:firstLine="410" w:firstLineChars="171"/>
        <w:rPr>
          <w:rFonts w:hint="eastAsia" w:hAnsi="宋体" w:cs="宋体"/>
        </w:rPr>
      </w:pPr>
      <w:r>
        <w:rPr>
          <w:rFonts w:hint="eastAsia" w:hAnsi="宋体" w:cs="宋体"/>
        </w:rPr>
        <w:t>7.中标后不得出现以次充好、以市场断货断供为由、降低产品质量，每次发现一处10万元的违约金。</w:t>
      </w:r>
    </w:p>
    <w:p>
      <w:pPr>
        <w:spacing w:line="360" w:lineRule="auto"/>
        <w:ind w:firstLine="412" w:firstLineChars="171"/>
        <w:rPr>
          <w:rFonts w:hint="eastAsia" w:hAnsi="宋体" w:cs="宋体"/>
          <w:b/>
          <w:bCs/>
        </w:rPr>
      </w:pPr>
      <w:r>
        <w:rPr>
          <w:rFonts w:hint="eastAsia" w:hAnsi="宋体" w:cs="宋体"/>
          <w:b/>
          <w:bCs/>
        </w:rPr>
        <w:t xml:space="preserve">（三）建设依据 </w:t>
      </w:r>
    </w:p>
    <w:p>
      <w:pPr>
        <w:spacing w:line="300" w:lineRule="auto"/>
        <w:ind w:firstLine="420"/>
        <w:rPr>
          <w:rFonts w:hAnsi="宋体"/>
        </w:rPr>
      </w:pPr>
      <w:r>
        <w:rPr>
          <w:rFonts w:hint="eastAsia" w:hAnsi="宋体" w:cs="宋体"/>
        </w:rPr>
        <w:t>本项目图纸、清单、技术规范书、肥东县数据资源管理局审查批复及评估报告。</w:t>
      </w:r>
    </w:p>
    <w:p>
      <w:pPr>
        <w:spacing w:line="400" w:lineRule="exact"/>
        <w:ind w:firstLine="480" w:firstLineChars="200"/>
        <w:rPr>
          <w:rFonts w:hAnsi="宋体" w:cs="宋体"/>
        </w:rPr>
      </w:pPr>
    </w:p>
    <w:p>
      <w:pPr>
        <w:spacing w:line="360" w:lineRule="auto"/>
        <w:ind w:firstLine="410" w:firstLineChars="171"/>
        <w:rPr>
          <w:rFonts w:hAnsi="宋体" w:cs="宋体"/>
        </w:rPr>
      </w:pPr>
    </w:p>
    <w:p>
      <w:pPr>
        <w:pStyle w:val="4"/>
        <w:spacing w:before="0" w:after="0" w:line="360" w:lineRule="auto"/>
        <w:ind w:firstLine="560"/>
        <w:rPr>
          <w:rFonts w:ascii="黑体" w:hAnsi="黑体" w:eastAsia="黑体" w:cs="黑体"/>
          <w:b w:val="0"/>
          <w:sz w:val="28"/>
          <w:szCs w:val="28"/>
        </w:rPr>
      </w:pPr>
      <w:bookmarkStart w:id="1047" w:name="_Toc32277"/>
      <w:bookmarkStart w:id="1048" w:name="_Toc3053"/>
      <w:bookmarkStart w:id="1049" w:name="_Toc501460779"/>
      <w:bookmarkStart w:id="1050" w:name="_Toc12928"/>
      <w:bookmarkStart w:id="1051" w:name="_Toc4514"/>
      <w:r>
        <w:rPr>
          <w:rFonts w:hint="eastAsia" w:ascii="黑体" w:hAnsi="黑体" w:eastAsia="黑体" w:cs="黑体"/>
          <w:b w:val="0"/>
          <w:sz w:val="28"/>
          <w:szCs w:val="28"/>
        </w:rPr>
        <w:t>二、设备需求一览表</w:t>
      </w:r>
      <w:bookmarkEnd w:id="1047"/>
      <w:bookmarkEnd w:id="1048"/>
      <w:bookmarkEnd w:id="1049"/>
      <w:bookmarkEnd w:id="1050"/>
      <w:bookmarkEnd w:id="1051"/>
    </w:p>
    <w:p>
      <w:pPr>
        <w:spacing w:line="360" w:lineRule="auto"/>
        <w:ind w:firstLine="410" w:firstLineChars="171"/>
        <w:rPr>
          <w:rFonts w:hAnsi="宋体" w:cs="宋体"/>
        </w:rPr>
      </w:pPr>
      <w:r>
        <w:rPr>
          <w:rFonts w:hint="eastAsia" w:hAnsi="宋体" w:cs="宋体"/>
        </w:rPr>
        <w:t>本次招标范围包括下表所列所有设备的供货、包装运输及保险、装卸、安装、调试、考核（检测）验收、培训及质保期内免费维修保养服务等全部内容。</w:t>
      </w:r>
    </w:p>
    <w:p>
      <w:pPr>
        <w:spacing w:line="360" w:lineRule="auto"/>
        <w:ind w:firstLine="410" w:firstLineChars="171"/>
      </w:pPr>
      <w:r>
        <w:rPr>
          <w:rFonts w:hAnsi="宋体" w:cs="宋体"/>
          <w:szCs w:val="24"/>
        </w:rPr>
        <w:t>本项目投标人投标时不需要提供（除商务文件评分标准技术评审指标中要求外）所列产品参数的证明文件（如检测报告、测试报告、认证、证书、专利，以及其他须加盖原厂公章相关证明材料）。</w:t>
      </w:r>
    </w:p>
    <w:tbl>
      <w:tblPr>
        <w:tblStyle w:val="53"/>
        <w:tblW w:w="4543" w:type="pct"/>
        <w:jc w:val="center"/>
        <w:shd w:val="clear" w:color="auto" w:fill="FFFFFF"/>
        <w:tblLayout w:type="fixed"/>
        <w:tblCellMar>
          <w:top w:w="0" w:type="dxa"/>
          <w:left w:w="108" w:type="dxa"/>
          <w:bottom w:w="0" w:type="dxa"/>
          <w:right w:w="108" w:type="dxa"/>
        </w:tblCellMar>
      </w:tblPr>
      <w:tblGrid>
        <w:gridCol w:w="393"/>
        <w:gridCol w:w="1261"/>
        <w:gridCol w:w="8975"/>
        <w:gridCol w:w="598"/>
        <w:gridCol w:w="558"/>
      </w:tblGrid>
      <w:tr>
        <w:tblPrEx>
          <w:tblCellMar>
            <w:top w:w="0" w:type="dxa"/>
            <w:left w:w="108" w:type="dxa"/>
            <w:bottom w:w="0" w:type="dxa"/>
            <w:right w:w="108" w:type="dxa"/>
          </w:tblCellMar>
        </w:tblPrEx>
        <w:trPr>
          <w:trHeight w:val="23" w:hRule="atLeast"/>
          <w:tblHeader/>
          <w:jc w:val="center"/>
        </w:trPr>
        <w:tc>
          <w:tcPr>
            <w:tcW w:w="393"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widowControl/>
              <w:spacing w:line="236" w:lineRule="exact"/>
              <w:jc w:val="center"/>
              <w:textAlignment w:val="center"/>
              <w:rPr>
                <w:rFonts w:hint="eastAsia" w:ascii="仿宋" w:hAnsi="仿宋" w:cs="仿宋"/>
                <w:b/>
                <w:bCs/>
                <w:color w:val="000000"/>
                <w:sz w:val="16"/>
                <w:szCs w:val="16"/>
              </w:rPr>
            </w:pPr>
            <w:bookmarkStart w:id="1052" w:name="_Toc501460780"/>
            <w:bookmarkStart w:id="1053" w:name="_Toc25604"/>
            <w:bookmarkStart w:id="1054" w:name="_Toc19102"/>
            <w:bookmarkStart w:id="1055" w:name="_Toc28008"/>
            <w:r>
              <w:rPr>
                <w:rFonts w:hint="eastAsia" w:ascii="仿宋" w:hAnsi="仿宋" w:cs="仿宋"/>
                <w:b/>
                <w:bCs/>
                <w:color w:val="000000"/>
                <w:sz w:val="16"/>
                <w:szCs w:val="16"/>
                <w:lang w:bidi="ar"/>
              </w:rPr>
              <w:t>序号</w:t>
            </w:r>
          </w:p>
        </w:tc>
        <w:tc>
          <w:tcPr>
            <w:tcW w:w="1261"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设备名称</w:t>
            </w:r>
          </w:p>
        </w:tc>
        <w:tc>
          <w:tcPr>
            <w:tcW w:w="897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规格</w:t>
            </w:r>
          </w:p>
        </w:tc>
        <w:tc>
          <w:tcPr>
            <w:tcW w:w="598"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数量</w:t>
            </w:r>
          </w:p>
        </w:tc>
        <w:tc>
          <w:tcPr>
            <w:tcW w:w="558"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单位</w:t>
            </w:r>
          </w:p>
        </w:tc>
      </w:tr>
      <w:tr>
        <w:tblPrEx>
          <w:shd w:val="clear" w:color="auto" w:fill="FFFFFF"/>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一、综合布线系统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b/>
                <w:bCs/>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1、校园网</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1.桌面子系统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86型单口面板</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信息插座与面板90度安装方式2.组合式结构，前后双层面板，避免固定螺丝孔外露3.端口带弹簧式自动回弹防尘门，防止灰尘等异物侵入4.带有标识纸和标识盖，方便维护和使用5.端口数量：单口6.面板尺寸：高度:86×宽度:86mm7.颜色：白色材料：ABS</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384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86型双口面板</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信息插座与面板90度安装方式2.组合式结构，前后双层面板，避免固定螺丝孔外露3.端口带弹簧式自动回弹防尘门，防止灰尘等异物侵入4.带有标识纸和标识盖，方便维护和使用5.端口数量：双口6.面板尺寸：高度:86×宽度:86mm7.颜色：白色材料：ABS</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536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双口地插面板</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黄铜铸造，表面抛光工艺加工而成，强度高，外形精致美观阻尼结构端口数量：3口弹起开启方式：滑键式信息插座功能件带弹簧式自动回弹防尘门面板尺寸：120×120mm，底盒尺寸：100×100×60mm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63</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六类非屏蔽信息模块</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926.3，ISO/IEC11801:2008；ANSI/TIA-568-C.22.IDC：磷青铜，45°3金针：磷青铜表面镀金，异形的金针空间排列，有效提升近端串音余量4.防尘盖：透明PC材料5.插头与插座插合次数：≥1000次6.导线端接次数：≥250次7.打线方式：T568A/T568B8.IDC与金针方向：180度9.卡接导体规格：单股、0.5mm～0.65mm、24AWG~22AWG10.最高传输频率：250MHz</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1562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六类非屏蔽跳线，2米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ISO/IEC11801，ANSI/TIA-568-C.23.导体规格：多股绞合，软圆铜线，4×2×24AWG4.屏蔽方式:U/UTP5.护套材料：PVC，护套外径：6.0±0.3mm6.插头规格：RJ45，8P8C，簧片表面镀金，透明聚碳酸酯塑胶壳7.线序：T568B-T568B8.插拔次数：≥1000次9.最高传输频率：250MHz</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1562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2.水平子系统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六类非屏蔽双绞线（低烟无卤）</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1019，IEC60754-2，IEC61034-2，IEC60332-1-2通过标准最高传输频率250MHz测试额定传输速率(NVP)：68%单根导体直流电阻：≤9.0Ω/100m2.导体规格：4×2×0.57，导体名称：软圆铜线，绝缘：HDPE3.屏蔽方式：U/UTP，线对“十”字骨架隔离4.护套材料：LSZH，护套外径：6.3±0.3mm最小内弯曲半径：安装时：8倍电缆外径，安装后：4倍电缆外径，敷设方式：钢管或阻燃硬质PVC管内5.包装方式：305米/易拉箱，2易拉箱/外箱"</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箱（305米）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3.垂直子系统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12芯单模光缆，低烟无卤</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1258.4-2019，IEC61034-2、IEC60754-1、IEC60754-2、IEC60332-12.光纤类型与护套颜色：B1.3（OS2）黄色3.衰减＠20℃（dB/Km）：@1310nm≤0.4，@1550nm≤0.34.光纤芯数：12芯5.加强件：芳纶纱6.紧包：LSZH，0.9mm7.护套：LSZH8.最小弯曲半径：动态：20D，静态：10D</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12芯室外单模光缆</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769，ISO/IEC11801，ANSI/TIA-568-C.33.光纤规格、衰减＠20℃（dB/Km）：单模：B1.3（OS2）、＠1310nm≤0.36，＠1550nm≤0.22；4.护套：夹带钢丝的钢-聚乙烯粘结护套，MDPE，黑色5.允许拉伸力：长期：600N，短期：1500N6.允许压扁力：长期：300N/100mm，短期：1000N/100mm7.最小弯曲半径：动态：20D，静态：10D8.敷设方式：管道、非自承架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4.管理子系统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24口六类非屏蔽铜配线架</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19英寸机架式安装，高度：1U2.平面型配线架，，可提供24口，48口规格3.角型配线架，，可提供24口，48口规格后端自带线缆管理单元，双爪式免工具，便于安装和拆卸4.标准：YD/T926.3，ISO/IEC11801，ANSI/TIA-568-C.25.线缆管理：自带后部线缆管理单元6.标识管理：完善清晰的标识系统，让施工、维护、管理更方便、快捷，端口带序号标识7.IDC：磷青铜8.金针：磷青铜表面镀金9.线缆保护盖：PC材料10.进线方式：180°进线，IDC：45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48口六类非屏蔽铜配线架</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19英寸机架式安装，高度：1U2.平面型配线架，，可提供24口，48口规格3.角型配线架，，可提供24口，48口规格后端自带线缆管理单元，双爪式免工具，便于安装和拆卸4.标准：YD/T926.3，ISO/IEC11801，ANSI/TIA-568-C.25.线缆管理：自带后部线缆管理单元6.标识管理：完善清晰的标识系统，让施工、维护、管理更方便、快捷，端口带序号标识7.IDC：磷青铜8.金针：磷青铜表面镀金9.线缆保护盖：PC材料10.进线方式：180°进线，IDC：45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59</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六类非屏蔽信息模块</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926.3，ISO/IEC11801:2008；ANSI/TIA-568-C.22.IDC：磷青铜，45°3金针：磷青铜表面镀金，异形的金针空间排列，有效提升近端串音余量4.防尘盖：透明PC材料5.插头与插座插合次数：≥1000次6.导线端接次数：≥250次7.打线方式：T568A/T568B8.IDC与金针方向：180度9.卡接导体规格：单股、0.5mm～0.65mm、24AWG~22AWG</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2256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110跳线架</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符合标准：YD/T926.3，ISO/IEC11801，ANSI/TIA-568-C.22.标准19英寸机架式安装，高度：1U3.规格：100对4.IDC技术上下两排均在正面端接，使施工维护更方便5.提供标识单元，让施工、维护、管理更方便、快捷6.塑料件：PC7.塑料件颜色：象牙色8.卡接导体线径：单股、0.4mm~0.65mm、26AWG~22AWG</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非屏蔽RJ45-110语音跳线（3米）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2.导体:多股绞合，软圆铜线3.导体线规：24AWG4.屏蔽方式:U/UTP5.导体规格：1对6.插头：110-RJ457.插拔次数：RJ45≥1000次，110≥200次8.最高传输频率：16MHz9.工作温度：-10℃～+60℃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六类非屏蔽跳线，3米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ISO/IEC11801，ANSI/TIA-568-C.2原厂成型，100%通过单体测试，具有更高的可靠性和传输性能2.插头灌胶工艺，弹片保护和软尾结构，保障线缆和水晶头之间的连接3.导体规格：多股绞合，软圆铜线，4×2×24AWG4.屏蔽方式:U/UTP5.护套材料：PVC，护套外径：6.0±0.3mm6.插头规格：RJ45，8P8C，簧片表面镀金，透明聚碳酸酯塑胶壳7.线序：T568B-T568B8.插拔次数：≥1000次9.最高传输频率：250MHz10.工作温度：-10℃～+60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2256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24芯单模光纤配线架</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778，ISO/IEC11801，ANSI/TIA-568-C.32.安装方式：19″机架式安装3.1个光纤熔接盘，2个光缆进线口，2个固定PG头，2个光缆护套固定装置，2个光缆加强件固定装置4.通用型，可兼容：LC双工、SC单工、FC、ST适配器，一个4口支架仅需一颗螺丝，便于安装和拆卸5.进出光纤方便灵活，有充裕的光纤盘存空间，光纤和尾纤弯曲半径不小于30mm6.端口数量：12口，空余端口可安装空白功能件（标配），安装LC双工、SC单工耦合器时安装支架的空隙可安装封堵功能件（标配）7.表面处理：静电喷塑;材料：冷扎钢板8.表面颜色：黑色;尺寸：宽度:482.6×深度:220×高度:44mm（高度1U）</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单模双工耦合器</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1.标准：YD/T1272，ISO/IEC11801，ANSI/TIA-568-C.32.材料：氧化锆陶瓷套管3.插入损耗（含重复性）：≤0.2dB4.重复性：≥500次5。互换性：≤0.2dB</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单模LC尾纤（3米）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2.标准：YD/T1272，ISO/IEC11801，ANSI/TIA-568-C.3，光缆：IEC60332-1-2，IEC61034-2，IEC60754-1、IEC60754-25.光纤类型：单模：G.657.A2（B6a2）黄色；6.光缆芯数与护套外径：单芯：2.0mm紧包与护套材料：LSZH插头接触方式：UPC7.插入损耗（含重复性）：≤0.2dB互换性：≤0.2dB8.回波损耗：单模：≥50dB重复性≥1000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336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单模光纤跳线,3米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1.标准：YD/T1272，ISO/IEC11801，ANSI/TIA-568-C.35.光纤类型与护套颜色：B1.3（OS2）黄色6.光缆类型：双芯“8字形”7.光纤插头：LC；重复性≥1000次8.长度：3m9.单芯光缆护套外径：2.8mm10.插入损耗（含重复性）：≤0.2dB</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1U理线器</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1.标准19英寸机架式安装，高度：1U；带有盖板2.可提供12档和24档两种理线档位可选3.材料及厚度：SPCC冷轧钢板表面脱脂、磷化、4.静电喷塑处理，架体1.2，盖板1.0mm5.带有贯穿孔，便于前后走线和冗余线缆的存放"</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133</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设备机柜（42U）</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1.机柜尺寸600mm*600mm*2000mm(42U)，含侧板，一个层板，前玻璃后网孔门）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物联网</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1.桌面子系统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86型单口面板</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信息插座与面板90度安装方式2.组合式结构，前后双层面板，避免固定螺丝孔外露3.端口带弹簧式自动回弹防尘门，防止灰尘等异物侵入4.带有标识纸和标识盖，方便维护和使用5.端口数量：单口6.面板尺寸：高度:86×宽度:86mm7.颜色：白色材料：ABS</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六类非屏蔽信息模块</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926.3，ISO/IEC11801:2008；ANSI/TIA-568-C.22.IDC：磷青铜，45°3金针：磷青铜表面镀金，异形的金针空间排列，有效提升近端串音余量4.防尘盖：透明PC材料5.插头与插座插合次数：≥1000次6.导线端接次数：≥250次7.打线方式：T568A/T568B8.IDC与金针方向：180度9.卡接导体规格：单股、0.5mm～0.65mm、24AWG~22AWG10.最高传输频率：250MHz</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六类非屏蔽跳线，2米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ISO/IEC11801，ANSI/TIA-568-C.22.插头灌胶工艺，弹片保护和软尾结构，保障线缆和水晶头之间的连接3.导体规格：多股绞合，软圆铜线，4×2×24AWG4.屏蔽方式:U/UTP5.护套材料：PVC，护套外径：6.0±0.3mm6.插头规格：RJ45，8P8C，簧片表面镀金，透明聚碳酸酯塑胶壳7.线序：T568B-T568B8.插拔次数：≥1000次9.最高传输频率：250MHz</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2.水平子系统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六类非屏蔽双绞线（低烟无卤）</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2.标准：YD/T1019，IEC60754-2，IEC61034-2，IEC60332-1-2通过标准最高传输频率250MHz测试额定传输速率(NVP)：68%单根导体直流电阻：≤9.0Ω/100m3.导体规格：4×2×0.57，导体名称：软圆铜线，绝缘：HDPE4.屏蔽方式：U/UTP，线对“十”字骨架隔离5.护套材料：LSZH，护套外径：6.3±0.3mm最小内弯曲半径：安装时：8倍电缆外径，安装后：4倍电缆外径，敷设方式：钢管或阻燃硬质PVC管内6.包装方式：305米/易拉箱，2易拉箱/外箱</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箱（305米）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3.垂直子系统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12芯单模光缆，低烟无卤</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1258.4-2019，IEC61034-2、IEC60754-1、IEC60754-2、IEC60332-12.光纤类型与护套颜色：B1.3（OS2）黄色3.衰减＠20℃（dB/Km）：@1310nm≤0.4，@1550nm≤0.34.光纤芯数：12芯5.加强件：芳纶纱6.紧包：LSZH，0.9mm7.护套：LSZH8.最小弯曲半径：动态：20D，静态：10D</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1205</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12芯室外单模光缆</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769，ISO/IEC11801，ANSI/TIA-568-C.32.全截面阻水结构，松套管填充纤膏，松套管和钢带之间填充缆膏，确保良好的阻水防潮性能3.光纤规格、衰减＠20℃（dB/Km）：单模：B1.3（OS2）、＠1310nm≤0.36，＠1550nm≤0.22；4.护套：夹带钢丝的钢-聚乙烯粘结护套，MDPE，黑色5.允许拉伸力：长期：600N，短期：1500N6.允许压扁力：长期：300N/100mm，短期：1000N/100mm7.最小弯曲半径：动态：20D，静态：10D8.敷设方式：管道、非自承架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4.管理子系统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24口六类非屏蔽铜配线架</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19英寸机架式安装，高度：1U2.平面型配线架，，可提供24口，48口规格3.角型配线架，，可提供24口，48口规格后端自带线缆管理单元，双爪式免工具，便于安装和拆卸4.标准：YD/T926.3，ISO/IEC11801，ANSI/TIA-568-C.25.线缆管理：自带后部线缆管理单元6.标识管理：完善清晰的标识系统，让施工、维护、管理更方便、快捷，端口带序号标识7.IDC：磷青铜8.金针：磷青铜表面镀金9.线缆保护盖：PC材料10.进线方式：180°进线，IDC：45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六类非屏蔽信息模块</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926.3，ISO/IEC11801:2008；ANSI/TIA-568-C.22.IDC：磷青铜，45°3金针：磷青铜表面镀金，异形的金针空间排列，有效提升近端串音余量4.防尘盖：透明PC材料5.插头与插座插合次数：≥1000次6.导线端接次数：≥250次7.打线方式：T568A/T568B8.IDC与金针方向：180度9.卡接导体规格：单股、0.5mm～0.65mm、24AWG~22AWG10.最高传输频率：250MHz</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144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六类非屏蔽跳线，3米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ISO/IEC11801，ANSI/TIA-568-C.22.插头灌胶工艺，弹片保护和软尾结构，保障线缆和水晶头之间的连接3.导体规格：多股绞合，软圆铜线，4×2×24AWG4.屏蔽方式:U/UTP5.护套材料：PVC，护套外径：6.0±0.3mm6.插头规格：RJ45，8P8C，簧片表面镀金，透明聚碳酸酯塑胶壳7.线序：T568B-T568B8.插拔次数：≥1000次9.最高传输频率：250MHz</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144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24口单模光纤配线架</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778，ISO/IEC11801，ANSI/TIA-568-C.32.安装方式：19″机架式安装3.1个光纤熔接盘，2个光缆进线口，2个固定PG头，2个光缆护套固定装置，2个光缆加强件固定装置4.通用型，可兼容：LC双工、SC单工、FC、ST适配器，一个4口支架仅需一颗螺丝，便于安装和拆卸5.进出光纤方便灵活，有充裕的光纤盘存空间，光纤和尾纤弯曲半径不小于30mm6.端口数量：12口，空余端口可安装空白功能件（标配），安装LC双工、SC单工耦合器时安装支架的空隙可安装封堵功能件（标配）7.表面处理：静电喷塑;材料：冷扎钢板8.表面颜色：黑色;尺寸：宽度:482.6×深度:220×高度:44mm（高度1U）</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单模双工耦合器</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1.标准：YD/T1272，ISO/IEC11801，ANSI/TIA-568-C.32.材料：氧化锆陶瓷套管3.插入损耗（含重复性）：≤0.2dB4.重复性：≥500次5。互换性：≤0.2dB</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单模LC尾纤（3米）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LC插头一体化矩形结构2.标准：YD/T1272，ISO/IEC11801，ANSI/TIA-568-C.3，光缆：IEC60332-1-2，IEC61034-2，IEC60754-1、IEC60754-24.高质量陶瓷插芯，插入损耗低，耐久性好重复性，互换性，光学特性稳定5.光纤类型：单模：G.657.A2（B6a2）黄色；6.光缆芯数与护套外径：单芯：2.0mm紧包与护套材料：LSZH插头接触方式：UPC7.插入损耗（含重复性）：≤0.2dB互换性：≤0.2dB8.回波损耗：单模：≥50dB重复性≥1000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336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单模光纤跳线,3米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1272，ISO/IEC11801，ANSI/TIA-568-C.33.高质量陶瓷插芯，插入损耗低，耐久性好4.重复性，互换性，光学特性稳定5.光纤类型与护套颜色：B1.3（OS2）黄色6.光缆类型：双芯“8字形”7.光纤插头：LC；重复性≥1000次8.长度：3m9.单芯光缆护套外径：2.8mm10.插入损耗（含重复性）：≤0.2dB11.互换性：≤0.2dB12.回波损耗：≥50dB（单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1U理线器</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19英寸机架式安装，高度：1U；带有盖板2.可提供12档和24档两种理线档位可选3.材料及厚度：SPCC冷轧钢板表面脱脂、磷化4.静电喷塑处理，架体1.2，盖板1.0mm5.带有贯穿孔，便于前后走线和冗余线缆的存放6.尺寸：482×44×80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27</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监控系统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1.水平子系统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六类非屏蔽双绞线（低烟无卤）</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1019，IEC60754-2，IEC61034-2，IEC60332-1-2通过标准最高传输频率250MHz测试额定传输速率(NVP)：68%单根导体直流电阻：≤9.0Ω/100m2.导体规格：4×2×0.57，导体名称：软圆铜线，绝缘：HDPE3.屏蔽方式：U/UTP，线对“十”字骨架隔离4.护套材料：LSZH，护套外径：6.3±0.3mm最小内弯曲半径：安装时：8倍电缆外径，安装后：4倍电缆外径，敷设方式：钢管或阻燃硬质PVC管内5.包装方式：305米/易拉箱，2易拉箱/外箱</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箱（305米）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六类室外非屏蔽双绞线</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1019;通过标准最高传输频率250MHz测试2.额定传输速率(NVP)：68%3.单根导体直流电阻：≤9.0Ω/100m4.导体规格：4×2×0.57，导体名称：软圆铜线，绝缘：HDPE5.屏蔽方式：U/UTP，线对“十”字骨架隔离6.护套材料：LLDPE，护套外径：6.3±0.3mm7.最小内弯曲半径：安装时：8倍电缆外径，安装后：4倍电缆外径，敷设方式：钢管或阻燃硬质PVC管内</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箱（305米）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2.垂直子系统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12芯单模光缆，低烟无卤</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1258.4-2019，IEC61034-2、IEC60754-1、IEC60754-2、IEC60332-12.光纤类型与护套颜色：B1.3（OS2）黄色3.衰减＠20℃（dB/Km）：@1310nm≤0.4，@1550nm≤0.34.光纤芯数：12芯5.加强件：芳纶纱6.紧包：LSZH，0.9mm7.护套：LSZH8.最小弯曲半径：动态：20D，静态：10D</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1205</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12芯室外单模光缆</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769，ISO/IEC11801，ANSI/TIA-568-C.32.全截面阻水结构，松套管填充纤膏，松套管和钢带之间填充缆膏，确保良好的阻水防潮性能3.光纤规格、衰减＠20℃（dB/Km）：单模：B1.3（OS2）、＠1310nm≤0.36，＠1550nm≤0.22；4.护套：夹带钢丝的钢-聚乙烯粘结护套，MDPE，黑色5.允许拉伸力：长期：600N，短期：1500N6.允许压扁力：长期：300N/100mm，短期：1000N/100mm7.最小弯曲半径：动态：20D，静态：10D8.敷设方式：管道、非自承架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2100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3.管理子系统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24口六类非屏蔽铜配线架</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19英寸机架式安装，高度：1U2.平面型配线架，，可提供24口，48口规格3.角型配线架，，可提供24口，48口规格后端自带线缆管理单元，双爪式免工具，便于安装和拆卸4.标准：YD/T926.3，ISO/IEC11801，ANSI/TIA-568-C.25.线缆管理：自带后部线缆管理单元6.标识管理：完善清晰的标识系统，让施工、维护、管理更方便、快捷，端口带序号标识7.IDC：磷青铜8.金针：磷青铜表面镀金9.线缆保护盖：PC材料10.进线方式：180°进线，IDC：45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六类非屏蔽信息模块</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926.3，ISO/IEC11801:2008；ANSI/TIA-568-C.22.IDC：磷青铜，45°3金针：磷青铜表面镀金，异形的金针空间排列，有效提升近端串音余量4.防尘盖：透明PC材料5.插头与插座插合次数：≥1000次6.导线端接次数：≥250次7.打线方式：T568A/T568B8.IDC与金针方向：180度9.卡接导体规格：单股、0.5mm～0.65mm、24AWG~22AWG10.最高传输频率：250MHz</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744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六类非屏蔽跳线，3米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ISO/IEC11801，ANSI/TIA-568-C.22.插头灌胶工艺，弹片保护和软尾结构，保障线缆和水晶头之间的连接3.导体规格：多股绞合，软圆铜线，4×2×24AWG4.屏蔽方式:U/UTP5.护套材料：PVC，护套外径：6.0±0.3mm6.插头规格：RJ45，8P8C，簧片表面镀金，透明聚碳酸酯塑胶壳7.线序：T568B-T568B8.插拔次数：≥1000次9.最高传输频率：250MHz</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744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24口单模光纤配线架</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778，ISO/IEC11801，ANSI/TIA-568-C.32.安装方式：19″机架式安装3.1个光纤熔接盘，2个光缆进线口，2个固定PG头，2个光缆护套固定装置，2个光缆加强件固定装置4.通用型，可兼容：LC双工、SC单工、FC、ST适配器，一个4口支架仅需一颗螺丝，便于安装和拆卸5.进出光纤方便灵活，有充裕的光纤盘存空间，光纤和尾纤弯曲半径不小于30mm6.端口数量：12口，空余端口可安装空白功能件（标配），安装LC双工、SC单工耦合器时安装支架的空隙可安装封堵功能件（标配）7.表面处理：静电喷塑;材料：冷扎钢板8.表面颜色：黑色;尺寸：宽度:482.6×深度:220×高度:44mm（高度1U）</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35</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单模双工耦合器</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1.标准：YD/T1272，ISO/IEC11801，ANSI/TIA-568-C.32.材料：氧化锆陶瓷套管3.插入损耗（含重复性）：≤0.2dB4.重复性：≥500次5。互换性：≤0.2dB</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216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单模LC尾纤（3米）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LC插头一体化矩形结构2.标准：YD/T1272，ISO/IEC11801，ANSI/TIA-568-C.3，光缆：IEC60332-1-2，IEC61034-2，IEC60754-1、IEC60754-24.高质量陶瓷插芯，插入损耗低，耐久性好重复性，互换性，光学特性稳定5.光纤类型：单模：G.657.A2（B6a2）黄色；6.光缆芯数与护套外径：单芯：2.0mm紧包与护套材料：LSZH插头接触方式：UPC7.插入损耗（含重复性）：≤0.2dB互换性：≤0.2dB8.回波损耗：单模：≥50dB重复性≥1000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432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单模光纤跳线,3米</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1272，ISO/IEC11801，ANSI/TIA-568-C.33.高质量陶瓷插芯，插入损耗低，耐久性好4.重复性，互换性，光学特性稳定5.光纤类型与护套颜色：B1.3（OS2）黄色6.光缆类型：双芯“8字形”7.光纤插头：LC；重复性≥1000次8.长度：3m9.单芯光缆护套外径：2.8mm10.插入损耗（含重复性）：≤0.2dB11.互换性：≤0.2dB12.回波损耗：≥50dB（单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216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1U理线器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1.标准19英寸机架式安装，高度：1U；带有盖板2.可提供12档和24档两种理线档位可选3.材料及厚度：SPCC冷轧钢板表面脱脂、磷化、4.静电喷塑处理，架体1.2，盖板1.0mm5.带有贯穿孔，便于前后走线和冗余线缆的存放</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电梯五方对讲系统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RVVP6*1.0信号线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textAlignment w:val="center"/>
              <w:rPr>
                <w:rFonts w:hint="eastAsia" w:ascii="仿宋" w:hAnsi="仿宋" w:cs="仿宋"/>
                <w:color w:val="000000"/>
                <w:sz w:val="16"/>
                <w:szCs w:val="16"/>
              </w:rPr>
            </w:pPr>
            <w:r>
              <w:rPr>
                <w:rFonts w:hint="eastAsia" w:ascii="仿宋" w:hAnsi="仿宋" w:cs="仿宋"/>
                <w:color w:val="000000"/>
                <w:sz w:val="16"/>
                <w:szCs w:val="16"/>
                <w:lang w:bidi="ar"/>
              </w:rPr>
              <w:t>RVVP6*1.0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2000.00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 xml:space="preserve"> </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rPr>
              <w:t>二、计算机网络系统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校园网</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核心交换机</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交换容量≥336Tbps，包转发率≥57600Mpps；背板带宽≥330T；2.主控引擎与业务板卡完全物理分离,独立主控引擎插槽≥2个，独立业务插槽数≥6个；3.支持静态路由、RIP、RIPng、OSPF、OSPFv3、BGP、BGP4+、ISIS、ISISv6，支持路由协议多实例，支持GRforOSPF/IS-IS/BGP，支持策略路由；4.支持虚拟化：可将2台物理设备虚拟化为1台逻辑设备，虚拟组内设备具备统一的二层及三层转发表项，统一的管理界面，并可实现跨设备链路聚合；5.支持IPV6SAVI防地址欺骗解析欺骗策略；配置要求：1.每台配置主控引擎≥2个、电源≥4个；2.每台配置千兆电接口≥48个、SFP+万兆光接口≥48个、USB接口≥1；3.每台配置，3米10GBaseSFP+光纤线缆（包含两边的模块）。</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万兆单模模块</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万兆LC接口模块（1310nm），10km，适用于SFP+接口</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24口汇聚交换机</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固化千兆光接口≥24个，千兆光电复用接口≥8个，固化1G/10GSFP+光口≥8个，提供≥1个业务扩展槽，支持100G端口扩展；2.交换容量≥24Tbps，包转发率≥762Mpps；背板带宽≥20T；3.支持可拔插双模块化电源，支持电源1+1冗余；4.支持RIPv2，OSPFv2/v3，BGP4/4+，IS-ISv4/v6；5.支持IGMPv1/v2/v3，PIM-SM等组播协议，支持基于IPv4/IPv6五元组、基于源/目的MAC、基于VLAN、基于802.1P优先级的ACL；6.支持虚拟化功能，可将多台物理设备虚拟化为一台逻辑设备统一管理，并且链路故障的收敛时间达到毫秒级；7.考虑设备兼容性、项目实施、交付及售后服务，采用与核心交换机同一品牌。配置要求：配置完整主机，冗余电源模块</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48口汇聚交换机</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固化1000MSFP光口≥48个，1G/10GSFP+光口≥4个，提供≥1个业务扩展槽，支持100G端口扩展；2.交换容量≥24Tbps，包转发率≥762Mpps；背板带宽≥20T；3.支持RIPv2，OSPFv2/v3，BGP4/4+，IS-ISv4/v6；4.支持IGMPv1/v2/v3，PIM-SM等组播协议，支持基于IPv4/IPv6五元组、基于源/目的MAC、基于VLAN、基于802.1P优先级的ACL；5.支持虚拟化功能，可将多台物理设备虚拟化为一台逻辑设备统一管理，并且链路故障的收敛时间达到毫秒级；配置要求：配置完整主机，冗余电源模块</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48口千兆接入交换机</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固化千兆电接口≥48个，独立千兆SFP光接口≥4个；2.交换容量≥3.3Tbps，包转发率≥160Mpps；背板带宽≥3T；3.支持IPv4、IPv6静态路由、RIP、RIPng、OSPFv2、OSPFv3等三层路由和组播功能；4.设备支持IEEE802.3az标准的EEE节能技术；5.支持openflow1.3协议；支持零配置，支持CWMP(TR069)协议；6.支持设备虚拟化功能，能够将多台物理设备虚拟成1台逻辑设备，同时虚拟化故障恢复时间小于30ms；</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24口千兆POE接入交换机</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固化千兆电接口≥24个、支持POE、POE+供电，千兆SFP光接口≥4个；2.设备单端口POE输出功率≥30W；3.交换容量≥3.3Tbps，包转发率≥125Mpps；背板带宽≥3T；4.支持IPv4、IPv6静态路由、RIP、RIPng、OSPFv2、OSPFv3等三层路由和组播功能；</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8口POE接入交换机</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固化10/100/1000M以太网电口≥10，1000M/2.5GSFP千兆光接口≥2个；2.交换容量≥3.36Tbps，包转发率≥80Mpps；3.支持POE和POE+同时可POE供电端口≥8个，POE最大输出功率≥125W；4.支持SNMP、CLI(Telnet/Console)、Syslog、NTP、TFTP、Web；</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千兆单模模块</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1000BASE-LXminiGBIC转换模块（1310nm），10km</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186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无线控制器</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固化千兆电口数≥8，固化千兆光口数≥8个，10G万兆接口数≥4个；2.最大可支持管理1100个AP；3.802.11转发性能≥40G；4.无线器具备虚拟化功能，实现多台物理AC虚拟化成一台AC；5.AC设备多账户分权管理功能，实现一台物理AC设备或多台物理AC设备虚拟成一台AC设备后，均能受多账户管理，各账户分别管理不同的无线信息。6.支持实现AP虚拟化功能，实现一台AP虚拟为多台AP，分别受不同AC设备独立管理，互不影响。不同虚拟AP之间数据隔离，虚拟AP在AC上不占用APLicense；7.支持SSID双编码功能，实现UTF-8、GBK双编码配置；8.配套网优工具支持AP带载状态可查功能，支持终端平均在线时长、终端平均流量、忙时平均在线人数、峰值在线人数、综合评价，支持排序方便定位问题；配置要求：1.配置≥550个无线AP管理授权；</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吸顶AP</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支持802.11ax协议，整机支持≥4条空间流，整机最大无线速率≥2.97Gbps。2.至少支持1个1000M自适应以太网端口，至少支持1个2.5GSFP光口。3.支持基于SSID、射频卡的接入用户数限制，支持基于终端数或流量的智能负载均衡，支持基于STA/SSID/AP的限速。4.为避免无线网络中私接非法AP，所投AP应支持非法AP检测及反制功能。具有非法AP的精确反制和模糊反制功能，能够主动识别非法设备并令非法设备不能使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180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面板AP</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支持802.11ax标准，采用双射频设计，整机空间流≥4条;2.1G/2.5G以太网上联口≥1个，1G以太网下联口≥4个;3.5GHz单射频支持2*2MU-MIMO，且单射频最大接入速率≥2.4Gbps，整机最大接入速率≥2.97Gbps；4.为保证用电安全与电源的易获得性，同时支持802.3af和本地DC12V电源供电模式；</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311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高密AP</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采用硬件独立的四射频设计，整机支持8条空间流，整机最大无线速率≥6Gbps；2.配置5G以太网接口≥1个，5G光口≥1个,至少1个10/100/1000Base-T以太网接口支持对外供电；3.支持基于终端数或流量的智能负载均衡，支持基于STA/SSID/AP的限速，支持基于SSID、射频卡的接入用户数限制。4.支持Wi-Fi终端定位，支持实时人流量统计和分析，显示场所人流量热力图。5.支持对全网不同信道的信道利用率进行分析排行，分析信道繁忙的AP名称和所用信道；</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13</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室外AP</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规格要求：1.支持802.11ax标准，整机双射频，4条空间流；整机最大无线接入速率≥2.975Gbps，2.内置全向天线设计，采用内置天线设计，无外置天线口；支持1G有线接口≥1个，支持2.5G光口≥1个。3.支持IP68防护等级</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15</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14</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网络管理平台</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要求产品采用B/S架构，用户无需安装客户端，通过标准浏览器就能完成对系统的访问；2.能够通过模块化、组件化方式，实现对网络中的路由器、交换机、防火墙、WLAN等有线无线一体化管理；3.支持有线无线设备统一拓扑呈现，支持热图上查看AP信息、AP下用户信息，调整AP信道，支持按信号强度、速率、信道冲突（2.4G/5GHz）生成热图；4.投标产品需要内置丰富的无线告警预定义类型，并可根据需要随时进行自定义所需告警类型的添加，Trap预定义告警类型至少15种以上预定义清单；5.支持图形化配置AP工作模式（图像向导设置AP工作模式）；6.支持指定部分终端为关键终端，并针对关键终端的运行质量进行监控，接收包重传率高于指定阈值时，产生告警；配置要求：1.配置有线设备管理许可授权≥110个，配置无线AP管理许可授权≥500个。</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15</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终端认证平台</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标准机架式设备，提供GE电口≥6个，USB口≥2个；2.支持Linux操作平台，支持PostgreSQL数据库；3.支持内置Portal和802.1x功能，支持MAC地址认证、短信认证、昵称认证功能；4.支持与第三方Radius联动，将认证信息转发给第三方Radius服务器进行认证，实现统一身份源；5.支持账号简化管理功能，能够实现用户闲置时间自定义功能，超过时间将会被暂停或者销户；6.支持认证页面合并功能，在同一认证页面可选择普通用户、短信、二维码（接待人员扫描访客二维码和访客扫描接待人员二维码）、微信web认证等多种认证方式，；7.支持使用用户名密码+手机号及短信获取的6位数随机校验码作为认证要素进行双因子认证；8.首次登陆账号激活，强制用户上线后必须修改初始化密码；9.支持密码防暴力破解功能，认证页面输入N（N≥3）次错误密码后，将在指定之间内无法认证成功；10.支持设置账号的使用权限，支持设置禁止认证时段，支持直接获取用户物理mac地址，防止篡改；11.支持通过邮箱、手机号、密保问题方式来修改密码；12.配置要求：配置不少于1000个并发用户许可，配置硬盘≥1T，内存≥2G;</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出口防火墙</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硬件架构：标准机架式设备；≥8个千兆电口,≥8个千兆光口，≥4个万兆SFP+光口；配置双冗余电源；；2、防火墙吞吐量≥15Gbps，入侵防御吞吐量≥9Gbps，AV吞吐量≥4.5Gbps，最大并发连接数≥220万，每秒新建连接数≥13万；3、提供基于Client的SSO技术，支持SSOMonitor、ADPooling、TSAgent，提供原厂ADAgent和TSAgent客户端软件；4、定制策略优化与策略助手功能；要求策略优化功能可实现对当前策略提供包括策略创建时间、首次命中时间、最近一次命中时间等多维度分析功能；策略助手支持关联策略ID进行获取流量，并支持策略聚合条件，可一键生成策略；5、提供零信任网络接入功能，设备支持SPA功能，拥有独立的零信任策略配置界面，可基于用户身份、终端标签和应用资源进行安全管控；拥有独立的终端标签日志界面，支持展示用户名、IP、终端IP、操作系统等，本次要求提供不少于8个零信任终端授权；6、提供病毒过滤功能：病毒过滤支持针对SMB、HTTP、SMTP、POP3、FTP等协议传输的文件进行病毒扫描，支持MSOFFICE、PE、GZIP、MAIL、BZIP2、JPEG、ZIP等15种文件类型病毒过滤，病毒过滤特征库数量不低于100万种；7、提供定制化SaaS运维管理平台，支持通过运维管理平台对设备进行监控包括但不限于（设备状态、授权信息、SN号）等，支持联动手机端移动运维APP对设备进行监控：包含多设备集中监控CPU、内存、IP等；支持实时告警消息推送；8、要求产品自主研发，可根据安全需求开发新功能和修复产品漏洞；9、所投防火墙产品具备容器化服务能力、孪生模式、WEB或者手机app监控设备情报、Minipolicy等功能；10、要求建立专属备件库，可随时提供一台不低于应标规格的同品牌备机，支持直接导入配置文件，在紧急故障无法得到及时修复的情况下，四小时内可完成上线服务；11、提供应用识别、IPSECVPN/SSLVPN、负载均衡、SaaS运维管理、病毒过滤、入侵防御功能；</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17</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负载均衡设备</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软硬一体化机架式设备，配备≥16个GE接口（2对bypass）；≥8个SFP接口插槽，≥2个SFP+接口插槽；配置双电源。2、应用吞吐量≥10Gbps,网络吞吐量≥35Gbps,最大并发连接数≥1000万，每秒新建会话数≥27万/秒。3、支持单臂路由，串联路由，串联透明，DSR（三角传输）的部署方式。4、支持静态路由、ISP路由、策略路由、RIP动态路由协议，支持ISP信息的导入。5、支持IPv6，支持4to4、4to6、6to4、6to6的转换，支持IPv4服务器和IPv6服务器组成集群，统一对外提供服务，实现优化双栈服务集群资6、SSL：支持软件SSL卸载，支持的SSL版本包括SSLv2、SSLv3、TLS1.0、TLS1.1、TLS1.2，默认禁用安全性较低的SSLv2和SSLv3。7、支持4层和7层负载均衡，支持轮询（RR）、加权轮询（WRR）、最少链接（LC）、加权最少连接（WLC）、IP哈希（HI）、一致IP哈希（CHI）、最快响应（FR）等负载均衡算法。8、支持DNS代理黑白名单功能，用户可通过该功能过滤域名查询请求，保护DNS服务。9、支持HTTP双向内容改写，可以对来自客户端的请求、服务器的响应进行内容改写，包括对HTTP头部的插入、删除及替换，对Cookie的插入、删除及替换；支持对HTTP请求体、HTTP请求URL的替换等。10、支持基于源IP的会话保持，针对HTTP/HTTPS协议，支持URL哈希、HTTP首部哈希、Cookie哈希、插入Cookie、SessionID的会话保持。11、服务器监控检查：支持预定义和自定义健康检查，支持的健康检查对象包括ICMP、TCP、UDP、HTTP、HTTPS、SMTP、POP3、IMAP、DNS等协议。12、提供SAAS运维管理平台：实现7*24小时安全态势监测、报警服务，能够通过手机APP对设备进行监控，可实时查看威胁事件，具备应急响应能力支持通过手机运维APP执行“一键断网”。14、提供应用识别、负载均衡、移动运维等功能模块。</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18</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上网行为管理</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机架式设备；提供不少于12个GE电口、12个SFP接口；不小于500G存储空间，冗余双电源；应用层吞吐不低于2Gbps，网络层吞吐不低于6.8G，并发连接不低于120万；2、应用特征不少于5000个，移动应用不少于450个。支持自定义应用，包括但不限于数据包方向、协议、端口、IP地址、目标域名、关键字识别等维度，数据包方向包括任意、请求数据、响应数据，关键字匹配模式支持文本或正则表达式；支持DNS域名学习模式，可引用数据包特征中的目标域名或指定域名；3、支持针对搜索引擎、http、网页内容进行关键字过滤并实时生成日志记录，日志级别包括但不少于紧急、告警、严重、通知、信息、调试、不记录等，方便管理员快速区分用户上网行为属性和定位日志级别；4、支持基于DNS前置技术实现在DNS解析阶段针对http和https域名进行过滤，防止https域名过滤逃逸情况，内置恶意URL特征库，管理员可基于策略快速过滤恶意URL；5、支持流量限额功能，可基于用户、源IP、目的IP、时间、应用等维度，进行日流量总额、月流量总额、当日使用时长、当月使用时长等限额类型进行流量管理；针对达到限额阀值的用户进行弹窗提醒，限额阀值和弹窗提醒频率支持自定义；针对超过限额的用户，管理员可选择禁止上网或者加入至惩罚流控通道；6、支持IP准入、MAC准入、IP+MAC准入、本地认证、Portal认证、Radius认证、LDAP认证、POP3认证、AD域单点登录、短信认证、微信公众号认证、APP认证、IC卡认证、二维码认证、互联网钉钉认证、混合认证和免认证，其中微信公众号认证支持通过小程序获取手机号；支持对接ACController、IMC、AAS、SMP、深澜、城市热点、PPPOE、安美等常见认证服务器；支持通过解析Radius、http流量，获取用户名、IP和MAC信息，实现无认证实名上线；7、支持Portal逃生，支持选择不逃生、全部用户逃生和已认证用户逃生等方式；可基于PING、TCP、DNS等方式探测认证服务器；8、支持APP认证，智能解析用户上网流量，获取APP特征和用户名信息，当存在未安装APP或未实名登录APP时，系统阻断用户上网请求并弹送APP安装页面；支持兼容PC、IOS、Android等系统，支持IP和域名白名单，放通与APP服务器交付流量；9、VPN支持IPSecVPN、SSLVPN、GreVPN，支持手机、平板电脑等移动终端VPN接入，功能标配，无需增加功能授权即可使用;10、分析范围包括但不限于离职风险、工作效率分析、热门事件挖掘、非工作时间上网分析、校园网贷分析、沉溺网络分析、用户行为画像等；11、支持本地安全防护，包括但不限于入侵防御、病毒查杀、DDOS、异常包防护等，入侵防御规则不少于8000条，病毒防护规则不少于200万；12、提供负载均衡、应用识别、URL分类库过滤功能。</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19</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日志审计</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专用硬件安全审计设备；提供不少于6个千兆电口，1个接口扩展槽；存储容量：不小于4TB；日志处理速度：不小于18,000事件/秒；存储能力：至少在2G链路下有180天的存储能力，日志源数量至少满足600个；2、设备监控要求,支持各类型日志磁盘存储占比统计、各类型日志接收趋势统计、设备日志接收趋势统计、发送日志的设备状态监控、硬盘健康状态及Raid状态监控；3、NAT日志审计：可记录详细NAT日志信息（包括时间、源地址、目的地址、端口以及转换后地址等元素），用户可以根据上述信息元素对安全审计平台收集的NAT日志进行检索查询；4、系统日志：包括事件日志、告警日志、网络日志、配置日志、安全威胁日志等。内容审计日志：包括发帖日志、EMAL日志、FTP等日志；5、URL日志审计：可详细地记录URL日志信息（包括时间、源地址、目的地址、源端口、目的端口、以及NAT转换后地址、端口、URL地址、用户等信息），可以收集、存储上述URL日志并提供快速的搜索查询功能；6、IM上下线审计：可以对IM上下线（包括移动QQ）日志进行详细的记录（包括时间、内网地址、端口、NAT后的地址和端口、IM类型等信息）可以对上述信息进行采集、存储并提供快速检索查询的功能；7、日志备份：提供了日志备份的功能。针对客户海量的NAT日志、URL日志和IM上下线日志，可以通过手动或者自动两种方式，把日志备份到第三方的存储空间，保证了日志数据的完整性；8、实名制审计：具备与深澜、城市热点认证系统联动，实现实名制审计，满足合规性与监管要求；9、支持各类型日志磁盘存储占比统计和各类型日志接收趋势统计；支持各设备日志接收趋势统计；支持对发送日志的设备状态监控，支持硬盘健康状态及Raid状态监控，支持自定义监控面板和监控内容；</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堡垒机</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机架式硬件设备，基于高性能硬件平台和专业安全操作系统；配备≥4TB硬盘；配备≥6个千兆以太网电口，支持扩展≥4个千兆光口；支持终端数≥150，字符型管理并发连接数≥100，图形化管理并发连接数≥30；2、支持协议类型：图形终端协议：RDP、VNC、X11；字符终端协议：Telnet、SSH；文件传输协议：FTP、SFTP；Mysql数据库：MYSQLFRONT、HEIDISQL；SQLServer数据库：SQLserver（2000-2012）；WEB应用：HTTP、HTTPS；KVM类：DSR、DSVIEW、RARITAN、RARITAN_CC；其他应用：REALVNC；等等；3、支持字符类putty、SecureCRT等工具的各类属性：能够支持终端属性、字符编码、窗口大小随意调整等；支持图形类mstsc工具的原有属性，能够支持自定义开启/关闭磁盘映射、剪切板等，支持窗口大小随意调整；4、自然人（员工帐户）登录系统时支持静态口令、Radius认证、AD域、动态令牌认证、数字证书认证、USBKEY认证、Google手机动态令牌认证、LDAP认证等；系统内置PKI证书认证功能，用户只需配置USB-KEY即可实现证书登陆认证，实现USB-KEY+PIN码的双因素认证；系统内置动态令牌认证，用户不需要额外部署认证服务器，即可通过配置动态令牌实现双因素认证；支持多因子认证自定义组合，可为不同用户组分配不同的认证策略，支持单因素，双因素和多因素的认证策略；支持通过ssh-keygen产生公钥和私钥密码对，上传堡垒机，可实现免密码登录服务器；5、支持对系统的自动改密功能；无需通过插件、引擎或特殊端口对目标设备进行自动改密；在系统完成密码修改之后，可以自动进行新密码登录测试，以便进一步校验密码修改结果；6、支持对字符终端命令记录：支持用户从任意命令开始查看本命令输出结果或播放；命令分析功能支持将输入命令和输出结果智能分离，可以只查看字符命令，也可以显示该命令的返回结果；支持对图形终端键盘操作记录：支持图形终端键盘操作记录，完整记录键盘动作；支持对数据库运维SQL命令记录：系统必须能审计到详细的SQL语句，而非键盘符指令，且必须记录到SQL语句的执行时间；支持对图形标题栏识别（OCR）：系统必须对图形运维中的标题名进行智能提取，并可以从任意一个标题名开始回放。可支持中英文操作系统的标题栏体系；7、支持WEB在线回放完整会话；字符终端操作会话支持倍速播放；图形操作会话支持拖拉定位播放；支持暂停、停止、重新播放等播放操作；导出日志支持使用离线播放器进行日志查看和日志检索；8、支持对基于RDP会话的操作行为的告警；支持对数据库应用的操作命令的告警；支持告警内容自定义；</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21</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网络安全分析审计系统</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系统配置：标准机架式独立硬件设备，提供不小于8TB存储硬盘，提供采集口：≥2个千兆电口,≥2个千兆光口;管理口：≥2个千兆电口，设备流量处理能力≥1Gbps。旁路接入网络中，通过交换机端口镜像功能或者分流器做流量采集。系统功能：1.支持安全防护技术，使设备的IP在网络中不可见，任何不被信任的IP都无法发现该设备（ping或tcp连接该设备），只经过认证后的信任IP在有效时间内可见、可访问，超时后需重新认证。2.支持L2-7层网络数据全流量捕获和存储。采集方式可选择捕捉/存储过滤，捕捉过滤支持在捕捉数据包时可自定义过滤条件，包括但不限于地址、端口、协议、应用，通过“与”“或”“非”等组合方式对捕捉流量进行过滤，仅对过滤后的流量进行采集与分析；也可在捕捉过滤的基础上进行存储过滤，存储所捕捉统计的数据以及重要或特定的原始数据；协议类型支持L2-7层可识别的协议类型，应用和协议支持但不限于视频会议类、翻墙工具、邮箱类、网络存储类、扫描类、BT类、远程控制类等42种应用类型，将重要的数据分离出来，过滤掉不需要的数据，提高系统的分析性能。4.系统具备一套语法规则，支持不少于215种元数据种类，自定义建立行为模型。如HTTP协议元数据包括但不限于请求头（AcceptLanguage、AcceptEncoding、Host、Cookie、Referer、UserAgent、ContentType），DNS包括但不限于协议字段（Type、Qdomain、Qtype、Answcount、answttl、answip）等，按照“与”、“或”、“非”以及正则匹配组合的方式自定义网络异常行为模型告警规则，运算方法类型包括INT64、BOOL、NETADDR、STRING等。威胁模型之一如下:内部IP地址为邮件服务器+外部IP地址为境外+TCP传输时间大于1小时+传输数据量大于5MB+发送数据大于接收数据=可疑窃密传输；其他与上述威胁模型类似的自定义模型不少于160条，需可报警并可统计，需提供具体行为模型类型和规则配置文档描述。5.支持同一界面不少于5个层次的数据钻取分析；如从IP地址等维度的第一层，钻取到协议第二层，再钻取到网络应用的第三层，再钻取到IP会话的第四层，再钻取到TCP会话、UDP会话的第五层，并且支持第五层原始数据的流还原可视或可提取。6.支持多维数据分析和提取，包含概要、服务端口、网段、协议、网络应用、国家或地区、所有IP、内网IP、外网IP、非大陆IP、活跃资产、IP会话、外联IP会话、非大陆IP会话、TCP会话、TCP外联会话、UDP会话、警报日志、互联网设备、原始日志等20个维度统计视图和原始数据包的导出。7.数据解码：内置数据包解码软件，提供专业的中英文双语协议数据包解码功能，支持数据流重组以及数据包解码，至少包括：十六进制、ASCII码、UTF-8等方式；支持会话还原，展现tcp会话建立连接三次握手及关闭连接的交易时序图。8.支持对任意网络对象的回溯分析，如：IP、国家或地区、端口、会话、协议、应用、网段；并支持对多个条件批量回溯，能够快速、准确查询每个检索条件匹配到的网络通讯行为或原始数据包，可进行深入的分析、下载数据包等操作。提供快速查询（同时查询条数不低于200条）、统计查询、特征值（数据包载荷内容特征值）查询、行为查询、日志查询等维度的检索条件对网络历史数据进行检索、回查，并且支持分析、下载检索时对应的完整交互数据包。</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w:t>
            </w:r>
          </w:p>
        </w:tc>
        <w:tc>
          <w:tcPr>
            <w:tcW w:w="1261" w:type="dxa"/>
            <w:tcBorders>
              <w:top w:val="nil"/>
              <w:left w:val="nil"/>
              <w:bottom w:val="single" w:color="000000" w:sz="4" w:space="0"/>
              <w:right w:val="nil"/>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设备网</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网络安全边界</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硬件架构：标准机架式设备，采用前后通风设计；≥8个千兆电口,≥8个千兆光口，≥2个万兆SFP+光口；配置双冗余电源；2、防火墙吞吐量≥15Gbps，入侵防御吞吐量≥9Gbps，AV吞吐量≥4.5Gbps，最大并发连接数≥220万，每秒新建连接数≥13万；配置IPSECVPN6000条隧道授权，8个SSLVPN/零信任复用授权，SSLVPN并发用户数最大支持扩展到4000个；3、提供基于Client的SSO技术，支持SSOMonitor、ADPooling、TSAgent，提供原厂ADAgent和TSAgent客户端软件；4、定制策略优化与策略助手功能；要求策略优化功能可实现对当前策略提供包括策略创建时间、首次命中时间、最近一次命中时间等多维度分析功能；策略助手支持关联策略ID进行获取流量，并支持策略聚合条件，可一键生成策略；5、提供零信任网络接入功能，设备支持SPA功能，拥有独立的零信任策略配置界面，可基于用户身份、终端标签和应用资源进行安全管控；拥有独立的终端标签日志界面，支持展示用户名、IP、终端IP、操作系统等，本次要求提供不少于8个零信任终端授权；6、提供病毒过滤功能：病毒过滤支持针对SMB、HTTP、SMTP、POP3、FTP等协议传输的文件进行病毒扫描，支持MSOFFICE、PE、GZIP、MAIL、BZIP2、JPEG、ZIP等15种文件类型病毒过滤，病毒过滤特征库数量不低于100万种；7、提供定制化SaaS运维管理平台，支持通过运维管理平台对设备进行监控包括但不限于（设备状态、授权信息、SN号）等，支持联动手机端移动运维APP对设备进行监控：包含多设备集中监控CPU、内存、IP等；支持实时告警消息推送；8、要求产品自主研发，可根据安全需求开发新功能和修复产品漏洞；9、所投防火墙产品具备容器化服务能力、孪生模式、WEB或者手机app监控设备情报、Minipolicy等功能；10、提供应用识别、IPSECVPN/SSLVPN、负载均衡、SaaS运维管理、病毒过滤、入侵防御功能模块。</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核心交换机</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整机独立主控引擎插槽≥2个，独立业务插槽≥3个，系统电源槽位≥2个；2.交换容量≥160Tbps，包转发性能≥36700Mpps；背板带宽≥160T；3.支持静态路由，支持RIP、OSPF、IS-IS、BGP4等动态路由协议；4.支持虚拟化功能，能够将多台物理设备虚拟成一台逻辑设备；5.支持IPV6SAVI防地址欺骗解析欺骗策略；配置要求：1.每台配置主控引擎≥2个、电源≥2个；2.每台配置千兆电接口≥24个、千兆光接口≥24个、SFP+万兆光接口≥4个，所有网络接口为业务板接口，非主控引擎板接口；</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万兆单模模块</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万兆LC接口模块（1310nm），10km，适用于SFP+接口</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24口汇聚交换机</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固化千兆光接口≥24个，千兆光电复用接口≥8个，固化1G/10GSFP+光口≥8个，提供≥1个业务扩展槽，支持100G端口扩展；2.交换容量≥24Tbps，包转发率≥762Mpps；背板带宽≥20T；3.支持可拔插双模块化电源，支持电源1+1冗余；4.支持RIPv2，OSPFv2/v3，BGP4/4+，IS-ISv4/v6；5.支持IGMPv1/v2/v3，PIM-SM等组播协议，支持基于IPv4/IPv6五元组、基于源/目的MAC、基于VLAN、基于802.1P优先级的ACL；6.支持虚拟化功能，可将多台物理设备虚拟化为一台逻辑设备统一管理，并且链路故障的收敛时间达到毫秒级；配置要求：配置完整主机，冗余电源模块</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24口接入交换机</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规格要求：1.固化千兆电接口≥24个，独立千兆SFP光接口≥4个；2.交换容量≥3.36Tbps，包转发率≥126Mpps；背板带宽≥3T；3.支持IPv4、IPv6静态路由、RIP、RIPng、OSPFv2、OSPFv3等三层路由和组播功能；</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千兆单模模块</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1000BASE-LXminiGBIC转换模块（1310nm），10km</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网络性能管理系统</w:t>
            </w:r>
          </w:p>
        </w:tc>
        <w:tc>
          <w:tcPr>
            <w:tcW w:w="8975"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硬件规格：标准机架式独立硬件设备，数据采集支持毫秒级精度。存储容量≥4TB，提供采集口：≥2个千兆电口，管理口：1个千兆电口，设备流量处理能力≥300Mbps。系统功能：1、支持根据VLANID、ISLVlan、MPLS标签、VxLANID、IP网段设置子链路，实现对特定标签流量的性能统计、分析、存储。2、支持原始数据包完整保存以及数据包截断存储，支持按照不同自定义应用、协议、Vlan、Vxlan、MPLS和ISLVlan等方式分别设置数据包截断长度，支持设置有效载荷数据包序号，并从该序号位置开始对数据包进行裁切，支持设定数据包裁剪字节数，字节范围为64B-65535B。3、支持数据包回放功能，能够将通过其他方式获取到的数据包导入系统进行分析，实现与系统捕获的数据包相同的分析功能，支持导入数据包格式至少包括：cap、pcap、rapkt、cscpkt、rawpkt、5vw、pkt、TRC0、TRC1、tr1、pcapng、pcapng.gz、ntar、ntar.gz、Snoop等。4、支持对单个主机的流量进行回溯分析，提供单个地址的网络应用、IP会话、TCP会话、UDP会话、物理地址、服务端口和服务访问等视图。支持提供单个主机的流量趋势图。单个主机IP的分析指标包括但不限于：IP版本、总字节数、总数据包数、字节收发比、数据包收发比、平均包长、发送TCP同步包、接收TCP同步确认包、发送TCP重置包、接收TCP重置包、创建会话数、连接建立无响应次数、连接建立被重置次数、ICMP平均/最大/最小回应时间等100种，所有统计指标支持秒级时间精度，并支持分析界面按任意指标排序。5、支持对IP会话的流量进行回溯分析，IP会话分别包含的TCP和UDP分析视图。能够提供单个IP会话的流量趋势图，IP会话分析指标包括但不限于：TCP重传包、TCP分段丢失包、TCP重复确认包、三次据手次数、三次握手平均时间、TCP有效载荷数据包数、TCP乱序包数、传输效率、平均窗口大小、SRV6地址等100种，所有统计指标支持秒级时间精度，并支持分析界面按任意指标排序。6、能够对任意时段指定应用的服务质量关键指标进行分析，服务质量关键指标但不限于：TCP连接请求无响应次数、TCP连接请求被重置次数、、重传率、分段丢失率、TCP0窗口数量等110种参数。7、支持针对采用TCP协议的应用交易定义和分析功能，支持根据应用层数据的协议特征定义各个交易字段，如定义交易名称、交易识别条件、交易匹配条件、交易结束标识、交易成功标识等，支持基于同步TCP和异步TCP传输模式的应用交易定义和分析。对交易进行识别和分析后，可以直观的看到易处理数量、平均交易处理时间和交易状态等趋势图，各类流量参数、会话参数和交易统计参数等以表格的进行呈现。8、支持对TCP/UDP数据流进行监测，通过定义数据包payload的特征值，监测异常的TCP/UDP通讯并产生警报，特征值可以包括十六进制和ASCII的特征定义。9、具有安全分析视图，安全分析视图中至少需包括：ARP攻击分析视图、蠕虫病毒主机分析视图、DoS攻击分析视图、TCP端口扫描视图、可疑会话视图，系统可以自动找出存在这些安全问题的行为特征的主机，并在各安全问题分析视图下提供发现安全问题的相应数据包分析视图。10、支持数据包解码功能，系统内置国内拥有自主知识产权的数据包解码软件，无须利用其它工具下载数据包进行事后解码分析，可针对流量支持L2-L7层数据包中英文解封装，以十六进制、ASCII码、UTF-8等方式展现数据包载荷内容，数据包时间戳支持纳秒级精度。11、支持识别不少于2000种应用层、网络层、传输层、数据链路层IoT和工控协议，包括但不限于：PPP、ARP、RARP、VLAN、CGMP、IP、IPv6、EGP、IGMP、ICMP、HTTP、POP3、BGP、FTP、TELNET、RIP、RTSP、DHCP、DNS、MySQL、SSL、AMQP等协议。</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100M链路费</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一条与公安局平台对接的点对点数据链路</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年</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100M链路费</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一条与市监局平台对接的点对点数据链路</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年</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500M链路费</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一条与运营商对接的数据专线链路</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年</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 xml:space="preserve"> </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三、综合安防系统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视频监控</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400万网络红外半球摄像机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传感器类型:不低于1/2.7英寸CMOS；像素:400万，大分辨率:2688×15202.最低照度:0.002Lux(彩色模式);0.0002Lux(黑白模式);0Lux(补光灯开启)。3.音频压缩标准:G.711a;G.711Mu;PCM;G.726;AAC;G722.1;MPEG2-Layer24.设备支持自动防闪烁功能,开启该功能后,可以消除闪烁条纹；5.人脸属性显示功能检验：支持人脸属性显示功能，可在IE浏览器预览界面显示包括年龄、性别、有无戴眼镜、表情（包括高兴、愤怒、悲伤、惊讶、困惑、厌恶、平静、害怕等人脸表情）、胡子、口罩等人脸属性6.设备角落亮度均匀性（corners）≥85%，四边亮度均匀性（sides）≥90%恢复默认:支持一键恢复默认配置OSD信息叠加:时间;通道;地理位置;图片;人脸统计7.智能行为分析功能检验：当以下的智能分析行为达到设定的阈值时，可通过客户端软件或IE浏览器给出警提示。绊线入侵；区域入侵；物品遗留；物品消失；徘徊；停车；快速移动；人员聚集；进入区域；离开区域样机支持行为分析出发后联动抓图、录像、报警上传、发送邮件、辅助输出等多种报警触发方式；当发生绊线入侵、区域入侵和快速移动时；8.安全模式:授权的用户名和密码;MAC地址绑定;HTTPS加密;IEEE802.1x;网络访问控制9.内置GPU芯片，具有1个RJ45接口，1个报警输入接口、1个报警输出接口、1个音频输入接口、1个音频输出接口、1个内置麦克风、1个SD卡槽、内置扬声器。10.供电方式:DC12V/POE防护等级不低于IP67;IK10</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400万网络红外枪型摄像机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传感器类型不小于1/2.7英寸CMOS；像素:400万；最大分辨率:2688×15202.视频帧率:50Hz主码流（2688×1520@25fps），辅码流（704×576@25fps），第三码流（1280×720@25fps）60Hz主码流（2688×1520@30fps），辅码流（704×480@30fps），第三码流（1280×720@30fps）3.支持人员、机动车、非机动车区分检验，备智能分析抗干扰功能，当小狗、树叶等非人或车辆目标经过检测区域时，不会触发报警4.设备支持自动防闪烁功能,开启该功能后,可以消除闪烁条纹；5.采用多人依次循环通行进行试验，试验环境照度不低于100lux，试验人员数量不小于5人，通过速度不小于1m/s，人员通过间隔时间不大于1s，试验次数100人次，样机的客流量统计结果应不小于99次6.设备角落亮度均匀性（corners）≥85%，四边亮度均匀性（sides）≥90%7.可通过客户端软件或LE浏览器对音频文件进行管理，支持音频文件预览播放，内置语音文件21种，支持通过设备自带mic、客户端软件或IE浏览器进行自定义音频文件录制，支持自定义音频文件上传及下载，自定义音频支持PCM/G711A/G711/AAC4种编码格式的WAV/PCM/MP3三种文件格式8.支持ROI，SMARTH.264/H.265，灵活编码，适用不同带宽和存储环境9.支持一键撤防，可在自定义设置的时间段内对邮件，音频，灯光等事件联动项进行统一撤防控制10.供电方式:DC12V/POE防护等级不低于IP67</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153</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壁装枪机支架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铝合金；最大承重不低于1.0kg；壁装；</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153</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电梯蝶形摄像机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具有不小于200万1/2.8英寸CMOS；2、灰度等级不小于11级；3、信噪比不小于58dB；4、低照度彩色：≤0.001lx（F=1.5，关闭帧累积，彩色模式），能基本分辨被摄目标的轮廓特征和色彩，黑白：≤0.0001lx（F=1.5，关闭帧累积，黑白模式），能基本分辨被摄目标的轮廓。5、照度适应范围不小于130dB；6、检测到电压低于8.4V或者高于19V时，可在客户端显示图标或者播放报警提示音进行报警提示；7、可设置不小于4套场景参数，不同场景参数可按时间设置自动切换；8、具有背光补偿功能，可设置背光补偿区域，区域大小，位置可设，支持自动背光补偿模式；9、摄像机具有自动增益功能，使视频信号随目标亮度的变化自动调整视频输出；10、具有数字降噪（3D降噪）设置选项；11、可在监视画面上设置遮盖区域，区域的个数、大小、位置可设置，可设置不小于4个区域；12、在IE浏览器下，具有感兴趣区域（ROI）设置选项，可设置不小于4块感兴趣区域、6个图像质量等级；13、红外夜视可识别距不小于50米处的目标轮廓；14、具备不少于报警1进1出，音频1进1出，最大支持256GMicroSD卡，内置MIC；</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电梯无线网桥</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视频路数不少于3路200万像素业务端口≥3个具备不少于1*POERJ45(IN：220V，OUT48V/0.25A)、1*LANRJ45DC12V电源接口无线标准IEEE802.11b/g/n工作频率2412~2472MHz无线方向角水平≥65°，仰角≥60°传输距离≥400m加密方式WPA-PSK；WPA2-PSK配置电源</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400万网络红外高速球机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双路视频输出：全景180°广角400W拼接、F1.O、1/2.8英寸CMOS传感器；细节400W、1/2.8英寸CMOS传感器支持星光级超低照度，彩色：0.001Lux@F1.0黑白：0.0001Lux@F1.0；0Lux红外灯开启2、支持内置GPU芯片，内置不少于150米红外灯补光3、细节相机支持不小于25倍光学变倍、16倍数字变倍4、设备支持全景摄像机与细节摄像机互为不小于180°夹角监控5、支持绊线入侵、区域入侵、穿越围栏、徘徊、物品遗留、物品搬移、快速移动、停车、人员聚集检测；支持联动跟踪6、全景通道可输出2个镜头无缝拼接的全景图像，纵向拼接偏差像素≤4个像素点；全景通道水平视场角≥185°7、支持人脸检测；支持人脸优选抓拍；支持人脸增强；支持人脸属性提取；支持6种属性8种表情；支持多种人脸抠图方案设置8、内置喇叭可随设备的转动进行水平、垂直不同方向的定向播放；喇叭支持水平0~360°，垂直-20~90°旋转9、全景摄像机内置不少于4颗白光灯，细节摄像机内置不少于4颗红外灯、2颗白光灯10、设备具有AR标签管理功能，可对监控区域的常规点位、卡口点位、人脸点位、重点道路等添加标签进行标注11、支持细节路水平方向360°连续旋转，垂直方向-20°～90°自动翻转180°后连续监视,无监视盲区12、细节路支持不少于300个预置位，8条巡航路径，5条巡迹路径13、细节路支持电子透雾，雾天也能输出清晰、透彻的图像14、支持不少于1路音频输入和1路音频输出，内置不少于2路报警输入和1路报警输出，支持报警联动功能15、支持IP66防护等级，8000V防雷、防浪涌和防突波保护16、支持DC36V±25%宽电压输入17、支持国密算法SM1、SM2、SM3、SM4，支持GB35114A级18、自带扬声器模块，支持周界检测后自动喊话提醒，同时播报相关警示信息</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球机壁装支架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铝合金；白色；最大承重7.0kg；壁装；</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高空全景摄像机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全景相机采用不少于4个高性能400万像素1/1.8英寸CMOS图像传感器。最大单路可输出1600万(5520×2700)@25fps。相机支持AR全景展示，可添加各类AR标签；2.全景相机最低照度：≤0.0005Lux（彩色模式）；≤0.0002Lux（黑白模式）；3.细节相机采用不少于1个高性能400万像素1/1.8英寸CMOS图像传感器，最大单路可输出不小于400万(2560×1440)@25fps；4.采用不小于40倍光学变倍；5.旋转范围：水平:0°~360°连续旋转，垂直:-11°~+90°自动翻转180°后连续监视；6.主视频图像不小于2000TVL(分辨率设置为5520×2700、帧率设置为25fps、码率设置为1Mbps输出、图像四周有畸变)；7.球机内置高效红外补光灯，最大红外监控距离不小于400米；8.设备具有微云台功能，可控制全景通道左右转动；9.可识别距设备不小于600米处的人体轮廓，可看清距设备不小于100米人脸轮廓。整机参数；10.在IE浏览器下，可通过画笔在监控画面中进行标记；11.具有智能风控除雾功能，可自动去除内部水状和雾状附着物；12.支持宽动态，3D降噪，强光抑制，背光补偿，适用不同监控环境；13.具有标签跟踪功能，可对全景和细节通道的移动标签进行跟踪，移动标签始终位于画面中心，且跟踪时间和倍率可设置；14.具有BDS定位和GPS定位功能，并能够在监视画面中叠加设备所在的经纬度信息；15.可加装5G快装模块，实现5G功能：支持5G/4G/3G蜂窝网络自动/手动切换；16.支持DC36V供电方式，支持12V电源返送，最大电流165mA,方便工程安装；17.支持无SD卡、SD卡空间不足、SD卡出错、网络断开、IP冲突、移动检测、视频遮挡事件报警；19.支持不小于IP66防护等级；</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不锈钢重载支架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不锈钢重载支架</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400万厨房亮灶摄像机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不低于400万像素图像传感器；2.内置GPU芯片，相机前盖支持拆卸更换、清洗，维护方便；3.最低照度：彩色模式：≤0.002Lux；黑白模式：≤0.0002Lux；4.内置高效红外补光灯，最大补光监控距离≥80米；内置暖光灯，最大补光监控距离≥30米；5.支持ROI，SMARTH.264/H.265，灵活编码，适用不同带宽和存储环境；6.接口数量和类型满足以下要求：支持报警2进2出，音频1进1出，1路485接口，1路BNC接口，支持电源返送，最大支持512GMicroSD卡；7.设备可对检测目标是否戴口罩、是否戴帽子、衣服颜色(黑色、白色、红色)进行检测，当检测到目标与预设的条件不一致时可触发报警；报警的最短持续时间和重复报警时间可设置；8.设备可对玩手机的目标进行检测，当检测到目标玩手机时可触发报警；报警的最短持续时间和重复报警时间可设置；9.设备可对垃圾桶未盖进行检测，当检测到垃圾桶未盖时可触发报警；报警的最短持续时间和重复报警时间可设置；10.支持以下智能侦测事件：区域入侵，绊线入侵，快速移动（三项均支持人车分类及精准检测），物品遗留，物品搬移，徘徊检测，人员聚集，停车检测，人脸检测，人数统计；11.设备可对老鼠进行检测，当检测到老鼠时可触发报警；报警的最短持续时间和重复报警时间可设置；12.设备可通过RS485接口接入温湿度传感器，当温度、湿度超过预设的阈值时可触发报警；13.支持DC12V/POE供电方式；14.支持不低于IP67防护等级。</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13</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壁装枪机支架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铝合金；最大承重不低于1.0kg；壁装；</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15</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人脸识别网络摄像机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不低于500万像素；内置靶面尺寸≥1/1.8英寸图像传感器；2.内置电动变焦镜头，镜头焦距：2.7mm～12mm可调；3.内置高效暖光灯和红外补光灯，最大红外监控距离≥60米，最大暖光监控距离≥40米，人脸检测距离≥6米；4.内置双麦克风和高保真大口径扬声器；5.采用一体化的补光结构，补光灯表面为微四边形阵列，采用多层透镜结构，可设置画面中远端、近端2个区域的补光亮度；6.内置GPU芯片，支持通用行为分析、人脸检测、人脸识别、视频结构化、人数统计、道路监控六种智能资源切换；7.在人脸识别模式下，设备可开启隐私保护功能，对人脸或人体进行跟踪马赛克处理8.支持视频结构化：支持机动车、非机动车、人脸、人员等目标的抓拍和属性识别；9.支持人脸检测：支持跟踪，支持优选，支持抓拍，支持上报最优的人脸抓图，支持人脸增强，人脸曝光，支持人脸属性提取，支持≥6种属性，≥8种表情；10.支持人脸识别：支持添加≥10个人脸库；</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安装支架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铝合金；白色；最大承重7.0kg；壁装；</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18</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室外立杆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3.5米，国标，含基础及避雷针、接地引下线、接地线和接地体等。</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45</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19</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液晶拼接显示单元（液晶显示器）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屏幕尺寸≥55寸，LED光源；2、分辨率：不低于1920×1080，双边拼缝≦3.5mm；3、亮度不低于500cd/m2，对比度不低于4000:1，图像显示清晰度≥950TVL，亮度等级≥11级；4、LCD显示单元边缘应采用抗热材质，保证高温条件下拼缝效果8、信号输入接口不低于1个VGA(D-Sub)接口、2个CVBS(BNC)接口、1个DVI-D接口、1个HDMI接口、1个RS-232(RJ-45)接口、1个USB接口；9、支持亮度矫正功能，支持以像素为单位进行Mura矫正，能够消除屏幕局部亮暗不均匀现象，屏幕所有像素点亮度均一性不低于90%；10、LCD显示单元具备阔屏技术，在图像亮度调节过程中，通过Gamma变化不丢失灰阶保证图像细节；11、支持同轴高清视频信号，带一入一出环通接口。支持分辨率:720P@50Hz/60Hz、720P@25Hz/30Hz.1080P@25Hz/30Hz12、供电电压AC100V～AC240V，50Hz/60Hz；</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拼接屏支架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外层涂有绝缘喷塑材料，涂层表面平滑、喷涂均匀、色调一致，颜色为黑色；积木式底座可以承受至少6层拼接单元承重;。积木式箱体单元间有紧固连接装置，确保显示单元箱体、底座连接牢固；</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21</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网络视频解码器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3个RS-232、1个RS-485、2个USB；2、单台设备不少于9路HDMI接口输出，至少包含6个3840x2160分辨率输出口和3个2560x1600分辨率输出口；3、支持将电视墙布局保存为预案，设备能保存16组预案，支持轮巡功能，轮巡间隔可任意设置；4、支持解码轮巡，每个解码通道可以实现前端32个通道的轮巡；支持解码轮巡的开启、暂停、恢复、停止；支持配置导入导出；5、同时支持4路视频本地信号输入（支持的分辨率包含3840*2160、1920*1080、1620*1200、1680*1050、1440*900、1400*1050、1366*768、1280*1024、1280*960、1280*800、1280*720、1152*864、1024*768、800*600），其中2路HDMI接口视频同时输入，2路DVI-I（包括DVI-D和VGA）接口视频同时输入；6、支持任意开窗、漫游，任意一路信号可在整屏的任意位置上与其他信号源拼接漫游缩放叠加显示，图层可达38层；7、支持连续按三次电源键，可恢复默认配置；8、支持黑白名单功能；当设置白名单时，只允许白名单内IP访问设备；当设置黑名单时，只允许黑名单内IP访问设备；9、支持前端人脸检测设备直连解码器，实时展示人脸检测结果，包含年龄、性别、表情、眼镜、口罩、胡子等属性信息；支持其中任意4种属性同时展示；10、支持前端人脸检测设备直连解码器，实时展示人脸比对结果，内容包含人脸抓拍图、原始图、通道编号、时间、相似度；11、支持MPEG4、H.264、H.265、MJPEG视频解码；支持PCM、G.711、AAC音频解码；支持音视频复合流解码；12、通过网络抓屏软件，可将远程电脑桌面实时解码上墙显示；可对桌面整屏、单窗口、自定义区域抓屏上墙；可同时支持多个抓屏任务；</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22</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网络视频存储服务器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盘位不低于48盘位；2、采用LINUX操作系统，具有1个控制单元，不低于1个64位六核处理器，8GB内存，可扩展至64GB，可扩展至2个512GBSSD固态硬盘；3、具备不少于4个RJ45网络口，1个RS232接口、1个eSATA、2个USB接口、1个HDMI接口;4、设备可接入双音轨，可同时或分别播放左右音轨;5、支持接入容量为1TB、2TB、3TB、4TB、5TB、6TB、8TB、10TB、12TB、14TB、16TB的磁盘，支持接入SMR硬盘，混合支持SATA磁盘、SSD磁盘，在工作状态下，可支持磁盘热插拔，磁盘可自动识别，接入过程中有提示信息；6、具有包括RAID0、RAID1、RAID3、RAID4、RAID5、RAID6、RAID10、RAID50、RAID60、超级RAID、JBOD、RAID5EE的RAID功能设置选项，具有同步优先、业务优先、I/O均衡及自适应四种RAID同步方式设置选项，支持全局热备和局部热备，支持RAID即建即用，可通过浏览器在线扩展客户端逻辑卷的存储空间，支持逻辑卷的动态在线扩展，7、可通过浏览器显示磁盘剩余空间容量，并可划分多个容量不同的盘组；8、支持同时进行3072Mbps视（音）频码流存储，3304Mbps视（音）频码流转发、1200Mbps视（音）频码流回放，在转发模式下，可支持6600Mbps视（音）频码流的转发，IPSAN工作模式下，存储带宽不小于12Gbps；9、主机支持专用的存储硬盘，可升级专用硬盘固件支持实时监测专用硬盘的健康状态,可对被监测的硬盘健康状态进行分级分类，类别包含“硬盘良好状态”、“硬盘告警状态”、“硬盘错误状态”、“硬盘即将损坏”和“硬盘损坏状态”;10、支持纠删码技术,可以支持不少于16个盘掉线或者损坏，数据仍然有效，保留的硬盘中的数据可正常读出，且新数据可正常写入.创建RAID后即为同步完成状态；11、客户端可一键导出设备日志，支持将第三方业务平台整体嵌入在一个控制器中，同时运行；</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23</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机械硬盘</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16000G；7200RPM；256M；SATA</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智能物联综合管理平台</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视频、门禁、报警、停车、访客、设备运维等子系统自定义安装，支持第三方服务通过容器的方式集中部署；2、具备后智能运算能力，自带不少于5种算法，具备行为分析、视频结构化等智能事件识别功能，3、支持本地存储功能，可用于流媒体存储，具有不少于16盘位，单盘支持不低于18T硬盘；4、具有双控制器，分别加载算法系统、和平台系统，控制器1:SSD,不低于128G，算法系统；控制器2:SSD,不低于1T,平台系统；5、支持通第三方系统直接嵌入系统平台软件页面；6、支持配置菜单列表的显示字段，可根据列表的字段对列表记录进行筛选、排序；7、支持B/S、C/S的桌面式终端和苹果、安卓的移动终端应用；8、支持在信令传输过程中对敏感信息进行加密处理，包括：用户名，密码，设备登录账号，设备登录密码；9、支持通过掩码字符对敏感数据的显示进行脱敏处理，数据包括人员姓名，证件号码，手机号码，生物特征；10、支持管理不少于1000个角色信息、1000个用户信息、1万个人员信息、1万个车辆信息、1万张卡片信息、1万路通道信息；11、支持查看角色信息列表，信息包括角色名称、角色等级，是否绑定用户，支持查看、编辑、删除角色操作；12、支持AD域配置、导入AD域用户，可通过AD域用户账户登录平台；13、配合门禁管理业务组件，支持从人证核验设备获取人员的基本信息、证件号、卡号、指纹、人脸图片信息，可对人员信息进行录入和更新；14、支持对车辆基本信息的管理，管理的信息包括车牌号码，车牌颜色、车辆品牌，所属部门、车主；15、支持根据当前系统具备的业务组件，动态加载组织类型，可自动加载新增业务组件具备的业务组织类型；16、支持逻辑组织树的管理与配置，支持用户组织在基础组织和逻辑组织切换，并应用到客户端，管理端、移动端；17、支持自动搜索设备信息及批量添加，可自动完成设备IP，端口，账号，密码、设备/通道名称、通道数量、设备类型信息的录入；18、支持对系统接收的智能/非智能事件、设备/通道事件、服务/服务器事件等各种类型的事件进行预案配置管理，包含报警源、报警类型、生效时间段、联动动作等信息的配置和管理；19、管理端具有联动录像、邮件、短信、视频弹窗、开关门、抓图、云台、电话、开闸、外设输出开关及新增业务组件的报警事件联动动作设置选项；20、支持根据当前系统具备的业务组件，动态加载地图自定义资源类型；支持自动加载新增业务组件具备的自定义资源类型；21、具有不少于16个硬盘盘位、8个智能卡（GPU）盘位、SATA/SAS盘、2个千兆管理电口、8个千兆数据电口，可扩展4个万兆数据光口，2个USB接口、1个HDMI接口、1个电源接口、1个冗余电源接口</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25</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明厨亮灶硬盘录像机</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8路网络视频输入，4个SATA接口，配置1个4T硬盘，1个，标准RS-485串行接口；1个，标准RS-232串行接口</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26</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明厨亮灶用机械硬盘</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16000G；7200RPM；256M；SATA</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27</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主干电源线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YJV-3*6.0mm²</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28</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分干电源线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RVV-2*1.0mm²</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w:t>
            </w:r>
          </w:p>
        </w:tc>
        <w:tc>
          <w:tcPr>
            <w:tcW w:w="1261" w:type="dxa"/>
            <w:tcBorders>
              <w:top w:val="single" w:color="000000" w:sz="4" w:space="0"/>
              <w:left w:val="single" w:color="000000" w:sz="4" w:space="0"/>
              <w:bottom w:val="single" w:color="000000" w:sz="4" w:space="0"/>
              <w:right w:val="nil"/>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电子巡更</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管理主机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国产操作系统，配置不低于：六核十二线程（主频≥2.9GHz），8GB+256GB+1TB存储+21.5显示器。</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巡更采集器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巡检人员随身携带，用于巡检，一般根据巡检人员的数量以及班次确定使用量。射频感应，感应距离5CM左右。坚固耐用，一体胶胆，密封防水，防震；超低功耗设计，智能5秒自检功能，带电池更换记录，时间出错记录等。精致外形，采用RFID感应读卡技术，读取成功时，有声光提示，数据存储满时有提示功能金属外壳，防水、防振和防低温设计LED强光手电功能，满足夜间使用需求读卡频率：125k，读卡距离：3-5cm，读卡响应时间：≤0.3s采用USB通讯方式，直接与电脑数据交换，速率高，稳定可靠57600BPS的标准下快速、稳定的数据传输，也具有给巡检器校时等功能超低功耗，低电流量，电池寿命1年以上（正常读卡每天300次),可充电；防护等级：IP55工作温度范围：-40℃-70℃,工作湿度范围：30%-95%</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巡更人员钮</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记录巡更人员信息依据巡逻人员具体名称赋予人员钮相对应的名称，巡逻人员在巡逻地点前接触一下代表自己的人名钮证明本次为本人在巡逻。本配置主要针对多名巡逻人员共用一个巡更设备</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巡更信息钮</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记录巡更地点名称,具有防水防震，抗击打，但要避开电磁场和酸碱腐蚀的环境，可贴于物体上安装。工程塑料密封存储芯片的信息钮，内置不可修改的全球唯一的ID码，依据计划地名位置名称安装固定在墙体表面。</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巡更事件本</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事件本具有10个事件钮，可在巡检的时候记录对应本次巡逻的事件内容记录依据现场实际需求在巡逻地点结束后需对本次巡逻结果做具体事件内容记录，事件记录本主要起到对巡逻结果的对号详细记录，本记录本有10个事件位置，也可依据要求增加</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w:t>
            </w:r>
          </w:p>
        </w:tc>
        <w:tc>
          <w:tcPr>
            <w:tcW w:w="1261" w:type="dxa"/>
            <w:tcBorders>
              <w:top w:val="single" w:color="000000" w:sz="4" w:space="0"/>
              <w:left w:val="single" w:color="000000" w:sz="4" w:space="0"/>
              <w:bottom w:val="single" w:color="000000" w:sz="4" w:space="0"/>
              <w:right w:val="nil"/>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电子围栏</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双防区脉冲主机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LCD液晶显示，高低压切换功能，可根据安全需要灵活选择，多种电压输出值可调节，独有的闪控技术，可以实现每根合金线都有高压脉冲,4线6线可灵活选择，外形尺寸350*210*110</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不锈钢防水箱</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国标202不锈钢，长*宽*高(450mm*220mm*550mm)</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高压避雷器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氧化锌、复合材料85*170mm</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接地桩</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角铁38*1000mm</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接地线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6平方铜导线</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终端杆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铝合金管Φ32*85；4、6线可用85cm*32mm</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终端杆绝缘子配套包（四线制）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优质尼龙材料，添加抗紫外剂、抗老化剂，内径Φ32</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包</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底座配套包（终端杆或承力杆）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镀锌金属底版，万向调节杆子的角度，含固定件</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承力杆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铝合金管Φ21*85；4、6线可用</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67</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承力杆绝缘子配套包（四线制）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优质ABS，添加抗紫外剂、抗老化剂，内径Φ28</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67</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包</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底座配套包（终端杆或承力杆）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镀锌金属底版，万向调节杆子的角度，含固定件</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67</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中间杆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85CM玻璃钢或铝合金材质85cm*9.8mm</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87</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13</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中间杆绝缘子配套包（四线制）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优质ABS，添加抗紫外剂、抗老化剂</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87</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包</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14</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底座配套包（中间杆）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镀锌金属底版，万向调节中间杆的角度，含固定件</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87</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15</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合金线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多股铝镁18号合金线，高强度，不易折断</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3200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高压绝缘线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耐高压15KV，单芯硅胶绝缘材质</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17</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紧线器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优质ABS，添加抗紫外剂、抗老化剂35mm*25mm</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18</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线连接器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M10×20开槽铝螺丝，用于连接金属合金线</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19</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警示牌</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夜光型警示牌200mm*150mm</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总线报警主机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275*275*75mm本地16路输入4路输出，可扩展最大256路输入256路输出，可通过mbus总线扩展，或者通过RS485扩展模块扩展输入输出。2.4km布线距离，如果报警主机前置，放在中间，左右各走一个mBus总线，则布线距离可达2.4*2=4.8KM，实际建议留20%的余量</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21</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报警键盘</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本地不少于16路报警输入，可扩展至256路；支持接入常开或常闭型探测器；支持探测器防拆、防短、防遮挡功能;2.支持本地不少于4路报警输出，可扩展至256路；支持强制开启、强制关闭、自动控制功能，支持报警联动;3.支持不少于64个子分区（子系统），可对每个子分区单独进行管理；4.可接入不少于32个报警键盘；5.可通过报警键盘、客户端软件或IE浏览器配置设备参数，支持浏览器快速向导设置；6.可通过IE浏览器查询防区状态、系统故障、报警事件、软件版本、通信参数、系统时间等；7.可添加不少于32个用户，用户类别包括操作员、管理员、安装维修员等用户类型；8.当触发报警事件后，可联动电话、短信、语音报警；9.可将系统日志、报警日志和操作日志存储至设备中，可存储不少于2万条记录，日志存储时间不少于90天；</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22</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双防区模块</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可接入2路报警探测器，Mbus总线供电，无需单独供电</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23</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蓄电池</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12V7A蓄电池</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声光警号</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声光报警一体式报警；ABS材质；报警联动配件；额定电压：12VDC；工作电压范围：9~15VDC；额定电流：≤140mA安装环境：室内安装；闪动次数/分钟：300±30次；声压：108±3dB（30cm处）</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声光警号</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ABS外壳，具有一定阻燃性能多种安装方式可选，灵活方便超大报警音量，威慑力强</w:t>
            </w:r>
          </w:p>
        </w:tc>
        <w:tc>
          <w:tcPr>
            <w:tcW w:w="598"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 xml:space="preserve"> </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四、一卡通管理系统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一卡通中心管理平台</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一卡通中心管理平台</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满足卡通、库通、网通的原则。1）卡通：实现一张卡片拥有身份识别和认证，多个电子钱包，取代以往的各种证卡等基本功能。卡内的基本信息允许不同子系统的交替读取。2）库通：一个数据库和平台，所有子系统共享同一个数据库。3）网通：软硬件适合各种不同的网络环境，提供不同环境的解决办法，包括485工业总线和TCP/IP局域网。满足扩展性需求：有良好的扩展性，方便的为二期各个子系统以及以后的系统扩充。安全性需求：1)系统符合一卡一密机制以及DES数据加密算法，有效防止伪卡和破解。2)卡上允许写入员工基本信息和金额，支持多个电子钱包。3)必须有分级权限管理功能，即不同的管理员或领导有不同的操作和查询权限。满足开放性需求：软件具有良好的开放性，以便现有的系统做衔接。满足可靠性需求：集散型控制系统,支持网络工作站管理。</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IC卡读写器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1、连接方式：USB连接；2、感应距离：&gt;3cm；3、工作频率：13.56MHz；4、工作电压：DC5V；5、工作电流：＜200mA；</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非接触式IC卡(含印刷)</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2、工作频率：13.56MHz；3、通信速率：106KB波特率；4、写卡次数：10万次以上；5、数据保存期：10年以上；6、卡片含加密，印制卡1000张起。</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张</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门禁管理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门禁管理系统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门禁系统必须认证卡内流水号方式，不能认证卡片固有号的方式；2、系统可将数据库权限列表自动下载更新至门禁控制器内；3、系统能录入人脸、指纹信息，结合人脸、指纹及卡片进行门禁权限认证；4、系统能按门、按时间、按人员设置有效开门区域、有效开门时段的权限；5、能自动验证人员的进出权限，记录出入人员的基本信息和时间信息，包括开门的日期、时间、卡号、姓名等持卡人出入信息；6、对非法使用卡或强行打开门锁等非正常情况，系统能自动发出报警信号，并自动记录非常状况的时间、门号、状态等详细信息，确保门锁安全和事后查证；7、管理部门可根据需要随时在系统上查询、打印各类人员出入门的详细信息；8、具有电子地图，可实时监控设备工作状态，可实时显示刷卡人员照片、姓名等基本信息；9、系统具有标准的OPC接口，可实现与IBMS等其它业务系统集成，实现的各种系统的联动和信息交互。系统具有消防系统、CCTV联动功能。</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双门门禁控制器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32位工业处理器，模块化；2、永久性储存器，脱机或联网情况下可保存所有的门禁事件和系统参数等；3、具备断电保护、自动重启功能，任何情况的电源中断不影响控制器下一次正常启动；4、门禁控制器能脱离网络运行，脱机管理人数：100万人，脱机信息记录300000条；5、输入：2组门磁状态输入，2组出门请示按钮输入，2组防撬状态输入，2组扩展输入；输出：2组门锁继电器输出，2组报警继电器输出，4组扩展输出；6、工作电压：输入220VAC/50Hz，输出双路隔离：12VDC/4A、12VDC/1A；7、数据在停电的状态下10年不丢失。</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四门门禁控制器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32位工业处理器，模块化；2、永久性储存器，脱机或联网情况下可保存所有的门禁事件和系统参数等；3、具备断电保护、自动重启功能，任何情况的电源中断不影响控制器下一次正常启动；4、发卡量及存储：100万张用户卡，100000条门禁记录；5、输入：4组门磁状态输入，4组出门请示按钮输入，4组防撬状态输入，4组扩展输入；输出：4组门锁继电器输出，4组报警继电器输出，8组扩展输出；6、工作电压：输入220VAC/50Hz，输出双路隔离：12VDC/4A、12VDC/1A；7、数据在停电的状态下10年不丢失。8、外壳防护等级：1）识读部分：应满足IP65室外等级；2）管理控制部分：应满足IP42等级。9、响应时间：1）人脸：离线式人脸识别平均响应时间应＜1S（10000人）；2）IC卡：识别平均响应时间应＜1S；3）二维码：识别平均响应时间应＜1S；4）NFC：识别平均响应时间应＜1S；5）系统响应时间应＜2S；10、识读距离：1）人脸：识别距离应保证在30~80cm之间；2）IC卡：识别距离应不小于4CM；3）手机NFC：感应识读距离应不大于1m。11、存储容量：1）人脸识别：前端控制设备保存注册人数应≥10000人，离线保存出入事件数应≥50000条；2）IC感应卡：前端控制设备保存IC卡注册人数应≥10000人，离线保存的出入事件数：50000条。12、静态人脸识别通过率应≥98%；</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门禁读卡器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1、工作频率：13.56MHZ。2、读写距离：0-5CM。3、通讯协议：Wiegand26、34、40。4、电压：12VDC/2W。5、支持卡类：M1卡、CPU卡、IC卡等</w:t>
            </w:r>
            <w:r>
              <w:rPr>
                <w:rStyle w:val="339"/>
                <w:rFonts w:hint="default" w:ascii="仿宋" w:hAnsi="仿宋" w:eastAsia="仿宋" w:cs="仿宋"/>
                <w:sz w:val="16"/>
                <w:szCs w:val="16"/>
                <w:lang w:eastAsia="zh-CN" w:bidi="ar"/>
              </w:rPr>
              <w:t>6、工作环境温度：-25～70℃</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开门按钮</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负载电流：1.25A开关耐压：250VDC工作电压：100VDC外壳材料：ABS开关方式：自动复位</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双门磁力锁</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工作电流：在DC12下，锁的启闭瞬间冲击电流应不大于5A，持续通电电流应该不大于500mA；2、拉力试验：通过500KG±10KG拉力试验；3、适用门型:木门、玻璃门、金属门、防火门。4、解锁方式：断电开门，带信号反馈。</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把</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单门磁力锁</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工作电流：在DC12下，锁的启闭瞬间冲击电流应不大于5A，持续通电电流应该不大于500mA；2、拉力试验：通过500KG±10KG拉力试验；3、适用门型:木门、玻璃门、金属门、防火门。4、解锁方式：断电开门，带信号反馈。</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把</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按钮线缆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RVV2*1.0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读卡器信号线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RVV6*1.0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电锁线缆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RVV4*1.0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RVV3*1.5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联网门锁管理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联网门锁管理系统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联网门锁管理系统</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无线联网智能门锁</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开门方向：可选左开右开；2.读卡频率：13.56MHz，小于50mm可调；3.通信频率：LoRa通信，400M-525MHz间定频点通信；4.通讯距离，空旷环境下距离﹤1KM；5.电源：4节AA电池供电使用寿命约为9个月；6.支持门锁被撬告警，虚掩告警，低电量告警；7.面板材质：锌合金外面板；8.非霸王锁体，C级锁芯；9.参考尺寸：75*305（±1）mm（面板长宽）；</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298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把</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智能网关</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工作频率：400M-525MHz。通讯：LoRa通信，空旷环境下距离﹤5KM电源：12VDC,功率小于2W。</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通道管理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通道管理系统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系统支持本地化部署，人员数据要求必须本地存储数据2、超强的权限管理功能；3、直观化的图形界面，支持图形化的决策分析；4、软件提供设备信息查询、员工信息查询、刷卡记录查询、报警记录查询、系统日志查询、异常事件等多种查询方式，并可以随时将查询记录打印或导出文件。</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单机芯智能道闸</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产品特点：1.防冲撞功能：全新工业级电路ARM控制系统以及简单而科学的机械传动，并了无刷电机与齿轮相结合的智能传动技术，具有遇阻返回及防撞功能，闸机在常开状态下工作，当有人或物体误撞摆臂时，摆臂会自动避让一个角度，并立马自动复位，防止撞坏摆臂和机芯，及误伤通行人员,且使用寿命长。2.支持多路开闸信号输入（开闸信号可由门禁、按钮、遥控或其它设备信号输入）。3.断电自动打开、上电自动复位，具有防夹和可扩展语音播报功能。4.设备摆臂开关响应时间小于1秒，及具有防夹防撞防护功能检测。规格：1.机箱材料：304#高光亮不锈钢盖1.3/机身1.0足厚/框架结构；2.通行速度：40人/分钟（常开），25-30人/分钟（常闭）；3.机箱尺寸：长1400*宽200*高980mm；4.通道宽：600-800mm；7.红外数量：4对及以上。工作环境：室内/室外（阴篷），室外底部要做隔潮安全岛</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通道控制器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32位工业处理器，模块化；2、永久性储存器，脱机或联网情况下可保存所有的门禁事件和系统参数等；3、具备断电保护、自动重启功能，任何情况的电源中断不影响控制器下一次正常启动；4、门禁控制器能脱离网络运行，脱机管理人数：100万人，脱机信息记录300000条；5、输入：2组门磁状态输入，2组出门请示按钮输入，2组防撬状态输入，2组扩展输入；输出：2组门锁继电器输出，2组报警继电器输出，4组扩展输出；6、工作电压：输入220VAC/50Hz，输出双路隔离：12VDC/4A、12VDC/1A；7、数据在停电的状态下10年不丢失。</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门禁读卡器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1、工作频率：13.56MHZ。2、读写距离：0-5CM。3、通讯协议：Wiegand26、34、40。4、电压：12VDC/2W。5、支持卡类：M1卡、CPU卡、IC卡等门禁读卡器防尘防水需满足IP66防护等级要求</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考勤管理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考勤管理软件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能满足各种不同班次的要求，通过排班和分析准确得出个人的出勤情况。2.对复杂班的处理，如：四班三运转等。3.对各种假期及加班的控制。4.排班时具有日历功能，能方便快捷的进行排班。5.能处理重复刷卡，出异常报表。6.能够导出考勤汇总结果7.提供各种考勤报表，如原始打卡表，考勤日报表，月汇总表，按部门汇总表等等。</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人脸识别考勤机</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主控：双处理器，人脸识别专用AI处理器。2、显示屏:8寸IPS高清显示屏，1280*800分辨率，可视角度为170度。3、双目人脸识别，支持活体检测，识别准确率大于99.9%，强光抑制识别效果好。4、人脸设备脱机注册人数:100000人，出入事件500000条。5、识别范围:小于1.5m，0.6~1m最优距离识别时间小于400ms。6、可配置复合识别，支持IC卡、人脸、二维码等。8、电源：12VDC/3A。9、输出：WG26、WG34，开关量。10、10W条通行记录，3W条抓拍记录。11、终端的射频辐射抗扰度符合GB/T17618-2015标准的对应要求。12、终端的电源、发热和抗电强度需满足GB4943.1-2011标准对应要求。</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b/>
                <w:bCs/>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 xml:space="preserve"> </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36" w:lineRule="exact"/>
              <w:jc w:val="left"/>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rPr>
              <w:t>五、机房系统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中心机房</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1.供配电系统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动力分配柜</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600*1000*2000mm，可前后开门。2、内含485模块。3、配电柜中所使用的断路器需为知名品牌。所有输出开关的Ph、N线须引至接线端子，并应预留20%备用端子。4、交流输入电压波动范围为其额定值的85%-110%。5、接触电流不应大于3.5mA,连接导线采用单芯铜芯绝缘硬线，截面积≥0.75mm²；控制电路绝缘导线截面积≥0.2mm²。6、总空开容量1250A,4路250A。</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电线管</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JDGΦ20壁厚不低于1.2mm。</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电线管</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JDGΦ25壁厚不低于1.2mm。</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金属镀锌桥架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300*100mm冷轧钢板表面热镀锌，壁厚不低于1.2mm</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包塑软管</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Φ25</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金属线盒</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86盒</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电源线</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ZRBV-2.5mm2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800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ZRVVR3*4mm2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ZRYJVR4*10+1*6mm2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ZRYJVR4*50+1*25mm2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ZRYJVR4*95+1*50mm2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ZRYJVR4*185+1*120mm2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墙壁插座</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GB86,单相五孔</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嵌入式格栅灯</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600*600mm,3*18W</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26</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应急筒灯</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3寸</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翘板开关</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单联单控、双联单控、三联单控</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2.防雷接地系统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第一级防雷器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35mm导轨安装、响应时间&lt;25ns、通流容量:≥60kA</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第二级防雷器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35mm导轨安装、响应时间&lt;25ns、通流容量:≥40kA</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第三级防雷器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35mm导轨安装、响应时间&lt;25ns、通流容量:≥20kA</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空开</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防雷保护空开</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等电位连接</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定制</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断接箱</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钢制防火</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紫铜排</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30*3mm</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镀锌角钢</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40*40*4mm</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接地引线(暂定）</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WDZ-BYJ50mm2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3.微模块通道系统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精密配电柜</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精密配电柜技术要求1.尺寸：600mm(W)*2000mm(H)*1200mm(D)，柜体与服务器机柜外观、品牌一致；2.具备人机交互操作界面，主进回路部分与支路部分监控和现实参数至少包括：负载电流，负载百分比，电量（可按月计量），有功功率，视在功率，功率因数；3.柜内应有独立垂直母线室、开关器件室、馈线端子室、监控采集模块室，室与室之间用钢板或高强度阻燃塑料功能板相互隔开，达到IEC标准3型以上分隔；防止某一室发生故障时影响至相邻设备的正常工作，并防止人体接触，保证人身安全；4.配电柜中所使用的断路器需为知名品牌。所有输出开关的Ph、N线须引至接线端子，并应预留20%备用端子。5、交流输入电压波动范围为其额定值的85%-110%。6、接触电流不应大于3.5mA,连接导线采用单芯铜芯绝缘硬线，截面积≥0.75mm²；控制电路绝缘导线截面积≥0.2mm²。7、总空开容量630A，24个32A回路</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服务器机柜</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机柜尺寸600mm*1200mm*2000mm(42U)，不含侧板2.机柜采用一体化组装式结构设计，左右侧板支持拆卸。3.机柜强度的结构可保证机柜静载承重不低于1800公斤。4.机柜前门采用高通率六角网孔门，其边长不小于5.9mm，通透率不小于73%。5.机柜支持上下进线，防尘、防虫、防鼠。</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机柜侧门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机柜配套</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触摸屏机柜侧板</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满足所有机柜，安装18.5寸触摸屏配置，每组通道选配1块</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PDU</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输入32A,输出接口16*GB10A+4*GB16A-不带工业连接器及线缆</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条</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工业连接器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3口32A</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600mm机柜顶部弱电线槽</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118×300×600mm，弱电机顶过线槽,适用于600mm宽机柜</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600mm机柜顶部强电线槽</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118×200×600mm，强电机顶过线槽,适用于600mm宽机柜</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弱电横跨线槽</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106×350×1650mm通用于1200通道，前门对前门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强电横跨线槽</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106×250×1650mm通用于1200通道，前门对前门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固定层板</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承载IT设备,适用于1000mm深以上的服务器机柜，可前后调节深度（660~850mm）</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1U盲板</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机柜漏空挡板</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600mm固定天窗</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用于通道顶部，固定全玻璃天窗，透光率95%，内置照明模块</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全下翻翻转天窗</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用于通道顶部，翻转全玻璃天窗，透光率95%，内置照明模块</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全自动平移门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平移门，门向左右两边开门，刷卡开门+密码开门，自动关门（并具备防平手功能）。两扇活动门，门框架采用2.0mm铝合金型材，玻璃采用8mm钢化玻璃，含上导轨及导轨盖板，不含侧门，适用于1200宽度的冷通道，每个通道配两套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5.空气调节系统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行级风冷精密空调</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水平送风，制冷量≥40KW，风量≥8200m³/h，尺寸与服务器机柜一致技术要求：1.采用变频压缩机系统设计理念，压缩机转速随机房负载变化而变化，冷量输出范围：25-100%，最大程度上降低空调系统运行能耗；2.配置电子膨胀阀，阀门开度0-100%可调，制冷系统运行控制更精确；3.配置10个EC风机，气流组织上下更均匀，机柜受风效果更好，风机模块化组合，支持热插拔维修、更换；4.标准配置电极式加湿系统；5.采用PTC再加热器；6.采用配置10寸触摸屏，人机界面友好，操作便捷，控制系统功能强大；7.标配（内置）RS485、CAN-IN/OUT、USB、FE通信接口、输出干接点。8.列间空调须与服务器机柜并柜使用，无缝对接，且顶部均需安装强弱电走线槽，为保证微模块冷通道整体并柜的一致性，冷通道内机柜和列间空调必须为同一制造厂商。</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房间精密空调</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风冷直接蒸发式空调，送风方式：上送风；采用模块化设计，每个模块可独立工作，也可根据用户需求进行组合。2.制冷量≧25.2kw，显冷量≧22.9kw；压缩机采用涡旋压缩机或变频压缩机；3.室内风机采用离心式风机，风量≧6800m3/h；4.加湿罐标准配置了电极加湿或红外加湿控制系统，加湿量≧5kg/h；5.膨胀阀采用热力膨胀阀或电子膨胀阀；6.配置RS232或RS485接口，免费提供通讯协议。</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冷媒管（暂估30米）</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冷媒铜管,含铜管保温。直径16、壁厚1.5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气管（暂估30米）</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冷媒铜管,含铜管保温。直径22、壁厚1.5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制冷剂</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R410A环保制冷剂，10kg/每瓶。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瓶</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进水管</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PPR水管，直径25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出水管</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PPR水管，直径50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给排水</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定做</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75</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新风机组</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吊顶式型,风量：1500m3/h，安装维护方便简洁。2、高、中、低三档风速可调，可根据机房不同需求任意调节送风量。3、新风系统具有室内空气环境检测功能，并配置数据软件。4、新风系统配置LCD液晶显示屏，可显示PM2.5浓度和甲醛浓度数据。5、新风系统具有远程智能控制功能平台。6、新风系统对外连接软管结构。7、新风系统需具备消毒功能，配置消毒紫外灯。8、支持联网管控功能。</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新风机防火阀</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24V，70°</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铝合金百叶风口</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配套</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6.微模块监控系统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嵌入式主机</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处理器，8G存储，Linux操作系统，1组187~253VAC电源输入串口：8个DI:16个AI:8路DO:4路网口：4个100MHDMI:1USB:348V电池组压：2组扩展板：支持扩展板输入：1路AC220/DC240输出：2路DC12V3A</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监控供电模块</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多制式输出供电模块，12V、24V、220V,可以给声光报警器、消防联动、通道照明、摄像头等供电。</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温湿度传感器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供电电源：12VDC2、电流：＜30mA。3、显示：60×42（mm）LED屏显示测量值。4、测温范围：-10-50℃；测量精度：±0.1℃；5、测湿范围：0～100％RH，测量精度：±0.1%RH6、输出信号：RS485或者干接点可选。7、可支持现场设定报警值，报警时模块本身也可发出报警信号。</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触摸屏</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18.5寸全视角屏、配置4G+128G，电容触摸屏，分辨率1920*1080，正版系统（不带光盘）</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智能门楣</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990*126mm智能门楣，LED滚动屏显示，支持欢迎词、标语等展示</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摄像头</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POE网络摄像头、DC12V供电，400万像素，支持最大256GB本地存储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硬盘录像机</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8路网络视频输入，4个SATA接口，配置1个4T硬盘，1个，标准RS-485串行接口；1个，标准RS-232串行接口</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交换机</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8个10/100Mbps自适应以太网端口</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烟感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交直流9-35V</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漏水绳</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2米漏水绳，干接点输入</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短信猫</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短信告警</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7.综合布线系统</w:t>
            </w:r>
          </w:p>
        </w:tc>
        <w:tc>
          <w:tcPr>
            <w:tcW w:w="8975" w:type="dxa"/>
            <w:tcBorders>
              <w:top w:val="nil"/>
              <w:left w:val="nil"/>
              <w:bottom w:val="single" w:color="000000" w:sz="4" w:space="0"/>
              <w:right w:val="single" w:color="000000" w:sz="4" w:space="0"/>
            </w:tcBorders>
            <w:shd w:val="clear" w:color="auto" w:fill="FFFFFF"/>
            <w:noWrap/>
            <w:vAlign w:val="top"/>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六类非屏蔽双绞线（低烟无卤）</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1019，IEC60754-2，IEC61034-2，IEC60332-1-2通过标准最高传输频率250MHz测试额定传输速率(NVP)：68%单根导体直流电阻：≤9.0Ω/100m2.导体规格：4×2×0.57，导体名称：软圆铜线，绝缘：HDPE3.屏蔽方式：U/UTP，线对“十”字骨架隔离4.护套材料：LSZH，护套外径：6.3±0.3mm最小内弯曲半径：安装时：8倍电缆外径，安装后：4倍电缆外径，敷设方式：钢管或阻燃硬质PVC管内5.包装方式：305米/易拉箱，2易拉箱/外箱</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17</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箱（305米）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24口六类非屏蔽铜配线架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19英寸机架式安装，高度：1U2.平面型配线架，，可提供24口，48口规格3.角型配线架，，可提供24口，48口规格后端自带线缆管理单元，双爪式免工具，便于安装和拆卸4.标准：YD/T926.3，ISO/IEC11801，ANSI/TIA-568-C.25.线缆管理：自带后部线缆管理单元6.标识管理：完善清晰的标识系统，让施工、维护、管理更方便、快捷，端口带序号标识7.IDC：磷青铜8.金针：磷青铜表面镀金9.线缆保护盖：PC材料10.进线方式：180°进线，IDC：45°</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1U理线器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1.标准19英寸机架式安装，高度：1U；带有盖板2.可提供12档和24档两种理线档位可选3.材料及厚度：SPCC冷轧钢板表面脱脂、磷化、4.静电喷塑处理，架体1.2，盖板1.0mm5.带有贯穿孔，便于前后走线和冗余线缆的存放</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网格式桥架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电镀锌，300*105mm</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8.灾害防护系统</w:t>
            </w:r>
          </w:p>
        </w:tc>
        <w:tc>
          <w:tcPr>
            <w:tcW w:w="8975" w:type="dxa"/>
            <w:tcBorders>
              <w:top w:val="nil"/>
              <w:left w:val="nil"/>
              <w:bottom w:val="single" w:color="000000" w:sz="4" w:space="0"/>
              <w:right w:val="single" w:color="000000" w:sz="4" w:space="0"/>
            </w:tcBorders>
            <w:shd w:val="clear" w:color="auto" w:fill="FFFFFF"/>
            <w:noWrap/>
            <w:vAlign w:val="top"/>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配电柜承重支架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L50角铁支架，满足承重要求</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UPS主机承重支架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L50角铁支架，满足承重要求</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电池承重支架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10#槽钢支架，满足承重要求</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精密空调承重支架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L50角铁支架，满足承重要求</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机柜承重支架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L50角铁支架，满足承重要求</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超声波防鼠器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管理面积约100平米</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防水围堰</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100mm宽*50mm高1）素水泥浆一道（内掺建筑胶）2）40厚C15细石混凝土随打随抹3）2厚聚合物水泥基防水涂料（周边上翻至挡水围堰80mm高）</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UPS电源室</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2.供配电系统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配电综合柜</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定制，含485通讯协议电量仪和内部元器件等，断路器品牌ABB、西门子、施耐德之一。2、交流输入电压波动范围为其额定值的85%-110%。3、接触电流不应大于3.5mA,连接导线采用单芯铜芯绝缘硬线，截面积≥0.75mm²；控制电路绝缘导线截面积≥0.2mm²。4.总空开容量630A，4路125A</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WDZ-YJY4*150+1*70mm2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BVR70mm2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嵌入式格栅灯</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1200*300</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单联单控开关</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单联单控开关面板</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墙面插座</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三孔插座</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3.UPS系统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模块化UPS</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智能容错模块化UPS电源主机，配置3个≥20KVA功率模块，目前输出功率为60KVA。2、主机采用三进三出，模块化设计，实现模块化冗余，具有可扩展功能和冗余功能，单个机柜可扩充能力不低于120KVA，机柜之间可直接并联；并机系统可共用电池组；3、整流器采用IGBT，具有PFC功能，输入功率因数高达0.99，输入谐波电流小于3%，整机效率大于95%；4、输出功率因数：UPS的输出功率因数为1，满载和半载整机效率≥95%；5、系统显示采用10寸及以上大屏幕触摸屏；6、电池组节数可进行30～46节设置，便于未来遭遇个别电池故障需要维护、更换时,可灵活调节电池节数的需要。</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蓄电池</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12V100AH蓄电池1、蓄电池外观不应有裂纹、污迹及明显变形，蓄电池的正、负极端子极性应有明显标记；2、10h率容量不低于100AH；3、具备耐高电流能力、抗机械破损能力、防爆能力以及材料的阻燃能力。</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节</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电池架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定制，含电池间连接附件</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电池开关箱</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定制</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通讯卡</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监控ups主机用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4.空气调节系统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房间精密空调</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风冷直接蒸发式空调，送风方式：上送风；采用模块化设计，每个模块可独立工作，也可根据用户需求进行组合。2.制冷量≧25.2kw，显冷量≧22.9kw；压缩机采用涡旋压缩机或变频压缩机；3.室内风机采用离心式风机，风量≧6800m3/h；4.加湿罐标准配置了电极加湿或红外加湿控制系统，加湿量≧5kg/h；5.膨胀阀采用热力膨胀阀或电子膨胀阀；6.配置RS232或RS485接口，免费提供通讯协议。</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冷媒管（暂估30米）</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冷媒铜管,含铜管保温。直径16、壁厚1.5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气管（暂估）</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冷媒铜管,含铜管保温。直径25、壁厚1.5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制冷剂</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R410A环保制冷剂，10kg/每瓶。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瓶</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进水管</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PPR水管，直径25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出水管</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PPR水管，直径50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RVV5*6mm2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35</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RVV13*1.5mm2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35</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WDZ-YJY4*16+1*10mm2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监控室</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2.供配电系统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UPS配电柜</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定制，含485通讯协议电量仪和内部元器件等，断路器品牌ABB、西门子、施耐德之一。2、交流输入电压波动范围为其额定值的85%-110%。3、接触电流不应大于3.5mA,连接导线采用单芯铜芯绝缘硬线，截面积≥0.75mm²；控制电路绝缘导线截面积≥0.2mm²。4、总空开容量630A，4路125A</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WDZ-YJY4*70+1*35mm2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BVR25mm2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WDZ-YJY5*6mm2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阻燃铜芯电缆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WDZ-YJY3*4mm2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45</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嵌入式格栅灯</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600*600</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双联单控面板</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双联单控开关面板</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墙面插座</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三孔插座</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3.UPS系统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UPS</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三进三出40KVAUPS主机；在线式双变换式；2.输入总谐波失真要求小于3%，输入功率因数要求大于0.99；3.提供全额定功率输出（kVA=kW）；4.电池节数在32-50之间可任意调整，要求可在线调整电池电压、充电电流；5.支持N+X并机冗余等应用方案时，并机系统中的UPS可以共享同一组蓄电池组。</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蓄电池</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V100AH蓄电池，要求与UPS主机同一品牌1、蓄电池外观不应有裂纹、污迹及明显变形，蓄电池的正、负极端子极性应有明显标记；2、10h率容量不低于100AH；3、具备耐高电流能力、抗机械破损能力、防爆能力以及材料的阻燃能力。</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节</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电池柜</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定制，含电池间连接附件</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电池开关箱</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定制</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4.机柜系统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设备机柜（42U）</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1.机柜尺寸600mm*600mm*2000mm(42U)，含侧板，一个层板，前玻璃后网孔门）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PDU</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16A国标8口</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条</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5.空调调节系统</w:t>
            </w:r>
          </w:p>
        </w:tc>
        <w:tc>
          <w:tcPr>
            <w:tcW w:w="8975" w:type="dxa"/>
            <w:tcBorders>
              <w:top w:val="nil"/>
              <w:left w:val="nil"/>
              <w:bottom w:val="nil"/>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柜式空调</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5P冷暖定频柜式空调，380V电压,具有来电自启功能，三级能效。</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nil"/>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安装铜管及辅材</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含空调支架、铜管、保温等辅材</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6.综合布线系统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六类非屏蔽双绞线（低烟无卤）</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1019，IEC60754-2，IEC61034-2，IEC60332-1-2通过标准最高传输频率250MHz测试额定传输速率(NVP)：68%单根导体直流电阻：≤9.0Ω/100m2.导体规格：4×2×0.57，导体名称：软圆铜线，绝缘：HDPE3.屏蔽方式：U/UTP，线对“十”字骨架隔离4.护套材料：LSZH，护套外径：6.3±0.3mm最小内弯曲半径：安装时：8倍电缆外径，安装后：4倍电缆外径，敷设方式：钢管或阻燃硬质PVC管内5.包装方式：305米/易拉箱，2易拉箱/外箱</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箱（305米）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24口六类非屏蔽铜配线架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19英寸机架式安装，高度：1U2.平面型配线架，，可提供24口，48口规格3.角型配线架，，可提供24口，48口规格后端自带线缆管理单元，双爪式免工具，便于安装和拆卸4.标准：YD/T926.3，ISO/IEC11801，ANSI/TIA-568-C.25.线缆管理：自带后部线缆管理单元6.标识管理：完善清晰的标识系统，让施工、维护、管理更方便、快捷，端口带序号标识7.IDC：磷青铜8.金针：磷青铜表面镀金9.线缆保护盖：PC材料10.进线方式：180°进线，IDC：45°</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六类非屏蔽信息模块</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926.3，ISO/IEC11801:2008；ANSI/TIA-568-C.22.IDC：磷青铜，45°3金针：磷青铜表面镀金，异形的金针空间排列，有效提升近端串音余量4.防尘盖：透明PC材料5.插头与插座插合次数：≥1000次6.导线端接次数：≥250次7.打线方式：T568A/T568B8.IDC与金针方向：180度9.卡接导体规格：单股、0.5mm～0.65mm、24AWG~22AWG10.最高传输频率：250MHz</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86型双口面板</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信息插座与面板90度安装方式2.组合式结构，前后双层面板，避免固定螺丝孔外露3.端口带弹簧式自动回弹防尘门，防止灰尘等异物侵入4.带有标识纸和标识盖，方便维护和使用5.端口数量：双口6.面板尺寸：高度:86×宽度:86mm7.颜色：白色材料：ABS</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1U理线器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1.标准19英寸机架式安装，高度：1U；带有盖板2.可提供12档和24档两种理线档位可选3.材料及厚度：SPCC冷轧钢板表面脱脂、磷化、4.静电喷塑处理，架体1.2，盖板1.0mm5.带有贯穿孔，便于前后走线和冗余线缆的存放</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六类非屏蔽跳线，2米</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ISO/IEC11801，ANSI/TIA-568-C.22.插头灌胶工艺，弹片保护和软尾结构，保障线缆和水晶头之间的连接3.导体规格：多股绞合，软圆铜线，4×2×24AWG4.屏蔽方式:U/UTP5.护套材料：PVC，护套外径：6.0±0.3mm6.插头规格：RJ45，8P8C，簧片表面镀金，透明聚碳酸酯塑胶壳7.线序：T568B-T568B8.插拔次数：≥1000次9.最高传输频率：250MHz</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7.防雷接地系统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第一级防雷器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35mm导轨安装、响应时间&lt;25ns、通流容量:≥60kA；</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第二级防雷器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35mm导轨安装、响应时间&lt;25ns、通流容量:≥40kA</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第三级防雷器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35mm导轨安装、响应时间&lt;25ns、通流容量:≥20kA</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空开</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防雷保护空开</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等电位连接</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定做</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断接箱</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钢制防火</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紫铜排</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30*3mm</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镀锌角钢</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40*40*4mm</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65</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接地引线</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ZRBVR50mm2</w:t>
            </w: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 xml:space="preserve"> </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rPr>
              <w:t>六、多媒体会议系统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一层150人报告厅</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1.扩声系统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数字调音台</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不少于40路全处理通道输入，支持噪声门、压缩器、高低通滤波器、效果插入等等功能2、不少于25条混音母线3、不少于数字音频网络达96输入和96输出4、支持ADC/DAC采样率5、不少于17个100mm电动推子6、40bit浮点处理7、不少于16路输入通道8、不少于8个AUX输出9、不少于8个DCA编组10、不少于6个MuteGroup静音编组11、不少于8个立体声效果器12、不少于1对MIDI输入输出13、通过无线网络，可由平板电脑进行控制14、内置RTA功能15、支持的个人监听系统16、36个用户自定义键17、通过SD/SDHC可实时录制/播放不少于32轨双向音频18、不少于5寸彩色显示屏</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专业级监听音箱</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1、频率响应：56Hz–48kHz（-3dB)2、单元尺寸：1x低频4"，1x高频3/4"3、投射角度：90º4、最大声压级：101dB峰值5、分频点：2.8kHz6、输入灵敏度：0.775VRMS7、功放输出功率：LF25W，HF25W</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数字音频处理器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12路平衡式话筒／线路输入，裸线接口端子(每通道48V幻象电源）2、8路平衡式输出，裸线接口端子。3、以太网接口用于软件设置／控制。4、串行接口用于第三方RS－232远程控制。5、远程控制母线用于特制的控制面板。6、BLULink接口用于多台设备联机工作。7、具有混合、线路交换、组合、均衡、延时、控制等多种功能。8、48通道，低延迟，容错数字音频总线9、双向定位功能10、12个控制输入和6个逻辑输出，用于GPIO集成</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主扩阵列音柱组合扬声器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一.音柱1、中低音喇叭：10x3"铁磁全频单元，0.8"音圈2、频率响应(+/-3dB已处理)：155Hz-18kHz3、频率响应(-10dB已处理)：130Hz-19kHz4、灵敏度1W/1m(全空间)：97dB(200Hz–10kHz)5、最大声压级@10%THD（全空间）：127dB(200Hz-5kHz)6、指向性(水平x垂直)：120°x15°(不对称,j型)7、额定功率：300W8、阻抗：16Ω二.低频1、喇叭：2×10"带铁氧体磁铁低音单元，2.5"音圈2、频率响应(-10dB)：44Hz-140Hz3、频率响应(+/-3dB)：48Hz-140Hz4、灵敏度1W/1m（全空间）：95dB5、最大SPL@10%THD（全空间）：124dB6、辐射角度(水平×垂直)：全方向7、额定功率：600W8、阻抗：4/16Ω可转换</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组</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辅助全频扬声器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额定功率：300W2、阻抗：8欧姆3、最大SPL：122dB（@10％THD）4、灵敏度1W/1m：91dB5、频率响应(+/-3dB)：89Hz-19kHz6、频率响应(-10dB)：63Hz-19kHz7、低/中单元：1x8"8、高音单元：1"9、辐射角度：80°x80°CD号角10、高音保护（被动式）Dyn，保护电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流动返听扬声器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额定功率：300W2、阻抗：8Ω3、最大SPL：126dB（@10％THD）4、灵敏度1W/1m：99dB5、频率响应(+/-3dB)：95Hz-19kHz6、频率响应(-10dB)：80Hz-19kHz7、低/中单元：1x10"8、高音单元：1"9、辐射角度：90°x60°CD号角10、高音保护（被动式）Dyn，保护电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功率放大器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输出功率8Ω：2×600W2、输出功率4Ω：2×1000W3、桥接输出功率8Ω：2000W4、频率响应范围：20Hz-20KHz+3/-0dB5、信噪比：&gt;90dB6、相位延时：+/0.1度，10Hz-20KHz@1W7、声道分离度：&gt;50dB8、互调失真：≤0.01%ratedpower@8Ω9、总谐波失真(1kHz@1W)：≤0.01%ratedpower@8Ω10、阻抗参数：&gt;300@1KHz/8Ω11、总系统转换率：20V/us(Stereo)12、输入阻抗：10K/20KΩ,不平衡/平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电源时序器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8路智能电源系统，整机容量40A（8.8KVA）；2、每路延时1秒，每路输出AC220V/13A，适用各种类型插头；3、MCU控制，具有外部电平控制级连口和标准RS232串行数控接口。4、开放控制协议，既可满足中央控制器控制，又可连接各种控制面板。5、机架高度：1U</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2.拾音系统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主席台麦克风</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1、全金属底座+方柱形麦克风2、14毫米镀金电容咪芯，心形指向性3、内置防风棉，优化音腔结构，4、麦克风俯仰角度可任意调节5、超强抗手机干扰能力</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无线手持话筒</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包含1个心形动圈手持话筒和1个无线接收机2、典型条件下的工作范围：≥100米（300英尺）3、接收机灵敏度：≥-54，5dBV/Pa；1，88mV/Pa4、接收机音频频率响应：优于或等于50Hz-15kHz5、每个频段多达12个兼容频率6、电池寿命：&gt;8小时7、增益调整范围：不小于10dB</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天线分配系统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1、五路射频信号输出2、前置式天线安装件3、架置式安装件4、4个用于接收机的直流馈电端（15V，最大2.5A）5、用于天线偏置的直流输出端（12V，最大300mA）</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有源指向性天线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1、低噪声信号放大器能够补偿同轴缆线的插入损失2、可与无线接收机和天线分配系统兼容，能够提供10–15伏直流偏压3、可将带有螺纹的集成式支架固定到话筒支架上4、四档位增益选择开关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只</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同轴电缆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同轴电缆，BNC-BNC，RG8X/U型，50Ω，长25英尺（7.5米）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3.录播系统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录播主机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全高清GPU图像加速处理器，实现了5路全高清1080P信号的同步处理，将视频录制、直播、实时导播、点播结合；2、支持自动导播、手动导播两种导播模式；3、支持单画面、画中画、二分屏、三分屏、四分屏、六分屏等多种画面组合播出；4、支持4路HD-SDI、1路VGA或1路HDMI视频输入，1080p@60fps分辩率；5、支持2路最高1080P60RTSP网络流接入；6、支持VGA、HDMI两种高清视频输出，可设置不同信号源；7、具有VGA环出，1路标清CVBS输出；8、支持RS-232、RS-485接口，可扩展跟踪球机、中控、键盘等设备；9、支持报警输入、报警输出，U盘录制，录完即可拔出；10、支持录制文件到网络存储服务器，实现集中存储；11、支持视频剪辑、字幕插入、透明台标、台标位置可调、片头字幕、片头图片、背景图片叠加；12、支持20余种特效切换；13、支持RTMP流、RTSP流实时网络发布；14、内置web服务，可通过网页远程导播、查看视频、操作设备、下载录制文件；15、四路1080P高清视频资源及导播画页同时录制，方便后期编辑；16、录制流、网络流单独设置、内置1TB硬盘存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高清会议摄像机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1/2.8英寸高品质图像传感器，有效像素207万，最大分辨率1920x1080，输出帧率高达60帧/秒；2、20倍光学变焦，视角3.5°（窄角）-57.5°（广角）；3、低噪声CMOS有效地保证了摄像机视频的超高信噪比；4、支持多种控制协议包括VISCA、PELCO-D、PELCO-P协议等，支持自动识别协议；5、支持RS232级联；6、支持255个预置位；</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4.信号切换系统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无缝混插矩阵主机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U机箱，支持2张输入卡、2张输出卡；2、嵌入式硬件架构，无缝切换无黑屏、闪屏，无延时；3、兼容HDMI、DVI、VGA、AV、SDI、HDBaseT、OpticalFiber（光纤）等1080P信号无缝切换板卡；4、兼容普通HDMI、HDBaseT、OpticalFiber(光纤）等4K*2K信号无缝切换板卡；5、总线交换，每路信号单独通道进行传输，保证所有信号图像的实时显示；6、主机带倍频倍线技术，对图像信号进行倍线缩放、倍频增强显示；7、支持OSD自定义字符叠加画面显示功能及输入输出通道状态查询功能；8、支持画面拼接功能，需支持1*1—8*8拼接；9、有RS232,TCP/IP,IR和按键控制共4种控制方式；10、支持面板按键锁定功能，以防误操作；11、支持不少于10个场景保存和调用功能，支持群切功能；12、矩阵主机与信号满足不低于7*24小时不断电运行无故障运行；</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4路HDMI输入卡</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4路HDMI输入，4路模拟音频输入；2、无缝切换默认分辨率为1920x1080P@60Hz，可通过指令调整；3、HDMI端口支持HDMI1.3,HDCP1.3，兼容DVI信号；4、HDMI输入音频默认为内嵌音频输入，支持加嵌模拟音频；5、低分辨率信号可倍线变成分辨率为1080P或者1920x1200输出；6、输入信号卡具有字符叠加功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张</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4路HDMI输出卡</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4路DVI/HDMI输出，4路模拟音频输出；2、无缝切换默认分辨率为1920x1080P@60Hz，可通过指令调整；3、DVI/HDMI端口支持DVI/HDMI1.3,HDCP1.3，兼容DVI信号；4、DVI/HDMI输出解嵌音频默认开启，可通过指令关闭5、低分辨率信号可倍线变成分辨率为1080P或者1920x1200输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张</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无线分享系统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USB接口，支持2.4G/5.0G双频传输；2、传输时延≤120ms；3、无线传输距离≥10m；4、最大支持1080P*30Fps传输；5、支持PC/MacOS/Android通过无线传屏控制器向会议平板间传送屏幕、声音；可同时显示两个画面内容；6、支持触控回传，可以实现会议平板上远程操作个人设备；支持扩展模式；边传屏边上网；支持反向控制和反向镜像；支持屏端内容通过手机截屏；7、支持安卓系统传屏带声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5.会议灯光系统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LED面光成像灯</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电源电压:AC100~240V，50/60Hz2、光源:200W灯珠3、总功率：250W4、光源寿命:50000小时5、显色指数:Ra≥956、透镜角度：19°/26°/36°/50°可选7、色温:3200K/5600K8、散热方式:铜管散热器+智能静音风机散热系统9、噪音:1米噪音≤30db10、温度监控:内置温度保护传感器,通过自动调节灯具功率来进行过温保护，显示面板实时查看灯具工作温度。</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LED三基色会议灯(嵌入式)</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电压:AC100~240V，50/60Hz2、光源:432颗0.5W贴片高显指LED阵列3、功率:200W4、光源寿命:50000小时5、显色指数:Ra≥95，R9&gt;906、光束角度：120°7、色温:3200K/5600K/双色温8、散热方式:超大散热片空气对流自然散热9、温度监控:内置温度保护传感器,通过自动调节灯具功率来进行过温保护10、开孔尺寸：495*295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信号放大器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额定电压:AC110V～240V,50～60Hz2、DMX数码信号放大器专用于对DMX512电脑灯具控制信号进行整形放大和8路分配输出，备输入输出接口光电隔离技术，适用于DMX512信号经远距离传输衰减后的整形放大处理，以及备分配输出接口之间、输入接口与各分配输出接口之间需要安全电气隔离的使用场合。</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固定灯光吊杆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50高频焊管,防锈漆二道面漆一道</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品</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6.集中控制系统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中央控制系统主机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8路可自定义协议的串口，根据需要可配置成RS232、RS485、DMX512协议，第一路和第五路支持24V供电输出；2、8路触点，每路都可支持30V/1ADC，125V/0.5AAC负载；3、支持8路可自定义的IO输入，输出及红外输出，支持全频段载波的红外调制信号发送；4、系统可通过无线或有线扩充，单系统支持65535台总线设备扩展；5、支持系统自动云诊断、云备份、云恢复；6、系统支持主机自备份功能；7、支持语音控制功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中控编程软件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根据现场实际应用进行自定义的编程</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电源控制器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1、8路大电流带常开/常闭触点继电器；2、单路功率：≤1800W；3、总功率：≤8000W；4、CAN总线通信方式；5、任意变换的网络ID设置；6、配合管理软件可实现电源控制器的管理；</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无线触摸屏</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1、屏幕尺寸：10.4英寸2、分辨率：2000*1200dpi3、系统：Android4、运行内存：4GB5、内存容量：64GB6、CPU核心数：八核</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无线路由器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1、无线速率：1200M2、LAN输出口：千兆网口3、适用频段：2.4GHz+5GHz4、天线：外置天线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7.其它</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辅助扬声器壁装支架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辅助扬声器壁装支架，与扬声器配套</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设备机柜（42U）</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机柜尺寸600mm*600mm*2000mm(42U)，含侧板，一个层板，前玻璃后网孔门）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操作台</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钢木结构；2工位；</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多媒体信息插座</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接口类型：根据使用需求定制接口HD15/HDMI、3.5Jack/AC、Shift、RJ45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扬声器插座</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返听扬声器插座</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扬声器线缆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2x2.5mm²弹性护套柔软扬声器线缆，高纯度（OFC）单根直径0.1MM铜丝无氧铜丝绞合，多股复绞，内导体聚氯乙烯绝缘护套，外护套PVC弹性体材料；填充条体为抗拉棉线。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音频线缆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2x0.3mm²专业双绞话筒线,无氧铜丝（OFC）,聚氯乙烯绝缘，弹性PVC外护套，屏蔽层无氧铜（OFC）编织。导体：40/0.1mm绞合裸铜丝；导体截面积：0.3mm2；绝缘：PVC绝缘料，2芯绞合；屏蔽：无氧裸铜丝编织屏蔽；护套：弹性PVC护套料</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六类非屏蔽双绞线（低烟无卤）</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1019，IEC60754-2，IEC61034-2，IEC60332-1-2，通过标准最高传输频率250MHz测试，额定传输速率(NVP)：68%，单根导体直流电阻：≤9.0Ω/100m2、导体规格：4×2×0.57，导体名称：软圆铜线，绝缘：HDPE3、屏蔽方式：U/UTP，线对“十”字骨架隔离4、护套材料：LSZH，护套外径：6.3±0.3mm；最小内弯曲半径：安装时：8倍电缆外径，安装后：4倍电缆外径，敷设方式：钢管或阻燃硬质PVC管内5、包装方式：305米/易拉箱，2易拉箱/外箱</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箱（305米）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灯光线缆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DMX512信号控制线，（OFC）无氧铜丝绞合，聚乙烯绝缘，编织加铝箔屏蔽，弹性PVC护套，导体截面积：0.22mm2，特性阻抗：120Ω。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高清线缆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HDMI/DVI等高清视频连接线，30米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批</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ZR-RVV3*1.5mm国标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ZR-RVV3*2.5mm国标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教学楼一层大讨论室（103㎡）</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1.扩声系统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数字音频处理器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不少于8路输入、8路输出平衡接口；2、支持自动混音功能AM，可对多只话筒分组管理，NOMA功能，可根据设定的开启MIC数量，算法自动控制允许输出的话筒数量，有效抑制扩声系统声反馈，提升系统传声增益；3、输入每通道功能:前级放大器、扩展器、压缩器、7段动态均衡器、延时器；4、输出每通道功能:10段动态均衡器、高低通滤波器、限幅器；5、四个独立可共享自适应反馈消除AFC；6、内置智能闪避器Ducker；7、支持GPIO可编程控制接口；8、内置自动摄像跟踪功能,可直接控制摄像头，可控制不少于30台摄像机；9、支持2路RTP网络音频流发送和接收，突破局域网的限制，快速构建AoIP系统；10、具有RS-232、RS-485、POE外部面板控制接口；11、支持跨网段控制；12、支持一个软件可同时管理系统中的多台设备；13、预设存储数量不少于50个，具有新建、保存、另存为、调用、编辑预设，可设置设备上电默认预设，可设置调用预设静音（淡入淡出）、非静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控制面板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可编程控制面板2、面板可任意组合，实现多种控制功能3、可自定义面板控制功能，包括LED灯指示、按键功能等4、标准CAT5连接方式，支持POE供电功能或外部供电式5、TCP/IP标准控制协议,同一系统中,按控制需求可任意设置控制面板的数量</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全频扬声器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1、额定功率：100W2、阻抗:16欧姆3、最大声压级@10％THD：125dB4、灵敏度1W/1m：103dB5、频率响应(+/-3dB)：120Hz-19kHz6、频率响应(-10dB)：90Hz-20kHz7、低/中单元：8"</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功率放大器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输出功率8Ω：2×300W2、输出功率4Ω：2×600W3、桥接输出功率8Ω：1200W4、频率响应范围：20Hz-20KHz+3/-0dB5、信噪比：&gt;90dB6、相位延时：+/0.1度，10Hz-20KHz@1W7、声道分离度：&gt;50dB8、互调失真：≤0.01%ratedpower@8Ω9、总谐波失真(1kHz@1W)：≤0.01%ratedpower@8Ω10、阻抗参数：&gt;300@1KHz/8Ω11、总系统转换率：20V/us(Stereo)12、输入阻抗：10K/20KΩ,不平衡/平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电源时序器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8路智能电源系统，整机容量40A（8.8KVA）；2、每路延时1秒，每路输出AC220V/13A，适用各种类型插头；3、MCU控制，具有外部电平控制级连口和标准RS232串行数控接口。4、开放控制协议，既可满足中央控制器控制，又可连接各种控制面板。5、机架高度：1U</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2、拾音系统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数字会议系统主机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高对比度、低功耗OLED屏用于显示系统状态、发言人数、发言模式等信息，并提供中文/英文、英文/俄文、英文/西班牙等多种语言的系统设置菜单；2、USB自动录音功能：前面板插入U盘后可录制会议音频；3、自动摄像跟踪功能：配合摄像机可实现自动摄像跟踪；4、内置4路输入2路输出视频接口，可选择不同输入信号接到输出接口；6、内置实时时钟、日历功能；7、最多同时开启单元数量为4个（不包括主席单元），主席/副主席单元不受最大开启数量限制，系统可同时发言人数无数量限制；8、具有调节声控灵敏度功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主席单元</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音频频响：20Hz～20KHz，信噪比：≥96dB，内置左右双扬声器：2×2W/8Ω；3、单元之间“T型”手拉手连接，连接线支持底部引出，可选择隐藏或不隐藏式安装；4、三角几何外观，金属材质，带三色LED指示灯；5、心型指向性驻极体麦克风，双软管鹅颈咪杆，带指示灯圈，长度410mm/310mm/510mm可选；6、自带Ø3.5mm的麦克风插口可连接外置麦克风，满足不同的使用场景；7、OLED屏动态显示单元信息，具有时钟显示功能，可显示当前会议时间；8、系统同时开启单元数量为4个，支持声控模式。声控模式下，发言时话筒自动开启，可调节声控灵敏度和自动关咪时间；9、主席单元和副主席单元无数量限制，主席和副主席单元不受开启数量限制，系统最大同时发言人数无数量限制；10、主席单元可以自由开启，同时可以关闭正在发言的代表单元；</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代表单元</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音频频响：20Hz～20KHz，信噪比：≥96dB，内置左右双扬声器：2×2W/8Ω；3、单元之间“T型”手拉手连接，连接线支持底部引出，可选择隐藏或不隐藏式安装；4、三角几何外观，金属材质，带三色LED指示灯；5、心型指向性驻极体麦克风，双软管鹅颈咪杆，带指示灯圈，长度410mm/310mm/510mm可选；6、自带Ø3.5mm的麦克风插口可连接外置麦克风，满足不同的使用场景；7、OLED屏动态显示单元信息，具有时钟显示功能，可显示当前会议时间；8、系统同时开启单元数量为4个，支持声控模式。声控模式下，发言时话筒自动开启，可调节声控灵敏度和自动关咪时间；9、可将任意代表单元设置成副主席，副主席单元无数量限制，副主席单元不受开启数量限制，系统最大同时发言人数无数量限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会议专用延长线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1、会议话筒专用线缆，用于主机到第一个话筒单元的连接线（20米）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会议地插</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1、会议地插，109×109×65mm，全金属铜</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一拖二无线手持话筒</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包含2个心形动圈手持话筒和1个双无线接收机2、典型条件下的工作范围：≥100米（300英尺）3、接收机灵敏度：≥-54，5dBV/Pa；1，88mV/Pa4、接收机音频频率响应：优于或等于50Hz-15kHz5、每个频段多达12个兼容频率6、电池寿命：&gt;8小时7、增益调整范围：不小于10dB</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3.显示系统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电子白板触摸一体机（98寸）</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整机工艺要求：一体化，全金属外壳，铝合金外面框，表面无尖锐边缘或突起，外部无任何可见内部功能模块的连接线；2、接口：HDMI×2路，TOUCHUSB×1路，USB×2路，前置3路USB接口，3、人性化：开机通道记忆功能，悬浮菜单自定义功能，侧边栏隐藏功能；4、防眩光AG玻璃，书写顺滑，且避免镜面效应，让会场高档，会商高效，二十点触摸；5、A级液晶面板，LED背光源，直下式背光，尺寸≥98寸，显示比例16:9，亮度≥350cd/㎡，物理解析度≥3840×2160，对比度≥1200：1，整机尺寸：2216.8*99.3*1331.6mm，可视面积≥2160.5mm(H)×1217.3mm(V)；6、硬件配置不低于CPUARMCortex2xCA73+2xCA534核1.5GHz，内存3GBDDR4，存储32G；7、内置800万像素广角摄像头，无挡片遮挡；内置6阵列麦克风，支持10米有效拾音距离；8、设备支持双系统运行。双系统间，可一键触摸切换选择，保障整个系统正常运行；每次上电或开机，内置OPS电脑不必直接启动，高效节能；在需要使用OPS电脑时，一键切换到OPS通道下，系统自动检测OPS电脑的状态，若是关闭状态，则自动启动OPS电脑。确保整个系统真正节能运行，且确保电脑不因无故断电导致的电脑开机异常；9、支持三大护眼功能：触摸护眼；防蓝光护眼；光感护眼；可在菜单中方便打开三大功能选项；10、内置U盘禁用功能，开启后，外接U盘不予读取，确保系统安全和资料安全，支持U盘秘钥锁屏功能，开启后，插上秘钥U盘解锁，整机系统方可正常运行，解锁后拔下秘钥U盘，整机系统仍能继续工作。重启后必须用U盘秘钥解锁才能工作，确保整机系统的安全，不被非授权人员使用；11、支持五指息屏，五指唤醒，悬浮图标三指跟随；安卓下：支持内置和外置摄像头的切换，支持无遥控进入工厂菜单，支持侧拉菜单通过悬浮图标一键调出；支持屏幕底部上拉菜单；12、内置无线投屏，支持单画面、双画面、三画面、四画面显示模式快捷切换；通过传屏软件或USB传屏按键、三合一传屏按键（USB接口、HDMI接口、TYPE-C接口三种接口均在同一个可拆分式传屏器上），实现任意手机/PAD/电脑同时四画面混合无线传屏；支持全功能TYPE-C接口的手机或电脑的无线传屏，且大屏可反向触摸控制手机和电脑画面。-无线投屏，安卓手机镜像投屏后大屏端有手机的同步声音且通过手机控制投屏后的声音，镜像投屏时手机端的音视频画面同时在大屏端呈现；13、真4K白板软件，在安卓系统下：书写内容生成二维码分享时，可设置文件加密；且分享内容上传的服务器地址，支持修改；新建页支持100页；14、一体机应用主题，支持会议主题和教育主题，自动切换；会议主题，主图标包括4K白板和远程会议，方便直接入会；教育主题，主图标包括课件管理、教育白板和远程课堂；15、支持集控控制功能：可通过集控平台软件，随时在云端分组和分权限管控所有显示屏终端；会前，可通过集控平台，把需要的资料同时上传到任意显示屏端；会中，可随时给在运行的显示屏端发通知信息显示在屏端，并查看和统计所有设备的名称、IP地址、运行状态，投屏状态以及在线、离线、关机的设备数量和名称，单个和所有设备的使用频率，可及时在线给任意显示屏终端安装APP；会后，可通过集控平台，远程关闭任意一台显示屏。集控平台，自带报表统计功能。屏端有消息浮窗，实时动态显示传到屏端的通知和文件等信息。16、设备结构牢固，可防止8级强震，避免二次伤害；17、设备平均无故障运行时间≥10万小时；18、支持80PinOPS-C标准接口的OPS插槽式安装方式，CPU配置不低于六核十二线程，内存不低于8GB，存储≥256GBSSD硬盘；</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壁挂支架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1、一体机壁挂支架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4.其它</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设备机柜（16U）</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1、16U/600MM*600MM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多媒体信息插座</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1、接口类型：根据使用需求定制接口HD15/HDMI、3.5Jack/AC、Shift、RJ45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扬声器线缆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1、2x1.5mm²弹性护套柔软扬声器线缆，高纯度（OFC）单根直径0.1MM铜丝无氧铜丝绞合，多股复绞，内导体聚氯乙烯绝缘护套，外护套PVC弹性体材料；填充条体为抗拉棉线。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音频线缆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x0.3mm²专业双绞话筒线,无氧铜丝（OFC）,聚氯乙烯绝缘，弹性PVC外护套，屏蔽层无氧铜（OFC）编织。导体：40/0.1mm绞合裸铜丝；导体截面积：0.3mm2；绝缘：PVC绝缘料，2芯绞合；屏蔽：无氧裸铜丝编织屏蔽；护套：弹性PVC护套料</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高清线缆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1、4K高清HDMI连接线，20米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1、ZR-RVV3*1.5mm国标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综合楼三层党员活动室</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1.扩声系统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数字音频处理器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不少于8路输入、8路输出平衡接口；2、支持自动混音功能AM，可对多只话筒分组管理，NOMA功能，可根据设定的开启MIC数量，算法自动控制允许输出的话筒数量，有效抑制扩声系统声反馈，提升系统传声增益；3、输入每通道功能:前级放大器、扩展器、压缩器、7段动态均衡器、延时器；4、输出每通道功能:10段动态均衡器、高低通滤波器、限幅器；5、四个独立可共享自适应反馈消除AFC；6、内置智能闪避器Ducker；7、支持GPIO可编程控制接口；8、内置自动摄像跟踪功能,可直接控制摄像头，可控制不少于30台摄像机；9、支持2路RTP网络音频流发送和接收，突破局域网的限制，快速构建AoIP系统；10、具有RS-232、RS-485、POE外部面板控制接口；11、支持跨网段控制；12、支持一个软件可同时管理系统中的多台设备；13、预设存储数量不少于50个，具有新建、保存、另存为、调用、编辑预设，可设置设备上电默认预设，可设置调用预设静音（淡入淡出）、非静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控制面板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可编程控制面板2、面板可任意组合，实现多种控制功能3、可自定义面板控制功能，包括LED灯指示、按键功能等4、标准CAT5连接方式，支持POE供电功能或外部供电式5、TCP/IP标准控制协议,同一系统中,按控制需求可任意设置控制面板的数量</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全频扬声器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1、额定功率：100W2、阻抗:16欧姆3、最大声压级@10％THD：125dB4、灵敏度1W/1m：103dB5、频率响应(+/-3dB)：120Hz-19kHz6、频率响应(-10dB)：90Hz-20kHz7、低/中单元：8"</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功率放大器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输出功率8Ω：2×300W2、输出功率4Ω：2×600W3、桥接输出功率8Ω：1200W4、频率响应范围：20Hz-20KHz+3/-0dB5、信噪比：&gt;90dB6、相位延时：+/0.1度，10Hz-20KHz@1W7、声道分离度：&gt;50dB8、互调失真：≤0.01%ratedpower@8Ω9、总谐波失真(1kHz@1W)：≤0.01%ratedpower@8Ω10、阻抗参数：&gt;300@1KHz/8Ω11、总系统转换率：20V/us(Stereo)12、输入阻抗：10K/20KΩ,不平衡/平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电源时序器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8路智能电源系统，整机容量40A（8.8KVA）；2、每路延时1秒，每路输出AC220V/13A，适用各种类型插头；3、MCU控制，具有外部电平控制级连口和标准RS232串行数控接口。4、开放控制协议，既可满足中央控制器控制，又可连接各种控制面板。5、机架高度：1U</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2.拾音系统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数字会议系统主机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高对比度、低功耗OLED屏用于显示系统状态、发言人数、发言模式等信息，并提供中文/英文、英文/俄文、英文/西班牙等多种语言的系统设置菜单；2、USB自动录音功能：前面板插入U盘后可录制会议音频；3、自动摄像跟踪功能：配合摄像机可实现自动摄像跟踪；4、内置4路输入2路输出视频接口，可选择不同输入信号接到输出接口；6、内置实时时钟、日历功能；7、最多同时开启单元数量为4个（不包括主席单元），主席/副主席单元不受最大开启数量限制，系统可同时发言人数无数量限制；8、具有调节声控灵敏度功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主席单元</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桌面式标配心型指向性驻极体麦克风，带开启指示灯圈，多种长度的双软管鹅颈咪杆可选（标配410mm，可选310mm/510mm）；2、高对比度、低功耗OLED屏用于动态显示终端信息，如动态时钟、终端信息、发言状态、报到及表决状态、同传列表及音量状态等；3、支持最多同时开启单元数量为4个（不包括主席单元），主席/副主席单元不受最大开启数量限制，系统可同时发言人数无数量限制；4、具备3.5mm的麦克风插口可连接外置麦克风，满足不同的使用场景；5、具有抗手机干扰功能；6、音频频响：20Hz～20KHz，信噪比：&gt;95dBr，总谐波失真：＜0.05%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代表单元</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桌面式标配心型指向性驻极体麦克风，带开启指示灯圈，多种长度的双软管鹅颈咪杆可选（标配410mm，可选31mm/510mm）;2、高对比度、低功耗OLED屏用于动态显示终端信息，如动态时钟、终端信息、发言状态、报到及表决状态、同传列表及音量状态等。3、内置左右双扬声器；4、自动摄像跟踪功能：配合摄像机、视频矩阵，可实现高清/标清自动摄像跟踪，支持预置全景位；5、代表单元带三色LED指示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17</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会议专用延长线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1、会议话筒专用线缆，用于主机到第一个话筒单元的连接线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会议地插</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1、会议地插，109×109×65mm，全金属铜</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一拖二无线手持话筒</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包含2个心形动圈手持话筒和1个双无线接收机2、典型条件下的工作范围：≥100米（300英尺）3、接收机灵敏度：≥-54，5dBV/Pa；1，88mV/Pa4、接收机音频频率响应：优于或等于50Hz-15kHz5、每个频段多达12个兼容频率6、电池寿命：&gt;8小时7、增益调整范围：不小于10dB</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3.显示系统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电子白板触摸一体机（98寸）</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整机工艺要求：一体化，全金属外壳，铝合金外面框，表面无尖锐边缘或突起，外部无任何可见内部功能模块的连接线；2、接口：HDMI×2路，TOUCHUSB×1路，USB×2路，前置3路USB接口，3、人性化：开机通道记忆功能，悬浮菜单自定义功能，侧边栏隐藏功能；4、防眩光AG玻璃，书写顺滑，且避免镜面效应，让会场高档，会商高效，二十点触摸；5、A级液晶面板，LED背光源，直下式背光，尺寸≥98寸，显示比例16:9，亮度≥350cd/㎡，物理解析度≥3840×2160，对比度≥1200：1，整机尺寸：2216.8*99.3*1331.6mm，可视面积≥2160.5mm(H)×1217.3mm(V)；6、硬件配置不低于CPUARMCortex2xCA73+2xCA534核1.5GHz，内存3GBDDR4，存储32G；7、内置800万像素广角摄像头，无挡片遮挡；内置6阵列麦克风，支持10米有效拾音距离；8、设备支持双系统运行。双系统间，可一键触摸切换选择，保障整个系统正常运行；每次上电或开机，内置OPS电脑不必直接启动，高效节能；在需要使用OPS电脑时，一键切换到OPS通道下，系统自动检测OPS电脑的状态，若是关闭状态，则自动启动OPS电脑。确保整个系统真正节能运行，且确保电脑不因无故断电导致的电脑开机异常；9、支持三大护眼功能：触摸护眼；防蓝光护眼；光感护眼；可在菜单中方便打开三大功能选项；10、内置U盘禁用功能，开启后，外接U盘不予读取，确保系统安全和资料安全，支持U盘秘钥锁屏功能，开启后，插上秘钥U盘解锁，整机系统方可正常运行，解锁后拔下秘钥U盘，整机系统仍能继续工作。重启后必须用U盘秘钥解锁才能工作，确保整机系统的安全，不被非授权人员使用；11、支持五指息屏，五指唤醒，悬浮图标三指跟随；安卓下：支持内置和外置摄像头的切换，支持无遥控进入工厂菜单，支持侧拉菜单通过悬浮图标一键调出；支持屏幕底部上拉菜单；12、内置无线投屏，支持单画面、双画面、三画面、四画面显示模式快捷切换；通过传屏软件或USB传屏按键、三合一传屏按键（USB接口、HDMI接口、TYPE-C接口三种接口均在同一个可拆分式传屏器上），实现任意手机/PAD/电脑同时四画面混合无线传屏；支持全功能TYPE-C接口的手机或电脑的无线传屏，且大屏可反向触摸控制手机和电脑画面。-无线投屏，安卓手机镜像投屏后大屏端有手机的同步声音且通过手机控制投屏后的声音，镜像投屏时手机端的音视频画面同时在大屏端呈现；13、真4K白板软件，在安卓系统下：书写内容生成二维码分享时，可设置文件加密；且分享内容上传的服务器地址，支持修改；新建页支持100页；14、一体机应用主题，支持会议主题和教育主题，自动切换；会议主题，主图标包括4K白板和远程会议，方便直接入会；教育主题，主图标包括课件管理、教育白板和远程课堂；15、支持集控控制功能：可通过集控平台软件，随时在云端分组和分权限管控所有显示屏终端；会前，可通过集控平台，把需要的资料同时上传到任意显示屏端；会中，可随时给在运行的显示屏端发通知信息显示在屏端，并查看和统计所有设备的名称、IP地址、运行状态，投屏状态以及在线、离线、关机的设备数量和名称，单个和所有设备的使用频率，可及时在线给任意显示屏终端安装APP；会后，可通过集控平台，远程关闭任意一台显示屏。集控平台，自带报表统计功能。屏端有消息浮窗，实时动态显示传到屏端的通知和文件等信息。16、设备结构牢固，可防止8级强震，避免二次伤害；17、设备平均无故障运行时间≥10万小时；18、支持80PinOPS-C标准接口的OPS插槽式安装方式，CPU配置不低于六核十二线程，内存不低于8GB，存储≥256GBSSD硬盘；</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壁挂支架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1、一体机壁挂支架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4.其它</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设备机柜（16U）</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1、16U/600MM*600MM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多媒体信息插座</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1、接口类型：根据使用需求定制接口HD15/HDMI、3.5Jack/AC、Shift、RJ45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扬声器线缆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1、2x1.5mm²弹性护套柔软扬声器线缆，高纯度（OFC）单根直径0.1MM铜丝无氧铜丝绞合，多股复绞，内导体聚氯乙烯绝缘护套，外护套PVC弹性体材料；填充条体为抗拉棉线。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音频线缆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x0.3mm²专业双绞话筒线,无氧铜丝（OFC）,聚氯乙烯绝缘，弹性PVC外护套，屏蔽层无氧铜（OFC）编织。导体：40/0.1mm绞合裸铜丝；导体截面积：0.3mm2；绝缘：PVC绝缘料，2芯绞合；屏蔽：无氧裸铜丝编织屏蔽；护套：弹性PVC护套料</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高清线缆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1、4K高清HDMI连接线，20米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1、ZR-RVV3*1.5mm国标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综合楼四层大会议室</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1.扩声系统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数字音频处理器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不少于8路输入、8路输出平衡接口；2、支持自动混音功能AM，可对多只话筒分组管理，NOMA功能，可根据设定的开启MIC数量，算法自动控制允许输出的话筒数量，有效抑制扩声系统声反馈，提升系统传声增益；3、输入每通道功能:前级放大器、扩展器、压缩器、7段动态均衡器、延时器；4、输出每通道功能:10段动态均衡器、高低通滤波器、限幅器；5、四个独立可共享自适应反馈消除AFC；6、内置智能闪避器Ducker；7、支持GPIO可编程控制接口；8、内置自动摄像跟踪功能,可直接控制摄像头，可控制不少于30台摄像机；9、支持2路RTP网络音频流发送和接收，突破局域网的限制，快速构建AoIP系统；10、具有RS-232、RS-485、POE外部面板控制接口；11、支持跨网段控制；12、支持一个软件可同时管理系统中的多台设备；13、预设存储数量不少于50个，具有新建、保存、另存为、调用、编辑预设，可设置设备上电默认预设，可设置调用预设静音（淡入淡出）、非静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阵列声柱扬声器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中低音喇叭：10x3"铁磁全频单元，0.8"音圈2、频率响应(+/-3dB已处理)：155Hz-18kHz3、频率响应(-10dB已处理)：130Hz-19kHz4、灵敏度1W/1m(全空间)：97dB(200Hz–10kHz)5、最大声压级@10%THD（全空间）：127dB(200Hz-5kHz)6、指向性(水平x垂直)：120°x15°(不对称,j型)7、额定功率：300W8、阻抗：16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功率放大器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输出功率8Ω：2×300W2、输出功率4Ω：2×600W3、桥接输出功率8Ω：1200W4、频率响应范围：20Hz-20KHz+3/-0dB5、信噪比：&gt;90dB6、相位延时：+/0.1度，10Hz-20KHz@1W7、声道分离度：&gt;50dB8、互调失真：≤0.01%ratedpower@8Ω9、总谐波失真(1kHz@1W)：≤0.01%ratedpower@8Ω10、阻抗参数：&gt;300@1KHz/8Ω11、总系统转换率：20V/us(Stereo)12、输入阻抗：10K/20KΩ,不平衡/平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电源时序器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8路智能电源系统，整机容量40A（8.8KVA）；2、每路延时1秒，每路输出AC220V/13A，适用各种类型插头；3、MCU控制，具有外部电平控制级连口和标准RS232串行数控接口。4、开放控制协议，既可满足中央控制器控制，又可连接各种控制面板。5、机架高度：1U</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2.无纸化会议系统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双屏桌面无纸化终端（带话筒）</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台面式终端，连接线支持底部引出，可选择隐藏或不隐藏式安装；2、配备15.6英寸1920*1080分辨率LCD主屏显示会议信息、10.1英寸1280*800分辨率背屏显示与会人员姓名信息；3、开关咪发光触控一体化按键，无机械按键声，支持48KHz音频采样频率，音频频响20H20KHz；4、标配心型指向性驻极体麦克风，带开启指示灯圈，双软管鹅颈咪杆可选，具备声控模式(VOX)、限制发言模式(Auto)、先进先出模式(FIFO)、申请等待模式(Operator)；5、支持自动摄像跟踪功能，并支持声控模式（VOX）、限制发言模式(Auto)、先进先出模式(FIFO)、申请等待模式(Operator)；6、声控模式：声控模式下，发言时话筒自动开启，可调节声控的灵敏度（高、中、低），可设置自动关咪时间(20~250秒)；7、支持手拉手、星型、混合型三种连接方式；8、内置左右双扬声器，合理的音腔设计，声音清晰、宏亮，并支持音量调节；9、支持文件批注功能和电子白板功能；10、内部消息发送功能：与会者之间可发部内部消息进行沟通；11、外部文件读取功能：支持USB（U盘）插入，进行外部文件的读取及操作管理；12、具有唯一的序列号，会议系统支持自动或者手动给系统设备分配ID；13、浏览器上网功能：会议进行中，可通过互联网或局域网查找相关资料；</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电源HUB</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基于LINUX操作系统平台开发，内置高性能CPU处理核心，高速DSP数字音效处理器；2、采用分布式供电管理，最大可组成容量为65025席的大型系统；3、采用网线连接，易于布线，支持线路的“热插拔”，支持环形手拉手、星型、混合型三种连接方式；4、具有唯一的序列号，会议系统支持自动或者手动给系统设备分配ID；5、5路会议终端连接接口，2路扩展接口用于连接电源HUB；6、具有与会议服务器同步开关机功能；7、内置会议终端自动检测机制，可在会前对系统各终端进行运行状态自检；8、带工作状态指示的LED灯，自动检测电压、电流及温度状态，支持过载、高温自动保护，工作运行状态通过网络自动上传。</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无纸化服务器(含软件）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无纸化会议终端的设备管理；2、支持与会人员资料管理，可实现离线创建和在线创建两种模式；3、支持坐席设置，可创建会议室，设置座位分布，支持自定义编辑；4、支持会议管理，可实现会议日程的创建，并设定会议时间和地点；5、支持会议文件上传并保存，支持DOC、DOCX、PDF、PPT、PPTX、XLS、XLSX、JPG、PNG、BMP等文件格式；6、支持会议议题管理，可实现会议的报到、表决等功能，并支持选项自定义；7、支持屏幕定制，可自定义字体的颜色、大小、背景等；8、安装方式：4U标准机架式9、CPU：优于6M缓存，四核4线程，最高可达3.20GHz10、内存：8GDDRIII，最大支持16G11、硬盘：不小于1TBSATA硬盘12、显示接口：1×HDMI、1×VGA13、网络接口：2×LAN1000M14、USB接口：2×USB3.0，8×USB2.0（其中4个内置）15、音频接口：1×Mic_in、1×LINE_OUT16、控制接口：2×RS-232、1×PS/217、扩展接口：1×PCI-EX16、1×Mini-PCIE、4×RS-232、4×GPO、4×GPI418、键盘：抽拉式一体键盘鼠标19、显示器：内置8.9LCD，1024×600DPI，250cd/m220、触摸屏：十点工规电容触摸屏21、光驱：超薄DVD光驱</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编码器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视频编码H.264，支持1920x1080p/1920x1080i/1280x720p/720*576i/720*576p/640*480i等分辨率；2、1路HDMI信号输入，1路VGA信号输入，1路YPBPR信号输入，1路CVBS信号/1路3.5音频输入，1路RJ45输出；3、具有信号格式自动转换成网络信号传输，支持TCP，UDP，1000M（RJ45双工网口）传输，支持DHCP自动获取IP；4、通过编解码器，支持外部视频的接入）；</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桌面无纸化呼叫服务终端(含软件）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台面式终端，连接线支持底部引出，可选择隐藏或不隐藏式安装；2、主频1.8G；内存DDR32G；内置存储容量8GB；15.6英寸1920×1080电容触屏；10点触控；3、支持适配器独立供电，或会议服务器、电源HUB分布式供电，实现智能分区管理；4、网线连接，支持环形手拉手、星型、混合型三种连接方式；5、内置左右双扬声器，音量可调；6、终端可显示与会者信息、会议信息、会议事项结果及查看现场坐席情况；7、具有唯一的序列号，会议系统支持自动或者手动给系统设备分配ID；8、与会人员通过液晶触屏进行服务呼叫，服务请求将在无纸化呼叫服务终端上及时提示，服务人员根据此信息可及时为与会者提供所需的服务。基本的服务内容包含:纸、笔、茶水、毛巾等，可根据会议实际情况定制服务内容；9、支持查看现场坐席功能:可根据会场布局排列显示现场坐席图，服务信息直接在图上显示，方便服务人员根据坐席情况提供服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全数字会议主机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钢化玻璃面板，导航式旋钮，OLED屏显示，并提供中文/英文等多种语言菜单；3、性能配置：支持48Khz音频采样频率，音频频响20Hz-20KHz；4、双机热备份：具备会议服务器双击热备份功能，可将一台会议服务器设置为备份模式并连接到系统中，如当前会议服务器出现意外时，备份服务器可自动托管，保证会议无间断顺利进行；5、服务器采用网线连接，支持环形手拉手、星型、混合型等多种连接方式；6、服务器采用分布式供电布局，单台服务器标准可挂载40个话筒终端；可通过电源HUB进行系统扩容，可组成最大容量为65025席的大型系统；7、支持音频分组功能，最大支持4路分组音频输出；8、具有USB录音功能，插入U盘后，可自动录制系统音频；9、时钟同步：内置实时时钟，万年历功能，可以在会议服务器、会议终端上显示当前时间；10、无纸化扩展：支持与无纸化会议系统融合使用；11、支持32种语言的有线同传；</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智能会议管理软件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系统要求:操作系统32/64位2、支持主屏、分屏显示，软件界面可同步到大屏幕，支持屏幕分辨率自适应；3、可兼容公信会议系统的不同产品形态的设备使用，满足有线产品/无线产品/多种产品形态/多个系统之间的数据互联互通；4、采用超级狗数据加密，通过LicenseOnChip技术确保许可免受篡改，支持AES算法加密。运用ECC密钥交换技术，确保会议数据传输加密保护；5、具备序列号授权使用功能，不使用超级狗加密情况下，可通过官方生成的授权码授权使用；6、内置中文、英文、俄文等多国语言选择。具备语言自定义功能，可视化的语言编辑界面，便于翻译人员编辑和校对，支持语言数据包导入/导出；7、支持PELCO-P/PELCO-D/VISCA摄像跟踪设置，可选择多种摄像机/矩阵类型，切换对应的控制协议。预置位信息支持导入和导出，方便保存和调用；8、可设置会议议题及相关内容，包括标语、表决、讨论、文稿（支持office文档插入）等；9、支持表决、评议、选举、评分等方式，表决选项可以自定义设置，并支持记名投票、不记名投票、权重表决等设置10、使用软件发起会议召开，进行人员的报到、标语显示、文稿显示、进入讨论、开始表决等操作；11、支持屏幕定制，可视化编辑界面的文字字体、颜色、图片、数据关联等进行设置。支持多种界面风格快速切换；12、软件支持会后信息处理，会议人员名单、议题议案结果、会议过程产生的文件进行导出和打印。13、支持双机热备份，当会议操作计算机发生故障时，系统自动切换到备份计算机运行，保证会议不间断进行；</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会议专用延长线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1、会议话筒专用线缆，用于主机到第一个话筒单元的连接线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一拖二无线手持话筒</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包含2个心形动圈手持话筒和1个双无线接收机2、典型条件下的工作范围：≥100米（300英尺）3、接收机灵敏度：≥-54，5dBV/Pa；1，88mV/Pa4、接收机音频频率响应：优于或等于50Hz-15kHz5、每个频段多达12个兼容频率6、电池寿命：&gt;8小时7、增益调整范围：不小于10dB</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3.显示系统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电子白板触摸一体机（98寸）</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整机工艺要求：一体化，全金属外壳，铝合金外面框，表面无尖锐边缘或突起，外部无任何可见内部功能模块的连接线；2、接口：HDMI×2路，TOUCHUSB×1路，USB×2路，前置3路USB接口，3、人性化：开机通道记忆功能，悬浮菜单自定义功能，侧边栏隐藏功能；4、防眩光AG玻璃，书写顺滑，且避免镜面效应，让会场高档，会商高效，二十点触摸；5、A级液晶面板，LED背光源，直下式背光，尺寸≥98寸，显示比例16:9，亮度≥350cd/㎡，物理解析度≥3840×2160，对比度≥1200：1，整机尺寸：2216.8*99.3*1331.6mm，可视面积≥2160.5mm(H)×1217.3mm(V)；6、硬件配置不低于CPUARMCortex2xCA73+2xCA534核1.5GHz，内存3GBDDR4，存储32G；7、内置800万像素广角摄像头，无挡片遮挡；内置6阵列麦克风，支持10米有效拾音距离；8、设备支持双系统运行。双系统间，可一键触摸切换选择，保障整个系统正常运行；每次上电或开机，内置OPS电脑不必直接启动，高效节能；在需要使用OPS电脑时，一键切换到OPS通道下，系统自动检测OPS电脑的状态，若是关闭状态，则自动启动OPS电脑。确保整个系统真正节能运行，且确保电脑不因无故断电导致的电脑开机异常；9、支持三大护眼功能：触摸护眼；防蓝光护眼；光感护眼；可在菜单中方便打开三大功能选项；10、内置U盘禁用功能，开启后，外接U盘不予读取，确保系统安全和资料安全，支持U盘秘钥锁屏功能，开启后，插上秘钥U盘解锁，整机系统方可正常运行，解锁后拔下秘钥U盘，整机系统仍能继续工作。重启后必须用U盘秘钥解锁才能工作，确保整机系统的安全，不被非授权人员使用；11、支持五指息屏，五指唤醒，悬浮图标三指跟随；安卓下：支持内置和外置摄像头的切换，支持无遥控进入工厂菜单，支持侧拉菜单通过悬浮图标一键调出；支持屏幕底部上拉菜单；12、内置无线投屏，支持单画面、双画面、三画面、四画面显示模式快捷切换；通过传屏软件或USB传屏按键、三合一传屏按键（USB接口、HDMI接口、TYPE-C接口三种接口均在同一个可拆分式传屏器上），实现任意手机/PAD/电脑同时四画面混合无线传屏；支持全功能TYPE-C接口的手机或电脑的无线传屏，且大屏可反向触摸控制手机和电脑画面。-无线投屏，安卓手机镜像投屏后大屏端有手机的同步声音且通过手机控制投屏后的声音，镜像投屏时手机端的音视频画面同时在大屏端呈现；13、真4K白板软件，在安卓系统下：书写内容生成二维码分享时，可设置文件加密；且分享内容上传的服务器地址，支持修改；新建页支持100页；14、一体机应用主题，支持会议主题和教育主题，自动切换；会议主题，主图标包括4K白板和远程会议，方便直接入会；教育主题，主图标包括课件管理、教育白板和远程课堂；15、支持集控控制功能：可通过集控平台软件，随时在云端分组和分权限管控所有显示屏终端；会前，可通过集控平台，把需要的资料同时上传到任意显示屏端；会中，可随时给在运行的显示屏端发通知信息显示在屏端，并查看和统计所有设备的名称、IP地址、运行状态，投屏状态以及在线、离线、关机的设备数量和名称，单个和所有设备的使用频率，可及时在线给任意显示屏终端安装APP；会后，可通过集控平台，远程关闭任意一台显示屏。集控平台，自带报表统计功能。屏端有消息浮窗，实时动态显示传到屏端的通知和文件等信息。16、设备结构牢固，可防止8级强震，避免二次伤害；17、设备平均无故障运行时间≥10万小时；18、支持80PinOPS-C标准接口的OPS插槽式安装方式，CPU配置不低于六核十二线程，内存不低于8GB，存储≥256GBSSD硬盘；</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壁挂支架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1、一体机壁挂支架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4.信号切换系统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无缝混插矩阵主机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U机箱，支持2张输入卡、2张输出卡；2、嵌入式硬件架构，系统稳定可靠，无缝切换无黑屏、闪屏，无延时；3、兼容HDMI、DVI、VGA、AV、SDI、HDBaseT、OpticalFiber（光纤）等1080P信号无缝切换板卡；4、兼容普通HDMI、HDBaseT、OpticalFiber(光纤）等4K*2K信号无缝切换板卡；5、总线交换技术，每路信号单独通道进行传输，保证所有信号图像的实时显示；6、主机带倍频倍线技术，对图像信号进行倍线缩放、倍频增强显示；7、支持OSD自定义字符叠加画面显示功能及输入输出通道状态查询功能；8、支持画面拼接功能，需支持1*1—8*8拼接；9、有RS232,TCP/IP,IR和按键控制共4种控制方式；10、支持面板按键锁定功能，以防误操作；11、支持不少于10个场景保存和调用功能，支持群切功能；12、矩阵主机与信号满足不低于7*24小时不断电运行无故障运行；</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4路HDMI输入卡</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4路HDMI输入，4路模拟音频输入；2、无缝切换默认分辨率为1920x1080P@60Hz，可通过指令调整；3、HDMI端口支持HDMI1.3,HDCP1.3，兼容DVI信号；4、HDMI输入音频默认为内嵌音频输入，支持加嵌模拟音频；5、低分辨率信号可倍线变成分辨率为1080P或者1920x1200输出；6、输入信号卡具有字符叠加功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张</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4路HDMI输出卡</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4路DVI/HDMI输出，4路模拟音频输出；2、无缝切换默认分辨率为1920x1080P@60Hz，可通过指令调整；3、DVI/HDMI端口支持DVI/HDMI1.3,HDCP1.3，兼容DVI信号；4、DVI/HDMI输出解嵌音频默认开启，可通过指令关闭5、低分辨率信号可倍线变成分辨率为1080P或者1920x1200输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张</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5.集中控制系统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中央控制系统主机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8路可自定义协议的串口，根据需要可配置成RS232、RS485、DMX512协议，第一路和第五路支持24V供电输出；2、8路触点，每路都可支持30V/1ADC，125V/0.5AAC负载；3、支持8路可自定义的IO输入，输出及红外输出，支持全频段载波的红外调制信号发送；4、系统可通过无线或有线扩充，单系统支持65535台总线设备扩展；5、支持系统自动云诊断、云备份、云恢复；6、系统支持主机自备份功能；7、支持语音控制功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中控编程软件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1、根据现场实际应用进行自定义的编程</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电源控制器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1、8路大电流带常开/常闭触点继电器；2、单路功率：≤1800W；3、总功率：≤8000W；4、CAN总线通信方式；5、任意变换的网络ID设置；6、配合管理软件可实现电源控制器的管理；</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无线触摸屏</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1、屏幕尺寸：10.4英寸2、分辨率：2000*1200dpi3、系统：Android4、运行内存：4GB5、内存容量：64GB6、CPU核心数：八核</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无线路由器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1、无线速率：1200M2、LAN输出口：千兆网口3、适用频段：2.4GHz+5GHz4、天线：外置天线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24口接入交换机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固化千兆电接口≥24个，SFP千兆光接口≥4个；2.交换容量≥3.36Tbps，包转发率≥126Mpps；3.要求所投设备MAC地址≥16K；4.要求设备静音无风扇节能；5.支持基础网络保护策略，能够限制用户向网络中发送ARP报文、ICMP请求报文、DHCP请求报文等数据包的数率，对超过限速阈值的报文进行丢弃处理，甚至能够识别攻击行为，对有攻击行为的用户进行隔离；6.设备自带云管理功能，即插即用，可随时查看网络健康度，告警及时推送，有日记事件供回溯；7.为保证设备在受到外界机械碰撞时能够正常运行，要求所投交换机IK防护测试级别至少达到IK05；8.支持快速链路检测协议，可快速检测链路的通断和光纤链路的单向性，并支持端口下的环路检测功能，防止端口下因私接Hub等设备形成的环路而导致网络故障的现象；9.考虑设备兼容性、项目实施、交付及售后服务，与核心交换机同一品牌；</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6.其它</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设备机柜（42U）</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1.机柜尺寸600mm*600mm*2000mm(42U)，含侧板，一个层板，前玻璃后网孔门）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多媒体信息插座</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1、接口类型：根据使用需求定制接口HD15/HDMI、3.5Jack/AC、Shift、RJ45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扬声器线缆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1、2x1.5mm²弹性护套柔软扬声器线缆，高纯度（OFC）单根直径0.1MM铜丝无氧铜丝绞合，多股复绞，内导体聚氯乙烯绝缘护套，外护套PVC弹性体材料；填充条体为抗拉棉线。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音频线缆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x0.3mm²专业双绞话筒线,无氧铜丝（OFC）,聚氯乙烯绝缘，弹性PVC外护套，屏蔽层无氧铜（OFC）编织。导体：40/0.1mm绞合裸铜丝；导体截面积：0.3mm2；绝缘：PVC绝缘料，2芯绞合；屏蔽：无氧裸铜丝编织屏蔽；护套：弹性PVC护套料</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六类非屏蔽双绞线（低烟无卤）</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标准：YD/T1019，IEC60754-2，IEC61034-2，IEC60332-1-2通过标准最高传输频率250MHz测试额定传输速率(NVP)：68%单根导体直流电阻：≤9.0Ω/100m2.导体规格：4×2×0.57，导体名称：软圆铜线，绝缘：HDPE3.屏蔽方式：U/UTP，线对“十”字骨架隔离4.护套材料：LSZH，护套外径：6.3±0.3mm最小内弯曲半径：安装时：8倍电缆外径，安装后：4倍电缆外径，敷设方式：钢管或阻燃硬质PVC管内5.包装方式：305米/易拉箱，2易拉箱/外箱</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箱（305米）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高清线缆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1、4K高清HDMI连接线，20米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电源线缆</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1、ZR-RVV3*1.5mm国标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互通互联系统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1.互通互联系统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中心服务平台</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兼容嵌入式Linux系统和X86架构Linux系统；2、支持节点端口备份、传输链路备份、多个输出节点热备份和服务器多机备份；服务平台最大支持8机热备,切换时间&lt;1秒,切换过程原有音视频控制业务不受影响；3、系统应用平台热备份:主服务器下线后自动切换到备份服务器提供系统服务;服务平台之间自动备份用户拓扑信息、系统配置以及license；4、支持50种角色创建，并可以根据不同的角色，分配权限和功能模块，其中能够管理的功能模块13种，权限模块8种；5、支持多用户创建管理，能够为不同的用户绑定不同的角色；6、支持添加、删除、修改、查询用户，并能够通过统一的页面查看所有信息和状态；7、支持有中心服务或无中心部署，有中心服务时支持系统配置信息一键保存和加载应用，可将一台服务器的配置信息导出到另外一台服务器；8、支持无纸化系统的控制与码流通过网络接入平台，接受平台可视化UI控制端同一界面统一管理，支持与平台各类节点的音视频互通，无需另加其他编解码设备，可直接预览无纸化系统任意屏幕显示的图像；支持无纸化UI管理界面自定义，可模拟实际场景布局，个性化管控；支持平台管控无纸化终端开关机、屏幕升降控制、指定席位上屏显示、统一同屏显示等功能；无纸化终端音频信号支持在平台可视化UI界面上实时动态电平显示，可通过音频推子控制音量大小；平台的各类音频算法处理功能，可以直接对无纸化系统通过网络接入的音频信号进行处理；9、平台支持四级多套分布式系统级联组网应用，实现音视频及控制融合，组建音/视/控汇聚资源池，媒体源列表支持显示本级和全局的所有资源，实现四级多套分布式系统之间音视频与控制的互联互通，统一可视化管控。任意某级的分布式系统故障均不影响全局系统使用。无需单独的运维系统即可监看四级系统网络TOPO图以及链接状态；为保证系统安全，级联单元接入支持鉴权功能；为保证系统稳定性，级联单元支持热备份；10、支持自定义用户界面交互方式，支持可视化音频路由调度、音频预案保存和调用，音频通道增益、静音控制和电平显示，系统静音控制，矩阵混音控制；11、系统支持设计用户个性化界面，支持自定义运行界面风格、要素、交互方式等内容，支持选择多种类时间、数据等控件并可自定义控件颜色和字体，单个界面支持划分多个页面，支持自定义启动页面；12、安装方式：支持1U独立机柜式安装；13、CPU：优于4核4线程2.0GHz-2.7GHz；15、内存：优于DDR424008GB；16、硬盘：不小于128GB；17、数据接口：USB2.0Host*2；18、视频接口：HDMIOUT*1；19、网络接口：3个RJ45千兆自适应网口，3个光纤网口，1光1电为一组作为光电互备，不支持PoE供电，其中1个做预留使用，其中1个支持LED同步拼接主节点（配合同步从节点解码上小间距LED大屏幕）；</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中心服务平台软件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集中管理和控制整个系统设备，支持独立控制各个区域的设备;支持对所有视频源进行预览以及大屏图像回显，可在用户端软件观看大屏实时画面，并进行可视化拖拽操作；2、支持B/S架构运维管理、提供C/S架构用户使用界面，提供多种类的Web管理工具，支持Web界面批量处理节点关机、重启、唤醒以及查看网口配置信息等;支持Web界面在线监测设备状态;3、支持提供无线/有线网络上屏服务,无需任何硬件设备，实现音视频同步编码和传输；4、支持软件远程KVM和硬件远程KVM，通过IP网络远程控制PC或者服务器，支持通过系统平台可视化UI界面(如无线PAD)远程控制电脑，在平台可视化UI界面回显窗口内即可打开PC端应用程序，控制其内容(修改编辑、复制粘贴、上下翻页、播放暂停等)5、具备可视化管理界面，支持音频动态电平、静音状态实时反馈、视频信号实时预览及回显，UI界面可根据用户需求定制，提供多套UI模版备选:6、支持指定一个或多个显示区域任意信号进行视频轮巡,轮巡过程中支持双击放大画面；7、持在可视化调度界面一键截屏，把当前上屏的所有画面进行多路全高清截屏(而不只是回显的全屏截屏)，自动保存到平台可视化UI界面所在的存储设备，便于事后统一分析和回溯；8、支支持软件点名功能，当软件选中定位节点时，节点所有指示灯闪烁，协助用户和调试人员定位设备位置；9、支持音频跟随视频同步传输与切换功能，拖放视频的同时音频同步播放;支持一台终端多权限管理，支持一个权限多终端同时管控；10、平台可视化UI界面操作支持设置加密功能，重要的操作需要通过密码认证才能够被允许操作；11、在平台可视化UI界面视频信号预览列表中，双击列表中的信号源能够全屏显示高清画面；12、支持放大镜功能，能够把屏幕上显示的画面，局部放大显示；13、平台可视化UI界面能够对接视频会议实现会控管理，如召开会议、邀请终端入会、主会场设置、闭音、重连接、结束会议常用功能；14、平台可视化UI界面在退出后，再登陆系统时，可以自动恢复到退出前的状态，设备断电重启后能够恢复断电前的数据，不会因为卸载平台可视化UI界面软件而丢失；15、支持施工平台更新UI和逻辑后后，操作界面可以自动同步最新的交互界面和逻辑关系；</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单通道一体云节点</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单节点采用编解码一体化设计，支持自定义成编码或解码节点；2、支持无中心和有中心两种部署方式，3、节点采用无风扇静音设计，采用国产化芯片，自主可控；4、输入/输出分辨率1920*1200@60fps（向下兼容）；5、视频接口:2路DVI-D（1路DVI-D输入，1路DVI-D输出），支持视频环出；音频接口:1路耳麦接口，2路平衡LINE音频输入，2路平衡LINE音频输出；6、音频接口同时具备声学回声消除功能(AEC)、背景噪声抑制功能(ANS)、自动增益控制功能(AGC)；7、控制接口:2路RS-232，1路RS-485，3路I/O，3路IR红外控制，2路USB，1路Type-c接口；8、支持RJ45网口和SFP光口网络备份，支持链路聚合,支持接入同交换机或不同交换机的光口和电口，支持使用优先级配置，光电口通讯倒换用户无感知，倒换时间无延时；9、支持音视频同步拖放控制，视频源回显画面上可独立控制音频开关；支持音频状态实时监测；10、支持外部供电和POE供电；11、安装位置：150人报告厅、普通教室、录播教室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高清矩阵</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4路HDMI输入，4路HDMI输出2、支持1路HDCP解码3、支持EDID读写，切换，内置支持2K、4K分辨率EDID4、支持分辨率3840*2160@30Hz，1080P@24/50/60/120Hz，1080i，720P，576P，576i，，480P，480i5、支持10组场景调用、保存6、支持快速切换，速度可达200nS7、支持按键控制、Rs232控制，可选配红外控制、网络控制功能8、支持通过PC客户端软件或中控系统实现远端控制。9、支持AC100-240V宽电压，适用全球各地区电源输入10、具有LED灯及显示屏，直观反应开关及信号切换信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 xml:space="preserve"> </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rPr>
              <w:t>七、多媒体教学系统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w:t>
            </w:r>
          </w:p>
        </w:tc>
        <w:tc>
          <w:tcPr>
            <w:tcW w:w="10236" w:type="dxa"/>
            <w:gridSpan w:val="2"/>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普通教室共4间教室（60人教室1间；80人教室1间；100人教室2间）</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多媒体讲桌</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讲台整体倒凸型分体式结构，长840mm、宽500mm、高985mm;调整脚可在0mm-5mm范围内自由调节;3、上箱体颜色为哑光灰白色，桌面使用木板，经低温物理工艺处理，防火防滑等;上箱体前端中央位置设置专门的Logo印刷区域，方便党校印刷Logo，加强党校文化宣传;上、下箱体四周均圆弧边角，有效降低直楞伤害。4、上箱体两侧的扶手结构人机工程学，符合使用者的使用习惯，有效降低长期站立使用时的疲劳感。5、上箱体桌面上部位置设置有电子快捷插口，并留有穿线孔，配合笔记本使用。6、上箱体留有储物抽屉，方便老师放置教学用具，例如蓝牙话筒、教鞭、教学书写物品等。7、下箱体，可实现分拆组装，上大下小的结构，前后门组件进行高温物理工艺进行方木式处理，可作为储物使用。8、下箱体配备有五孔插座外接电源使用。9、下箱体底板过线孔均敲落孔方式。10、全部的加工件均为模具冲压成型或者注塑成型，工装夹具、全自动焊接工艺。</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86寸教学平板一体机</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一、基本配置1.屏体尺寸：86英寸，液晶LED，显示比例(16：9)；2.亮度：≥500cd/㎡；3.对比度：≥5000:1；4.分辨率≥3840*21605.触摸技术：红外感应技术，10点触控，支持10笔或以上同时书写。6.无需打开一体机，前置接口面板和前置按键面板支持单独前拆；7.无信号源自动关机：整机在开机的状态下，若检测不到信号源，设备将自动关机。8.内置一体化超高清5K摄像头，单颗摄像头有效像素≥1900W，可输出最大分辨率5104*3864的图片与视频，支持搭配AI软件实现自动点名点数功能。二、工控整机OPS电脑：处理器/8G运行内存/256G固态硬盘。</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98寸教学平板一体机</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一、基本配置1.屏体尺寸：98英寸，液晶LED，A规屏，显示比例(16：9)；2.亮度：≥500cd/㎡；3.对比度：≥5000:1；4.分辨率≥3840*21605.触摸技术：红外感应技术，10点触控，支持10笔或以上同时书写。6.无需打开一体机，前置接口面板和前置按键面板支持单独前拆；7.无信号源自动关机：整机在开机的状态下，若检测不到信号源，设备将自动关机。8.内置一体化超高清5K摄像头，单颗摄像头有效像素≥1900W，可输出最大分辨率5104*3864的图片与视频，支持搭配AI软件实现自动点名点数功能二、工控整机OPS电脑：处理器/8G运行内存/256G固态硬盘。</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110寸教学平板一体机</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一、基本配置1.屏幕尺寸：110寸2.显示类型：TFT-LED3.物理分辨率：3840*21604.亮度：450cd/m²5.反应时间：8ms6.视角度：178°二、工控整机OPS电脑：处理器/8G运行内存/256G固态硬盘。</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全频音箱</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频率响应：（-3dB）70Hz-18kHz,（-10dB）65Hz-20kHz2、单元组成：1只10"高效率中低音单元，1只1"喉口44芯高分子聚酯膜高音驱动器3、额定功率：250W，峰值：1000W4、灵敏度：95dB1watt/1metre5、声压级：119dB，峰值：125dB6、额定阻抗：8Ω7、指向性（-6dB）：90°×50°</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功放</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立体声功率8Ω：2×400W2、立体声功率4Ω：2×600W3、桥接功率8Ω：1200W4、频响：20Hz-20KHz，-0.5dB5、输入灵敏度：0.77V6、信噪比：≥95dB7、失真度：≤0.03%8、分离度（8ohm1KHz）：＞70dB9、阻尼系数（5Hz-1KHz）：＞24010、转换速率：15V/μS11、保护功能：软启动保护/过热保护/过流保护/直流保护/射频保护</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全频音箱</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频率响应：（-3dB）70Hz-18kHz,（-10dB）65Hz-20kHz2、单元组成：1只10"高效率中低音单元，1只1"喉口44芯高分子聚酯膜高音驱动器3、额定功率：250W，峰值：1000W4、灵敏度：95dB1watt/1metre5、声压级：119dB，峰值：125dB6、额定阻抗：8Ω7、指向性（-6dB）：90°×50°</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功放</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立体声功率8Ω：2×400W2、立体声功率4Ω：2×600W3、桥接功率8Ω：1200W4、频响：20Hz-20KHz，-0.5dB5、输入灵敏度：0.77V6、信噪比：≥95dB7、失真度：≤0.03%8、分离度（8ohm1KHz）：＞70dB9、阻尼系数（5Hz-1KHz）：＞24010、转换速率：15V/μS11、保护功能：软启动保护/过热保护/过流保护/直流保护/射频保护</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全频音箱</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频率响应：（-3dB）55Hz-18KHz，（-10dB）50Hz-20KHz2、单元组成：一只12"高效率中低音单元，一只1"喉口44芯高分子聚酯膜高音驱动器3、额定功率：300W，峰值：1200W4、灵敏度：97dB5、声压级：122dB，峰值：128dB6、额定阻抗：8Ω7、指向性（-6dB）：90°×50°</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功放</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立体声功率8Ω：2×650W2、立体声功率4Ω：2×980W3、桥接功率8Ω：1960W4、频响：20Hz-20KHz，±1dB5、输入灵敏度：0.77V6、信噪比：≥98dB7、失真度：≤0.05%8、分离度（8ohm1KHz）：＞62dB9、阻尼系数（5Hz-1KHz）：＞28010、转换速率：15V/μS11、保护功能：软启动保护/过热保护/过流保护/直流保护/射频保护</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领夹话筒</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频道组数：双频道2、通信频段：640~690MHz3、面板显示：LCD液晶显示可同时显示RF/AF信号强度、电池电量、工作频率4、震荡模式：DPLL相位锁定频率合成5、频率间隔：250KHz6、可切换频率数：30组/每个信道7、灵敏度：在偏移度等于40KHz，输入6dBμV时，S/N&gt;80dB8、综合S/N比：＜0.3%@1KHz9、信噪比(S/N)&gt;80dB10、输出接口：XLR平衡式口独立输出及Φ6.3不平衡式口混合输出11、拾音方式：电容</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鹅颈话筒</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拾音头：采用背极式驻极体电容拾音，抗RF射频干扰咪头；2、拾音指向：单指向；3、频率响应：50Hz~16KHz；4、拾音感度：-45dB±3dB；5、输出阻抗：250Ω±30%；6、输入声压级：138dB；7、动态范围(典型)：116dB；8、信噪比（S/N）：≥70dB；9、供电范围：DC11-52V；10、接口：内置三针XLRM卡龙公头。</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调音台</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8路话筒输入，4路（两组）立体声输入；2、单声道输入通道每路带独立的48V幻像供电开关，单声道输入每路带100Hz低切功能；3、话筒输入高中低三段均衡，9-12路立体声高低两段均衡，输入推子60mm，手感平滑；4、两个辅助输出，一个AUX发送，一个FX发送，AUX发送为推子前信号，FX发送为推子后信号，信号发送量都由旋钮控制；5、输入每路带PFL按键，方便监听推子前信号；6、每路输入带L-R开关（主输出开关）和G1-G2开关（两编组开关）；7、USB播放功能，带液晶显示屏，可以显示歌曲名字和歌词，支持MP3,WAV等多种格式，中英文界面可选，循环模式可选；8、内置效果器，效果器延时时间和重复比例连续可调，效果可以加入主输入，也可以加入辅助AUX输出；9、带蓝牙功能，可以直接蓝牙输入音频；10、带U盘录音功能；11、可以连接电脑，通过声卡输入输出音频到电脑；</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反馈抑制器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寸TFT彩屏，分辨率220*176，中英文可选；2、移频防啸叫，4档可选；3、每通道设24个自动陷波器,工作频率20-20kHZ，自动扫描啸叫点并抑制，可灵活设置静态锁定点数量；4、每通道24段PEQ参量均衡，可灵活设置；5、噪声门可避免静态状态下系统弱噪声烦扰；6、输入压缩，人声动态可控且具有一定啸叫抑制能力；7、响应时间快，适应更多应用场景需求；8、USB免驱即插即用，配备专业PC调试软件，方便快捷；9、可存储10组配置，灵活存储调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音频处理器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3进6出数字音频处理器。2、32位SHARCDSP芯片处理，96kHz采样率，24bitAD/DA转换。3、输入处理部分包含高切,低切,8个参量均衡,噪声门,增益,静音,相位,延时,连动调节等处理功能4、输出处理部分包含分频,9个参量均衡,增益,静音,压缩/限幅器,相位,延时,连动调节等处理单元。5、所有高切、低切滤波器,分频器的类型可选择：巴特沃斯、林奎瑞利、贝塞尔,斜率在-6dB/Oct至-48dB/Oct可选。6、内置测试信号发生器,输出方式可选粉红噪声,白噪声及20Hz-20kHz正弦波可调,信号幅度可调7、频率响应：20Hz-20KHz±0.3dB8、动态范围：115dBu9、失真度：＜0.008%at1kHz（0dBu）10、串音：＞70dBu，20Hz-20kHz11、共模抑制比：＞75dBu1KHz</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电源时序器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前面板不少于2个直通式万用插座；2、后面板不少于8个受控万用插座；3、每一路开关间隔时间≤1秒；4、支持RS232中控接口；5、具有级联功能；6、在进行绝缘电阻和抗电强度实验时，依据：GB8898-2011《音频、视频及类似电子设备安全要求》，绝缘电阻：基本绝缘或用附加绝缘隔离的零部件≥2MΩ，用加强隔离的零部件之间≥4MΩ；抗电强度：基本绝缘或用附加绝缘的零部件之间峰值能够达到2120V，用加强绝缘隔离的零部件之间峰值能够达到4240V。</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壁装支架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壁挂式安装支架，支持多角度调节，可承重≥18kg。</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18</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壁装支架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1、壁挂式安装支架，可多角度调节；2、长距离安全摇臂，可承重≥30KG，距离可调。</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19</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智慧教育录播主机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视频支持不小于4路高清3G-SDI、支持不小于2路HDMI输入接口；支持不小于1路VGA输入接口，不小于2路HDMI接口视频输出；2、为了满足部分双教学大屏场景，要求2路HDMI输入接口支持同时接入，能够实现两路HDMI信号采集，并支持老师教学过程中大屏操作的全自动跟踪切换；3、主机默认内含6口交换机，其中支持不少于4口POE供电，满足老师特写、讲台全景、学生特写、学生全景信号接入需求；4、系统内置跟踪功能，无需额外配置跟踪主机即可实现智能图像识别跟踪分析与处理功能，跟踪对象不需要佩戴任何辅助装置，便可对老师和学生的动作、移动进行准确定位、跟踪，清楚的记录整个教学活动；5、支持H.323、SIP协议，能够对接第三方视频会议终端，实现互动场景录制；6、频支持不少于1路莲花（RCA）MICIN接口、1路凤凰端子MICIN接口、1路3.5LINEIN、1路凤凰LINEIN接口可选，同时，主机应支持不少于1路凤凰端子、1路双莲花LINEOUT可选；</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20</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多媒体录播一体机软件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系统支持视频文件上传、下载、异常修复、本地点播、删除等基本功能，支持通过状态标记自动检测课件上传是否成功，对于状态标记上传失败的课件资源支持人工手动续传；2、系统支持异常课件修复功能，在录制过程中或其他不可抗拒因素导致设备突然断电使录制的课件异常时，可通过录播主机管理页面一键修复功能，修复异常课件为正常课件资源；3、系统采用主流RTMP/RTSP/HTTP流媒体直播推送技术，支持基于Flash技术和HTML5技术的直播和点播方式，能够让用户免安装插件即可接收和观看直播和点播，无论在移动端还是电脑端都享受一流视频观看体验；4、录播系统内置互动功能，支持标准SIP协议，要求无须视频会议终端和MCU即可实现录播主机之间的音视频在线互动教学；</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双输出摄像机（老师）</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图像传感器：采用1/2.3"ProgressiveScanCMOS；2、CMOS最大分辨率支持≥4660H×3512V；Sensor总像素1637万，有效像素1616万；3、支持输出全景和特写双画面，支持老师跟踪、学生跟踪、特定人物跟踪、电子云台跟踪、ZOOM跟踪；4、要求相机支持POE一线通，满足数据通信、供电均由一根网线完成；5、支持摄像机模式设置，分别有室内自然模式、室内暗光模式、室内亮光模式、户外晴天模式、户外阴天模式、户外夜间模式、自动识别模式、自动抗闪烁模式、全自动模式等9种模式设置；6、支持编码参数快速设置，对码流、码率、关键帧等自由调节7.要求摄像机与录播主机为同一品牌</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双输出摄像机（学生）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图像传感器：采用1/2.3"ProgressiveScanCMOS；2、CMOS最大分辨率支持≥4660H×3512V；Sensor总像素1637万，有效像素1616万；3、支持输出全景和特写双画面，支持老师跟踪、学生跟踪、特定人物跟踪、电子云台跟踪、ZOOM跟踪；4、要求相机支持POE一线通，满足数据通信、供电均由一根网线完成；5、支持摄像机模式设置，分别有室内自然模式、室内暗光模式、室内亮光模式、户外晴天模式、户外阴天模式、户外夜间模式、自动识别模式、自动抗闪烁模式、全自动模式等9种模式设置；6、支持编码参数快速设置，对码流、码率、关键帧等自由调节7.要求摄像机与录播主机为同一品牌</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录播控制面板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面板尺寸≥4.3寸；2、分辨率≥480*272；3、背光类别：LED；4、背光亮度：≥300nit，支持64级亮度可调5、支持RS485和RS232两种控制接口；6、支持对录播设备的录制、暂停、停止、VGA锁定、开关机、视频打点等操作；</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设备机柜（42U）</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机柜尺寸600mm*600mm*2000mm(42U)，含侧板，一个层板，前玻璃后网孔门）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情景模拟实训室</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1.显示系统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110寸教学平板一体机</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一、基本配置1.屏幕尺寸：110寸2.显示类型：TFT-LED3.物理分辨率：3840*21604.亮度：450cd/m²5.反应时间：8ms6.视角度：178°二、工控整机OPS电脑：处理器/8G运行内存/256G固态硬盘。</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75寸交互触控显示屏</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一、基本配置1.屏体尺寸：75英寸，液晶LED，显示比例(16：9)；2.亮度：≥500cd/㎡；3.对比度：≥5000:1；4.分辨率≥3840*21605.重显率：99%6.待机率：≤0.5W7.防眩光功能：4mm厚AG钢化玻璃，防眩光，减少玻璃反射光的影响，反射率小于1%；8.物理快捷键：提供屏幕两侧15个以上物理快捷键（丝网印刷，不易脱落），中英文标识，并且点击任意快捷键，即可调出白板软件；使用物理快捷键可对PPT演示文档进行上下翻页控制；9.触摸技术：红外感应技术，10点触控，支持10笔或以上同时书写。10.前置按键：前面板具有音量、频道、电源、菜单等功能物理按键，支持一键开机/关机；二、工控整机OPS电脑：i5处理器/8G运行内存/256G固态硬盘。</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移动支架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落地移动架，安装尺寸支持65-86寸，造型美观大方、符合人体工程学，最大承重500Kg，材质：SPCC高强度钢板、表面喷涂亚光黑色漆，含4个万向轮</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65寸辅助显示屏</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65英寸显示屏，3840（H）×2160（V）4K分辨率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显示屏支架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适用于65英寸显示屏安装，稳固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2.会议发言系统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全数字会议系统主机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1、支持WPA/WPA2无线安全技术，确保了会议私密性，避免窃听和恶意干扰；2、提供2路8芯航空接口兼容有线会议系统的全系列单元，支持环形手拉手连接；3、系统最大能同时开8个话筒，无线最大支持同时开6个话筒，31+1路有线同声传译；4、无线有线非压缩音频传输，48K采样率，带宽20HZ一20KHZ音质；6、超五类线屏蔽线，100M网络全数字音频和控制信号传输．长距离传输音质不受影响；功能与性能：1、结构和外观：全数字会议控制主机由1U高强度纯铝材质结构，带吊耳，便于工程安装2、面板操作：具有带灯操作按键及64mmx16mm的LCD显示屏可实时显示作状态，便于工程操控使用3、系统连接：航空头转网口，超五类线屏蔽线，100M网络全数字音频和控制信号传输4、会议模式：具有FIFO、NORMAL、FREE、APPLY等多种会议模式选择（发言人数选择、发言模式选择）5、音频处理：音频数字DSP技术及环境噪音抑制技术，内置均衡器模块6、支持话筒和同声传译：系统最大能同时开8个话筒，无线最大支持同时开6个话筒，31+1路有线同声传译7、外音输入和输出：输入端可连接背景音乐或远程电话会议终端输出，输出可连接扩声系统或录音设备或电话会议8、摄像跟踪：通过RS-232串口可连接第三方中央控制系统主机或者摄像跟踪土机，实现自动摄像跟踪功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主席单元</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WiFi传输技术，严格的数字化保护，确保会议的私密性，避免窃听和恶意干扰；2、非压缩音频传输技术，48K采样率，20Hz-20KHz带宽音质；3、低延时技术，话筒声音到功放输出最小10ms；4、支持20个小时持续发言或26小时静态待机；5、内置内磁式扬声器；6、配合高清摄像跟踪主机与高清红外自动摄像机支持移动跟踪；7、支持FIFO、APPLY、NORMAL多种会议模式；8、支持中英文显示；10、电池可拆卸，双电池供电，更换电池可以保证单元不断电，不影响正常会议；11、主席单元具备优先权功能，可以关闭所有正在发言的代表单元；12、主席单元可发起签到、结束签到的功能；13、支持三种投票表决方式：a)表决方式：赞成/弃权/反对；b)选举方式/调查方式：1/2/3/4/5；c)响应方式/评议方式：--、-、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代表单元</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WiFi传输技术，严格的数字化保护，确保会议的私密性，避免窃听和恶意干扰；2、非压缩音频传输技术，48K采样率，20Hz-20KHz带宽音质；3、低延时技术，话筒声音到功放输出最小10ms；4、支持20个小时持续发言或26小时静态待机；5、内置内磁式扬声器；6、配合高清摄像跟踪主机与高清红外自动摄像机支持移动跟踪；7、支持FIFO、APPLY、NORMAL多种会议模式；8、支持中英文显示；10、电池可拆卸，双电池供电，更换电池可以保证单元不断电，不影响正常会议；11、支持三种投票表决方式：a)表决方式：赞成/弃权/反对；b)选举方式/调查方式：1/2/3/4/5；c)响应方式/评议方式：--、-、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无线接入点（5G）</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企业级无线AP，可以查看每个连接WiFi单元信号强度；2、WPA/WPA2数字加密技术的WiFi信号传输，确保了会议私密性，避免窃听和恶意干扰；3、具有一路RJ45接口，具有一路4线3.5mm接口；4、在空旷受干扰弱的情况下信号覆盖面积到半径为30米的圆面积，一般为半径25米的圆面积；5、三天线使数据传输更加的稳定；6、多个5GHz频段选择。</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WIFI专用充电箱</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1、每个充电箱可同时为10个单元同时充电2、充电箱之前可级联3、双色状态指示等显示充电状态</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3.音频扩声系统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扬声器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1.额定功率≥100W，峰值功率≥480W；2.配置不少于4个3"铁氧体单元；3.灵敏度≥94dB1W/1m，最大声压≥114dB；4.垂直扩散角度＞20°，水平扩散角度〉120°；5.阻抗：8Ω；6.频率响应：80-18kHz。</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功率放大器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应为智能控制强制散热，使风机噪音减小，散热效率提高高等特点；2.内置智能压限系统，控制功率模块及扬声器系统在安全范围内工作；3.具有BRI桥接、STE立体声、PAR立体声等模式，≥2种增益开关可选；4.AB类高效的功率放大电路，完善可靠的安全保护措施和工作状态指示；5.8Ω立体声额定功率≥250W×2；4Ω立体声额定功率≥450W×2；8Ω桥接功率≥620W；6.输入阻抗:10KΩ非平衡.20KΩ平衡；7.频率响应(@1W功率下）:20-20KHz/±0.5dB8.信噪比(A计权)：≥90dB；9.额定源电动势不劣于630mV；10.保护方式:直流保护、超高频保护、短路保护、过载保护、开机关机保护、温度保护；</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音频处理器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高性能浮点DSP处理芯片的专业网络音频矩阵；2.不少于8通道平衡输入音频通道，支持前级放大、噪声门、压限器、≥8段参量均衡、延时器、自动混音台等功能；3.输入通道均支持MIC输入和48V幻象供电，同时具有反馈抑制器功能；4.支持自动增益功能，具有阈值、目标值、斜率、启动时间和恢复时间设置，支持自动增益复制和复位；5.不少于8个平衡音频输出通道，支持≥8段参量均衡、高低通滤波器、压限器、延时器等功能；6.每路输出滤波的高低通支持贝塞尔、巴特沃斯、林克威治-瑞利等多种类型；7.内置信号发生器，支持正弦波、粉红噪声、白噪声等多种信号；8.支持RS-232、TCP/IP等协议，用于实现实现第三方控制；9.有摄像跟踪代码输出，便于通过第三方中控实现摄像联动功能；10.支持≥32种场景预设功能，可通过TCP/IP、RS-232协议进行调用；11.具有USB播放和录音功能，支持mp3、wav、ape、flac等格式文件以及顺序播放、随机播放、单曲循环和列表循环等多种播放模式；12.支持查看设备列表，具有IP地址、设备型号、设备位置、设备描述、ARM版本、DSP版本、序列号、连接状态和设备ID显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调音台</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不少于8路话筒平衡输入和4路立体声输入，话筒输入支持48V幻象电源供电；2.支持≥2路立体声输出、≥2组编组输出、≥2路辅助输出，编组信号支持叠加到主输出；3.支持立体声监听输出，可外接监听耳机或监听音箱，可通过旋钮对监听音量进行调节；4.带有液晶显示屏和标准双12段光柱电平表，具有当前效果模式选择显示，精确指示电平大小；5.输出支持≥7段均衡，具有直通和均衡切换开关；6.内置DSP数字效果器，具有不少于≥32种效果，可根据各种场景需求进行选择。</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反馈抑制器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每个通道具有≥24个指示灯显示捕捉啸叫点和≥24个滤波器，支持≥48个数字滤波功能；2.两个通道独立处理，均带有一个多功能按键，可实现一键反馈抑制，自动搜索啸叫点且自动抑制；3.支持不少于2路平衡输入和2路非平衡输入，支持不少于2路平衡输出和2路非平衡输出；4.支持选择固定频点抑制模式或LIVE实时动态抑制模式，可对静态滤波器及动态滤波器的数量进行配置；5.预设语音模式和音乐模式，可随意切换不同的应用场景；6.配置状态锁定开关，可以进行锁定防止误操作。</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手持无线话筒</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UHF频段、PLL2通道无线会议接收机，640-690MHz频率进行覆盖；2.内置静音功能，静音15分钟后自动关机，内置隐藏式节能模式选择功能；3.内置静电感应功能4.红外对码，“SET”一键配对，一键上锁功能；5.屏幕显示当前频段、≥5级调频信号接收电平、≥5级音频强度、静音状态等信息；6.内置高低两种功率选择，方便不同的会议室使用，同时主机内置最大音量控制控制功能，防止会场误操作；7.不少于1路左右通道平衡输出，不少于1路非平衡输出接口，以适应不同的使用环境；</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4.计算机网络系统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教师控制主机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配置不低于内存16GDDR4，256G固态硬盘+1TB7200rpmSATA硬盘；6GB独立显卡，配备原装USB鼠标键盘；千兆以太网卡，具有USB2.0、USB3.0接口；含情景模拟软件。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学员控制主机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配置不低于内存8GDDR4，256G固态硬盘+1TB7200rpmSATA硬盘；6GB独立显卡，配备原装USB鼠标键盘；千兆以太网卡，具有USB2.0、USB3.1接口；含情景模拟软件。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显示器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21.5英寸窄边显示器；分辨率：1920x1080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25</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HDMI分配器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1、一进4出接口分配器；2、支持高清接口，最高支持4K分辨率。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5.高清摄像跟踪系统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学员高清摄像机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内装220万像素1/2.8英寸HDCMOS传感器，20倍光学变焦，可提供1080P/60帧全高清图像质量；2、NTSC/PAL全高清HD多格式输出（HDMI，HD-SDI，YPbPr）,可输出VIDEOSD信号，1080p/720pHD信号，满足不同系统要求；3、多功能红外遥控:摄像机的转动，变焦，预置位以及多种摄像机的功能均可通过标配的红外遥控器控制。5、RS485/422、R-232C远程控制（VISCA、PELCO-D/PELCO-P协议）接口，可对摄像机进行远程高速通讯控制；6、可以快速水平，垂直宽范围的转动,水平角度：340度,最大速度：100度/秒；垂直角度：-30度到+90度；最大速度：90度/秒；7、可记忆设置128个预置位，快速调用设置的云台位置，变焦聚焦参数，甚至摄像机的各个功能；8、日夜转换支持图像翻转功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教师高清摄像机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内装220万像素1/2.8英寸HDCMOS传感器，20倍光学变焦，可提供1080P/60帧全高清图像质量；2、NTSC/PAL全高清HD多格式输出（HDMI，HD-SDI，YPbPr）,可输出VIDEOSD信号，1080p/720pHD信号，满足不同系统要求；3、多功能红外遥控:摄像机的转动，变焦，预置位以及多种摄像机的功能均可通过标配的红外遥控器控制。5、RS485/422、R-232C远程控制（VISCA、PELCO-D/PELCO-P协议）接口，可对摄像机进行远程高速通讯控制；6、可以快速水平，垂直宽范围的转动,水平角度：340度,最大速度：100度/秒；垂直角度：-30度到+90度；最大速度：90度/秒；7、可记忆设置128个预置位，快速调用设置的云台位置，变焦聚焦参数，甚至摄像机的各个功能；8、日夜转换支持图像翻转功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高清流媒体平台</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电影模式、画中画模式等直播、录播主题实训教学场景。支持4路SDI高清摄像机接入，分辨率最高支持1080P@25FPS。2、支持1路VGA/DVI外接教师手提电脑信号接入，分辨率最高支持1080P。支持本地USB摄像机接入。3、支持电影、画中画等模式输出。持自动叠加片头、片尾。支持自动叠加版权信息、校徽等到视频流中。4、支持自动叠加系统时间到视频中，年月日星期等显示模式可设。支持实时直播并本地可以实时预览直播画面。支持实时录像。支持PC机客户端软件实时收看。5、支持手机、平板等手持设备APP收看。录像管理：支持按时间、主题、主讲等条件查询、删除录像，缩略图显示等。存储管理：支持任意设置存储磁盘及预留存储空间。6、支持主画面、校徽、是否叠加片头\片尾、系统时间、是否自动检测等通用参数设置。7、支持用户自定义选择本地模拟图像源及远程网络图像的接入、删除、云台参数设置等。设置或修改终端自动登录的服务器地址、用户名、密码等所需的网络信息。8、支持手动或自动导播、画面实时合成、编辑、批注等。自动生成的课件以高编码的形式保存在本地，建好控制中心后可集中保存在控制中心进行点播、导播等管理；同时支持自动生成的课件低编码形式进行远程点播。9、支持主题实训课程的字幕叠加、特效切换等。10、支持可视化视频矩阵切换、上显示墙、投影机，切换信号时无黑屏、无等待，实现无缝快速切换。11、支持多间主题教室之间互动、收看教室实时画面等。12、集成摄像机云台控制、教室灯光控制、投影机开启、电动窗帘等设备控制。13、支持本地学员通过手机、PAD或电脑等实时采集的图片、影像等课件在学员间、教师间互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6.信号传输切换系统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高清混合矩阵</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不少于16x16路的音视频信号切换，输入/输出信号卡的模块化矩阵主机，具有热插拔功能；2.主机及信号板卡可以长时间无故障满负荷连续工作，连续运行时间不低于7*24小时不断电运行，断电不会丢失参数和功能设置；3.FPGA架构，内部自建核心运算机制，无内嵌操作系统，支持总线交换技术和倍频倍线技术；4.支持CVBS、YPbPr、VGA、DVI、HDMI、3G/HD/SD-SDI等信号无缝任意输入输出切换传输，兼容HDCP；5.支持EDID管理和手动EDID学习功能，支持当前输出通道状态查询功能；6.支持自动识别N制式和PAL制式，具有自动倍线功能，具有伴随音频输入可实现音视频同步切换；7.支持不少于35种分辨率，包含1920*1200、1080P@50Hz、1080P@30Hz、1080I@60Hz、1080I@30Hz、1366*768、720P@50Hz等分辨率；8.HDMI信号输入输出卡最高支持4K信号输入输出，兼容HDCP，支持HDMI内嵌音频传输，有独立外接音频接口；9.支持不少于20个场景保存和调用功能，支持群切功能；10.具有防静电，能有效防止人员触碰放电产生的电击；11.支持前面板按键、外接控制面板、遥控器、RS-232串行通讯、LAN网络控制等多种控制方式，支持本地和远端控制方式，可以根据需要锁定前面板防止误操作；</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HDMI输入板卡</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1.支持≥4路HDMI输入，支持HDMI1.3和HDCP；2.支持≥4路模拟音频输入，非平衡立体声；3.HDMI内嵌音频支持PCM格式；4.支持倍线功能，倍线后支持1360*768@60Hz、1024*768@60Hz、1280*720@60Hz、1920*1080p@60Hz、1920*1200@60Hz等分辨率。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张</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HDMI输出板卡</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1.支持≥4路HDMI输出，支持HDMI1.3和HDCP；2.支持≥4路模拟音频输出，非平衡立体声；3.HDMI内嵌音频支持PCM格式；4.支持无缝切换，支持1280x720@60Hz、1920x1200@60Hz、1280x1024@60Hz、1024x768@60Hz、800x600@60Hz等输出分辨率可调。</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张</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7.中央控制系统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中央控制主机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1.1U机箱可安装于标准机柜；2.提供网络远程访问管理功能，支持连接状态诊断、程序备份与恢复；能与具有通用协议的：会议主机、电源管理器、音频处理器、摄像头、插卡式混合信号系统矩阵、矩阵切换器、电动窗帘、投影/幕布等联动；3.具备时间轴多事件执行模式，自行时钟同步功能，用户自定义预约功能；4.配置不低于4核工业级处理器CPU，1GBRAM内存储器，8GBNandFlash高速存储器；5.≥8路多功能可定义串口功能，支持RS-232、RS-485、DMX-512协议，其中≥2路支持24V供电；≥8路红外/IO复用接口，输入输出分开可同时受控；≥4路可编程继电器强弱电控制接口；≥2路CAN总线控制协议；6.≥1路红外学习还原控制接口，≥1路LAN网络输入，≥1路电源输入，≥1路IRUSB接口，内嵌智能红外学习功能模块；7.可接RF无线射频接收器和WIFI无线路由器；8.扩展预留接口：≥1路Z-SET无线设置按键，≥1路ZigBee天线备选ANT接口；9.支持Android系统及iOS系统平板PC端口设备混合使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编程</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现场控制编程服务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无线路由器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千兆无线路由器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控制平板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10.1"高清屏，分辨率≥1200*1920，支持G+FF10点触摸；2.不劣于64位10核处理器，主频≥2.3G，内存≥4GB+64GB，可通过TF卡扩展内存；3.支持不低于Android8.0系统，支持BT4.2蓝牙，WIFI模块支持IEEE802.11a/b/g/n/ac等协议；4.支持自动对焦功能，前摄像头≥500万像素，后摄像头≥1300万像素；5.具有不少于1路3.5mm耳机接口、1路TYPE-C接口。</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8.其他辅助设备</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地面信息地插</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掀盖式6位地插盒，接口不少于：卡侬母座*1、RCA莲花AV接口*1、HDMI高清接口(转弯口）*1、手拉手大八芯*1。</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电源时序器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8路智能电源系统，整机容量40A（8.8KVA）；2、每路延时1秒，每路输出AC220V/13A，适用各种类型插头；3、MCU控制，具有外部电平控制级连口和标准RS232串行数控接口。4、开放控制协议，既可满足中央控制器控制，又可连接各种控制面板。5、机架高度：1U</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24口接入交换机</w:t>
            </w:r>
          </w:p>
        </w:tc>
        <w:tc>
          <w:tcPr>
            <w:tcW w:w="8975"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规格要求：1.固化千兆电接口≥24个，独立千兆SFP光接口≥4个；2.交换容量≥3.36Tbps，包转发率≥126Mpps；3.支持IPv4、IPv6静态路由、RIP、RIPng、OSPFv2、OSPFv3等三层路由和组播功能；4.考虑设备兼容性、项目实施、交付及售后服务，采用与核心交换机同一品牌;</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设备机柜（42U）</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机柜尺寸600mm*600mm*2000mm(42U)，含侧板，一个层板，前玻璃后网孔门）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b/>
                <w:bCs/>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 xml:space="preserve"> </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rPr>
              <w:t>八、信息发布系统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信息发布综合平台</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信息发布服务器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1、2U机架式服务器机箱2、处理器：2颗X86CPU，10核，2.4GHz3、内存：DDR429R16G内存×44、网卡：板载双口1GRJ45网卡+SND-I350双口1GOCPRJ45网卡+SND-I350双口1GRJ45网卡×25、硬盘：2T7.2k3.5SATA6GB硬盘×26、电源：550W电源模块×2</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信息发布系统管理软件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实时播放、插播、定时播放等，视频、音频、图片、文本、天气、时钟、直播、HDMI信号源2、支持控件编辑(天气控件，多媒体控件，时钟控件，多文本控件，网页控件)3、支持远程定时开关机/支持手机端管理助手/支持组播功能/支持远程控制音量调节4、支持自定义横竖屏模板编辑/支持1080P/4K模板编辑/支持自定义分辨率模板创建5、支持远程重启PD/支持远程唤醒/支持屏幕实时截图监控/支持终端软件OTA升级6、支持终端管理/支持素材管理/支持节目管理/支持频道管理/支持权7、限管理/支持远程管理8、支持云拼接播放功能，支持多台终端的横屏或者竖屏联屏播放9、用丰富的HTML5动态内容模板(餐饮模板，商超模板，影院模板内置海量模板等)，支持HTML5动态模板</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多媒体控制盒</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金属外壳，黑色面框，易散热2、芯片处理器：看门狗，内部缓存容量"2GBDDR3/8GBDDR/ROM3、工作时长：满足7*24小时无间断开机，保证长时间工作环境中稳定运行4、多媒体终端支持横屏、竖屏使用场景，系统、应用界面支持0°、90°、180°、270°任意设置和切换5、多媒体终端支持QHD4K信号的输入输出(3840*216030HZ）6、全新UI设计界面，区别传统UI，简约大方，系统支持UI界面显示，显示效果更清晰7、多媒体终端系统带自动优化功能，以及碎片整理功能；使得终端可以长时间运行不卡顿8、支持无信号自动休眠设置。9、支持一键锁屏功能功能，防止其他未授权人员操作。10、支持电子时钟，自由设定开关机时间，支持定时开关机、支持RS232串口控制终端。11、多媒体终端支持信息发布显示：视频、音频、图片、文本、网页、本地网页、HTML5、直播、字幕、天气时间、PDF/OFFICE等多媒体信息。12、系统防灼烧功能，可设定自动润屏，以防止长时间开机使用导致液晶屏灼烧损坏13、显示终端支持远程管理：支持远程截屏回传功能，支持远程设置显示终端的定时播放、睡眠、定时开关机、终端设备重启，当终端设备出现异常，系统可远程重启终端，使之恢复正常。</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150人报告厅</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LED显示屏</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屏幕要求：净显示尺寸不得小于：6.4米（宽）×3.6米(高)；1、点间距：≤1.59mm2、扫描数：1/403、像素密度（像素/m2）：4096004、LED封装类型：SMD15155、像素组成：1R1G1B6、刷新频率（Hz）：38407、换帧频率（Hz）：50&amp;608、对比度：8000：19、色温（K）：2000～10000(可调)10、LED典型工作寿命（H）：100000</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23</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控制管理软件</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集成16个标准HUB75E接口，免接HUB2)单卡输出RGB数据组达32组；3)单卡最大带载像素为128×1024；4)支持配置文件回读；5)支持温度监控.6)支持网线通讯状态检测；7)支持供电电压检测；8)支持逐点亮色度校正；9)支持接收卡预存画面设置；10）支持外接液晶面板，用来显示接收卡的温度、电压、单次运行时间和总运行时间11）支持固件程序版本回读</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视频控制器</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HDMI/DVI视频输入；2)HDMI音频输入/外部音频输入；3)支持高位阶视频输入，12bit/10bit/8bit；4)普通视频源带载能力：1920×1200，2048×1152，2560×960；5)高位阶视频源带载能力：1440×900；6)18bit灰阶处理与显示；7)一路光探头接口；8)可级联多台进行统一控制；9)支持视频格式：RGB，YCrCb4:2:2，YCrCb4:4:4；10)标准1u机箱，独立供电</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配套钢结构</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显示屏配套，铝合金包边。</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9.98</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供电主电缆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YJV5*6</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配电箱</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PLC远程控制，采用三相五线制即TN-S供电方式，配电柜输入电压为交流380V±10%，工频50HZ；2、配电柜内装有空气开关、漏电保护开关、熔断器、交流接触器、电源防雷器等，配电柜门上还装有电流电压检测仪表、旋钮开关和信号指示灯等；3、须具备防雷、过压、过流、欠压、短路、断路以及漏电保护措施；4、冷轧钢板，外表喷塑，具备防水、防锈、防腐能力；5、功率不小于10KW，满足现场使用要求。</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PLC控制软件</w:t>
            </w:r>
          </w:p>
        </w:tc>
        <w:tc>
          <w:tcPr>
            <w:tcW w:w="8975" w:type="dxa"/>
            <w:tcBorders>
              <w:top w:val="nil"/>
              <w:left w:val="nil"/>
              <w:bottom w:val="single" w:color="auto"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具有远程控制和现场信息回传报警功能，如对烟雾、温度、电压电流等感应和报警。</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single" w:color="auto"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综合布线</w:t>
            </w:r>
          </w:p>
        </w:tc>
        <w:tc>
          <w:tcPr>
            <w:tcW w:w="89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国标铜芯动力电源线，连接线、接头、插头等满足现场施工需要。</w:t>
            </w:r>
          </w:p>
        </w:tc>
        <w:tc>
          <w:tcPr>
            <w:tcW w:w="598"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single" w:color="auto"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管理主机</w:t>
            </w:r>
          </w:p>
        </w:tc>
        <w:tc>
          <w:tcPr>
            <w:tcW w:w="89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36" w:lineRule="exact"/>
              <w:textAlignment w:val="center"/>
              <w:rPr>
                <w:rFonts w:hint="eastAsia" w:ascii="仿宋" w:hAnsi="仿宋" w:cs="仿宋"/>
                <w:color w:val="000000"/>
                <w:sz w:val="16"/>
                <w:szCs w:val="16"/>
              </w:rPr>
            </w:pPr>
            <w:r>
              <w:rPr>
                <w:rFonts w:hint="eastAsia" w:ascii="仿宋" w:hAnsi="仿宋" w:cs="仿宋"/>
                <w:color w:val="000000"/>
                <w:sz w:val="16"/>
                <w:szCs w:val="16"/>
                <w:lang w:bidi="ar"/>
              </w:rPr>
              <w:t>国产操作系统，配置不低于：六核十二线程（主频≥2.9GHz），8GB+256GB+1TB存储+21.5显示器。</w:t>
            </w:r>
          </w:p>
        </w:tc>
        <w:tc>
          <w:tcPr>
            <w:tcW w:w="598"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室内单红条屏</w:t>
            </w:r>
          </w:p>
        </w:tc>
        <w:tc>
          <w:tcPr>
            <w:tcW w:w="8975" w:type="dxa"/>
            <w:tcBorders>
              <w:top w:val="single" w:color="auto" w:sz="4" w:space="0"/>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屏幕要求：因显示效果要求，净显示尺寸不得小于：8.514米（宽）×0.912米(高)2、像素构成：1R，像素间距(mm)4.75mm，像素密度（点/m2）44321，3、驱动方式：恒流驱动16S，4、模块高强度塑胶套件光学参数要求：1、白平衡亮度(nit)：≥500cd/㎡，2、抗消隐，无“毛毛虫”“鬼影”跟随现象3、最大对比度不低于5000：1，4、刷新率（Hz）：刷新率≥120HZ，5、亮度均匀性（校正后）≥97%6、换帧频率：50&amp;60HZ7、水平视角≥150°，垂直视角≥130°，8、发光点中心距偏差≤0.2%9、模组亮度均匀性≥98%</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7.76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平方米</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报告厅一层大厅LED全彩显示屏</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LED显示屏</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屏幕要求：净显示尺寸不得小于：3.52米（宽）×1.92米(高)；1、点间距：≤1.59mm2、扫描数：1/403、像素密度（像素/m2）：4096004、LED封装类型：SMD15155、像素组成：1R1G1B6、刷新频率（Hz）：38407、换帧频率（Hz）：50&amp;608、对比度：8000：19、色温（K）：2000～10000(可调)10、LED典型工作寿命（H）：100000</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6.76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视频控制器</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多达5路输入接口，包括1路DVI，1路HDMI1.3，1路VGA，1路USB播放，1路CVBS。2、支持窗口位置、大小调整及窗口截取功能。3、安装扩展子卡后，在U盘播放模式下，支持使用鼠标进行控制和手机电脑无线投屏。4、支持输入源一键切换。5、支持外置独立音频。6、支持DVI、HDMI的输入分辨率预设及自定义调节。7、支持画面一键全屏缩放、点对点显示、自定义缩放三种缩放模式。8、支持快捷点屏，简单操作即可完成屏体配置。9、支持4个网口输出，最大带载230万像素。10、支持创建6个用户场景作为模板保存，可直接调用，方便使用。11、支持连接中控设备。12、支持屏体参数调整，例如亮度、Gamma等。13、前面板直观的LCD显示界面，清晰的按键灯提示，简化了系统的控制操作。14、与室内小间距LED显示屏同一品牌配套产品。</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配套钢结构</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显示屏配套，铝合金包边。</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6.76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配电箱</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支持PLC远程控制，采用三相五线制即TN-S供电方式，配电柜输入电压为交流380V±10%，工频50HZ；2、配电柜内装有空气开关、漏电保护开关、熔断器、交流接触器、电源防雷器等，配电柜门上还装有电流电压检测仪表、旋钮开关和信号指示灯等；3、须具备防雷、过压、过流、欠压、短路、断路以及漏电保护措施；4、冷轧钢板，外表喷塑，具备防水、防锈、防腐能力；5、功率不小于10KW，满足现场使用要求。</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供电主电缆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YJV5*6</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25</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综合布线</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国标铜芯动力电源线，连接线、接头、插头等满足现场施工需要。</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电子班牌</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信息发布系统软件</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通过局域网或广域网将服务器的节目、播放列表、插播消息等发送至播放终端进行播放，并实现设备的远程监控与控制；2.播放终端按照服务器的命令进行节目播放，服务器可以按时段追加、插播、替换播放终端的节目，也可以远程清除正在播放的节目；3.节目元素包含文字、图像、视频、音频、天气、时间、直播流、文档（PPT、Word、Exc）等任意组合多媒体节目；节目元素可随意拖动改变元素大小和位置，实现分屏播放效果；节目内容可以保存为模板，方便下次进行节目制作；4.支持设备多种控制，可以远程控制播放终端的音量、定时开关机、关机、重启、背光、亮度、播放旋转、横竖屏、状态栏、开机自启、应用守护、校时等；5.可以按时间段、播放次数插播滚动字幕；6.支持灾害信息插播（全国24小时地震）；7.要求门头条屏与大厅全彩屏、信息发布一体机均使用同一套软件进行控制；7.播放终端设备可以按权限分配进行上下级管理、节目发布审核等；8.能够实现对接入终端的精确监控，主要包括终端硬盘、终端时间、节目发布进度、播放内容监控、播放日程查看等，提供图形化的直观展示效果；9.软件与屏体须为同一品牌以确保系统的稳定性。</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21.5寸电子班牌</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系统架构：嵌入式架构CPU核数：不低于四核CPU频率：不低于1.5GHZ运行内存：不低于1GB；物理内存：EMMC不低于8G；屏幕尺寸：不低于21.5英寸类型：LED分辨率：1920*1080图像比例：16：9屏幕亮度：不低于350cd/m²可视角度：全视角（水平178度垂直178度）响应时间：不超过5ms屏幕寿命：不少于100000小时透光度：不小于92%触摸类型：电容触摸触摸点数：不低于10点触摸触摸分辨率：4096*4096裸机尺寸宽:524mm×高393mm×厚38mm整机净重:≤4.6kg整机毛重:≤5.2kg，整机额定功率:≤35W，待机功率：≤0.5W，工作电压:220V60Hz内置喇叭:8Ω2W数据接口：USB2.0，RS232通信接口:Ethernet:10/100Mbps：图片格式：JPEG、BMP、CPP、PNG、GIF音频格式：MP3、WMA、AAC视频格式：MPEG-1/2/4、WMV、H.264、RM、DivX、FLV、支持横屏壁挂含软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电源线</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RVV-2*1.0mm²</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米</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b/>
                <w:bCs/>
                <w:color w:val="000000"/>
                <w:sz w:val="16"/>
                <w:szCs w:val="16"/>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 xml:space="preserve"> </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rPr>
              <w:t>九、能耗监测系统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中央工作站</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管理主机</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国产操作系统，配置不低于：六核十二线程（主频≥2.9GHz），8GB+256GB+1TB存储+21.5显示器。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A4打印机</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激光打印机</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能源计量管理软件</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能源计量管理软件,计量软件组态信息点4000点。双核64位CPU，LINUX操作系统，240G固态存储器；支持BACnetIP/Ethernet协议，支持ModbusTCP/UDP数据。支持WEB浏览，内嵌图形化组态软件，数据报警管理，数据存储管理，历史数据趋势记录，支持20用户WEB访问，支持数据报表和柱状图显示。支持计量表累计量每小时用量和每天用量计算。</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接口对接费</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与上级相关平台实现数据分享与对接。</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采集器</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能源网关系统</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EMC能源计量表网关：3条RS485ModbusMaster总线，1条RS485ModbusSlave总线，1个BACnetIP通讯口（RJ45）；1000BV，1000AV值；智能电表，智能水表，智能冷热量表，每条总线不超过20台设备；通讯距离600米；仅支持读变量；电源AC24V或DC24V</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路由器控制箱</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400mm*500mm；1个BR或BG或REP；15W电源；</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仪表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36" w:lineRule="exact"/>
              <w:jc w:val="left"/>
              <w:rPr>
                <w:rFonts w:hint="eastAsia" w:ascii="仿宋" w:hAnsi="仿宋" w:cs="仿宋"/>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三相智能电表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导轨式三相多功能智能电表，3相4线电表，电量测量；带LCD显示；ModbusRTU通讯；外接互感器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26</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互感器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根据实际需求定制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DN32智能水表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数字式智能水表；ModbusRTU485通讯；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DN50智能水表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数字式智能水表；ModbusRTU485通讯；光电直读</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DN65智能水表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数字式智能冷/热量表；ModbusRTU485通讯；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DN100智能水表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数字式智能冷/热量表；ModbusRTU485通讯；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r>
              <w:rPr>
                <w:rFonts w:hint="eastAsia" w:ascii="仿宋" w:hAnsi="仿宋" w:cs="仿宋"/>
                <w:b/>
                <w:bCs/>
                <w:color w:val="000000"/>
                <w:sz w:val="16"/>
                <w:szCs w:val="16"/>
                <w:lang w:bidi="ar"/>
              </w:rPr>
              <w:t xml:space="preserve"> </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p>
        </w:tc>
      </w:tr>
      <w:tr>
        <w:tblPrEx>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rPr>
              <w:t>十、综合管路系统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室内部分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JDG管</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JDGФ20，国标</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11000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JDG管</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JDGФ25，国标</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4000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lang w:bidi="ar"/>
              </w:rPr>
              <w:t>室外部分</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rPr>
                <w:rFonts w:hint="eastAsia" w:ascii="仿宋" w:hAnsi="仿宋" w:cs="仿宋"/>
                <w:color w:val="000000"/>
                <w:sz w:val="16"/>
                <w:szCs w:val="16"/>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rPr>
                <w:rFonts w:hint="eastAsia" w:ascii="仿宋" w:hAnsi="仿宋" w:cs="仿宋"/>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PE管</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DN32，国标</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3000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PE管</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DN50，国标</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450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SC管</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DN25，国标</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450</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m</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对接费</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与原有室外管路在对接过程中，开槽、修复等费用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r>
              <w:rPr>
                <w:rFonts w:hint="eastAsia" w:ascii="仿宋" w:hAnsi="仿宋" w:cs="仿宋"/>
                <w:b/>
                <w:bCs/>
                <w:color w:val="000000"/>
                <w:sz w:val="16"/>
                <w:szCs w:val="16"/>
                <w:lang w:bidi="ar"/>
              </w:rPr>
              <w:t xml:space="preserve"> </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lang w:bidi="ar"/>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p>
        </w:tc>
      </w:tr>
      <w:tr>
        <w:tblPrEx>
          <w:shd w:val="clear" w:color="auto" w:fill="FFFFFF"/>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rPr>
              <w:t>十一、智慧党校平台系统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综合门户系统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构建党校统一信息门户，作为所有业务子系统的入口，可以按照校领导、教职工的关注点，灵活配置教研咨管服的业务数据，让校领导、教职工在门户上就能解决大部分的日常工作，提供个性化服务。</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学员管理系统</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实现对学员学前、学中、学后的培训全生命周期管理。包括班级主页、学员信息、学前事务（报名审核、报到信息、缴费审核、学费查询、材料管理、纪律承诺）、学员管理（学员相册、活动风采、申报信息、学籍管理、学员档案、学业证书）、班务管理（请假管理、外出报备、退学管理、排座管理、考勤统计）、考核评优（党性考核、优秀学员、社区活跃度）。需对学员管理流程和系统功能模块进行详细描述并画出界面原型：①班次建立后生成班级二维码，二维码供学员微信端进行扫描，学员扫描后可自助录入学员信息，实现自助报到；②学员档案信息能进行统计分析，从政治面貌、性别、年龄、区域类别学历、党龄、民族等维度进行图表展示。③批量导入学员时，针对学号、身份证号、手机号冲突的，具备合理的账号判断方式和处理规则。详细设计内容如下：1.班级主页班级主页通过门户引擎搭建，以班级为维度，场景化展现班级各项数据，包括教学通知、课表信息、评估状况、材料提交情况、教学资料、优秀学员等。展示教学流程引导图，将一个班级从开班到结班在系统中的所有关键应用通过信息地图的方式呈现，让组织员和老师有章可循，快速上手。2.学员信息以班级维度查看并维护学员详细信息，追溯学员培训记录，为学员分配班级职务，按规则自动将学员分组，重置学员学号，为学员发送迎新短信。学员信息来源有多种方式，可以直接新增/导入学员名单，可以由学员扫描班级二维码报名，经组织员审核后进入班级，也可以通过干部调训系统同步报名审核通过的学员。3学前事务3.1报名审核组织员在系统中对通过扫描班级二维码报名的学员信息进行单个或批量审核。对于报错班级的学员，当前班级组织员可以将学员修改至正确班级，由正确班级的组织员进行审核。审核通过后，学员自动进入相应班级学员列表中，同时开通平台账号、权限，学员可使用账号密码进入平台进行业务操作。3.2报到信息可查看学员报到信息，包括已报到、未报到人数，支持学员通过移动端、自助报到一体机进行报到。3.3材料管理学员提交“带来”、“留下”材料，组织员可查看并进行回复，学员可查看组织员的回复信息，支持对学员提交材料的导出。“带来”、“留下”问题可配置，系统根据问题数量显示“N带来”、“N留下”。3.4纪律承诺学员入学新班级首次登录系统后需阅读纪律承诺书并签字提交，组织员可看到班级学员纪律承诺书提交的情况。纪律承诺书可自定义配置。3.5缴费审核学员通过移动端可上传培训费用缴纳凭证，组织员在PC端可对缴费凭证进行审核。3.6学费查询以班级维度统计学员学费缴纳情况，提供单位缴费和个人缴费两种缴费渠道，扫码转账、上传凭证和线下缴费三种缴费方式。组织员可清楚的看到已缴费、未缴费、已退费的学员数量。4.学员管理4.1学员相册自动获取所有学员头像，以卡片的方式展示，可快速查阅学员头像及基础信息。学员相册有利于学员之间的快速认识和学习交流。4.2活动风采组织员可按活动类别创建文件夹，上传与班级活动相关的多媒体文件并在班级内共享，所有文件支持在线查看、下载。4.3申报信息学员提交每日报告、来校行程、兴趣调查、健康申报等信息后，组织员可查看提交统计与详情，方便根据实际情况安排相关活动。4.4学籍管理学员每次参加培训都有独立的学籍表，内容包含学员基础信息、个人小结、班级鉴定、学员管理部门意见等，由学员、组织员和管理部门共同填写，支持单独和批量下载。4.5学员档案学员的每次培训信息都被独立保存，最终汇成档案在平台内可查。有权限的人员可追溯学员的所有历史培训数据，包括参训班级、作业情况、评估情况、考勤记录等。4.6学业证书平台支持学业证书模板的配置，可配多个模板，模板变量自定义。组织员可选择证书模板发布，再批量下载班级学员的学业证书。5.班务管理需对班务管理功能模块进行详细描述并对系统功能画出界面原型：①学员申报自身健康问题、兴趣活动和车辆信息的配置界面；②上课考勤支持手机端定位考勤；③支持按年长者优先、教学分组、学号顺序进行自动排座。5.1请假管理组织员可查看班级学员在线提交的请假申请，并调用工作流引擎完成审批。系统依据《中国共产党党校（行政学院）工作条例》中“累计请假时间原则上不得超过总学习天数的1/7”的规定，自动计算学员累计请假时间占比，辅助组织员决策。5.2外出报备组织员可查看班级学员在线提交的外出报备信息，包括报备类型、事由及地点、外出开始时间、外出结束时间等。5.3退学管理组织员可查看班级学员在线提交的请假申请，并调用工作流引擎完成审批。审批通过后学员状态更新为已退学，在学员档案中可查，数据同步至系统各业务模块。5.4排座管理组织员可根据教室布局，对班级学员的座次进行线上安排，支持可视化拖拽式排座，直接将按组编排的学员拖动至相应座位上；支持自动排座，可按照年龄、分组、学号顺序由平台自动为学员排座。5.5考勤统计学员在每门课前可提过手机进行打卡签到，平台以专题和学员两个维度进行考勤统计，考勤状态包括正常考勤、迟到、缺勤、请假和外出报备，组织员可查看班级学员的打卡时间、打卡位置等详细考勤记录。6.考核评优6.1党性考核培训期间，除了学员对教师和专题进行评估打分之外，组织员也可对学员进行党性修养量化考核，具体包括党性意识、学习态度、廉洁自律、遵章守纪、突出表现五个维度，由学员先进行自评，党校评议小组进行复评。6.2优秀学员系统提供打分、投票两种方式评选优秀学员。由组织员拟定优秀学员候选人并选择评选方式，学员进行评选，最终根据评选结果确定班级优秀学员并进行公示。6.3社区活跃度统计本班学员在讨论社区的活跃情况，包括发帖量和回复量排名。</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学员服务系统</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学员服务系统是专为学员设计的、与教职工教务管理系统紧密关联的应用系统，系统充分考虑党校学员阶段性学习的特点，聚焦典型应用，注重培训留痕，以简单快捷的操作为主，通过与教务管理系统的数据交互实现教务人员/组织员与学员、学员与学员之间的互动，形成良好的学习氛围。1.学员主页学员主页通过门户引擎搭建，展示学员当前班级的相关数据，包括教学通知、课表、作业、考试、评估、学员社区等信息，提供快速操作入口。多次参训学员支持切换班级查看之前的培训数据，教职工参训可进行学员身份和教职工身份的切换。2.学前事务支持学员参训前相关事务的处理，包括纪律承诺、学员须知、材料提交、信息申报。2.1纪律承诺学员首次登录系统后需阅读纪律承诺书并进行签名，组织员可在教务管理系统中查看纪律承诺书阅读情况。2.2学员须知学员登录系统后可查看学员须知、服务指南和地图导航，党校可根据实际情况自行在PC端配置相关信息。2.3材料提交学员入学后可在线提交“带来”、“留下”问题，提交后组织员可在教务管理系统中阅读并进行回复，系统支持对“带来”、“留下”问题的配置。2.4信息申报学员可在线填写每日报告、来校行程、兴趣调查、健康申报，供组织员查阅统计。3.教学事务支持学员学习过程中相关事务的处理，包括教学通知、教学资料、教学计划、我的课表、培训评估、选修课、我的作业、在线考试、在线练习、微课、学员荐书、优秀学员。3.1教学通知学员可阅读组织员发布的教学通知，通知支持语音播报，可预览或下载相关附件。3.2教学资料学员可查阅本班教学资料和全校教学资料，支持在线预览与下载。3.3教学计划学员可在线阅读组织员发布的班级教学计划，支持下载。3.4我的课表学员可查看本班级已发布的课表，课表以周视图展示，包含单元信息、专题名称、时间、地点、教师，以及是否为合班、调课、选修课、活动。课表支持导出。3.5培训评估到达专题评估或综合评估时间后系统推送评估信息，学员可在线进行评估打分，并提交意见和建议。对于综合评估，支持批量快速评估。系统可配置评估总分不能等于0、不能等于满分，也可设置低于某分数时填写评分原因，引导学员客观评估，获取真实评价数据。3.6选修课根据发布的单班选修和合班选修计划，学员可进行在线选课，第一轮选课未选中开课专题，还可进行第二轮补选，选课结束后展示选课结果与开课状态，学员可在课表中查看选修课上课时间与场所。3.7我的作业教师在教务管理系统中布置作业后，学员可查看作业并在线提交作业附件，提交后可查看作业批阅结果与教师评语。3.8在线考试组织员可针对班级发起在线考试，学员参加考试后可查阅考试分数与批阅信息，对于未到达及格分数的考试可在线进行补考。3.9在线练习学员可在线进行题库练习、专项练习、错题练习，其中题库练习按顺序覆盖整个题库，每次进入自动定位到上次练习的题；专项练习可选题型；错题答对三次可移出错题库。3.10微课教职工维护不同分类的视频课程，学员可在线学习、下载资料，支持断点续播。3.11学员荐书为提高教材使用的科学性、针对性和实用性，学员可向党校推荐1-2本教材，作为下一期同类培训的备选教材供党校参考。3.12优秀学员组织员拟定优秀学员候选人后，学员可通过投票或打分的方式评选优秀学员，系统对评选结果进行公示。4.个人事务支持学员个人事务处理，包括个人信息、请假申请、上课考勤、学员录、活动风采、座位表、外出报备、党性考核、学籍表、退学申请、培训记录。4.1个人信息实现个人信息的维护，学员可查看、更新个人信息。4.2请假申请学员可发起请假申请流程，系统依据《中国共产党党校（行政学院）工作条例》中“累计请假时间原则上不得超过总学习天数的1/7”的规定，自动提醒学员累计请假时间占比，提交后可查看流程审批情况。4.3上课考勤在移动端进行上课考勤后，学员可查看自己的考勤记录，包括考勤时间、考勤地点、考勤状态等，并统计正常出勤次数、迟到次数和缺勤次数。4.4学员录分别以卡片和列表的形式展示当前班级学员信息，包括学员照片、班级职务、单位及职务、手机号等。4.5活动风采组织员在教务管理系统创建活动风采文件夹后，学员可上传班级活动相关的多媒体文件，在班级内共享。4.6座位表学员可查看班级座位表，当前学员座位突出显示。4.7外出报备学员外出时需在线提交外出报备，包括外出类型、外出时间等信息，组织员可在教务管理系统中查看班级学员提交的外出报备记录。4.8党性考核学员可对党性修养进行自评打分，包括党性意识、学习态度、廉洁自律、遵章守纪、突出表现五个维度，自评后由党校评议小组进行复评。4.9学籍表培训结束前学员可在线填写学籍表中的个人小结部分，由组织员和管理部门填写班级鉴定等信息，最终形成学籍表供学员下载。4.10退学申请学员可发起退学申请流程，提交后可查看流程审批情况，审批通过后学员无需再进行专题评估，无需再提交作业，不再出现在班级学员中，账号依据系统设置的失效时间禁用。4.11培训记录学员多次参训，可查看自己的培训记录及每次培训的相关数据，包括班级信息、通讯录、作业、评估、考勤记录。5.学员社区学员社区是教职工和学员互动交流的在线社区，学员可以就感兴趣的话题进行发帖、跟帖讨论，可检索热门帖子、精华帖子。6.心理测评通过对学员1分钟的测试，能够获取相关心理/生理指标。帮助学员了解自己的心理健康状况，并且引起学员重视心理健康，从而在工作、学习、生活当中提高自己身心健康。并且通过定期测试，能够获取个人、班级标准，准确的进行心理危机预警，显示学员心理危机测试报告，提醒重点关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教务管理系统</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教务管理教务处或组织员对教学事务系统化、规范化、自动化的管理。包括班次管理、教学通知、教学计划、排课管理（本班排课、调课、三维排课）、课表查询、调课记录、选修课、教学资料、作业管理。需对功能模块进行详细描述并对业务流程功能画出界面原型：①视图化拖拽式排课；②自动检测并提醒课程安排与教学场地、师资的冲突；③学员查看教师批阅的作业可以显示、隐藏修改痕迹。详细设计内容如下：1.1班次管理班次按照开班时间分为当前班次、未开始班次、计划班次和历史班次。支持开班计划的导入，班次属性包括班级类别、培训类型、报名日期、培训日期、组织员、默认教室等，班级编码和学号支持自定义，可将教室锁定，不允许其他人申请使用。班次创建后生成报名二维码，以供学员扫码填写，报名表单可配置，满足一个班级一张报名表。支持按学年学期统计班次信息，班次创建后与干部调训系统进行数据同步。1.2教学通知组织员可发布与教学相关的通知通告，并指定查看范围，支持对每篇通知通告阅读情况的查看。1.3教学计划针对党校教学计划专业性强、层级丰富的特点，系统摒弃复杂的操作，创新的采用在线编辑的方式，让组织员可以轻松的为班级制定教学计划，操作简单，所见即所得。系统提供教学计划模板，内容包括教学目的和要求、教学时间和教学组织、课程设置和教学活动、教学方法、考核方式、推荐书目、教学安排日程表等，可根据模板快速完成教学计划的制定。组织员可从专题库中选择专题添加到教学计划中，添加后自动关联到排课模块，系统支持教学计划的复制和导出。1.4排课管理1.4.1本班排课组织员可对班级进行可视化拖拽式排课，专题范围包括教学计划中的专题、选修课、专题库中的专题以及教学活动，同时支持直播课和视频课排课，专题排进课表后可调整时间、场所、是否评估等属性。系统同时提供智能排课，极大减轻工作量，只需选择连课、属性顺序等排课规则后即可一键生成课表。系统自动监测并提醒课程安排冲突信息，自动判断合班课，可为课程添加单元信息，方便同一个单元的课程排在一起。课表通过周视图展现，并标记“合班”、“调课”、“冲突”等信息，可对照《中国共产党党校（行政学院）工作条例》中关于排课的要求查看班级排课的合规性。系统支持课表的复制，支持对排课结果的统计。1.4.2调课教工可对班级未开始的课程进行拖拽式调整，可调整内容包括专题、时间、地点、教师，调课后生成调课记录。1.4.3三维排课从多班级、多时间、多课程三个维度展示排课视图，同批次班级可批量进行排课，有利于各班课表比较和统筹考虑。1.5课表查询面对不同用户，系统提供多种课表查询维度，组织员和学员可以班级维度查看班级课表，校领导可以全校维度查看全校课表、教师可以教师维度查看自身课表。1.6调课记录执行调课操作后，系统自动记录调课信息，展示调课前和调课后的专题信息对比，并可向相关教职工发送短信通知。1.7选修课选修课是党校必修课的有效补充，学员可在空闲时间选择感兴趣的专题研究学习，让党校生活更充实。系统支持本班选修和合班选修两种模式，本班选修指专为本班级开设的选修课，合班选修指为多个班级共同开设的选修课。选修由教务人员发起，学员进行选课，教务人员根据选修情况决定是否开课。整个过程持续两轮，确保没选课或选课未开的学员也能选到称心的课程。选修课确定后自动关联到排课模块，供排课调用。1.8教学资料教学资料包括本班资料和全校资料，本班资料在班级内共享，全校资料在全校内共享。组织员可上传资料供学员查看、下载。1.9作业管理作业是检验学员学习效果的方式之一，教师可为学员布置作业，设置作业要求、提交日期、批阅方式等。学员通过附件的方式提交作业，教师也可代学员交作业。提交后，教师进行在线批阅，打分并填写批阅意见。系统支持对所有作业提交情况与评分情况的统计。2.教学资源根据党校（行政学院）的任务分工，合理配置和有效利用党校（行政学院）系统的教学资源。实现对党校（行政学院）教学资源的统一管理、资源共享和应用创新。包括师资库、教学专题库、教学活动库、教学基地库、拟开发专题库、教学案例库、校外宣讲库。需对系统功能模块进行详细描述并对系统功能画出界面原型：①教学专题讲授形式包括课堂讲授、访谈教学、互动教学、体验教学、情景模拟教学、研讨式教学、案例教学、现场教学等。②支持教学专题库的全生命周期管理，记录专题的申报、通过、排课、修订、评为优秀专题、废止等各种行为，并与具体教师相关联。详细设计内容如下：2.1师资库师资库，主要对校内教师、外请教师进行统一集中管理。可维护教师基础信息，包括政治面貌、研究方向、是否领导干部上讲台等，可查询教师的入库专题和授课信息，让教务管理部门轻松方便的预约和管理教师资源。2.2教学专题库教学专题库用来管理所有教学专题，是排课、评估的基础。专题可维护信息包括专题分类、专题属性、教师、评估方案、讲授形式、相关教案等。支持专题的全生命周期管理，记录专题的申报、通过、排课、修订、评为优秀课题、废止等行为，支持按专题属性、专题行为进行统计。2.3教学活动库丰富多彩的教学活动是党校教学的特色之一，教学活动库主要用来维护活动信息，包括活动形式、活动课时等，用于排课和工作量统计。2.4教学基地库现场教学区别于课堂专题教学，将培训放置到经济社会发展经验典型、特色明显的真实环境中，学员从原有的对教学现场的感性认识上升到理性认识，面对实情实景，发现问题，深入剖析问题，充分地研讨交流，使培训能进一步体现针对性和实效性。现场教学点（基地）作为支撑现场教学三因素（学员、带班教师、教学点）之一，对现场教学的成功也起到一定的作用。现场教学基地库主要对党校教学基地进行管理，以针对不同层次学员需求，安排合适的现场教学活动。支持查看现场教学简介、地址、图片视频等信息。2.5拟开发专题库拟开发专题库是对储备专题的管理，各个教研室可录入拟开发教学专题，供相关部门及时了解专题储备情况。支持拟开发专题数据的批量导入和导出。2.6教学案例库教学案例在教学过程中，以其生动形象，易于记忆和传播的特点，受到学员的广泛欢迎。系统实现对教学案例的管理，以备教学过程中的查阅及教学计划的安排。支持教学案例数据的批量导入和导出。2.7校外宣讲库党校培训要坚持“引进来、走出去”并重原则，校外宣讲库主要是对校外理论宣讲情况的登记管理，以备查阅。支持校外宣讲数据的批量导入和导出。</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教学评估系统</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进行全方位、立体化的评估管理，从评估方案的建立开始，跟踪评估过程，关注评估结果，便于监控和改进党校（行政学院）办学质量。包括专题评估状况、综合评估状况、专题评估结果、评估方案、投票、不记名问卷。需对系统功能模块进行详细描述，并对系统功能画出界面原型：①创建教学测评和后勤测评两套测评方案，每个方案里有不同数量的测评要素和权重，并且不同的课程能自由调用不同的测评方案。②可以自助设置评分要素、评分范围和标准，可以设置测评时间。③支持手机端语音搜索打开待测评列表进行专题或课程测评打分。详细设计内容如下：1.专题评估状况专题评估状况是对教学评估情况的统计，分为专题评估状况和学员评估状况。专题评估状况以专题为维度，统计专题的应评、已评、未评学员信息；学员评估状况以学员为维度，统计学员的应评、已评、未评专题信息。对于未完成评估的学员，组织员可以批量发送短信提醒其尽快评估。有权限的用户可查看评估统计，分数制的评估方案可查看各分项平均分和总分，等级制的评估方案可查看各分项评估等级占比。2.综合评估状况综合评估状况是对综合评估情况的统计，教务人员可设置综合评估方案、适用范围和评估时间，由学员进行评估，组织员可以班级维度查看综合评估参评情况与评估结果。3.专题评估结果专题评估结果是对专题评估情况的查看，包括授课班级、参评率、评估结果等，教工默认查看自己的授课专题，部门领导默认查看本组织及下属组织的授课专题。4.评估方案有权限的人员可根据不同的专题类别、讲授形式、服务类型设置不同的专题评估和综合评估方案，并根据实际需求随时进行维护。评估方案内容包括评估方式、项目分类、评估项目和评分标准等，评估方式可以设置“等级”、“分值”、“等级+分值”三种类型，不同类型对应不同的统计方式。评估方案与专题关联，每个专题采用对应的评估方案进行评估打分。5.投票组织员可以班级为维度发起投票，以了解学员对某个问题的看法与倾向。学员在手机上提交投票后，组织员可查看每个选项的投票占比。6.不记名问卷不记名问卷以匿名的方式收集问卷，一般由组织员发起，通过设置评估方式、评估内容、评估指标等信息创建问卷，答卷人进行问卷填写。系统限制答卷次数，保证收集数据的准确性和真实性，有权限的用户可查看问卷统计。</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在线学习系统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在线学习系统建立“线上网络培训+线下实体培训”融合一体的培训模式，让学员和教职工利用“碎片化”时间随时随地学习、在线考试，使培训更加高效率、专业化，是全员培训、终身学习的有效工具。1.网络学院网络学院是党校的内部培训学习平台，支持三种学习方式：学习计划、专题班和随意学，五种互动手段：网上选课、学习、讨论、作业、评价，是激发教工/学员学习能动性，提高培训教育水平的有效手段。1.1用户端1.1.1信息资讯信息资讯包括通知公告和最新动态，用户可查阅。1.1.2学习计划用户可查看分配给自己的学习计划，计划中包含必修课和选修课，必修课由管理员指定，选修课由用户自选，作业达到正确率可获取课程学分。1.1.3专题班用户可查看网络学院中开放的专题班，并可自行报名参加专题班学习。1.1.4随意学用户可查看教学计划与专题班之外的课程学习记录。1.1.5课程学习课程学习互动包括视频、文档、讨论、作业和评价，其中视频、文档和讨论针对课程的每个章节，作业和评价针对课程。用户可查看教学视频，平台记录每个用户对每个视频的学习进度，支持断点续播。用户可在线查看课程文档资料。用户可就课程的讨论主题用回帖的方式进行讨论。对于学习计划和专题班中的课程，用户在学完后需要完成作业，获取学分。用户可对课程进行评价，可对其他用户的评价进行点赞。1.1.6学习简报用户可实时在手机端查看个人学习简报，了解学习经历，掌握学习进度。1.2管理端1.2.1信息管理信息管理主要实现通知公告、最新动态信息的维护。1.2.2课程管理课程管理主要实现课程信息的录入，每个课程可有多个章节，每个章节可有多个视频、文档和讨论主题，课程可供随意学，也可供学习计划、专题班调用。1.2.3课程评价课程评价主要展示课程的用户评价情况，管理员可对课程进行精华、淘汰和恢复操作。1.2.4统计分析统计分析包括用户分析、组织分析和课程分析，通过分布图、趋势图和排名情况对在线学习平台的各项数据进行归纳总结。其中用户分析包括用户分布、学习时间、学分学时、用户趋势，组织分析包括人均学时学分，课程分析包括课程分布、被学习课程数趋势、课程排名。2.微课微课提供多类别微视频课程，无门槛，无要求，不考核，让教职工和学员可以利用“碎片化”的时间随时随地学习，使培训更加高效率、专业化，是全员培训、随时学习的有效工具。2.1所有课程支持微课视频的观看学习。微课列表以图文展示，第一条默认为最近一次播放的视频，支持断点续播。播放时同时展示同类别下其他的微课，点击可切换播放，课程附件支持预览与下载。2.2类别设置支持对微课类别的维护，最多3级，可设置可新建人、可修改人、可删除人、可查看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7</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移动应用系统</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移动应用系统与微信深度整合，提供微信服务号版本。在微信强大的即时通讯等功能的基础上，还为教职工和学员提供党校全业务场景的移动服务，实现真正的掌上党校。系统包括教工端、学员端，涵盖智慧教务、协同办公、后勤管理、学前事务、教学事务、个人事务、智能语音等应用。需对系统功能模块进行详细描述并画出界面原型：可查询教学计划、信息查询、教学测评打分、意见建议、测评、查询场所、资产信息及文件审批等。1.移动门户1.1教职工门户支持移动门户灵活配置，教职工登录后可在门户快速查看与自己相关的数据，快速进入自己关注的应用。包括常用应用、流程、考勤、班级概况、信息、习近平金句、党史上的今天等。1.2学员门户支持移动门户灵活配置。学员第一次进入系统默认展示纪律承诺书，可手写签名。多次参训学员可切换查看历史班级数据。包括当前班级、常用应用、课表、教学基地、帖子、习近平金句、党史上的今天等。2.应用中心2.1教职工应用智慧教务（班次信息、学员信息、座位表、住宿表、报名审核、报到信息、材料回复、外出报备、活动风采、申报信息、教学通知、课表查询、教学计划、教学资料、选修课、作业查阅、请假审批、考勤查看、现场考勤、测评状况、投票、不记名问卷）、协同办公（信息中心、工作流程、公文管理、邮箱、通讯录、讨论社区、网盘、日程、汇报、立项评审、结项评审、月度小结、便签、倒数日、智能报表）、后勤管理（场所视图、房态图、采购/领用申请、在线报修、问卷调查）。2.1.1智慧教务2.1.1.1班次信息支持班级信息的查看，包括班级类别、培训类型、组织员、培训时间、报名二维码等。支持切换班级，范围含当前班级、未开始班级、历史班级，切换对所有应用都生效。2.1.1.2学员信息支持学员信息的查看，包括照片、姓名、班级职务、单位及职务、优秀学员、培训记录等。2.1.1.3座位表支持班级座位视图的展示，包括场所布局和学员排座情况，可拖动查看。2.1.1.4住宿表支持班级住宿表的查看，可按姓名、楼宇、房间号搜索。2.1.1.5报名审核支持对学员报名信息的审核，可查看待审核、通过、不通过学员，可为待审核学员直接修改班级。2.1.1.6报到信息支持已报到和未报到学员的统计查看。2.1.1.7材料管理支持对学员“带来”、“留下”提交情况的统计，可查看提交详情并评论。2.1.1.8外出报备支持学员外出情况的查看，包括报备时间、事由及地点、外出时间等。2.1.1.9活动风采可上传、查看活动风采，支持图片、mp3、mp4格式。2.1.1.10申报信息支持学员每日报告、来校行程、兴趣调查、健康申报的查看。2.1.1.11教学通知支持教学通知的查看和新增，可设置发布范围。2.1.1.12课表查询支持班级课表和综合课表的查看，按周展示课表，可切换上下周。2.1.1.13教学计划支持教学计划的在线预览。2.1.1.14教学资料支持本班资料和全校资料的查看，可按分类查询。2.1.1.15选修课支持学员两次选课情况的查看。2.1.1.16作业管理支持学员作业提交情况和批阅情况的查看。2.1.1.17请假管理支持对学员请假申请的查看和审批。2.1.1.18上课考勤支持学员上课考勤情况的查看，包括正常、缺勤、迟到。2.1.1.19现场考勤支持对现场定位考勤的发起，可设置考勤地点、打卡范围、考勤人员等，可查看考勤结果。2.1.1.20测评状况支持对课程测评状况和测评结果的查看。2.1.1.21投票支持投票的发起，可设置题目、选项、投票范围；支持投票结果的查看，包括各选项选择占比、票数、投票人等。2.1.1.22不记名问卷支持问卷二维码和结果的查看，其中等级制展示各等级占比，分数制展示平均分，分数+等级制展示各等级占比和平均分。2.1.2协同办公2.1.2.1信息中心支持信息的查看与发布，可对信息进行评论，可查看我的相关信息，包括我的发布、我的评论、我的收藏、我的推荐。信息支持语音播报。2.1.2.2工作流程支持流程的发起和处理，可查看我发起的、待处理的、已处理的流程。2.1.2.3公文管理支持对待办、待阅公文的处理，可查看我的已办、已阅公文和分发给我的公文，包括拟稿封面、正文、附件、流程等。支持对公文库的查看。2.1.2.4邮箱支持对收件箱和发件箱的查看，可写邮件发送。2.1.2.5通讯录支持内部联系人、公共联系人、公共联系人的查看，可按姓氏首字母搜索。2.1.2.6讨论社区支持帖子的查看与发布，可对帖子进行回复，可查看我的相关帖子，包括我的发布、我的收藏、我的回复。2.1.2.7网盘支持我的文件和组织共享文件的查看，可进行文件的新增、分享、重命名等操作。2.1.2.8日程支持日程的查看和新增，可设置重复日程，支持按周和按月查看。2.1.2.9汇报包括我发出的和我收到的汇报，支持查看和新增。2.1.2.10立项评审支持科研专家对科研课题的立项评审，可查看待评审、已评审课题，可针对课题进行打分，并填写立项意见。2.1.2.11结项评审支持科研专家对科研课题的结项评审，可查看待评审、已评审课题，可针对课题进行打分，并填写结项意见。2.1.2.12月度小结支持教工对自己每月月度小结的查看，包括系统登录操作次数、授课数量、信息帖子数量、流程数量、邮件数量、考勤情况等信息。2.1.2.13便签支持便签的查看和新增，可设置提醒。2.1.2.14倒数日支持倒数日的查看和新增，可设置提醒。2.1.2.15智能报表支持智能报表的自动生成，可配置推送时间和推送范围，内容包括当前数据、今日课表、上周数据和数据看板。2.1.3后勤管理2.1.3.1场所管理可查看场所占用情况，支持场所申请，可查看申请记录。2.1.3.2住宿管理支持房态图的查看，可按校区、状态、日期等搜索，可查看房间详情，包括基本信息、预订信息和入住信息。2.1.3.3物品管理支持采购入库和领用出库的申请，可查看申请记录，可进行流程审批。2.1.3.4在线报修支持报修的提交和处理，可查看报修详情，包括报修信息和处理信息。2.1.3.5问卷调查支持所参与问卷的查看和答卷。2.2学员应用学前事务（定位报到、材料提交、信息申报、学员缴费、学员须知、服务指南、地图导航）；教学事务（教学通知、教学资料、教学计划、我的课表、选修课、我的作业、学员荐书、优秀学员、投票、不记名问卷）；个人事务（学员录、请假申请、外出报备、退学申请、上课考勤、现场考勤、活动风采、座位表、学籍表、党性考核、培训记录、在线报修）；教学评估（专题评估、综合评估）。2.2.1学前事务2.2.1.1定位报到支持获取用户当前位置进行报到，记录报到时间。2.2.1.2材料提交支持“带来”、“留下”的提交，可查看老师的回复。2.2.1.3信息申报支持每日报告、来校行程、兴趣调查、健康申报的提交，可上传健康码、行程码、核酸报告。2.2.1.4学费缴纳支持缴费凭证的上传，可查看审核结果。2.2.1.5学员须知支持学员须知的查看。2.2.1.6服务指南支持服务指南的查看。2.2.1.7地图导航支持不同校区不同地点的地图导航。2.2.2教学事务2.2.2.1教学通知支持教学通知的查看。2.2.2.2教学资料支持本班资料和全校资料的查看，可按分类查询，支持在线预览。2.2.2.3教学计划支持教学计划的在线预览。2.2.2.4我的课表展示班级本周课表，可切换上下周，活动、选修课、合班课单独标记。2.2.2.5选修课可进行一次、二次选课，可查看选课结果。2.2.2.6我的作业支持作业的查看和提交，可查看作业成绩和评语。2.2.2.7学员荐书支持教材的推荐，包括教材名称、作者、出版社。2.2.2.8优秀学员可查看优秀学员候选人并进行投票或评分，支持评选结果的查看。2.2.2.9投票支持所参与投票的查看和投票。2.2.3个人事务2.2.3.1学员录支持班级学员录的查看，学员分组展示，手机号可直接点击拨打。2.2.3.2请假申请支持请假申请的提交，可查看审批结果。2.2.3.3外出报备支持外出报备的提交。2.2.3.4退学申请支持退学申请的提交，填写请假时间、请假事由，提交请假材料，可查看审批结果。2.2.3.5上课考勤支持上课打卡，可获取打卡地点和打卡时间，判断打卡状态。2.2.3.6现场考勤支持现场考勤的参与，进入考勤区域自动签到。2.2.3.7活动风采可上传、查看活动风采，支持图片、mp3、mp4格式。2.2.3.8座位表可查看班级座位视图，当前学员座位高亮显示。2.2.3.9学籍表支持学籍表的查看，可填写个人小结。2.2.3.10党性考核支持学员党性自评，可查看评议小组评分。2.2.3.11培训记录支持学员培训经历的查看。2.2.3.12报修支持报修的提交，可查看报修详情，包括报修信息和处理信息。2.2.4教学评估学员可进行课程测评和综合测评，其中课程测评可选择政治纪律是否合格，可对测评项打分或选择等级，可填写意见建议；综合测评可对管理员配置的后勤测评、培训满意度测评等进行评价。3.个人中心3.1教职工个人中心教职工可修改密码，可选择移动端主题色。包括个人信息、教学工作量、流程数量、评估得分等。3.2学员个人中心学员可修改密码，可选择移动端主题色。包括个人信息、住宿信息、发帖信息、报修信息等。4.智能语音通过语音识别技术自动解析语义，以机器人问答的形式与用户进行实时交互，精确定位教职工/学员所提的问题，反馈相应的答复，并引导教职工/学员做出相应操作，为教职工/学员提供个性便捷的服务。5.智慧简报将系统运行中产生的当前数据、今日课表、上周数据和数据看板以消息通知的方式定期推送到移动端，让校领导及时掌握党校（行政学院）情况。</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8</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统一支撑平台</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统一门户引擎系统提供所见即所得的多场景门户引擎，可以为不同子系统、不同业务、不同用户群配置个性化门户。系统内含20多个业务组件和10多个拓展组件，每个组件均可进行内部样式、展示数据等细节设置。支持拖拽方式进行视图布局，支持系统业务数据整合、业务应用生成、API开放接口整合、第三方应用整合、自定义HTML等。2.统一报表引擎系统提供可视化报表设计器和可视化数据设计器，辅助用户快速搭建业务报表和可视化图表。报表设计器采用类EXCEL风格，具备拖拽、点选、快速响应、即时生效、灵活调整等特点，实现交叉、分组、分页、分栏、多表头等复杂报表。支持API和SQL形式的数据源，实现数据实时刷新。数据设计器预设多个组件，采用拖拽式自由布局，全图形化编辑，快速无代码设计。支持多种数据来源配置，数据实时同步更新。同时提供大屏设计器，基于WEB页面渲染，可灵活投屏多种屏幕终端。3.统一身份认证实现组织、班级、教工、学员的管理维护。可对用户进行启用/禁用，重置密码，设置权限等操作，创建用户后可使用账号/学号、手机号登录系统，并能直接访问有权限的子系统，实现一套密码，一次登录。4.统一权限管理系统支持用户、角色、权限和数据范围的四维权限模型，可以灵活满足党校（行政学院）各岗位交叉而非单一的权限要求。权限细化到每个菜单每个按钮，可以对每个应用功能进行权限细分。一个用户可以对应多个角色，满足一人多岗。5.统一安全管理实现对平台的白名单、日志管理、密码管理以及三员管理等内容。白名单：白名单用来设置能够访问系统的IP段。开启白名单后，系统通过识别客户端IP来过滤用户请求，拦截白名单以外IP的访问。日志管理：日志管理用来记录用户在系统内的操作记录，包含登录、退出、新增数据、修改数据和删除数据，同时进行每个模块使用率和各角色的操作占比统计，最终目标是使用数据获得业务洞察力，并帮助进行故障排除，确保应用程序的合规性和安全性。密码管理：支持密码设定规则、密码更新机制和密码登录保护原则的制定。三员管理：支持系统管理员、安全管理员和安全审计员三员管理，减少安全威胁。系统管理员从事整个系统的管理工作，主要负责系统的维护、权限管理等职责。安全管理员是对系统中的安全部分进行管理，也是系统中非常重要的一环。安全审计员是对整个系统的安全进行检测、评估、及时发现问题并且解决问题的人员。6.统一接口管理提供开放、标准的智慧党校系统接口和应用，用于各种第三方平台的对接调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统一配置中心</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子系统子系统支持灵活搭建，可根据不同业务需求将不同菜单整合为不同的子系统，并可配置菜单的展现形式。子系统通过组件统一在门户上提供入口，用户根据权限进入。2.内置菜单内置菜单包括系统初始化时的固有菜单、业务生成器的智能模块自动生成的菜单和门户菜单，可配置路由地址、前端组件等属性，用来进行子系统的搭建。系统将内置菜单的权限动作进行了列表化处理，可以对每个动作进行维护。3.业务生成器3.1数据表数据表是业务生成器的核心，用户可新增、修改、删除、复制数据表，并可进行表字段的设置，包括名称、类型、表单显示、取值等，通过设置可定义表字段在智能模块或流程中查询和显示的效果。表字段在前台页面上具有丰富的表现形式，如单选、多选、下拉框、附件、审批意见、日期、日期时间、自动编号、HTML编辑器、WORD控件、EXCEL控件等，计算字段可设置计算规则，可定义表之间的关联关系。3.2表单通过自定义业务表单可设计表单的显示模板和打印模板。表单设计工具支持所选数据表字段的可视化拖拽，可同时进行主表子表的布局，支持JS增强，CSS增强以实现更复杂的业务场景。支持字段必填和取值的联动设置，方便快捷。3.3智能模块依托系统底层组织、用户及权限模型，结合自定义数据表、自定义表单及业务生成模型，采用低代码的方式，可快速生成可视化应用，灵活构建业务功能模块。智能模块的展示内容包括自定义数据表、数据集、地址链接三种，可关联流程，展示方式可选内嵌和弹出，支持对展示数据的筛选，可进行表单字段的控制、列表字段的控制。自定义数据表列表的导出可包含子表数据。4.智能语音引擎智能语音应用在手机端，PC端主要实现语料库的个性化定制。支持基于关键词匹配的问题回复机制；支持文字和链接地址两种回复方式；支持常见问题的设置与互联网相关问题的设置。5.智能业务助手智能业务助手与产品各种应用融为一体，猜你要做什么，猜下一步会怎么样，化整为零、无处不在的大数据应用，是领导的贴心秘书、老师的助教、学员的客服助手。支持根据业务实际情况配置系统操作提示，提升用户交互体验。主要场景包括分析某个流程的平均办理时间，猜办结需要几天；分析未来一个月的住宿预订情况，判断房间是否紧张；提醒用户创建班级后可做报名审核、排课、排房、发布通知等操作；提醒学员未提交材料、未完善信息等。6.平台设置6.1PC端设置可对系统的重要参数及安全性进行灵活配置，包括诸多基础功能的开关以及平台信息、版权信息、登录页、网盘容量、上传限制等设置。6.2移动端设置可对移动端的重要参数进行灵活配置，包括首页展示内容、应用中心菜单分组、应用图标样式等，可通过智能模块和信息栏目直接配置移动端应用。支持平台组织用户信息向钉钉、企业微信的同步。</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系统集成平台</w:t>
            </w:r>
          </w:p>
        </w:tc>
        <w:tc>
          <w:tcPr>
            <w:tcW w:w="8975"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与一卡通系统整合智慧党校一体化平台中有组织架构、教职工信息、班次和学员信息。一卡通系统主要实现考勤、消费、门禁的功能。一卡通系统生成考勤数据、消费数据和门禁数据。在一卡通系统提供接口的情况下，与一卡通系统对接，相互调用数据，实现一卡通系统和智慧党校一体化平台数据的互联互通。智慧党校一体化平台将组织架构、教职工信息、班次和学员信息通过接口同步给一卡通系统中。一卡通系统制卡后将卡号通过接口同步到智慧党校一体化平台，与人员绑定。再将考勤、消费、门禁数据通过接口同步到智慧党校一体化平台，在智慧党校一体化平台中查询相关数据。通过整合，免去管理员的重复维护工作，使教职工和学员以智慧党校一体化平台为唯一入口查询一卡通系统的相关数据。2.与直录播系统整合直录播系统对课堂行为进行直播或录播，采集到大量的课程音视频资源。这些资源通过网络实现共享，为未来学员的线上学习提高了宝贵的第一手资料。在直录播系统提供接口的情况下，智慧党校一体化平台可以与直录播系统进行单点登录的整合，在智慧党校一体化平台中直接进入直录播系统，不需要再次输入用户名和密码。进入直录播系统后学习各类课程，使用点播、直播、互动和评论等系统原生功能。在直录播系统提供接口的情况下，智慧党校一体化平台的微课、网络学院模块可以调用直录播系统的课程资源，调用资源后，仍然按微课和网络学院的业务逻辑实现线上学习。3.与短信网关整合通过短信平台网关接口，智慧党校一体化平台把各模块中所生成的短信信息提交到短信平台中发出。短信信息包括流程审批等事务提醒、自定义手动编辑短信等。整合后，对于普通用户是无感的，只需在智慧党校一体化平台中操作，短信即可发出，不需进入短信平台操作。4.与人行道闸系统整合在人行道闸系统提供接口的情况下，智慧党校一体化平台将班次及其开始截止时间、学员信息及其头像同步到人行道闸系统，实现在开班期间内，学员在大门人行道闸被自动识别并走入校园。5.与停车系统整合在停车系统（车辆道闸系统）提供接口的情况下，智慧党校一体化平台将班次及其开始截止时间、学员信息及其车牌号同步到停车系统，实现在开班期间内，学员开车在大门车辆道闸被自动识别并开车进入校园。6.与合肥市委党校系统集成智慧党校一体化平台与中共合肥市委党校“一纲三库”即培训大纲、教学案例库、师资库、教学专题库资源进行无缝整合，与中共合肥市委党校进行数据对接，实现在中共肥东县委党校智慧党校一体化平台能实时查看中共合肥市委党校的培训大纲、教学案例库、师资库、教学专题库数据，从而实现与合肥市委党校进行数据的共建共享。</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11</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网课设备（50寸电视机）</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屏幕比例：16:9屏幕分辨率：超高清4K屏幕尺寸：50英寸</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175</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12</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网课设备（学员电脑）</w:t>
            </w: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国产操作系统，配置不低于：六核十二线程（主频≥2.9GHz），8GB+256GB存储+21.5显示器。</w:t>
            </w: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175</w:t>
            </w: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p>
        </w:tc>
        <w:tc>
          <w:tcPr>
            <w:tcW w:w="1261"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p>
        </w:tc>
        <w:tc>
          <w:tcPr>
            <w:tcW w:w="8975" w:type="dxa"/>
            <w:tcBorders>
              <w:top w:val="nil"/>
              <w:left w:val="nil"/>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lang w:bidi="ar"/>
              </w:rPr>
            </w:pPr>
          </w:p>
        </w:tc>
        <w:tc>
          <w:tcPr>
            <w:tcW w:w="59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p>
        </w:tc>
        <w:tc>
          <w:tcPr>
            <w:tcW w:w="558" w:type="dxa"/>
            <w:tcBorders>
              <w:top w:val="nil"/>
              <w:left w:val="nil"/>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p>
        </w:tc>
      </w:tr>
      <w:tr>
        <w:tblPrEx>
          <w:shd w:val="clear" w:color="auto" w:fill="FFFFFF"/>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r>
              <w:rPr>
                <w:rFonts w:hint="eastAsia" w:ascii="仿宋" w:hAnsi="仿宋" w:cs="仿宋"/>
                <w:b/>
                <w:bCs/>
                <w:color w:val="000000"/>
                <w:sz w:val="16"/>
                <w:szCs w:val="16"/>
              </w:rPr>
              <w:t>十二、停车场管理系统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b/>
                <w:bCs/>
                <w:color w:val="000000"/>
                <w:sz w:val="16"/>
                <w:szCs w:val="16"/>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b/>
                <w:bCs/>
                <w:color w:val="000000"/>
                <w:sz w:val="16"/>
                <w:szCs w:val="16"/>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出入口控制管理系统</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1）B/SC/S先进软件架构，后台服务平台B/S架构,网页登录，方便管理；前端车场管理客户端C/S架构，保障设备控制的实时性；2）支持多出入口管理，支持嵌套停车场；3）可根据管理需要，按出入场权限、计费规则等灵活定义不同的车辆类型及收费规则；4）快速识别判断车牌，支持军、警、港、澳等特种车牌识别管理；5）支持无牌车、破损车牌进出管理；6）支持无人值守停车场管理；7）支持自定义优惠券，优惠方式包括：减免金额、减免时间、全免、折扣等；8）支持出口收费、中央收费、微信支付、支付宝支付、自助缴费、商家代缴等多种支付方式；9）支持各多种数据查询，如进出、收费、异常进出、手动开闸、操作日志等记录；</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数字道闸</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产品特点：1.道闸24V直流变频电机，免除传统道闸限位板，产品全程数字化控制，避免机械限位调节的繁琐流程;起落杆速度1.5-6秒可调节。2.独特的防砸功能(遇阻反弹)，完全通过数字化监测，砸杆力度\和反应时间可自由调节，整个过程无需增加任何辅助设备（压力电波，红外感应等）。3.杆长选择：最大直杆长度6米，栅栏杆4.5米。折杆5米，八角杆。以及防雷接地等相关辅材。规格：1、输出功率:120W2、电流:6A3、绝缘等级:F级4、运行时间:1.5S~6S5、运行寿命:≥500万次6、电压:DC24V</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9</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套</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车辆检测器</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高灵敏度，不可以判断车辆进出方向,只可接一组线圈.工作电源AC22OV功率2.5W频率范围20KHZ~170KHZ灵敏度九级可调响应时间100ms环境补偿自动漂移补偿线圈电感200－400微亨（包含连接线）存储条件-40℃~85℃相对湿度&lt;90%外形尺寸112*74*38mm(含安装座)工作条件-20℃~65℃相对湿度&lt;90%使用电线BVR2.0导线，总电阻（含线圈与引线）〈9Ω包含防雷接地等相关辅材。</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高清车牌识别一体机</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产品特点1、智能车牌识别控制终端是集车牌识别、LED信息显示、语音提示、LED自动补光等功能为一体的停车场出入口智能控制设备；2、产品使用镀锌钢板加工成型，标准防锈表面处理工艺：电镀、喷粉烤漆。3、300万高清成像效果，提供最大2304*1296分辨率的视频和图片输出，支持识别普通蓝牌、新能源车牌、单双层黄牌（含泥头车）、单双层军/营牌使领馆、港澳入出大陆车牌、应急车牌等多种车牌的牌号、颜色、类型等，典型场景中主流车牌识别率确达99%。4、四行四字高亮LED全彩显示屏，支持二维码显示，显示信息可自定义，可定制播报语音；内嵌式高亮白光补光灯。5、包含防雷接地等相关辅材。规格工作电压：外部供电AC220V工作温度：-20℃~65℃外壳防护等级满足IP54等级；车牌识别率：1）实车动态识别：白天、夜间车牌识别率均应不小于99%；2）图库识别：车牌识别率应不小于98%)；系统响应时间：从车辆身份信息确认放行到挡车器开启的响应时间小于1秒；系统管理软件，事件信息保存时间≥1年，出入口和场区内的图像保存时间≥30天；数据推送及接口检查，输出协议及数据格式应符合DB31/T294-2018附录A智能集成数据基本字典表、智能集成服务设备-对接服务接口的相关要求。系统应即时推送所有进出人员的出入部位、出入时间、牌照/车型、数据/图片（含全景）、车辆（人员）类型、关联对象等基本信息至智能集成数据服务设备，并提供智能安防集成应用系统服务；通过智能集成数据服务设备应能正确捕获本设备推送数据，并正确破析出相关基本信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台</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车牌识别加密狗</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rPr>
            </w:pPr>
            <w:r>
              <w:rPr>
                <w:rFonts w:hint="eastAsia" w:ascii="仿宋" w:hAnsi="仿宋" w:cs="仿宋"/>
                <w:color w:val="000000"/>
                <w:sz w:val="16"/>
                <w:szCs w:val="16"/>
                <w:lang w:bidi="ar"/>
              </w:rPr>
              <w:t>停车场管理软件专用，含一体机硬识别加密功能，保护数具安全.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rPr>
            </w:pPr>
            <w:r>
              <w:rPr>
                <w:rFonts w:hint="eastAsia" w:ascii="仿宋" w:hAnsi="仿宋" w:cs="仿宋"/>
                <w:color w:val="000000"/>
                <w:sz w:val="16"/>
                <w:szCs w:val="16"/>
                <w:lang w:bidi="ar"/>
              </w:rPr>
              <w:t>个</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lang w:bidi="ar"/>
              </w:rPr>
            </w:pP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lang w:bidi="ar"/>
              </w:rPr>
            </w:pPr>
          </w:p>
        </w:tc>
      </w:tr>
      <w:tr>
        <w:tblPrEx>
          <w:shd w:val="clear" w:color="auto" w:fill="FFFFFF"/>
          <w:tblCellMar>
            <w:top w:w="0" w:type="dxa"/>
            <w:left w:w="108" w:type="dxa"/>
            <w:bottom w:w="0" w:type="dxa"/>
            <w:right w:w="108" w:type="dxa"/>
          </w:tblCellMar>
        </w:tblPrEx>
        <w:trPr>
          <w:trHeight w:val="23"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center"/>
              <w:textAlignment w:val="center"/>
              <w:rPr>
                <w:rFonts w:hint="eastAsia" w:ascii="仿宋" w:hAnsi="仿宋" w:cs="仿宋"/>
                <w:color w:val="000000"/>
                <w:sz w:val="16"/>
                <w:szCs w:val="16"/>
                <w:lang w:bidi="ar"/>
              </w:rPr>
            </w:pPr>
            <w:r>
              <w:rPr>
                <w:rFonts w:hint="eastAsia" w:ascii="仿宋" w:hAnsi="仿宋" w:cs="仿宋"/>
                <w:b/>
                <w:bCs/>
                <w:color w:val="000000"/>
                <w:sz w:val="16"/>
                <w:szCs w:val="16"/>
              </w:rPr>
              <w:t>十三、其他</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lang w:bidi="ar"/>
              </w:rPr>
            </w:pP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lang w:bidi="ar"/>
              </w:rPr>
            </w:pPr>
            <w:r>
              <w:rPr>
                <w:rFonts w:hint="eastAsia" w:ascii="仿宋" w:hAnsi="仿宋" w:cs="仿宋"/>
                <w:color w:val="000000"/>
                <w:sz w:val="16"/>
                <w:szCs w:val="16"/>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lang w:bidi="ar"/>
              </w:rPr>
            </w:pPr>
            <w:r>
              <w:rPr>
                <w:rFonts w:hint="eastAsia" w:ascii="仿宋" w:hAnsi="仿宋" w:cs="仿宋"/>
                <w:color w:val="000000"/>
                <w:sz w:val="16"/>
                <w:szCs w:val="16"/>
                <w:lang w:bidi="ar"/>
              </w:rPr>
              <w:t>第三方检测</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lang w:bidi="ar"/>
              </w:rPr>
            </w:pPr>
            <w:r>
              <w:rPr>
                <w:rFonts w:hint="eastAsia" w:ascii="仿宋" w:hAnsi="仿宋" w:cs="仿宋"/>
                <w:color w:val="000000"/>
                <w:sz w:val="16"/>
                <w:szCs w:val="16"/>
                <w:lang w:bidi="ar"/>
              </w:rPr>
              <w:t>安防检测等等其他各类本项目智能化工程验收所需的第三方检测及测评</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lang w:bidi="ar"/>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lang w:bidi="ar"/>
              </w:rPr>
            </w:pPr>
            <w:r>
              <w:rPr>
                <w:rFonts w:hint="eastAsia" w:ascii="仿宋" w:hAnsi="仿宋" w:cs="仿宋"/>
                <w:color w:val="000000"/>
                <w:sz w:val="16"/>
                <w:szCs w:val="16"/>
                <w:lang w:bidi="ar"/>
              </w:rPr>
              <w:t>类</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lang w:bidi="ar"/>
              </w:rPr>
            </w:pPr>
            <w:r>
              <w:rPr>
                <w:rFonts w:hint="eastAsia" w:ascii="仿宋" w:hAnsi="仿宋" w:cs="仿宋"/>
                <w:color w:val="000000"/>
                <w:sz w:val="16"/>
                <w:szCs w:val="16"/>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left"/>
              <w:textAlignment w:val="center"/>
              <w:rPr>
                <w:rFonts w:hint="eastAsia" w:ascii="仿宋" w:hAnsi="仿宋" w:cs="仿宋"/>
                <w:color w:val="000000"/>
                <w:sz w:val="16"/>
                <w:szCs w:val="16"/>
                <w:lang w:bidi="ar"/>
              </w:rPr>
            </w:pPr>
            <w:r>
              <w:rPr>
                <w:rFonts w:hint="eastAsia" w:ascii="仿宋" w:hAnsi="仿宋" w:cs="仿宋"/>
                <w:color w:val="000000"/>
                <w:sz w:val="16"/>
                <w:szCs w:val="16"/>
                <w:lang w:bidi="ar"/>
              </w:rPr>
              <w:t>等保二级测评</w:t>
            </w: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lang w:bidi="ar"/>
              </w:rPr>
            </w:pPr>
            <w:r>
              <w:rPr>
                <w:rFonts w:hint="eastAsia" w:ascii="仿宋" w:hAnsi="仿宋" w:cs="仿宋"/>
                <w:color w:val="000000"/>
                <w:sz w:val="16"/>
                <w:szCs w:val="16"/>
                <w:lang w:bidi="ar"/>
              </w:rPr>
              <w:t>系统等级保护二级测评</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lang w:bidi="ar"/>
              </w:rPr>
            </w:pPr>
            <w:r>
              <w:rPr>
                <w:rFonts w:hint="eastAsia" w:ascii="仿宋" w:hAnsi="仿宋" w:cs="仿宋"/>
                <w:color w:val="000000"/>
                <w:sz w:val="16"/>
                <w:szCs w:val="16"/>
                <w:lang w:bidi="ar"/>
              </w:rPr>
              <w:t>1</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lang w:bidi="ar"/>
              </w:rPr>
            </w:pPr>
            <w:r>
              <w:rPr>
                <w:rFonts w:hint="eastAsia" w:ascii="仿宋" w:hAnsi="仿宋" w:cs="仿宋"/>
                <w:color w:val="000000"/>
                <w:sz w:val="16"/>
                <w:szCs w:val="16"/>
                <w:lang w:bidi="ar"/>
              </w:rPr>
              <w:t>项</w:t>
            </w:r>
          </w:p>
        </w:tc>
      </w:tr>
      <w:tr>
        <w:tblPrEx>
          <w:shd w:val="clear" w:color="auto" w:fill="FFFFFF"/>
          <w:tblCellMar>
            <w:top w:w="0" w:type="dxa"/>
            <w:left w:w="108" w:type="dxa"/>
            <w:bottom w:w="0" w:type="dxa"/>
            <w:right w:w="108" w:type="dxa"/>
          </w:tblCellMar>
        </w:tblPrEx>
        <w:trPr>
          <w:trHeight w:val="23"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ascii="仿宋" w:hAnsi="仿宋" w:cs="仿宋"/>
                <w:bCs/>
                <w:color w:val="000000"/>
                <w:sz w:val="18"/>
                <w:szCs w:val="18"/>
                <w:lang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80" w:lineRule="exact"/>
              <w:jc w:val="center"/>
              <w:textAlignment w:val="center"/>
              <w:rPr>
                <w:rFonts w:hint="eastAsia" w:ascii="仿宋" w:hAnsi="仿宋" w:cs="仿宋"/>
                <w:bCs/>
                <w:color w:val="000000"/>
                <w:sz w:val="18"/>
                <w:szCs w:val="18"/>
                <w:lang w:bidi="ar"/>
              </w:rPr>
            </w:pPr>
          </w:p>
        </w:tc>
        <w:tc>
          <w:tcPr>
            <w:tcW w:w="8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36" w:lineRule="exact"/>
              <w:jc w:val="left"/>
              <w:textAlignment w:val="center"/>
              <w:rPr>
                <w:rFonts w:hint="eastAsia" w:ascii="仿宋" w:hAnsi="仿宋" w:cs="仿宋"/>
                <w:color w:val="000000"/>
                <w:sz w:val="16"/>
                <w:szCs w:val="16"/>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lang w:bidi="ar"/>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36" w:lineRule="exact"/>
              <w:jc w:val="center"/>
              <w:textAlignment w:val="center"/>
              <w:rPr>
                <w:rFonts w:hint="eastAsia" w:ascii="仿宋" w:hAnsi="仿宋" w:cs="仿宋"/>
                <w:color w:val="000000"/>
                <w:sz w:val="16"/>
                <w:szCs w:val="16"/>
                <w:lang w:bidi="ar"/>
              </w:rPr>
            </w:pPr>
          </w:p>
        </w:tc>
      </w:tr>
    </w:tbl>
    <w:p/>
    <w:p/>
    <w:p>
      <w:pPr>
        <w:pStyle w:val="4"/>
        <w:spacing w:before="0" w:after="0" w:line="360" w:lineRule="auto"/>
        <w:ind w:firstLine="560"/>
        <w:rPr>
          <w:rFonts w:ascii="黑体" w:hAnsi="黑体" w:eastAsia="黑体" w:cs="黑体"/>
          <w:b w:val="0"/>
          <w:sz w:val="28"/>
          <w:szCs w:val="28"/>
        </w:rPr>
      </w:pPr>
      <w:bookmarkStart w:id="1056" w:name="_Toc1314"/>
      <w:r>
        <w:rPr>
          <w:rFonts w:hint="eastAsia" w:ascii="黑体" w:hAnsi="黑体" w:eastAsia="黑体" w:cs="黑体"/>
          <w:b w:val="0"/>
          <w:sz w:val="28"/>
          <w:szCs w:val="28"/>
          <w:lang w:val="en-US" w:eastAsia="zh-CN"/>
        </w:rPr>
        <w:t>三</w:t>
      </w:r>
      <w:r>
        <w:rPr>
          <w:rFonts w:hint="eastAsia" w:ascii="黑体" w:hAnsi="黑体" w:eastAsia="黑体" w:cs="黑体"/>
          <w:b w:val="0"/>
          <w:sz w:val="28"/>
          <w:szCs w:val="28"/>
        </w:rPr>
        <w:t>、技术性能指标</w:t>
      </w:r>
      <w:bookmarkEnd w:id="1052"/>
      <w:bookmarkEnd w:id="1053"/>
      <w:bookmarkEnd w:id="1054"/>
      <w:bookmarkEnd w:id="1055"/>
      <w:bookmarkEnd w:id="1056"/>
    </w:p>
    <w:p>
      <w:pPr>
        <w:spacing w:line="360" w:lineRule="auto"/>
        <w:ind w:firstLine="410" w:firstLineChars="171"/>
        <w:outlineLvl w:val="2"/>
        <w:rPr>
          <w:rFonts w:hAnsi="宋体" w:cs="宋体"/>
        </w:rPr>
      </w:pPr>
      <w:r>
        <w:rPr>
          <w:rFonts w:hint="eastAsia" w:hAnsi="宋体" w:cs="宋体"/>
        </w:rPr>
        <w:t>（一）说明</w:t>
      </w:r>
    </w:p>
    <w:p>
      <w:pPr>
        <w:spacing w:line="360" w:lineRule="auto"/>
        <w:ind w:firstLine="410" w:firstLineChars="171"/>
        <w:rPr>
          <w:rFonts w:hAnsi="宋体" w:cs="宋体"/>
        </w:rPr>
      </w:pPr>
      <w:r>
        <w:rPr>
          <w:rFonts w:hint="eastAsia" w:hAnsi="宋体" w:cs="宋体"/>
        </w:rPr>
        <w:t>1. 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360" w:lineRule="auto"/>
        <w:ind w:firstLine="410" w:firstLineChars="171"/>
        <w:rPr>
          <w:rFonts w:hAnsi="宋体" w:cs="宋体"/>
        </w:rPr>
      </w:pPr>
      <w:r>
        <w:rPr>
          <w:rFonts w:hint="eastAsia" w:hAnsi="宋体" w:cs="宋体"/>
        </w:rPr>
        <w:t>2. 为鼓励不同品牌的充分竞争，如某设备的某技术参数或要求属于个别品牌专有，则该技术参数及要求不具有限制性，投标人可对该参数或要求的响应情况进行说明，且该说明须经评标委员会审核认可；</w:t>
      </w:r>
    </w:p>
    <w:p>
      <w:pPr>
        <w:spacing w:line="360" w:lineRule="auto"/>
        <w:ind w:firstLine="410" w:firstLineChars="171"/>
        <w:rPr>
          <w:rFonts w:hAnsi="宋体" w:cs="宋体"/>
        </w:rPr>
      </w:pPr>
      <w:r>
        <w:rPr>
          <w:rFonts w:hint="eastAsia" w:hAnsi="宋体" w:cs="宋体"/>
        </w:rPr>
        <w:t>3. 如供货要求中提供了推荐品牌（或型号）、参考品牌（或型号）等，为有助于投标人选择投标产品，上述品牌（或型号）仅供参考，并无限制性。投标人可以选择性能不低于推荐（或参考）的品牌（或型号）的其他品牌产品，但投标时应当提供有关技术证明资料，未提供的可能导致投标无效。</w:t>
      </w:r>
    </w:p>
    <w:p>
      <w:pPr>
        <w:spacing w:line="360" w:lineRule="auto"/>
        <w:ind w:firstLine="410" w:firstLineChars="171"/>
        <w:rPr>
          <w:rFonts w:hAnsi="宋体" w:cs="宋体"/>
        </w:rPr>
      </w:pPr>
      <w:r>
        <w:rPr>
          <w:rFonts w:hint="eastAsia" w:hAnsi="宋体" w:cs="宋体"/>
        </w:rPr>
        <w:t>4. 投标人应自行踏勘本项目实施现场，核对设备安装现场的土建尺寸等可能影响后期安装的全部因素，确保所投设备满足现场实际安装要求。</w:t>
      </w:r>
    </w:p>
    <w:p>
      <w:pPr>
        <w:spacing w:line="360" w:lineRule="auto"/>
        <w:ind w:firstLine="410" w:firstLineChars="171"/>
        <w:rPr>
          <w:rFonts w:hint="eastAsia" w:hAnsi="宋体" w:cs="宋体"/>
        </w:rPr>
      </w:pPr>
      <w:r>
        <w:rPr>
          <w:rFonts w:hint="eastAsia" w:hAnsi="宋体" w:cs="宋体"/>
        </w:rPr>
        <w:t>5. 招标人保留在签订合同之前对本技术规格及要求进行补充和修改的权利，投标人应予以配合。</w:t>
      </w:r>
    </w:p>
    <w:p>
      <w:pPr>
        <w:spacing w:line="360" w:lineRule="auto"/>
        <w:ind w:firstLine="410" w:firstLineChars="171"/>
        <w:rPr>
          <w:color w:val="auto"/>
          <w:szCs w:val="21"/>
          <w:highlight w:val="none"/>
        </w:rPr>
      </w:pPr>
      <w:r>
        <w:rPr>
          <w:rFonts w:hint="eastAsia"/>
          <w:color w:val="auto"/>
          <w:szCs w:val="21"/>
          <w:highlight w:val="none"/>
          <w:lang w:val="en-US" w:eastAsia="zh-CN"/>
        </w:rPr>
        <w:t>6</w:t>
      </w:r>
      <w:r>
        <w:rPr>
          <w:rFonts w:hint="eastAsia"/>
          <w:color w:val="auto"/>
          <w:szCs w:val="21"/>
          <w:highlight w:val="none"/>
        </w:rPr>
        <w:t>.本项目要求的检测报告、检验报告、测试报告为同等含义，提供检测报告或检验报告或测试报告均可。</w:t>
      </w:r>
    </w:p>
    <w:p>
      <w:pPr>
        <w:spacing w:line="360" w:lineRule="auto"/>
        <w:ind w:firstLine="412" w:firstLineChars="171"/>
        <w:rPr>
          <w:b/>
          <w:bCs/>
          <w:color w:val="auto"/>
          <w:szCs w:val="21"/>
          <w:highlight w:val="none"/>
        </w:rPr>
      </w:pPr>
      <w:r>
        <w:rPr>
          <w:rFonts w:hint="eastAsia"/>
          <w:b/>
          <w:bCs/>
          <w:color w:val="auto"/>
          <w:szCs w:val="21"/>
          <w:highlight w:val="none"/>
          <w:lang w:val="en-US" w:eastAsia="zh-CN"/>
        </w:rPr>
        <w:t>7</w:t>
      </w:r>
      <w:r>
        <w:rPr>
          <w:b/>
          <w:bCs/>
          <w:color w:val="auto"/>
          <w:szCs w:val="21"/>
          <w:highlight w:val="none"/>
        </w:rPr>
        <w:t>.</w:t>
      </w:r>
      <w:r>
        <w:rPr>
          <w:rFonts w:hint="eastAsia"/>
          <w:b/>
          <w:bCs/>
          <w:color w:val="auto"/>
          <w:szCs w:val="21"/>
          <w:highlight w:val="none"/>
        </w:rPr>
        <w:t>投标人如中标，须在合同签订后</w:t>
      </w:r>
      <w:r>
        <w:rPr>
          <w:rFonts w:hint="eastAsia"/>
          <w:b/>
          <w:bCs/>
          <w:color w:val="auto"/>
          <w:szCs w:val="21"/>
          <w:highlight w:val="none"/>
          <w:lang w:val="en-US" w:eastAsia="zh-CN"/>
        </w:rPr>
        <w:t>三十</w:t>
      </w:r>
      <w:r>
        <w:rPr>
          <w:rFonts w:hint="eastAsia"/>
          <w:b/>
          <w:bCs/>
          <w:color w:val="auto"/>
          <w:szCs w:val="21"/>
          <w:highlight w:val="none"/>
        </w:rPr>
        <w:t>个工作日内提供与投标文件一致的产品证明材料</w:t>
      </w:r>
      <w:r>
        <w:rPr>
          <w:b/>
          <w:bCs/>
          <w:color w:val="auto"/>
          <w:szCs w:val="21"/>
          <w:highlight w:val="none"/>
        </w:rPr>
        <w:t>并加盖设备制造厂商公章</w:t>
      </w:r>
      <w:r>
        <w:rPr>
          <w:rFonts w:hint="eastAsia"/>
          <w:b/>
          <w:bCs/>
          <w:color w:val="auto"/>
          <w:szCs w:val="21"/>
          <w:highlight w:val="none"/>
        </w:rPr>
        <w:t>；如无法提供或提供不符合或存在弄虚作假情况或以各种理由推诿或拖延时间，招标人有权解除合同并上报公共资源交易监督管理部门按有关规定处理。中标人承担由此引起的一切责任和后果。</w:t>
      </w:r>
    </w:p>
    <w:p>
      <w:pPr>
        <w:spacing w:line="360" w:lineRule="auto"/>
        <w:ind w:firstLine="412" w:firstLineChars="171"/>
        <w:rPr>
          <w:b/>
          <w:bCs/>
          <w:color w:val="auto"/>
          <w:szCs w:val="21"/>
          <w:highlight w:val="none"/>
        </w:rPr>
      </w:pPr>
      <w:r>
        <w:rPr>
          <w:rFonts w:hint="eastAsia"/>
          <w:b/>
          <w:bCs/>
          <w:color w:val="auto"/>
          <w:szCs w:val="21"/>
          <w:highlight w:val="none"/>
          <w:lang w:val="en-US" w:eastAsia="zh-CN"/>
        </w:rPr>
        <w:t>8</w:t>
      </w:r>
      <w:r>
        <w:rPr>
          <w:b/>
          <w:bCs/>
          <w:color w:val="auto"/>
          <w:szCs w:val="21"/>
          <w:highlight w:val="none"/>
        </w:rPr>
        <w:t>.</w:t>
      </w:r>
      <w:r>
        <w:rPr>
          <w:rFonts w:hint="eastAsia"/>
          <w:b/>
          <w:bCs/>
          <w:color w:val="auto"/>
          <w:szCs w:val="21"/>
          <w:highlight w:val="none"/>
        </w:rPr>
        <w:t>为了保证各系统运行的质量以及售后服务，投标人须承诺：在合同签订后</w:t>
      </w:r>
      <w:r>
        <w:rPr>
          <w:rFonts w:hint="eastAsia"/>
          <w:b/>
          <w:bCs/>
          <w:color w:val="auto"/>
          <w:szCs w:val="21"/>
          <w:highlight w:val="none"/>
          <w:lang w:eastAsia="zh-CN"/>
        </w:rPr>
        <w:t>三十个工作日</w:t>
      </w:r>
      <w:r>
        <w:rPr>
          <w:rFonts w:hint="eastAsia"/>
          <w:b/>
          <w:bCs/>
          <w:color w:val="auto"/>
          <w:szCs w:val="21"/>
          <w:highlight w:val="none"/>
        </w:rPr>
        <w:t>内提供推荐品牌范围表所列系统和产品制造商授权函原件和免费质保函原件</w:t>
      </w:r>
      <w:r>
        <w:rPr>
          <w:b/>
          <w:bCs/>
          <w:color w:val="auto"/>
          <w:szCs w:val="21"/>
          <w:highlight w:val="none"/>
        </w:rPr>
        <w:t>（时间依据投标时的免费质保期）</w:t>
      </w:r>
      <w:r>
        <w:rPr>
          <w:rFonts w:hint="eastAsia"/>
          <w:b/>
          <w:bCs/>
          <w:color w:val="auto"/>
          <w:szCs w:val="21"/>
          <w:highlight w:val="none"/>
        </w:rPr>
        <w:t>，如无法提供或提供不符合或以各种理由推诿或拖延时间，招标人有权解除合同并上报公共资源交易监督管理部门按有关规定处理。中标人承担由此引起的一切责任和后果。</w:t>
      </w:r>
    </w:p>
    <w:p>
      <w:pPr>
        <w:spacing w:line="360" w:lineRule="auto"/>
        <w:ind w:firstLine="410" w:firstLineChars="171"/>
        <w:rPr>
          <w:rFonts w:hint="eastAsia"/>
          <w:color w:val="auto"/>
          <w:szCs w:val="21"/>
          <w:highlight w:val="none"/>
        </w:rPr>
      </w:pPr>
      <w:r>
        <w:rPr>
          <w:rFonts w:hint="eastAsia"/>
          <w:color w:val="auto"/>
          <w:szCs w:val="21"/>
          <w:highlight w:val="none"/>
          <w:lang w:val="en-US" w:eastAsia="zh-CN"/>
        </w:rPr>
        <w:t>9</w:t>
      </w:r>
      <w:r>
        <w:rPr>
          <w:rFonts w:hint="eastAsia"/>
          <w:color w:val="auto"/>
          <w:szCs w:val="21"/>
          <w:highlight w:val="none"/>
        </w:rPr>
        <w:t>.投标时技术规范书要求均不作为本项目商务及技术文件初步评审标准要求，但作为招标人验收的标准，中标人中标后按照《技术规范书》的要求进行供货和履约。所供的产品须满足招标文件要求的标准，并保证使用的产品均兼容、配套性和先进性，严禁使用明令禁止淘汰产品，设备为原装机，不得为组装机，确保项目整体性能的实现。否则招标人有权解除合同并上报公共资源交易监督管理部门按有关规定处理。由此产生的一切后果责任均由中标人承担。</w:t>
      </w:r>
    </w:p>
    <w:p>
      <w:pPr>
        <w:spacing w:line="360" w:lineRule="auto"/>
        <w:ind w:firstLine="410" w:firstLineChars="171"/>
        <w:rPr>
          <w:color w:val="auto"/>
          <w:szCs w:val="21"/>
          <w:highlight w:val="none"/>
        </w:rPr>
      </w:pPr>
      <w:r>
        <w:rPr>
          <w:rFonts w:hint="eastAsia"/>
          <w:color w:val="auto"/>
          <w:szCs w:val="21"/>
          <w:highlight w:val="none"/>
          <w:lang w:val="en-US" w:eastAsia="zh-CN"/>
        </w:rPr>
        <w:t>10</w:t>
      </w:r>
      <w:r>
        <w:rPr>
          <w:rFonts w:hint="eastAsia"/>
          <w:color w:val="auto"/>
          <w:szCs w:val="21"/>
          <w:highlight w:val="none"/>
        </w:rPr>
        <w:t>.主要系统参数要求：详见招标文件及技术规范书。</w:t>
      </w:r>
    </w:p>
    <w:p>
      <w:pPr>
        <w:spacing w:line="360" w:lineRule="auto"/>
        <w:ind w:firstLine="412" w:firstLineChars="171"/>
        <w:outlineLvl w:val="2"/>
        <w:rPr>
          <w:b/>
          <w:bCs/>
          <w:color w:val="auto"/>
          <w:szCs w:val="21"/>
          <w:highlight w:val="none"/>
        </w:rPr>
      </w:pPr>
      <w:r>
        <w:rPr>
          <w:rFonts w:hint="eastAsia"/>
          <w:b/>
          <w:bCs/>
          <w:color w:val="auto"/>
          <w:szCs w:val="21"/>
          <w:highlight w:val="none"/>
        </w:rPr>
        <w:t>（二）推荐品牌（参考）推荐表</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58"/>
        <w:gridCol w:w="3735"/>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79" w:type="pct"/>
            <w:noWrap w:val="0"/>
            <w:vAlign w:val="top"/>
          </w:tcPr>
          <w:p>
            <w:pPr>
              <w:widowControl/>
              <w:jc w:val="center"/>
              <w:textAlignment w:val="center"/>
              <w:rPr>
                <w:rFonts w:hAnsi="宋体" w:cs="宋体"/>
                <w:b/>
                <w:bCs/>
                <w:sz w:val="18"/>
                <w:szCs w:val="18"/>
              </w:rPr>
            </w:pPr>
            <w:r>
              <w:rPr>
                <w:rFonts w:hint="eastAsia" w:hAnsi="宋体" w:cs="宋体"/>
                <w:b/>
                <w:bCs/>
                <w:sz w:val="18"/>
                <w:szCs w:val="18"/>
              </w:rPr>
              <w:t>序</w:t>
            </w:r>
          </w:p>
          <w:p>
            <w:pPr>
              <w:widowControl/>
              <w:jc w:val="center"/>
              <w:textAlignment w:val="center"/>
              <w:rPr>
                <w:rFonts w:hint="eastAsia"/>
              </w:rPr>
            </w:pPr>
            <w:r>
              <w:rPr>
                <w:rFonts w:hint="eastAsia" w:hAnsi="宋体" w:cs="宋体"/>
                <w:b/>
                <w:bCs/>
                <w:sz w:val="18"/>
                <w:szCs w:val="18"/>
              </w:rPr>
              <w:t>号</w:t>
            </w:r>
          </w:p>
        </w:tc>
        <w:tc>
          <w:tcPr>
            <w:tcW w:w="915" w:type="pct"/>
            <w:noWrap w:val="0"/>
            <w:vAlign w:val="center"/>
          </w:tcPr>
          <w:p>
            <w:pPr>
              <w:widowControl/>
              <w:jc w:val="center"/>
              <w:textAlignment w:val="center"/>
              <w:rPr>
                <w:rFonts w:hint="eastAsia"/>
                <w:b/>
                <w:bCs/>
                <w:sz w:val="18"/>
                <w:szCs w:val="18"/>
              </w:rPr>
            </w:pPr>
            <w:r>
              <w:rPr>
                <w:rFonts w:hint="eastAsia" w:hAnsi="宋体" w:cs="宋体"/>
                <w:b/>
                <w:bCs/>
                <w:sz w:val="18"/>
                <w:szCs w:val="18"/>
              </w:rPr>
              <w:t>系统名称</w:t>
            </w:r>
          </w:p>
        </w:tc>
        <w:tc>
          <w:tcPr>
            <w:tcW w:w="2193" w:type="pct"/>
            <w:noWrap w:val="0"/>
            <w:vAlign w:val="center"/>
          </w:tcPr>
          <w:p>
            <w:pPr>
              <w:widowControl/>
              <w:jc w:val="center"/>
              <w:rPr>
                <w:rFonts w:hint="eastAsia"/>
                <w:b/>
                <w:bCs/>
                <w:sz w:val="18"/>
                <w:szCs w:val="18"/>
              </w:rPr>
            </w:pPr>
            <w:r>
              <w:rPr>
                <w:rFonts w:hint="eastAsia" w:hAnsi="宋体" w:cs="宋体"/>
                <w:b/>
                <w:bCs/>
                <w:sz w:val="18"/>
                <w:szCs w:val="18"/>
              </w:rPr>
              <w:t>主要设备</w:t>
            </w:r>
          </w:p>
        </w:tc>
        <w:tc>
          <w:tcPr>
            <w:tcW w:w="1413" w:type="pct"/>
            <w:noWrap w:val="0"/>
            <w:vAlign w:val="center"/>
          </w:tcPr>
          <w:p>
            <w:pPr>
              <w:widowControl/>
              <w:jc w:val="center"/>
              <w:rPr>
                <w:rFonts w:hint="eastAsia"/>
                <w:b/>
                <w:bCs/>
                <w:sz w:val="18"/>
                <w:szCs w:val="18"/>
              </w:rPr>
            </w:pPr>
            <w:r>
              <w:rPr>
                <w:rFonts w:hint="eastAsia" w:hAnsi="宋体" w:cs="宋体"/>
                <w:b/>
                <w:bCs/>
                <w:sz w:val="18"/>
                <w:szCs w:val="18"/>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noWrap w:val="0"/>
            <w:vAlign w:val="top"/>
          </w:tcPr>
          <w:p>
            <w:pPr>
              <w:widowControl/>
              <w:jc w:val="center"/>
              <w:rPr>
                <w:rFonts w:hint="eastAsia" w:ascii="黑体" w:hAnsi="黑体" w:eastAsia="黑体" w:cs="宋体"/>
                <w:b/>
                <w:bCs/>
                <w:szCs w:val="24"/>
              </w:rPr>
            </w:pPr>
          </w:p>
          <w:p>
            <w:pPr>
              <w:widowControl/>
              <w:jc w:val="center"/>
              <w:rPr>
                <w:rFonts w:ascii="黑体" w:hAnsi="黑体" w:eastAsia="黑体" w:cs="宋体"/>
                <w:b/>
                <w:bCs/>
                <w:szCs w:val="24"/>
              </w:rPr>
            </w:pPr>
            <w:r>
              <w:rPr>
                <w:rFonts w:hint="eastAsia" w:ascii="黑体" w:hAnsi="黑体" w:eastAsia="黑体" w:cs="宋体"/>
                <w:b/>
                <w:bCs/>
                <w:szCs w:val="24"/>
              </w:rPr>
              <w:t>1</w:t>
            </w:r>
          </w:p>
          <w:p>
            <w:pPr>
              <w:widowControl/>
              <w:jc w:val="center"/>
              <w:rPr>
                <w:rFonts w:hint="eastAsia" w:ascii="黑体" w:hAnsi="黑体" w:eastAsia="黑体" w:cs="宋体"/>
                <w:b/>
                <w:bCs/>
                <w:szCs w:val="24"/>
              </w:rPr>
            </w:pPr>
          </w:p>
        </w:tc>
        <w:tc>
          <w:tcPr>
            <w:tcW w:w="915" w:type="pct"/>
            <w:noWrap w:val="0"/>
            <w:vAlign w:val="center"/>
          </w:tcPr>
          <w:p>
            <w:pPr>
              <w:widowControl/>
              <w:rPr>
                <w:rFonts w:hint="eastAsia"/>
                <w:sz w:val="18"/>
                <w:szCs w:val="18"/>
              </w:rPr>
            </w:pPr>
            <w:r>
              <w:rPr>
                <w:rFonts w:hint="eastAsia" w:hAnsi="宋体" w:cs="宋体"/>
                <w:sz w:val="18"/>
                <w:szCs w:val="18"/>
              </w:rPr>
              <w:t>综合布线系统</w:t>
            </w:r>
          </w:p>
        </w:tc>
        <w:tc>
          <w:tcPr>
            <w:tcW w:w="2193" w:type="pct"/>
            <w:noWrap w:val="0"/>
            <w:vAlign w:val="center"/>
          </w:tcPr>
          <w:p>
            <w:pPr>
              <w:widowControl/>
              <w:rPr>
                <w:rFonts w:hint="eastAsia"/>
                <w:sz w:val="18"/>
                <w:szCs w:val="18"/>
              </w:rPr>
            </w:pPr>
            <w:r>
              <w:rPr>
                <w:rFonts w:hint="eastAsia" w:cs="宋体"/>
                <w:sz w:val="18"/>
                <w:szCs w:val="18"/>
              </w:rPr>
              <w:t>铜缆部分（面板、模块、铜缆、跳线和配线架）所有元件及光纤传输部分（光缆、耦合器、光纤跳线、配线架）所有元件</w:t>
            </w:r>
          </w:p>
        </w:tc>
        <w:tc>
          <w:tcPr>
            <w:tcW w:w="1413" w:type="pct"/>
            <w:noWrap w:val="0"/>
            <w:vAlign w:val="center"/>
          </w:tcPr>
          <w:p>
            <w:pPr>
              <w:widowControl/>
              <w:jc w:val="center"/>
              <w:rPr>
                <w:rFonts w:hint="eastAsia"/>
                <w:sz w:val="18"/>
                <w:szCs w:val="18"/>
              </w:rPr>
            </w:pPr>
            <w:r>
              <w:rPr>
                <w:rFonts w:hint="eastAsia" w:cs="宋体"/>
                <w:sz w:val="18"/>
                <w:szCs w:val="18"/>
              </w:rPr>
              <w:t>一</w:t>
            </w:r>
            <w:r>
              <w:rPr>
                <w:rFonts w:hint="eastAsia" w:hAnsi="宋体" w:cs="宋体"/>
                <w:sz w:val="18"/>
                <w:szCs w:val="18"/>
              </w:rPr>
              <w:t>舟、普天天纪、罗森伯格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restart"/>
            <w:noWrap w:val="0"/>
            <w:vAlign w:val="top"/>
          </w:tcPr>
          <w:p>
            <w:pPr>
              <w:widowControl/>
              <w:jc w:val="center"/>
              <w:rPr>
                <w:rFonts w:ascii="黑体" w:hAnsi="黑体" w:eastAsia="黑体" w:cs="宋体"/>
                <w:b/>
                <w:bCs/>
                <w:szCs w:val="24"/>
              </w:rPr>
            </w:pPr>
          </w:p>
          <w:p>
            <w:pPr>
              <w:pStyle w:val="2"/>
              <w:rPr>
                <w:b/>
              </w:rPr>
            </w:pPr>
          </w:p>
          <w:p>
            <w:pPr>
              <w:rPr>
                <w:rFonts w:ascii="黑体" w:hAnsi="黑体" w:eastAsia="黑体"/>
                <w:b/>
                <w:bCs/>
                <w:szCs w:val="24"/>
              </w:rPr>
            </w:pPr>
          </w:p>
          <w:p>
            <w:pPr>
              <w:widowControl/>
              <w:ind w:firstLine="241" w:firstLineChars="100"/>
              <w:rPr>
                <w:rFonts w:hint="eastAsia" w:ascii="黑体" w:hAnsi="黑体" w:eastAsia="黑体"/>
                <w:b/>
                <w:bCs/>
                <w:szCs w:val="24"/>
              </w:rPr>
            </w:pPr>
            <w:r>
              <w:rPr>
                <w:rFonts w:hint="eastAsia" w:ascii="黑体" w:hAnsi="黑体" w:eastAsia="黑体" w:cs="宋体"/>
                <w:b/>
                <w:bCs/>
                <w:szCs w:val="24"/>
              </w:rPr>
              <w:t>2</w:t>
            </w:r>
          </w:p>
        </w:tc>
        <w:tc>
          <w:tcPr>
            <w:tcW w:w="915" w:type="pct"/>
            <w:vMerge w:val="restart"/>
            <w:noWrap w:val="0"/>
            <w:vAlign w:val="center"/>
          </w:tcPr>
          <w:p>
            <w:pPr>
              <w:widowControl/>
              <w:rPr>
                <w:rFonts w:hint="eastAsia"/>
                <w:sz w:val="18"/>
                <w:szCs w:val="18"/>
              </w:rPr>
            </w:pPr>
            <w:r>
              <w:rPr>
                <w:rFonts w:hint="eastAsia" w:hAnsi="宋体" w:cs="宋体"/>
                <w:sz w:val="18"/>
                <w:szCs w:val="18"/>
              </w:rPr>
              <w:t>计算机网络</w:t>
            </w:r>
          </w:p>
        </w:tc>
        <w:tc>
          <w:tcPr>
            <w:tcW w:w="2193" w:type="pct"/>
            <w:noWrap w:val="0"/>
            <w:vAlign w:val="center"/>
          </w:tcPr>
          <w:p>
            <w:pPr>
              <w:widowControl/>
              <w:rPr>
                <w:rFonts w:hint="eastAsia"/>
                <w:sz w:val="18"/>
                <w:szCs w:val="18"/>
              </w:rPr>
            </w:pPr>
            <w:r>
              <w:rPr>
                <w:rFonts w:hint="eastAsia" w:hAnsi="宋体" w:cs="宋体"/>
                <w:sz w:val="18"/>
                <w:szCs w:val="18"/>
              </w:rPr>
              <w:t>核心交换机、万兆单模模块、汇聚交换机、</w:t>
            </w:r>
            <w:r>
              <w:rPr>
                <w:rFonts w:hint="eastAsia" w:cs="宋体"/>
                <w:sz w:val="18"/>
                <w:szCs w:val="18"/>
              </w:rPr>
              <w:t>接</w:t>
            </w:r>
            <w:r>
              <w:rPr>
                <w:rFonts w:hint="eastAsia" w:hAnsi="宋体" w:cs="宋体"/>
                <w:sz w:val="18"/>
                <w:szCs w:val="18"/>
              </w:rPr>
              <w:t>入交换机、POE交换机</w:t>
            </w:r>
            <w:r>
              <w:rPr>
                <w:rFonts w:hint="eastAsia" w:cs="宋体"/>
                <w:sz w:val="18"/>
                <w:szCs w:val="18"/>
              </w:rPr>
              <w:t>、</w:t>
            </w:r>
            <w:r>
              <w:rPr>
                <w:rFonts w:hint="eastAsia" w:hAnsi="宋体" w:cs="宋体"/>
                <w:sz w:val="18"/>
                <w:szCs w:val="18"/>
              </w:rPr>
              <w:t>千兆单模模块、无线控制器、</w:t>
            </w:r>
            <w:r>
              <w:rPr>
                <w:rFonts w:hint="eastAsia" w:cs="宋体"/>
                <w:sz w:val="18"/>
                <w:szCs w:val="18"/>
              </w:rPr>
              <w:t>无线</w:t>
            </w:r>
            <w:r>
              <w:rPr>
                <w:rFonts w:hint="eastAsia" w:hAnsi="宋体" w:cs="宋体"/>
                <w:sz w:val="18"/>
                <w:szCs w:val="18"/>
              </w:rPr>
              <w:t>AP</w:t>
            </w:r>
          </w:p>
        </w:tc>
        <w:tc>
          <w:tcPr>
            <w:tcW w:w="1413" w:type="pct"/>
            <w:noWrap w:val="0"/>
            <w:vAlign w:val="center"/>
          </w:tcPr>
          <w:p>
            <w:pPr>
              <w:widowControl/>
              <w:jc w:val="center"/>
              <w:rPr>
                <w:rFonts w:hint="eastAsia"/>
                <w:sz w:val="18"/>
                <w:szCs w:val="18"/>
              </w:rPr>
            </w:pPr>
            <w:r>
              <w:rPr>
                <w:rFonts w:hint="eastAsia" w:hAnsi="宋体" w:cs="宋体"/>
                <w:sz w:val="18"/>
                <w:szCs w:val="18"/>
              </w:rPr>
              <w:t>华为、华三、锐捷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sz w:val="18"/>
                <w:szCs w:val="18"/>
              </w:rPr>
            </w:pPr>
            <w:r>
              <w:rPr>
                <w:rFonts w:hint="eastAsia" w:hAnsi="宋体" w:cs="宋体"/>
                <w:sz w:val="18"/>
                <w:szCs w:val="18"/>
              </w:rPr>
              <w:t>网络管理平台、终端认证平台、出口防火墙、负载均衡设备、上网行为管理、日志审计、堡垒机、网络安全分析审计系统、网络性能管理系统、网络安全边界</w:t>
            </w:r>
          </w:p>
        </w:tc>
        <w:tc>
          <w:tcPr>
            <w:tcW w:w="1413" w:type="pct"/>
            <w:noWrap w:val="0"/>
            <w:vAlign w:val="center"/>
          </w:tcPr>
          <w:p>
            <w:pPr>
              <w:widowControl/>
              <w:jc w:val="center"/>
              <w:rPr>
                <w:rFonts w:hint="eastAsia"/>
                <w:sz w:val="18"/>
                <w:szCs w:val="18"/>
              </w:rPr>
            </w:pPr>
            <w:r>
              <w:rPr>
                <w:rFonts w:hint="eastAsia" w:hAnsi="宋体" w:cs="宋体"/>
                <w:sz w:val="18"/>
                <w:szCs w:val="18"/>
              </w:rPr>
              <w:t xml:space="preserve">科来、绿盟、天融信、      </w:t>
            </w:r>
            <w:r>
              <w:rPr>
                <w:rFonts w:hint="eastAsia" w:cs="宋体"/>
                <w:sz w:val="18"/>
                <w:szCs w:val="18"/>
              </w:rPr>
              <w:t>山石网科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noWrap w:val="0"/>
            <w:vAlign w:val="top"/>
          </w:tcPr>
          <w:p>
            <w:pPr>
              <w:widowControl/>
              <w:ind w:firstLine="241" w:firstLineChars="100"/>
              <w:rPr>
                <w:rFonts w:ascii="黑体" w:hAnsi="黑体" w:eastAsia="黑体" w:cs="宋体"/>
                <w:b/>
                <w:bCs/>
                <w:szCs w:val="24"/>
              </w:rPr>
            </w:pPr>
          </w:p>
          <w:p>
            <w:pPr>
              <w:widowControl/>
              <w:ind w:firstLine="241" w:firstLineChars="100"/>
              <w:rPr>
                <w:rFonts w:ascii="黑体" w:hAnsi="黑体" w:eastAsia="黑体" w:cs="宋体"/>
                <w:b/>
                <w:bCs/>
                <w:szCs w:val="24"/>
              </w:rPr>
            </w:pPr>
          </w:p>
          <w:p>
            <w:pPr>
              <w:widowControl/>
              <w:rPr>
                <w:rFonts w:hint="eastAsia" w:ascii="黑体" w:hAnsi="黑体" w:eastAsia="黑体" w:cs="宋体"/>
                <w:b/>
                <w:bCs/>
                <w:szCs w:val="24"/>
              </w:rPr>
            </w:pPr>
          </w:p>
          <w:p>
            <w:pPr>
              <w:widowControl/>
              <w:ind w:firstLine="241" w:firstLineChars="100"/>
              <w:rPr>
                <w:rFonts w:hint="eastAsia" w:ascii="黑体" w:hAnsi="黑体" w:eastAsia="黑体"/>
                <w:b/>
                <w:bCs/>
                <w:szCs w:val="24"/>
              </w:rPr>
            </w:pPr>
            <w:r>
              <w:rPr>
                <w:rFonts w:hint="eastAsia" w:ascii="黑体" w:hAnsi="黑体" w:eastAsia="黑体" w:cs="宋体"/>
                <w:b/>
                <w:bCs/>
                <w:szCs w:val="24"/>
              </w:rPr>
              <w:t>3</w:t>
            </w:r>
          </w:p>
        </w:tc>
        <w:tc>
          <w:tcPr>
            <w:tcW w:w="915" w:type="pct"/>
            <w:noWrap w:val="0"/>
            <w:vAlign w:val="center"/>
          </w:tcPr>
          <w:p>
            <w:pPr>
              <w:widowControl/>
              <w:rPr>
                <w:rFonts w:hint="eastAsia"/>
                <w:sz w:val="18"/>
                <w:szCs w:val="18"/>
              </w:rPr>
            </w:pPr>
            <w:r>
              <w:rPr>
                <w:rFonts w:hint="eastAsia" w:hAnsi="宋体" w:cs="宋体"/>
                <w:sz w:val="18"/>
                <w:szCs w:val="18"/>
              </w:rPr>
              <w:t>综合安防系统</w:t>
            </w:r>
          </w:p>
        </w:tc>
        <w:tc>
          <w:tcPr>
            <w:tcW w:w="2193" w:type="pct"/>
            <w:noWrap w:val="0"/>
            <w:vAlign w:val="center"/>
          </w:tcPr>
          <w:p>
            <w:pPr>
              <w:widowControl/>
              <w:rPr>
                <w:rFonts w:hint="eastAsia"/>
                <w:sz w:val="18"/>
                <w:szCs w:val="18"/>
              </w:rPr>
            </w:pPr>
            <w:r>
              <w:rPr>
                <w:rFonts w:hint="eastAsia" w:hAnsi="宋体" w:cs="宋体"/>
                <w:sz w:val="18"/>
                <w:szCs w:val="18"/>
              </w:rPr>
              <w:t>网络红外半球摄像机、网络红外枪型摄像机、电梯蝶形摄像机、网络红外高速球机、高空全景摄像机、厨房亮灶摄像机、液晶拼接显示单元（液晶显示器）、网络视频解码器、网络视频存储服务器、智能物联综合管理平台</w:t>
            </w:r>
          </w:p>
        </w:tc>
        <w:tc>
          <w:tcPr>
            <w:tcW w:w="1413" w:type="pct"/>
            <w:noWrap w:val="0"/>
            <w:vAlign w:val="center"/>
          </w:tcPr>
          <w:p>
            <w:pPr>
              <w:widowControl/>
              <w:jc w:val="center"/>
              <w:rPr>
                <w:rFonts w:hint="eastAsia"/>
                <w:sz w:val="18"/>
                <w:szCs w:val="18"/>
              </w:rPr>
            </w:pPr>
            <w:r>
              <w:rPr>
                <w:rFonts w:hint="eastAsia" w:hAnsi="宋体" w:cs="宋体"/>
                <w:sz w:val="18"/>
                <w:szCs w:val="18"/>
              </w:rPr>
              <w:t>海康、大华、宇视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noWrap w:val="0"/>
            <w:vAlign w:val="top"/>
          </w:tcPr>
          <w:p>
            <w:pPr>
              <w:widowControl/>
              <w:jc w:val="center"/>
              <w:rPr>
                <w:rFonts w:ascii="黑体" w:hAnsi="黑体" w:eastAsia="黑体" w:cs="宋体"/>
                <w:b/>
                <w:bCs/>
                <w:szCs w:val="24"/>
              </w:rPr>
            </w:pPr>
          </w:p>
          <w:p>
            <w:pPr>
              <w:pStyle w:val="2"/>
              <w:rPr>
                <w:b/>
              </w:rPr>
            </w:pPr>
          </w:p>
          <w:p>
            <w:pPr>
              <w:widowControl/>
              <w:ind w:firstLine="241" w:firstLineChars="100"/>
              <w:rPr>
                <w:rFonts w:hint="eastAsia" w:ascii="黑体" w:hAnsi="黑体" w:eastAsia="黑体"/>
                <w:b/>
                <w:bCs/>
                <w:szCs w:val="24"/>
              </w:rPr>
            </w:pPr>
            <w:r>
              <w:rPr>
                <w:rFonts w:hint="eastAsia" w:ascii="黑体" w:hAnsi="黑体" w:eastAsia="黑体" w:cs="宋体"/>
                <w:b/>
                <w:bCs/>
                <w:szCs w:val="24"/>
              </w:rPr>
              <w:t>4</w:t>
            </w:r>
          </w:p>
        </w:tc>
        <w:tc>
          <w:tcPr>
            <w:tcW w:w="915" w:type="pct"/>
            <w:noWrap w:val="0"/>
            <w:vAlign w:val="center"/>
          </w:tcPr>
          <w:p>
            <w:pPr>
              <w:widowControl/>
              <w:rPr>
                <w:rFonts w:hint="eastAsia"/>
                <w:sz w:val="18"/>
                <w:szCs w:val="18"/>
              </w:rPr>
            </w:pPr>
            <w:r>
              <w:rPr>
                <w:rFonts w:hint="eastAsia" w:cs="宋体"/>
                <w:sz w:val="18"/>
                <w:szCs w:val="18"/>
              </w:rPr>
              <w:t>一卡通管理系统</w:t>
            </w:r>
          </w:p>
        </w:tc>
        <w:tc>
          <w:tcPr>
            <w:tcW w:w="2193" w:type="pct"/>
            <w:noWrap w:val="0"/>
            <w:vAlign w:val="center"/>
          </w:tcPr>
          <w:p>
            <w:pPr>
              <w:widowControl/>
              <w:rPr>
                <w:rFonts w:hint="eastAsia"/>
                <w:sz w:val="18"/>
                <w:szCs w:val="18"/>
              </w:rPr>
            </w:pPr>
            <w:r>
              <w:rPr>
                <w:rFonts w:hint="eastAsia" w:cs="宋体"/>
                <w:sz w:val="18"/>
                <w:szCs w:val="18"/>
              </w:rPr>
              <w:t>一</w:t>
            </w:r>
            <w:r>
              <w:rPr>
                <w:rFonts w:hint="eastAsia" w:hAnsi="宋体" w:cs="宋体"/>
                <w:sz w:val="18"/>
                <w:szCs w:val="18"/>
              </w:rPr>
              <w:t>卡通中心管理平台、IC卡读写器、门禁管理系统、门禁控制器、消费管理系统、智能卡消费终端、联网门锁管理系统、无线联网智能门锁、通道管理系统、单机芯智能道闸、通道管理系统、通道控制器、考勤管理软件、考勤机</w:t>
            </w:r>
          </w:p>
        </w:tc>
        <w:tc>
          <w:tcPr>
            <w:tcW w:w="1413" w:type="pct"/>
            <w:noWrap w:val="0"/>
            <w:vAlign w:val="center"/>
          </w:tcPr>
          <w:p>
            <w:pPr>
              <w:widowControl/>
              <w:jc w:val="center"/>
              <w:rPr>
                <w:rFonts w:hint="eastAsia"/>
                <w:sz w:val="18"/>
                <w:szCs w:val="18"/>
              </w:rPr>
            </w:pPr>
            <w:r>
              <w:rPr>
                <w:rFonts w:hint="eastAsia" w:hAnsi="宋体" w:cs="宋体"/>
                <w:sz w:val="18"/>
                <w:szCs w:val="18"/>
              </w:rPr>
              <w:t>达实、卡德、新开普</w:t>
            </w:r>
            <w:r>
              <w:rPr>
                <w:rFonts w:hint="eastAsia" w:cs="宋体"/>
                <w:sz w:val="18"/>
                <w:szCs w:val="18"/>
              </w:rPr>
              <w:t>、      银通物联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noWrap w:val="0"/>
            <w:vAlign w:val="top"/>
          </w:tcPr>
          <w:p>
            <w:pPr>
              <w:widowControl/>
              <w:rPr>
                <w:rFonts w:hint="eastAsia" w:ascii="黑体" w:hAnsi="黑体" w:eastAsia="黑体" w:cs="宋体"/>
                <w:b/>
                <w:bCs/>
                <w:szCs w:val="24"/>
              </w:rPr>
            </w:pPr>
          </w:p>
          <w:p>
            <w:pPr>
              <w:widowControl/>
              <w:ind w:firstLine="241" w:firstLineChars="100"/>
              <w:rPr>
                <w:rFonts w:hint="eastAsia" w:ascii="黑体" w:hAnsi="黑体" w:eastAsia="黑体" w:cs="宋体"/>
                <w:b/>
                <w:bCs/>
                <w:szCs w:val="24"/>
              </w:rPr>
            </w:pPr>
            <w:r>
              <w:rPr>
                <w:rFonts w:hint="eastAsia" w:ascii="黑体" w:hAnsi="黑体" w:eastAsia="黑体" w:cs="宋体"/>
                <w:b/>
                <w:bCs/>
                <w:szCs w:val="24"/>
              </w:rPr>
              <w:t>5</w:t>
            </w:r>
          </w:p>
        </w:tc>
        <w:tc>
          <w:tcPr>
            <w:tcW w:w="915" w:type="pct"/>
            <w:noWrap w:val="0"/>
            <w:vAlign w:val="center"/>
          </w:tcPr>
          <w:p>
            <w:pPr>
              <w:widowControl/>
              <w:rPr>
                <w:rFonts w:hint="eastAsia"/>
                <w:sz w:val="18"/>
                <w:szCs w:val="18"/>
              </w:rPr>
            </w:pPr>
            <w:r>
              <w:rPr>
                <w:rFonts w:hint="eastAsia" w:hAnsi="宋体" w:cs="宋体"/>
                <w:sz w:val="18"/>
                <w:szCs w:val="18"/>
              </w:rPr>
              <w:t>机房系统</w:t>
            </w:r>
          </w:p>
        </w:tc>
        <w:tc>
          <w:tcPr>
            <w:tcW w:w="2193" w:type="pct"/>
            <w:noWrap w:val="0"/>
            <w:vAlign w:val="center"/>
          </w:tcPr>
          <w:p>
            <w:pPr>
              <w:widowControl/>
              <w:rPr>
                <w:rFonts w:hint="eastAsia"/>
                <w:sz w:val="18"/>
                <w:szCs w:val="18"/>
              </w:rPr>
            </w:pPr>
            <w:r>
              <w:rPr>
                <w:rFonts w:hint="eastAsia" w:hAnsi="宋体" w:cs="宋体"/>
                <w:sz w:val="18"/>
                <w:szCs w:val="18"/>
              </w:rPr>
              <w:t>微模块通道系统、服务器机柜、精</w:t>
            </w:r>
            <w:r>
              <w:rPr>
                <w:rFonts w:hint="eastAsia" w:hAnsi="宋体" w:cs="宋体"/>
                <w:color w:val="000000"/>
                <w:sz w:val="18"/>
                <w:szCs w:val="18"/>
                <w:lang w:bidi="ar"/>
              </w:rPr>
              <w:t>密空调、智能</w:t>
            </w:r>
            <w:r>
              <w:rPr>
                <w:rFonts w:hint="eastAsia" w:cs="宋体"/>
                <w:color w:val="000000"/>
                <w:sz w:val="18"/>
                <w:szCs w:val="18"/>
                <w:lang w:bidi="ar"/>
              </w:rPr>
              <w:t>一</w:t>
            </w:r>
            <w:r>
              <w:rPr>
                <w:rFonts w:hint="eastAsia" w:hAnsi="宋体" w:cs="宋体"/>
                <w:color w:val="000000"/>
                <w:sz w:val="18"/>
                <w:szCs w:val="18"/>
                <w:lang w:bidi="ar"/>
              </w:rPr>
              <w:t>体化采集单元、</w:t>
            </w:r>
            <w:r>
              <w:rPr>
                <w:rFonts w:hint="eastAsia" w:hAnsi="宋体" w:cs="宋体"/>
                <w:sz w:val="18"/>
                <w:szCs w:val="18"/>
              </w:rPr>
              <w:t>微模块、UPS主机</w:t>
            </w:r>
          </w:p>
        </w:tc>
        <w:tc>
          <w:tcPr>
            <w:tcW w:w="1413" w:type="pct"/>
            <w:noWrap w:val="0"/>
            <w:vAlign w:val="center"/>
          </w:tcPr>
          <w:p>
            <w:pPr>
              <w:widowControl/>
              <w:jc w:val="center"/>
              <w:rPr>
                <w:rFonts w:hint="eastAsia"/>
                <w:sz w:val="18"/>
                <w:szCs w:val="18"/>
              </w:rPr>
            </w:pPr>
            <w:r>
              <w:rPr>
                <w:rFonts w:hint="eastAsia" w:hAnsi="宋体" w:cs="宋体"/>
                <w:sz w:val="18"/>
                <w:szCs w:val="18"/>
              </w:rPr>
              <w:t>施耐德、GE、台达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restart"/>
            <w:noWrap w:val="0"/>
            <w:vAlign w:val="top"/>
          </w:tcPr>
          <w:p>
            <w:pPr>
              <w:widowControl/>
              <w:jc w:val="center"/>
              <w:rPr>
                <w:rFonts w:ascii="黑体" w:hAnsi="黑体" w:eastAsia="黑体" w:cs="宋体"/>
                <w:b/>
                <w:bCs/>
                <w:szCs w:val="24"/>
              </w:rPr>
            </w:pPr>
          </w:p>
          <w:p>
            <w:pPr>
              <w:widowControl/>
              <w:jc w:val="center"/>
              <w:rPr>
                <w:rFonts w:ascii="黑体" w:hAnsi="黑体" w:eastAsia="黑体" w:cs="宋体"/>
                <w:b/>
                <w:bCs/>
                <w:szCs w:val="24"/>
              </w:rPr>
            </w:pPr>
            <w:r>
              <w:rPr>
                <w:rFonts w:hint="eastAsia" w:ascii="黑体" w:hAnsi="黑体" w:eastAsia="黑体" w:cs="宋体"/>
                <w:b/>
                <w:bCs/>
                <w:szCs w:val="24"/>
              </w:rPr>
              <w:t>6</w:t>
            </w:r>
          </w:p>
          <w:p>
            <w:pPr>
              <w:pStyle w:val="2"/>
              <w:rPr>
                <w:rFonts w:hint="eastAsia"/>
              </w:rPr>
            </w:pPr>
          </w:p>
          <w:p>
            <w:pPr>
              <w:pStyle w:val="2"/>
              <w:rPr>
                <w:rFonts w:hint="eastAsia"/>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jc w:val="center"/>
              <w:rPr>
                <w:rFonts w:ascii="黑体" w:hAnsi="黑体" w:eastAsia="黑体" w:cs="宋体"/>
                <w:b/>
                <w:bCs/>
                <w:szCs w:val="24"/>
              </w:rPr>
            </w:pPr>
          </w:p>
          <w:p>
            <w:pPr>
              <w:widowControl/>
              <w:rPr>
                <w:rFonts w:hint="eastAsia" w:ascii="黑体" w:hAnsi="黑体" w:eastAsia="黑体" w:cs="宋体"/>
                <w:b/>
                <w:bCs/>
                <w:szCs w:val="24"/>
              </w:rPr>
            </w:pPr>
          </w:p>
        </w:tc>
        <w:tc>
          <w:tcPr>
            <w:tcW w:w="915" w:type="pct"/>
            <w:vMerge w:val="restart"/>
            <w:noWrap w:val="0"/>
            <w:vAlign w:val="center"/>
          </w:tcPr>
          <w:p>
            <w:pPr>
              <w:widowControl/>
              <w:rPr>
                <w:rFonts w:hint="eastAsia"/>
                <w:sz w:val="18"/>
                <w:szCs w:val="18"/>
              </w:rPr>
            </w:pPr>
            <w:r>
              <w:rPr>
                <w:rFonts w:hint="eastAsia" w:hAnsi="宋体" w:cs="宋体"/>
                <w:sz w:val="18"/>
                <w:szCs w:val="18"/>
              </w:rPr>
              <w:t>多媒体会议系统、情景模拟实训室</w:t>
            </w:r>
          </w:p>
        </w:tc>
        <w:tc>
          <w:tcPr>
            <w:tcW w:w="2193" w:type="pct"/>
            <w:noWrap w:val="0"/>
            <w:vAlign w:val="center"/>
          </w:tcPr>
          <w:p>
            <w:pPr>
              <w:widowControl/>
              <w:rPr>
                <w:rFonts w:hint="eastAsia"/>
                <w:sz w:val="18"/>
                <w:szCs w:val="18"/>
              </w:rPr>
            </w:pPr>
            <w:r>
              <w:rPr>
                <w:rFonts w:hint="eastAsia" w:hAnsi="宋体" w:cs="宋体"/>
                <w:sz w:val="18"/>
                <w:szCs w:val="18"/>
              </w:rPr>
              <w:t>数字调音台</w:t>
            </w:r>
          </w:p>
        </w:tc>
        <w:tc>
          <w:tcPr>
            <w:tcW w:w="1413" w:type="pct"/>
            <w:noWrap w:val="0"/>
            <w:vAlign w:val="center"/>
          </w:tcPr>
          <w:p>
            <w:pPr>
              <w:widowControl/>
              <w:jc w:val="center"/>
              <w:rPr>
                <w:rFonts w:hint="eastAsia"/>
                <w:sz w:val="18"/>
                <w:szCs w:val="18"/>
              </w:rPr>
            </w:pPr>
            <w:r>
              <w:rPr>
                <w:rFonts w:hint="eastAsia" w:hAnsi="宋体" w:cs="宋体"/>
                <w:sz w:val="18"/>
                <w:szCs w:val="18"/>
              </w:rPr>
              <w:t>MIDAS（迈达斯）、DIGICO（迪阶科）、CADAC（卡迪克）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sz w:val="18"/>
                <w:szCs w:val="18"/>
              </w:rPr>
            </w:pPr>
            <w:r>
              <w:rPr>
                <w:rFonts w:hint="eastAsia" w:hAnsi="宋体" w:cs="宋体"/>
                <w:color w:val="000000"/>
                <w:sz w:val="18"/>
                <w:szCs w:val="18"/>
                <w:lang w:bidi="ar"/>
              </w:rPr>
              <w:t>150人</w:t>
            </w:r>
            <w:r>
              <w:rPr>
                <w:rFonts w:hint="eastAsia" w:hAnsi="宋体" w:cs="宋体"/>
                <w:sz w:val="18"/>
                <w:szCs w:val="18"/>
              </w:rPr>
              <w:t>报告厅、无纸化会议室数字音频处理器</w:t>
            </w:r>
          </w:p>
        </w:tc>
        <w:tc>
          <w:tcPr>
            <w:tcW w:w="1413" w:type="pct"/>
            <w:noWrap w:val="0"/>
            <w:vAlign w:val="center"/>
          </w:tcPr>
          <w:p>
            <w:pPr>
              <w:widowControl/>
              <w:jc w:val="center"/>
              <w:rPr>
                <w:rFonts w:hint="eastAsia"/>
                <w:sz w:val="18"/>
                <w:szCs w:val="18"/>
              </w:rPr>
            </w:pPr>
            <w:r>
              <w:rPr>
                <w:rFonts w:hint="eastAsia" w:hAnsi="宋体" w:cs="宋体"/>
                <w:sz w:val="18"/>
                <w:szCs w:val="18"/>
              </w:rPr>
              <w:t xml:space="preserve">BSS（毕斯）、             </w:t>
            </w:r>
            <w:r>
              <w:rPr>
                <w:rFonts w:hint="eastAsia" w:hAnsi="宋体" w:cs="宋体"/>
                <w:color w:val="000000"/>
                <w:sz w:val="18"/>
                <w:szCs w:val="18"/>
              </w:rPr>
              <w:t>D&amp;B Audiotechnik（迪碧）、  KLANG FEST</w:t>
            </w:r>
            <w:r>
              <w:rPr>
                <w:rFonts w:hint="eastAsia" w:hAnsi="宋体" w:cs="宋体"/>
                <w:color w:val="000000"/>
                <w:sz w:val="18"/>
                <w:szCs w:val="18"/>
                <w:lang w:bidi="ar"/>
              </w:rPr>
              <w:t>（声祝）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textAlignment w:val="center"/>
              <w:rPr>
                <w:rFonts w:hint="eastAsia"/>
                <w:color w:val="000000"/>
                <w:sz w:val="18"/>
                <w:szCs w:val="18"/>
              </w:rPr>
            </w:pPr>
            <w:r>
              <w:rPr>
                <w:rFonts w:hint="eastAsia" w:hAnsi="宋体" w:cs="宋体"/>
                <w:sz w:val="18"/>
                <w:szCs w:val="18"/>
              </w:rPr>
              <w:t>扬声器</w:t>
            </w:r>
          </w:p>
        </w:tc>
        <w:tc>
          <w:tcPr>
            <w:tcW w:w="1413" w:type="pct"/>
            <w:noWrap w:val="0"/>
            <w:vAlign w:val="center"/>
          </w:tcPr>
          <w:p>
            <w:pPr>
              <w:widowControl/>
              <w:jc w:val="center"/>
              <w:textAlignment w:val="center"/>
              <w:rPr>
                <w:rFonts w:hint="eastAsia"/>
                <w:color w:val="000000"/>
                <w:sz w:val="18"/>
                <w:szCs w:val="18"/>
              </w:rPr>
            </w:pPr>
            <w:r>
              <w:rPr>
                <w:rFonts w:hint="eastAsia" w:hAnsi="宋体" w:cs="宋体"/>
                <w:color w:val="000000"/>
                <w:sz w:val="18"/>
                <w:szCs w:val="18"/>
              </w:rPr>
              <w:t>HK Audio、              D&amp;B Audiotechnik（迪碧）、 KLANG FEST</w:t>
            </w:r>
            <w:r>
              <w:rPr>
                <w:rFonts w:hint="eastAsia" w:hAnsi="宋体" w:cs="宋体"/>
                <w:color w:val="000000"/>
                <w:sz w:val="18"/>
                <w:szCs w:val="18"/>
                <w:lang w:bidi="ar"/>
              </w:rPr>
              <w:t>（声祝）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sz w:val="18"/>
                <w:szCs w:val="18"/>
              </w:rPr>
            </w:pPr>
            <w:r>
              <w:rPr>
                <w:rFonts w:hint="eastAsia" w:hAnsi="宋体" w:cs="宋体"/>
                <w:sz w:val="18"/>
                <w:szCs w:val="18"/>
              </w:rPr>
              <w:t>功率放大器</w:t>
            </w:r>
          </w:p>
        </w:tc>
        <w:tc>
          <w:tcPr>
            <w:tcW w:w="1413" w:type="pct"/>
            <w:noWrap w:val="0"/>
            <w:vAlign w:val="center"/>
          </w:tcPr>
          <w:p>
            <w:pPr>
              <w:widowControl/>
              <w:jc w:val="center"/>
              <w:rPr>
                <w:rFonts w:hint="eastAsia"/>
                <w:sz w:val="18"/>
                <w:szCs w:val="18"/>
              </w:rPr>
            </w:pPr>
            <w:r>
              <w:rPr>
                <w:rFonts w:hint="eastAsia" w:hAnsi="宋体" w:cs="宋体"/>
                <w:color w:val="000000"/>
                <w:sz w:val="18"/>
                <w:szCs w:val="18"/>
                <w:lang w:bidi="ar"/>
              </w:rPr>
              <w:t>KLANG FEST（声祝）、LAB.Gruppen（立高）、    LEA Professional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sz w:val="18"/>
                <w:szCs w:val="18"/>
              </w:rPr>
            </w:pPr>
            <w:r>
              <w:rPr>
                <w:rFonts w:hint="eastAsia" w:hAnsi="宋体" w:cs="宋体"/>
                <w:sz w:val="18"/>
                <w:szCs w:val="18"/>
              </w:rPr>
              <w:t>全数字会议主机、全数字主席/代表终端、报告台麦克风、数字会议系统主机、主席/代表单元</w:t>
            </w:r>
          </w:p>
        </w:tc>
        <w:tc>
          <w:tcPr>
            <w:tcW w:w="1413" w:type="pct"/>
            <w:noWrap w:val="0"/>
            <w:vAlign w:val="center"/>
          </w:tcPr>
          <w:p>
            <w:pPr>
              <w:widowControl/>
              <w:jc w:val="center"/>
              <w:textAlignment w:val="center"/>
              <w:rPr>
                <w:rFonts w:hint="eastAsia"/>
                <w:color w:val="000000"/>
                <w:sz w:val="18"/>
                <w:szCs w:val="18"/>
              </w:rPr>
            </w:pPr>
            <w:r>
              <w:rPr>
                <w:rFonts w:hint="eastAsia" w:hAnsi="宋体" w:cs="宋体"/>
                <w:sz w:val="18"/>
                <w:szCs w:val="18"/>
              </w:rPr>
              <w:t>GONSIN（公信）、TAIDEN（台电）、BOSCH（博世）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sz w:val="18"/>
                <w:szCs w:val="18"/>
              </w:rPr>
            </w:pPr>
            <w:r>
              <w:rPr>
                <w:rFonts w:hint="eastAsia" w:hAnsi="宋体" w:cs="宋体"/>
                <w:color w:val="000000"/>
                <w:sz w:val="18"/>
                <w:szCs w:val="18"/>
                <w:lang w:bidi="ar"/>
              </w:rPr>
              <w:t>无线手持/头戴话筒、合唱/乐器话筒</w:t>
            </w:r>
          </w:p>
        </w:tc>
        <w:tc>
          <w:tcPr>
            <w:tcW w:w="1413" w:type="pct"/>
            <w:noWrap w:val="0"/>
            <w:vAlign w:val="center"/>
          </w:tcPr>
          <w:p>
            <w:pPr>
              <w:widowControl/>
              <w:jc w:val="center"/>
              <w:rPr>
                <w:rFonts w:hint="eastAsia"/>
                <w:sz w:val="18"/>
                <w:szCs w:val="18"/>
              </w:rPr>
            </w:pPr>
            <w:r>
              <w:rPr>
                <w:rFonts w:hint="eastAsia" w:hAnsi="宋体" w:cs="宋体"/>
                <w:sz w:val="18"/>
                <w:szCs w:val="18"/>
              </w:rPr>
              <w:t>SENNHEISER（森海塞尔）、SHURE（舒尔）、 BEYERDYNAMIC（拜亚动力）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sz w:val="18"/>
                <w:szCs w:val="18"/>
              </w:rPr>
            </w:pPr>
            <w:r>
              <w:rPr>
                <w:rFonts w:hint="eastAsia" w:hAnsi="宋体" w:cs="宋体"/>
                <w:sz w:val="18"/>
                <w:szCs w:val="18"/>
              </w:rPr>
              <w:t>双屏桌面无纸化终端（带话筒）、无纸化服务器(含软件）</w:t>
            </w:r>
          </w:p>
        </w:tc>
        <w:tc>
          <w:tcPr>
            <w:tcW w:w="1413" w:type="pct"/>
            <w:noWrap w:val="0"/>
            <w:vAlign w:val="center"/>
          </w:tcPr>
          <w:p>
            <w:pPr>
              <w:widowControl/>
              <w:jc w:val="center"/>
              <w:rPr>
                <w:rFonts w:hint="eastAsia"/>
                <w:sz w:val="18"/>
                <w:szCs w:val="18"/>
              </w:rPr>
            </w:pPr>
            <w:r>
              <w:rPr>
                <w:rFonts w:hint="eastAsia" w:hAnsi="宋体" w:cs="宋体"/>
                <w:sz w:val="18"/>
                <w:szCs w:val="18"/>
              </w:rPr>
              <w:t>GONSIN（公信）、TAIDEN（台电）、YMIOO（优麦）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sz w:val="18"/>
                <w:szCs w:val="18"/>
              </w:rPr>
            </w:pPr>
            <w:r>
              <w:rPr>
                <w:rFonts w:hint="eastAsia" w:hAnsi="宋体" w:cs="宋体"/>
                <w:sz w:val="18"/>
                <w:szCs w:val="18"/>
              </w:rPr>
              <w:t>录播主机、高清会议摄像机</w:t>
            </w:r>
          </w:p>
        </w:tc>
        <w:tc>
          <w:tcPr>
            <w:tcW w:w="1413" w:type="pct"/>
            <w:noWrap w:val="0"/>
            <w:vAlign w:val="center"/>
          </w:tcPr>
          <w:p>
            <w:pPr>
              <w:widowControl/>
              <w:jc w:val="center"/>
              <w:rPr>
                <w:rFonts w:hint="eastAsia"/>
                <w:sz w:val="18"/>
                <w:szCs w:val="18"/>
              </w:rPr>
            </w:pPr>
            <w:r>
              <w:rPr>
                <w:rFonts w:hint="eastAsia" w:hAnsi="宋体" w:cs="宋体"/>
                <w:sz w:val="18"/>
                <w:szCs w:val="18"/>
              </w:rPr>
              <w:t>GONSIN（公信）、TAIDEN（台电）、REACH（锐取）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color w:val="000000"/>
                <w:sz w:val="18"/>
                <w:szCs w:val="18"/>
                <w:lang w:bidi="ar"/>
              </w:rPr>
            </w:pPr>
            <w:r>
              <w:rPr>
                <w:rFonts w:hint="eastAsia" w:hAnsi="宋体" w:cs="宋体"/>
                <w:sz w:val="18"/>
                <w:szCs w:val="18"/>
              </w:rPr>
              <w:t>无缝混插矩阵主机</w:t>
            </w:r>
          </w:p>
        </w:tc>
        <w:tc>
          <w:tcPr>
            <w:tcW w:w="1413" w:type="pct"/>
            <w:noWrap w:val="0"/>
            <w:vAlign w:val="center"/>
          </w:tcPr>
          <w:p>
            <w:pPr>
              <w:widowControl/>
              <w:tabs>
                <w:tab w:val="left" w:pos="326"/>
              </w:tabs>
              <w:rPr>
                <w:rFonts w:hint="eastAsia"/>
                <w:sz w:val="18"/>
                <w:szCs w:val="18"/>
              </w:rPr>
            </w:pPr>
            <w:r>
              <w:rPr>
                <w:rFonts w:hint="eastAsia" w:hAnsi="宋体" w:cs="宋体"/>
                <w:sz w:val="18"/>
                <w:szCs w:val="18"/>
              </w:rPr>
              <w:t>GONSIN（公信）、TAIDEN（台电）、YMIOO（优麦）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color w:val="000000"/>
                <w:sz w:val="18"/>
                <w:szCs w:val="18"/>
                <w:lang w:bidi="ar"/>
              </w:rPr>
            </w:pPr>
            <w:r>
              <w:rPr>
                <w:rFonts w:hint="eastAsia" w:hAnsi="宋体" w:cs="宋体"/>
                <w:sz w:val="18"/>
                <w:szCs w:val="18"/>
              </w:rPr>
              <w:t>无线分享系统</w:t>
            </w:r>
          </w:p>
        </w:tc>
        <w:tc>
          <w:tcPr>
            <w:tcW w:w="1413" w:type="pct"/>
            <w:noWrap w:val="0"/>
            <w:vAlign w:val="center"/>
          </w:tcPr>
          <w:p>
            <w:pPr>
              <w:widowControl/>
              <w:tabs>
                <w:tab w:val="left" w:pos="326"/>
              </w:tabs>
              <w:rPr>
                <w:rFonts w:hint="eastAsia"/>
                <w:sz w:val="18"/>
                <w:szCs w:val="18"/>
              </w:rPr>
            </w:pPr>
            <w:r>
              <w:rPr>
                <w:rFonts w:hint="eastAsia" w:hAnsi="宋体" w:cs="宋体"/>
                <w:sz w:val="18"/>
                <w:szCs w:val="18"/>
              </w:rPr>
              <w:t>CISONE（启沃）、MAXHUB（领效）、HUAWEI（华为）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color w:val="000000"/>
                <w:sz w:val="18"/>
                <w:szCs w:val="18"/>
                <w:lang w:bidi="ar"/>
              </w:rPr>
            </w:pPr>
            <w:r>
              <w:rPr>
                <w:rFonts w:hint="eastAsia" w:hAnsi="宋体" w:cs="宋体"/>
                <w:sz w:val="18"/>
                <w:szCs w:val="18"/>
              </w:rPr>
              <w:t>舞台灯光系统</w:t>
            </w:r>
          </w:p>
        </w:tc>
        <w:tc>
          <w:tcPr>
            <w:tcW w:w="1413" w:type="pct"/>
            <w:noWrap w:val="0"/>
            <w:vAlign w:val="center"/>
          </w:tcPr>
          <w:p>
            <w:pPr>
              <w:widowControl/>
              <w:tabs>
                <w:tab w:val="left" w:pos="326"/>
              </w:tabs>
              <w:rPr>
                <w:rFonts w:hint="eastAsia"/>
                <w:sz w:val="18"/>
                <w:szCs w:val="18"/>
              </w:rPr>
            </w:pPr>
            <w:r>
              <w:rPr>
                <w:rFonts w:hint="eastAsia" w:hAnsi="宋体" w:cs="宋体"/>
                <w:sz w:val="18"/>
                <w:szCs w:val="18"/>
              </w:rPr>
              <w:t>SKYPRO（思凯）、YEDER（熠达）、GTD（明道）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color w:val="000000"/>
                <w:sz w:val="18"/>
                <w:szCs w:val="18"/>
                <w:lang w:bidi="ar"/>
              </w:rPr>
            </w:pPr>
            <w:r>
              <w:rPr>
                <w:rFonts w:hint="eastAsia" w:hAnsi="宋体" w:cs="宋体"/>
                <w:sz w:val="18"/>
                <w:szCs w:val="18"/>
              </w:rPr>
              <w:t>中央控制系统主机</w:t>
            </w:r>
          </w:p>
        </w:tc>
        <w:tc>
          <w:tcPr>
            <w:tcW w:w="1413" w:type="pct"/>
            <w:noWrap w:val="0"/>
            <w:vAlign w:val="center"/>
          </w:tcPr>
          <w:p>
            <w:pPr>
              <w:widowControl/>
              <w:tabs>
                <w:tab w:val="left" w:pos="326"/>
              </w:tabs>
              <w:rPr>
                <w:rFonts w:hint="eastAsia"/>
                <w:sz w:val="18"/>
                <w:szCs w:val="18"/>
              </w:rPr>
            </w:pPr>
            <w:r>
              <w:rPr>
                <w:rFonts w:hint="eastAsia" w:hAnsi="宋体" w:cs="宋体"/>
                <w:sz w:val="18"/>
                <w:szCs w:val="18"/>
              </w:rPr>
              <w:t>GONSIN（公信）、TAIDEN（台电）、YMIOO（优麦）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color w:val="000000"/>
                <w:sz w:val="18"/>
                <w:szCs w:val="18"/>
                <w:lang w:bidi="ar"/>
              </w:rPr>
            </w:pPr>
            <w:r>
              <w:rPr>
                <w:rFonts w:hint="eastAsia" w:hAnsi="宋体" w:cs="宋体"/>
                <w:sz w:val="18"/>
                <w:szCs w:val="18"/>
              </w:rPr>
              <w:t>电子白板触摸</w:t>
            </w:r>
            <w:r>
              <w:rPr>
                <w:rFonts w:hint="eastAsia" w:cs="宋体"/>
                <w:sz w:val="18"/>
                <w:szCs w:val="18"/>
              </w:rPr>
              <w:t>一</w:t>
            </w:r>
            <w:r>
              <w:rPr>
                <w:rFonts w:hint="eastAsia" w:hAnsi="宋体" w:cs="宋体"/>
                <w:sz w:val="18"/>
                <w:szCs w:val="18"/>
              </w:rPr>
              <w:t>体机</w:t>
            </w:r>
          </w:p>
        </w:tc>
        <w:tc>
          <w:tcPr>
            <w:tcW w:w="1413" w:type="pct"/>
            <w:noWrap w:val="0"/>
            <w:vAlign w:val="center"/>
          </w:tcPr>
          <w:p>
            <w:pPr>
              <w:widowControl/>
              <w:tabs>
                <w:tab w:val="left" w:pos="326"/>
              </w:tabs>
              <w:rPr>
                <w:rFonts w:hint="eastAsia"/>
                <w:sz w:val="18"/>
                <w:szCs w:val="18"/>
              </w:rPr>
            </w:pPr>
            <w:r>
              <w:rPr>
                <w:rFonts w:hint="eastAsia" w:hAnsi="宋体" w:cs="宋体"/>
                <w:sz w:val="18"/>
                <w:szCs w:val="18"/>
              </w:rPr>
              <w:t>CISONE（启沃）、MAXHUB（领效）、HUAWEI（华为）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color w:val="000000"/>
                <w:sz w:val="18"/>
                <w:szCs w:val="18"/>
                <w:lang w:bidi="ar"/>
              </w:rPr>
            </w:pPr>
            <w:r>
              <w:rPr>
                <w:rFonts w:hint="eastAsia" w:hAnsi="宋体" w:cs="宋体"/>
                <w:sz w:val="18"/>
                <w:szCs w:val="18"/>
              </w:rPr>
              <w:t>投影机</w:t>
            </w:r>
          </w:p>
        </w:tc>
        <w:tc>
          <w:tcPr>
            <w:tcW w:w="1413" w:type="pct"/>
            <w:noWrap w:val="0"/>
            <w:vAlign w:val="center"/>
          </w:tcPr>
          <w:p>
            <w:pPr>
              <w:widowControl/>
              <w:tabs>
                <w:tab w:val="left" w:pos="326"/>
              </w:tabs>
              <w:rPr>
                <w:rFonts w:hint="eastAsia"/>
                <w:sz w:val="18"/>
                <w:szCs w:val="18"/>
              </w:rPr>
            </w:pPr>
            <w:r>
              <w:rPr>
                <w:rFonts w:hint="eastAsia" w:hAnsi="宋体" w:cs="宋体"/>
                <w:sz w:val="18"/>
                <w:szCs w:val="18"/>
              </w:rPr>
              <w:t>MAXELL（麦克赛尔）、NEC（恩益禧）、Panasonic（松下）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restart"/>
            <w:noWrap w:val="0"/>
            <w:vAlign w:val="top"/>
          </w:tcPr>
          <w:p>
            <w:pPr>
              <w:pStyle w:val="2"/>
              <w:rPr>
                <w:rFonts w:hint="eastAsia"/>
              </w:rPr>
            </w:pPr>
          </w:p>
          <w:p>
            <w:pPr>
              <w:pStyle w:val="2"/>
              <w:rPr>
                <w:rFonts w:hint="eastAsia"/>
                <w:b/>
              </w:rPr>
            </w:pPr>
            <w:r>
              <w:rPr>
                <w:rFonts w:hint="eastAsia"/>
                <w:b/>
              </w:rPr>
              <w:t xml:space="preserve"> 7</w:t>
            </w:r>
          </w:p>
        </w:tc>
        <w:tc>
          <w:tcPr>
            <w:tcW w:w="915" w:type="pct"/>
            <w:vMerge w:val="restart"/>
            <w:noWrap w:val="0"/>
            <w:vAlign w:val="center"/>
          </w:tcPr>
          <w:p>
            <w:pPr>
              <w:widowControl/>
              <w:rPr>
                <w:rFonts w:hint="eastAsia"/>
                <w:sz w:val="18"/>
                <w:szCs w:val="18"/>
              </w:rPr>
            </w:pPr>
            <w:r>
              <w:rPr>
                <w:rFonts w:hint="eastAsia" w:hAnsi="宋体" w:cs="宋体"/>
                <w:sz w:val="18"/>
                <w:szCs w:val="18"/>
              </w:rPr>
              <w:t>信息发布系统</w:t>
            </w:r>
          </w:p>
        </w:tc>
        <w:tc>
          <w:tcPr>
            <w:tcW w:w="2193" w:type="pct"/>
            <w:noWrap w:val="0"/>
            <w:vAlign w:val="center"/>
          </w:tcPr>
          <w:p>
            <w:pPr>
              <w:widowControl/>
              <w:rPr>
                <w:rFonts w:hint="eastAsia"/>
                <w:sz w:val="18"/>
                <w:szCs w:val="18"/>
              </w:rPr>
            </w:pPr>
            <w:r>
              <w:rPr>
                <w:rFonts w:hint="eastAsia" w:hAnsi="宋体" w:cs="宋体"/>
                <w:sz w:val="18"/>
                <w:szCs w:val="18"/>
              </w:rPr>
              <w:t>多媒体综合业务显示系统、LED点阵屏管理模块、21.5寸电子班牌、多媒体控制盒</w:t>
            </w:r>
          </w:p>
        </w:tc>
        <w:tc>
          <w:tcPr>
            <w:tcW w:w="1413" w:type="pct"/>
            <w:noWrap w:val="0"/>
            <w:vAlign w:val="center"/>
          </w:tcPr>
          <w:p>
            <w:pPr>
              <w:widowControl/>
              <w:jc w:val="center"/>
              <w:rPr>
                <w:rFonts w:hint="eastAsia"/>
                <w:sz w:val="18"/>
                <w:szCs w:val="18"/>
              </w:rPr>
            </w:pPr>
            <w:r>
              <w:rPr>
                <w:rFonts w:hint="eastAsia" w:hAnsi="宋体" w:cs="宋体"/>
                <w:sz w:val="18"/>
                <w:szCs w:val="18"/>
              </w:rPr>
              <w:t>神州视翰、优达智通、     苏州迈新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sz w:val="18"/>
                <w:szCs w:val="18"/>
              </w:rPr>
            </w:pPr>
            <w:r>
              <w:rPr>
                <w:rFonts w:hint="eastAsia" w:hAnsi="宋体" w:cs="宋体"/>
                <w:sz w:val="18"/>
                <w:szCs w:val="18"/>
              </w:rPr>
              <w:t>LED显示屏、控制系统（接收卡）、控制系统（发送卡）</w:t>
            </w:r>
          </w:p>
        </w:tc>
        <w:tc>
          <w:tcPr>
            <w:tcW w:w="1413" w:type="pct"/>
            <w:noWrap w:val="0"/>
            <w:vAlign w:val="center"/>
          </w:tcPr>
          <w:p>
            <w:pPr>
              <w:widowControl/>
              <w:jc w:val="center"/>
              <w:rPr>
                <w:rFonts w:hint="eastAsia"/>
                <w:sz w:val="18"/>
                <w:szCs w:val="18"/>
              </w:rPr>
            </w:pPr>
            <w:r>
              <w:rPr>
                <w:rFonts w:hint="eastAsia" w:hAnsi="宋体" w:cs="宋体"/>
                <w:sz w:val="18"/>
                <w:szCs w:val="18"/>
              </w:rPr>
              <w:t>洲明、三思、利亚德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vMerge w:val="continue"/>
            <w:noWrap w:val="0"/>
            <w:vAlign w:val="top"/>
          </w:tcPr>
          <w:p>
            <w:pPr>
              <w:widowControl/>
              <w:jc w:val="center"/>
              <w:rPr>
                <w:rFonts w:hint="eastAsia" w:ascii="黑体" w:hAnsi="黑体" w:eastAsia="黑体"/>
                <w:b/>
                <w:bCs/>
                <w:szCs w:val="24"/>
              </w:rPr>
            </w:pPr>
          </w:p>
        </w:tc>
        <w:tc>
          <w:tcPr>
            <w:tcW w:w="915" w:type="pct"/>
            <w:vMerge w:val="continue"/>
            <w:noWrap w:val="0"/>
            <w:vAlign w:val="center"/>
          </w:tcPr>
          <w:p>
            <w:pPr>
              <w:widowControl/>
              <w:rPr>
                <w:rFonts w:hint="eastAsia"/>
                <w:sz w:val="18"/>
                <w:szCs w:val="18"/>
              </w:rPr>
            </w:pPr>
          </w:p>
        </w:tc>
        <w:tc>
          <w:tcPr>
            <w:tcW w:w="2193" w:type="pct"/>
            <w:noWrap w:val="0"/>
            <w:vAlign w:val="center"/>
          </w:tcPr>
          <w:p>
            <w:pPr>
              <w:widowControl/>
              <w:rPr>
                <w:rFonts w:hint="eastAsia"/>
                <w:sz w:val="18"/>
                <w:szCs w:val="18"/>
              </w:rPr>
            </w:pPr>
            <w:r>
              <w:rPr>
                <w:rFonts w:hint="eastAsia" w:hAnsi="宋体" w:cs="宋体"/>
                <w:sz w:val="18"/>
                <w:szCs w:val="18"/>
              </w:rPr>
              <w:t>图像拼接控制器</w:t>
            </w:r>
          </w:p>
        </w:tc>
        <w:tc>
          <w:tcPr>
            <w:tcW w:w="1413" w:type="pct"/>
            <w:noWrap w:val="0"/>
            <w:vAlign w:val="center"/>
          </w:tcPr>
          <w:p>
            <w:pPr>
              <w:widowControl/>
              <w:jc w:val="center"/>
              <w:rPr>
                <w:rFonts w:hint="eastAsia"/>
                <w:sz w:val="18"/>
                <w:szCs w:val="18"/>
              </w:rPr>
            </w:pPr>
            <w:r>
              <w:rPr>
                <w:rFonts w:hint="eastAsia" w:hAnsi="宋体" w:cs="宋体"/>
                <w:sz w:val="18"/>
                <w:szCs w:val="18"/>
              </w:rPr>
              <w:t xml:space="preserve"> 淳中、小鸟、创凯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noWrap w:val="0"/>
            <w:vAlign w:val="top"/>
          </w:tcPr>
          <w:p>
            <w:pPr>
              <w:widowControl/>
              <w:jc w:val="center"/>
              <w:rPr>
                <w:rFonts w:ascii="黑体" w:hAnsi="黑体" w:eastAsia="黑体" w:cs="宋体"/>
                <w:b/>
                <w:bCs/>
                <w:szCs w:val="24"/>
              </w:rPr>
            </w:pPr>
          </w:p>
          <w:p>
            <w:pPr>
              <w:pStyle w:val="2"/>
              <w:ind w:firstLine="241" w:firstLineChars="100"/>
              <w:rPr>
                <w:b/>
              </w:rPr>
            </w:pPr>
            <w:r>
              <w:rPr>
                <w:rFonts w:hint="eastAsia"/>
                <w:b/>
              </w:rPr>
              <w:t>8</w:t>
            </w:r>
          </w:p>
          <w:p>
            <w:pPr>
              <w:rPr>
                <w:rFonts w:hint="eastAsia" w:ascii="黑体" w:hAnsi="黑体" w:eastAsia="黑体"/>
                <w:b/>
                <w:bCs/>
                <w:szCs w:val="24"/>
              </w:rPr>
            </w:pPr>
          </w:p>
        </w:tc>
        <w:tc>
          <w:tcPr>
            <w:tcW w:w="915" w:type="pct"/>
            <w:noWrap w:val="0"/>
            <w:vAlign w:val="center"/>
          </w:tcPr>
          <w:p>
            <w:pPr>
              <w:pStyle w:val="2"/>
              <w:rPr>
                <w:rFonts w:hint="eastAsia"/>
                <w:sz w:val="18"/>
                <w:szCs w:val="18"/>
              </w:rPr>
            </w:pPr>
            <w:r>
              <w:rPr>
                <w:rFonts w:hint="eastAsia" w:cs="宋体"/>
                <w:bCs w:val="0"/>
                <w:sz w:val="18"/>
                <w:szCs w:val="18"/>
              </w:rPr>
              <w:t>能耗监测系统</w:t>
            </w:r>
          </w:p>
        </w:tc>
        <w:tc>
          <w:tcPr>
            <w:tcW w:w="2193" w:type="pct"/>
            <w:noWrap w:val="0"/>
            <w:vAlign w:val="center"/>
          </w:tcPr>
          <w:p>
            <w:pPr>
              <w:widowControl/>
              <w:rPr>
                <w:rFonts w:hint="eastAsia"/>
                <w:sz w:val="18"/>
                <w:szCs w:val="18"/>
              </w:rPr>
            </w:pPr>
            <w:r>
              <w:rPr>
                <w:rFonts w:hint="eastAsia" w:hAnsi="宋体" w:cs="宋体"/>
                <w:color w:val="000000"/>
                <w:sz w:val="18"/>
                <w:szCs w:val="18"/>
                <w:lang w:bidi="ar"/>
              </w:rPr>
              <w:t>能源计量管理软件、能源网关系统、路由器控制箱</w:t>
            </w:r>
          </w:p>
        </w:tc>
        <w:tc>
          <w:tcPr>
            <w:tcW w:w="1413" w:type="pct"/>
            <w:noWrap w:val="0"/>
            <w:vAlign w:val="center"/>
          </w:tcPr>
          <w:p>
            <w:pPr>
              <w:widowControl/>
              <w:jc w:val="center"/>
              <w:rPr>
                <w:rFonts w:hint="eastAsia"/>
                <w:sz w:val="18"/>
                <w:szCs w:val="18"/>
              </w:rPr>
            </w:pPr>
            <w:r>
              <w:rPr>
                <w:rFonts w:hint="eastAsia" w:hAnsi="宋体" w:cs="宋体"/>
                <w:sz w:val="18"/>
                <w:szCs w:val="18"/>
              </w:rPr>
              <w:t>和欣、大唐、埃尔法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noWrap w:val="0"/>
            <w:vAlign w:val="top"/>
          </w:tcPr>
          <w:p>
            <w:pPr>
              <w:widowControl/>
              <w:jc w:val="center"/>
              <w:rPr>
                <w:rFonts w:hint="eastAsia" w:ascii="黑体" w:hAnsi="黑体" w:eastAsia="黑体" w:cs="宋体"/>
                <w:b/>
                <w:bCs/>
                <w:szCs w:val="24"/>
              </w:rPr>
            </w:pPr>
            <w:r>
              <w:rPr>
                <w:rFonts w:hint="eastAsia" w:ascii="黑体" w:hAnsi="黑体" w:eastAsia="黑体" w:cs="宋体"/>
                <w:b/>
                <w:bCs/>
                <w:szCs w:val="24"/>
              </w:rPr>
              <w:t>9</w:t>
            </w:r>
          </w:p>
        </w:tc>
        <w:tc>
          <w:tcPr>
            <w:tcW w:w="915" w:type="pct"/>
            <w:noWrap w:val="0"/>
            <w:vAlign w:val="center"/>
          </w:tcPr>
          <w:p>
            <w:pPr>
              <w:widowControl/>
              <w:rPr>
                <w:rFonts w:hint="eastAsia"/>
                <w:sz w:val="18"/>
                <w:szCs w:val="18"/>
              </w:rPr>
            </w:pPr>
            <w:r>
              <w:rPr>
                <w:rFonts w:hint="eastAsia" w:hAnsi="宋体" w:cs="宋体"/>
                <w:sz w:val="18"/>
                <w:szCs w:val="18"/>
              </w:rPr>
              <w:t>智慧党校平台系统</w:t>
            </w:r>
          </w:p>
        </w:tc>
        <w:tc>
          <w:tcPr>
            <w:tcW w:w="2193" w:type="pct"/>
            <w:noWrap w:val="0"/>
            <w:vAlign w:val="center"/>
          </w:tcPr>
          <w:p>
            <w:pPr>
              <w:widowControl/>
              <w:rPr>
                <w:rFonts w:hint="eastAsia"/>
                <w:sz w:val="18"/>
                <w:szCs w:val="18"/>
              </w:rPr>
            </w:pPr>
            <w:r>
              <w:rPr>
                <w:rFonts w:hint="eastAsia" w:hAnsi="宋体" w:cs="宋体"/>
                <w:color w:val="000000"/>
                <w:sz w:val="18"/>
                <w:szCs w:val="18"/>
                <w:lang w:bidi="ar"/>
              </w:rPr>
              <w:t>全部功能模块</w:t>
            </w:r>
          </w:p>
        </w:tc>
        <w:tc>
          <w:tcPr>
            <w:tcW w:w="1413" w:type="pct"/>
            <w:noWrap w:val="0"/>
            <w:vAlign w:val="center"/>
          </w:tcPr>
          <w:p>
            <w:pPr>
              <w:widowControl/>
              <w:jc w:val="center"/>
              <w:rPr>
                <w:rFonts w:hint="eastAsia"/>
                <w:sz w:val="18"/>
                <w:szCs w:val="18"/>
              </w:rPr>
            </w:pPr>
            <w:r>
              <w:rPr>
                <w:rFonts w:hint="eastAsia" w:hAnsi="宋体" w:cs="宋体"/>
                <w:color w:val="000000"/>
                <w:sz w:val="18"/>
                <w:szCs w:val="18"/>
                <w:lang w:bidi="ar"/>
              </w:rPr>
              <w:t>明高软件、联智创新、     皖和科技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noWrap w:val="0"/>
            <w:vAlign w:val="top"/>
          </w:tcPr>
          <w:p>
            <w:pPr>
              <w:widowControl/>
              <w:jc w:val="center"/>
              <w:rPr>
                <w:rFonts w:hint="eastAsia" w:ascii="黑体" w:hAnsi="黑体" w:eastAsia="黑体" w:cs="宋体"/>
                <w:b/>
                <w:bCs/>
                <w:szCs w:val="24"/>
              </w:rPr>
            </w:pPr>
            <w:r>
              <w:rPr>
                <w:rFonts w:hint="eastAsia" w:ascii="黑体" w:hAnsi="黑体" w:eastAsia="黑体" w:cs="宋体"/>
                <w:b/>
                <w:bCs/>
                <w:szCs w:val="24"/>
              </w:rPr>
              <w:t>10</w:t>
            </w:r>
          </w:p>
        </w:tc>
        <w:tc>
          <w:tcPr>
            <w:tcW w:w="915" w:type="pct"/>
            <w:noWrap w:val="0"/>
            <w:vAlign w:val="center"/>
          </w:tcPr>
          <w:p>
            <w:pPr>
              <w:widowControl/>
              <w:rPr>
                <w:rFonts w:hint="eastAsia"/>
                <w:sz w:val="18"/>
                <w:szCs w:val="18"/>
              </w:rPr>
            </w:pPr>
            <w:r>
              <w:rPr>
                <w:rFonts w:hint="eastAsia" w:hAnsi="宋体" w:cs="宋体"/>
                <w:sz w:val="18"/>
                <w:szCs w:val="18"/>
              </w:rPr>
              <w:t>停车</w:t>
            </w:r>
            <w:r>
              <w:rPr>
                <w:rFonts w:hint="eastAsia" w:cs="宋体"/>
                <w:sz w:val="18"/>
                <w:szCs w:val="18"/>
              </w:rPr>
              <w:t>场</w:t>
            </w:r>
            <w:r>
              <w:rPr>
                <w:rFonts w:hint="eastAsia" w:hAnsi="宋体" w:cs="宋体"/>
                <w:sz w:val="18"/>
                <w:szCs w:val="18"/>
              </w:rPr>
              <w:t>管理系统</w:t>
            </w:r>
          </w:p>
        </w:tc>
        <w:tc>
          <w:tcPr>
            <w:tcW w:w="2193" w:type="pct"/>
            <w:noWrap w:val="0"/>
            <w:vAlign w:val="center"/>
          </w:tcPr>
          <w:p>
            <w:pPr>
              <w:widowControl/>
              <w:rPr>
                <w:rFonts w:hint="eastAsia"/>
                <w:color w:val="000000"/>
                <w:sz w:val="18"/>
                <w:szCs w:val="18"/>
                <w:lang w:bidi="ar"/>
              </w:rPr>
            </w:pPr>
            <w:r>
              <w:rPr>
                <w:rFonts w:hint="eastAsia" w:hAnsi="宋体" w:cs="宋体"/>
                <w:color w:val="000000"/>
                <w:sz w:val="18"/>
                <w:szCs w:val="18"/>
                <w:lang w:bidi="ar"/>
              </w:rPr>
              <w:t>出入口控制管理系统、数字道闸、车辆检测器、高清车牌识别一体机、车牌识别加密狗</w:t>
            </w:r>
          </w:p>
        </w:tc>
        <w:tc>
          <w:tcPr>
            <w:tcW w:w="1413" w:type="pct"/>
            <w:noWrap w:val="0"/>
            <w:vAlign w:val="center"/>
          </w:tcPr>
          <w:p>
            <w:pPr>
              <w:widowControl/>
              <w:jc w:val="center"/>
              <w:rPr>
                <w:rFonts w:hint="eastAsia"/>
                <w:color w:val="000000"/>
                <w:sz w:val="18"/>
                <w:szCs w:val="18"/>
                <w:lang w:bidi="ar"/>
              </w:rPr>
            </w:pPr>
            <w:r>
              <w:rPr>
                <w:rFonts w:hint="eastAsia" w:hAnsi="宋体" w:cs="宋体"/>
                <w:sz w:val="18"/>
                <w:szCs w:val="18"/>
              </w:rPr>
              <w:t>达实、卡德、新开普</w:t>
            </w:r>
            <w:r>
              <w:rPr>
                <w:rFonts w:hint="eastAsia" w:cs="宋体"/>
                <w:sz w:val="18"/>
                <w:szCs w:val="18"/>
              </w:rPr>
              <w:t>、      银通物联</w:t>
            </w:r>
          </w:p>
        </w:tc>
      </w:tr>
    </w:tbl>
    <w:p>
      <w:pPr>
        <w:spacing w:line="360" w:lineRule="auto"/>
        <w:ind w:firstLine="482" w:firstLineChars="200"/>
        <w:rPr>
          <w:b/>
          <w:color w:val="auto"/>
          <w:szCs w:val="21"/>
        </w:rPr>
      </w:pPr>
      <w:r>
        <w:rPr>
          <w:b/>
          <w:color w:val="auto"/>
          <w:szCs w:val="21"/>
        </w:rPr>
        <w:t xml:space="preserve">备注： </w:t>
      </w:r>
    </w:p>
    <w:p>
      <w:pPr>
        <w:spacing w:line="360" w:lineRule="auto"/>
        <w:ind w:firstLine="412" w:firstLineChars="171"/>
        <w:rPr>
          <w:rFonts w:hint="eastAsia"/>
          <w:b/>
          <w:color w:val="auto"/>
          <w:szCs w:val="21"/>
        </w:rPr>
      </w:pPr>
      <w:r>
        <w:rPr>
          <w:rFonts w:hint="eastAsia"/>
          <w:b/>
          <w:color w:val="auto"/>
          <w:szCs w:val="21"/>
        </w:rPr>
        <w:t>投标人中标后如出现招标人推荐品牌被其他投标人报备情况，中标人向招标人提供确切证据后，经招标人组织专家考察及相关品牌和设备论证，同时经原设计单位认可后，招标人有权依据评审意见更换能满足招标文件技术要求的其他品牌产品，且产品价格不予调整，相关风险由投标人综合考虑。</w:t>
      </w:r>
    </w:p>
    <w:p>
      <w:pPr>
        <w:spacing w:line="360" w:lineRule="auto"/>
        <w:ind w:firstLine="412" w:firstLineChars="171"/>
        <w:outlineLvl w:val="2"/>
        <w:rPr>
          <w:rFonts w:hint="eastAsia"/>
          <w:b/>
          <w:bCs/>
          <w:color w:val="auto"/>
          <w:szCs w:val="21"/>
        </w:rPr>
      </w:pPr>
      <w:bookmarkStart w:id="1057" w:name="_Hlk178157279"/>
      <w:r>
        <w:rPr>
          <w:rFonts w:hint="eastAsia"/>
          <w:b/>
          <w:bCs/>
          <w:color w:val="auto"/>
          <w:szCs w:val="21"/>
        </w:rPr>
        <w:t>（三）系统兼容性要求</w:t>
      </w:r>
    </w:p>
    <w:p>
      <w:pPr>
        <w:spacing w:line="360" w:lineRule="auto"/>
        <w:ind w:firstLine="410" w:firstLineChars="171"/>
        <w:rPr>
          <w:b/>
          <w:bCs/>
          <w:color w:val="auto"/>
          <w:szCs w:val="21"/>
        </w:rPr>
      </w:pPr>
      <w:r>
        <w:rPr>
          <w:rFonts w:hint="eastAsia"/>
          <w:color w:val="auto"/>
          <w:szCs w:val="21"/>
        </w:rPr>
        <w:t>为保证项目建成后使用单位能够方便使用、管理和维护智能化设备，要求智能化各个子系统须具备良好的兼容性。</w:t>
      </w:r>
      <w:r>
        <w:rPr>
          <w:rFonts w:hint="eastAsia"/>
          <w:b/>
          <w:bCs/>
          <w:color w:val="auto"/>
          <w:szCs w:val="21"/>
        </w:rPr>
        <w:t>以下产品如有，选型必须满足以下要求，投标时需提供承诺满足要求</w:t>
      </w:r>
      <w:r>
        <w:rPr>
          <w:rFonts w:hint="eastAsia"/>
          <w:b/>
          <w:bCs/>
          <w:color w:val="auto"/>
          <w:szCs w:val="21"/>
          <w:lang w:eastAsia="zh-CN"/>
        </w:rPr>
        <w:t>，</w:t>
      </w:r>
      <w:r>
        <w:rPr>
          <w:rFonts w:hint="eastAsia"/>
          <w:b/>
          <w:bCs/>
          <w:color w:val="auto"/>
          <w:szCs w:val="21"/>
        </w:rPr>
        <w:t>承诺函格式自拟。</w:t>
      </w:r>
    </w:p>
    <w:tbl>
      <w:tblPr>
        <w:tblStyle w:val="53"/>
        <w:tblW w:w="5000" w:type="pct"/>
        <w:tblInd w:w="113" w:type="dxa"/>
        <w:tblLayout w:type="autofit"/>
        <w:tblCellMar>
          <w:top w:w="0" w:type="dxa"/>
          <w:left w:w="108" w:type="dxa"/>
          <w:bottom w:w="0" w:type="dxa"/>
          <w:right w:w="108" w:type="dxa"/>
        </w:tblCellMar>
      </w:tblPr>
      <w:tblGrid>
        <w:gridCol w:w="457"/>
        <w:gridCol w:w="1527"/>
        <w:gridCol w:w="6532"/>
      </w:tblGrid>
      <w:tr>
        <w:tblPrEx>
          <w:tblCellMar>
            <w:top w:w="0" w:type="dxa"/>
            <w:left w:w="108" w:type="dxa"/>
            <w:bottom w:w="0" w:type="dxa"/>
            <w:right w:w="108" w:type="dxa"/>
          </w:tblCellMar>
        </w:tblPrEx>
        <w:trPr>
          <w:trHeight w:val="480" w:hRule="atLeast"/>
        </w:trPr>
        <w:tc>
          <w:tcPr>
            <w:tcW w:w="26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Ansi="宋体"/>
                <w:b/>
                <w:bCs/>
                <w:color w:val="auto"/>
                <w:szCs w:val="21"/>
              </w:rPr>
            </w:pPr>
            <w:r>
              <w:rPr>
                <w:rFonts w:hint="eastAsia" w:hAnsi="宋体"/>
                <w:b/>
                <w:bCs/>
                <w:color w:val="auto"/>
                <w:szCs w:val="21"/>
              </w:rPr>
              <w:t>序号</w:t>
            </w:r>
          </w:p>
        </w:tc>
        <w:tc>
          <w:tcPr>
            <w:tcW w:w="897"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Ansi="宋体"/>
                <w:b/>
                <w:bCs/>
                <w:color w:val="auto"/>
                <w:szCs w:val="21"/>
              </w:rPr>
            </w:pPr>
            <w:r>
              <w:rPr>
                <w:rFonts w:hint="eastAsia" w:hAnsi="宋体"/>
                <w:b/>
                <w:bCs/>
                <w:color w:val="auto"/>
                <w:szCs w:val="21"/>
              </w:rPr>
              <w:t>系统名称</w:t>
            </w:r>
          </w:p>
        </w:tc>
        <w:tc>
          <w:tcPr>
            <w:tcW w:w="3835"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Ansi="宋体"/>
                <w:b/>
                <w:bCs/>
                <w:color w:val="auto"/>
                <w:szCs w:val="21"/>
              </w:rPr>
            </w:pPr>
            <w:r>
              <w:rPr>
                <w:rFonts w:hint="eastAsia" w:hAnsi="宋体"/>
                <w:b/>
                <w:bCs/>
                <w:color w:val="auto"/>
                <w:szCs w:val="21"/>
              </w:rPr>
              <w:t>主要产品兼容性要求</w:t>
            </w:r>
          </w:p>
        </w:tc>
      </w:tr>
      <w:tr>
        <w:tblPrEx>
          <w:tblCellMar>
            <w:top w:w="0" w:type="dxa"/>
            <w:left w:w="108" w:type="dxa"/>
            <w:bottom w:w="0" w:type="dxa"/>
            <w:right w:w="108" w:type="dxa"/>
          </w:tblCellMar>
        </w:tblPrEx>
        <w:trPr>
          <w:trHeight w:val="480" w:hRule="atLeast"/>
        </w:trPr>
        <w:tc>
          <w:tcPr>
            <w:tcW w:w="268"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1</w:t>
            </w:r>
          </w:p>
        </w:tc>
        <w:tc>
          <w:tcPr>
            <w:tcW w:w="897"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综合布线系统</w:t>
            </w:r>
          </w:p>
        </w:tc>
        <w:tc>
          <w:tcPr>
            <w:tcW w:w="3835" w:type="pct"/>
            <w:tcBorders>
              <w:top w:val="nil"/>
              <w:left w:val="nil"/>
              <w:bottom w:val="single" w:color="auto" w:sz="4" w:space="0"/>
              <w:right w:val="single" w:color="auto" w:sz="4" w:space="0"/>
            </w:tcBorders>
            <w:noWrap w:val="0"/>
            <w:vAlign w:val="center"/>
          </w:tcPr>
          <w:p>
            <w:pPr>
              <w:widowControl/>
              <w:spacing w:line="360" w:lineRule="auto"/>
              <w:rPr>
                <w:rFonts w:hint="eastAsia" w:hAnsi="宋体"/>
                <w:color w:val="auto"/>
                <w:szCs w:val="21"/>
              </w:rPr>
            </w:pPr>
            <w:r>
              <w:rPr>
                <w:rFonts w:hint="eastAsia" w:hAnsi="宋体"/>
                <w:color w:val="auto"/>
                <w:szCs w:val="21"/>
              </w:rPr>
              <w:t>铜缆部分（面板、模块、铜缆、跳线和配线架）所有元件及光纤传输部分（光缆、耦合器、光纤跳线、配线架）所有元件，要求同一品牌原厂产品。</w:t>
            </w:r>
          </w:p>
        </w:tc>
      </w:tr>
      <w:tr>
        <w:tblPrEx>
          <w:tblCellMar>
            <w:top w:w="0" w:type="dxa"/>
            <w:left w:w="108" w:type="dxa"/>
            <w:bottom w:w="0" w:type="dxa"/>
            <w:right w:w="108" w:type="dxa"/>
          </w:tblCellMar>
        </w:tblPrEx>
        <w:trPr>
          <w:trHeight w:val="720" w:hRule="atLeast"/>
        </w:trPr>
        <w:tc>
          <w:tcPr>
            <w:tcW w:w="268"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2</w:t>
            </w:r>
          </w:p>
        </w:tc>
        <w:tc>
          <w:tcPr>
            <w:tcW w:w="897"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计算机网络</w:t>
            </w:r>
          </w:p>
        </w:tc>
        <w:tc>
          <w:tcPr>
            <w:tcW w:w="3835" w:type="pct"/>
            <w:tcBorders>
              <w:top w:val="nil"/>
              <w:left w:val="nil"/>
              <w:bottom w:val="single" w:color="auto" w:sz="4" w:space="0"/>
              <w:right w:val="single" w:color="auto" w:sz="4" w:space="0"/>
            </w:tcBorders>
            <w:noWrap w:val="0"/>
            <w:vAlign w:val="center"/>
          </w:tcPr>
          <w:p>
            <w:pPr>
              <w:widowControl/>
              <w:spacing w:line="360" w:lineRule="auto"/>
              <w:rPr>
                <w:rFonts w:hint="eastAsia" w:hAnsi="宋体"/>
                <w:color w:val="auto"/>
                <w:szCs w:val="21"/>
              </w:rPr>
            </w:pPr>
            <w:r>
              <w:rPr>
                <w:rFonts w:hint="eastAsia" w:hAnsi="宋体"/>
                <w:color w:val="auto"/>
                <w:szCs w:val="21"/>
              </w:rPr>
              <w:t>交换机、无线控制器、无线AP，要求同一品牌原厂产品。</w:t>
            </w:r>
          </w:p>
        </w:tc>
      </w:tr>
      <w:tr>
        <w:tblPrEx>
          <w:tblCellMar>
            <w:top w:w="0" w:type="dxa"/>
            <w:left w:w="108" w:type="dxa"/>
            <w:bottom w:w="0" w:type="dxa"/>
            <w:right w:w="108" w:type="dxa"/>
          </w:tblCellMar>
        </w:tblPrEx>
        <w:trPr>
          <w:trHeight w:val="960" w:hRule="atLeast"/>
        </w:trPr>
        <w:tc>
          <w:tcPr>
            <w:tcW w:w="268"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3</w:t>
            </w:r>
          </w:p>
        </w:tc>
        <w:tc>
          <w:tcPr>
            <w:tcW w:w="897"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综合安防系统</w:t>
            </w:r>
          </w:p>
        </w:tc>
        <w:tc>
          <w:tcPr>
            <w:tcW w:w="3835" w:type="pct"/>
            <w:tcBorders>
              <w:top w:val="nil"/>
              <w:left w:val="nil"/>
              <w:bottom w:val="single" w:color="auto" w:sz="4" w:space="0"/>
              <w:right w:val="single" w:color="auto" w:sz="4" w:space="0"/>
            </w:tcBorders>
            <w:noWrap w:val="0"/>
            <w:vAlign w:val="top"/>
          </w:tcPr>
          <w:p>
            <w:pPr>
              <w:widowControl/>
              <w:spacing w:line="360" w:lineRule="auto"/>
              <w:rPr>
                <w:rFonts w:hint="eastAsia" w:hAnsi="宋体"/>
                <w:color w:val="auto"/>
                <w:szCs w:val="21"/>
              </w:rPr>
            </w:pPr>
            <w:r>
              <w:rPr>
                <w:rFonts w:hint="eastAsia" w:hAnsi="宋体"/>
                <w:color w:val="auto"/>
                <w:szCs w:val="21"/>
              </w:rPr>
              <w:t>摄像机、网络视频解码器、网络视频存储服务器、智能物联综合管理平台，要求同一品牌原厂产品。</w:t>
            </w:r>
          </w:p>
        </w:tc>
      </w:tr>
      <w:tr>
        <w:tblPrEx>
          <w:tblCellMar>
            <w:top w:w="0" w:type="dxa"/>
            <w:left w:w="108" w:type="dxa"/>
            <w:bottom w:w="0" w:type="dxa"/>
            <w:right w:w="108" w:type="dxa"/>
          </w:tblCellMar>
        </w:tblPrEx>
        <w:trPr>
          <w:trHeight w:val="1200" w:hRule="atLeast"/>
        </w:trPr>
        <w:tc>
          <w:tcPr>
            <w:tcW w:w="268"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4</w:t>
            </w:r>
          </w:p>
        </w:tc>
        <w:tc>
          <w:tcPr>
            <w:tcW w:w="897"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一卡通管理系统</w:t>
            </w:r>
          </w:p>
        </w:tc>
        <w:tc>
          <w:tcPr>
            <w:tcW w:w="3835" w:type="pct"/>
            <w:tcBorders>
              <w:top w:val="nil"/>
              <w:left w:val="nil"/>
              <w:bottom w:val="single" w:color="auto" w:sz="4" w:space="0"/>
              <w:right w:val="single" w:color="auto" w:sz="4" w:space="0"/>
            </w:tcBorders>
            <w:noWrap w:val="0"/>
            <w:vAlign w:val="center"/>
          </w:tcPr>
          <w:p>
            <w:pPr>
              <w:widowControl/>
              <w:spacing w:line="360" w:lineRule="auto"/>
              <w:rPr>
                <w:rFonts w:hint="eastAsia" w:hAnsi="宋体"/>
                <w:color w:val="auto"/>
                <w:szCs w:val="21"/>
              </w:rPr>
            </w:pPr>
            <w:r>
              <w:rPr>
                <w:rFonts w:hint="eastAsia" w:hAnsi="宋体"/>
                <w:color w:val="auto"/>
                <w:szCs w:val="21"/>
              </w:rPr>
              <w:t>一卡通中心管理平台、门禁控制器、智能卡消费终端、无线联网智能门锁、考勤机，要求同一品牌原厂产品。</w:t>
            </w:r>
          </w:p>
        </w:tc>
      </w:tr>
      <w:tr>
        <w:tblPrEx>
          <w:tblCellMar>
            <w:top w:w="0" w:type="dxa"/>
            <w:left w:w="108" w:type="dxa"/>
            <w:bottom w:w="0" w:type="dxa"/>
            <w:right w:w="108" w:type="dxa"/>
          </w:tblCellMar>
        </w:tblPrEx>
        <w:trPr>
          <w:trHeight w:val="480" w:hRule="atLeast"/>
        </w:trPr>
        <w:tc>
          <w:tcPr>
            <w:tcW w:w="268"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5</w:t>
            </w:r>
          </w:p>
        </w:tc>
        <w:tc>
          <w:tcPr>
            <w:tcW w:w="897"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停车管理系统</w:t>
            </w:r>
          </w:p>
        </w:tc>
        <w:tc>
          <w:tcPr>
            <w:tcW w:w="3835" w:type="pct"/>
            <w:tcBorders>
              <w:top w:val="nil"/>
              <w:left w:val="nil"/>
              <w:bottom w:val="single" w:color="auto" w:sz="4" w:space="0"/>
              <w:right w:val="single" w:color="auto" w:sz="4" w:space="0"/>
            </w:tcBorders>
            <w:noWrap w:val="0"/>
            <w:vAlign w:val="center"/>
          </w:tcPr>
          <w:p>
            <w:pPr>
              <w:widowControl/>
              <w:spacing w:line="360" w:lineRule="auto"/>
              <w:rPr>
                <w:rFonts w:hint="eastAsia" w:hAnsi="宋体"/>
                <w:color w:val="auto"/>
                <w:szCs w:val="21"/>
              </w:rPr>
            </w:pPr>
            <w:r>
              <w:rPr>
                <w:rFonts w:hint="eastAsia" w:hAnsi="宋体"/>
                <w:color w:val="auto"/>
                <w:szCs w:val="21"/>
              </w:rPr>
              <w:t>出入口控制管理系统、高清车牌识别一体机，要求同一品牌原厂产品。</w:t>
            </w:r>
          </w:p>
        </w:tc>
      </w:tr>
      <w:tr>
        <w:tblPrEx>
          <w:tblCellMar>
            <w:top w:w="0" w:type="dxa"/>
            <w:left w:w="108" w:type="dxa"/>
            <w:bottom w:w="0" w:type="dxa"/>
            <w:right w:w="108" w:type="dxa"/>
          </w:tblCellMar>
        </w:tblPrEx>
        <w:trPr>
          <w:trHeight w:val="480" w:hRule="atLeast"/>
        </w:trPr>
        <w:tc>
          <w:tcPr>
            <w:tcW w:w="268"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6</w:t>
            </w:r>
          </w:p>
        </w:tc>
        <w:tc>
          <w:tcPr>
            <w:tcW w:w="897"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hAnsi="宋体"/>
                <w:color w:val="auto"/>
                <w:szCs w:val="21"/>
              </w:rPr>
            </w:pPr>
            <w:r>
              <w:rPr>
                <w:rFonts w:hint="eastAsia" w:hAnsi="宋体"/>
                <w:color w:val="auto"/>
                <w:szCs w:val="21"/>
              </w:rPr>
              <w:t>机房系统</w:t>
            </w:r>
          </w:p>
        </w:tc>
        <w:tc>
          <w:tcPr>
            <w:tcW w:w="3835" w:type="pct"/>
            <w:tcBorders>
              <w:top w:val="nil"/>
              <w:left w:val="nil"/>
              <w:bottom w:val="single" w:color="auto" w:sz="4" w:space="0"/>
              <w:right w:val="single" w:color="auto" w:sz="4" w:space="0"/>
            </w:tcBorders>
            <w:noWrap w:val="0"/>
            <w:vAlign w:val="center"/>
          </w:tcPr>
          <w:p>
            <w:pPr>
              <w:widowControl/>
              <w:spacing w:line="360" w:lineRule="auto"/>
              <w:rPr>
                <w:rFonts w:hint="eastAsia" w:hAnsi="宋体"/>
                <w:color w:val="auto"/>
                <w:szCs w:val="21"/>
              </w:rPr>
            </w:pPr>
            <w:r>
              <w:rPr>
                <w:rFonts w:hint="eastAsia" w:hAnsi="宋体"/>
                <w:color w:val="auto"/>
                <w:szCs w:val="21"/>
              </w:rPr>
              <w:t>微模块通道、服务器机柜、精密空调、智能一体化采集单元、UPS主机，要求同一品牌原厂产品。</w:t>
            </w:r>
          </w:p>
        </w:tc>
      </w:tr>
    </w:tbl>
    <w:p>
      <w:pPr>
        <w:spacing w:line="360" w:lineRule="auto"/>
        <w:outlineLvl w:val="2"/>
        <w:rPr>
          <w:b/>
          <w:bCs/>
          <w:color w:val="FF0000"/>
          <w:szCs w:val="21"/>
        </w:rPr>
      </w:pPr>
    </w:p>
    <w:p>
      <w:pPr>
        <w:spacing w:line="360" w:lineRule="auto"/>
        <w:ind w:firstLine="412" w:firstLineChars="171"/>
        <w:outlineLvl w:val="2"/>
        <w:rPr>
          <w:rFonts w:hint="eastAsia"/>
          <w:b/>
          <w:bCs/>
          <w:color w:val="auto"/>
          <w:szCs w:val="21"/>
          <w:highlight w:val="none"/>
        </w:rPr>
      </w:pPr>
      <w:r>
        <w:rPr>
          <w:rFonts w:hint="eastAsia"/>
          <w:b/>
          <w:bCs/>
          <w:color w:val="auto"/>
          <w:szCs w:val="21"/>
          <w:highlight w:val="none"/>
        </w:rPr>
        <w:t>（四）标后提供产品资料汇总表</w:t>
      </w:r>
    </w:p>
    <w:tbl>
      <w:tblPr>
        <w:tblStyle w:val="53"/>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9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68" w:type="pct"/>
            <w:noWrap w:val="0"/>
            <w:vAlign w:val="center"/>
          </w:tcPr>
          <w:p>
            <w:pPr>
              <w:widowControl/>
              <w:spacing w:line="360" w:lineRule="auto"/>
              <w:jc w:val="center"/>
              <w:rPr>
                <w:rFonts w:hAnsi="宋体"/>
                <w:b/>
                <w:bCs/>
                <w:color w:val="auto"/>
                <w:szCs w:val="21"/>
                <w:highlight w:val="none"/>
              </w:rPr>
            </w:pPr>
            <w:r>
              <w:rPr>
                <w:rFonts w:hint="eastAsia" w:hAnsi="宋体"/>
                <w:b/>
                <w:bCs/>
                <w:color w:val="auto"/>
                <w:szCs w:val="21"/>
                <w:highlight w:val="none"/>
              </w:rPr>
              <w:t>序号</w:t>
            </w:r>
          </w:p>
        </w:tc>
        <w:tc>
          <w:tcPr>
            <w:tcW w:w="641" w:type="pct"/>
            <w:noWrap w:val="0"/>
            <w:vAlign w:val="center"/>
          </w:tcPr>
          <w:p>
            <w:pPr>
              <w:widowControl/>
              <w:spacing w:line="360" w:lineRule="auto"/>
              <w:jc w:val="center"/>
              <w:rPr>
                <w:rFonts w:hAnsi="宋体"/>
                <w:b/>
                <w:bCs/>
                <w:color w:val="auto"/>
                <w:szCs w:val="21"/>
                <w:highlight w:val="none"/>
              </w:rPr>
            </w:pPr>
            <w:bookmarkStart w:id="1058" w:name="RANGE!B1:D9"/>
            <w:r>
              <w:rPr>
                <w:rFonts w:hint="eastAsia" w:hAnsi="宋体"/>
                <w:b/>
                <w:bCs/>
                <w:color w:val="auto"/>
                <w:szCs w:val="21"/>
                <w:highlight w:val="none"/>
              </w:rPr>
              <w:t>项目名称</w:t>
            </w:r>
            <w:bookmarkEnd w:id="1058"/>
          </w:p>
        </w:tc>
        <w:tc>
          <w:tcPr>
            <w:tcW w:w="4090" w:type="pct"/>
            <w:noWrap w:val="0"/>
            <w:vAlign w:val="center"/>
          </w:tcPr>
          <w:p>
            <w:pPr>
              <w:widowControl/>
              <w:spacing w:line="360" w:lineRule="auto"/>
              <w:jc w:val="center"/>
              <w:rPr>
                <w:rFonts w:hAnsi="宋体"/>
                <w:b/>
                <w:bCs/>
                <w:color w:val="auto"/>
                <w:szCs w:val="21"/>
                <w:highlight w:val="none"/>
              </w:rPr>
            </w:pPr>
            <w:r>
              <w:rPr>
                <w:rFonts w:hint="eastAsia" w:hAnsi="宋体"/>
                <w:b/>
                <w:bCs/>
                <w:color w:val="auto"/>
                <w:szCs w:val="21"/>
                <w:highlight w:val="none"/>
              </w:rPr>
              <w:t>设备参数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1</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核心交换机（校园网）</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支持专门针对CPU的保护机制和基础网络保护机制，即使在受到攻击的情况下，也能保护系统各种服务的正常运行，保持较低的CPU负载。</w:t>
            </w:r>
          </w:p>
          <w:p>
            <w:pPr>
              <w:widowControl/>
              <w:spacing w:line="360" w:lineRule="auto"/>
              <w:rPr>
                <w:rFonts w:hint="eastAsia" w:hAnsi="宋体"/>
                <w:b/>
                <w:color w:val="auto"/>
                <w:szCs w:val="21"/>
                <w:highlight w:val="none"/>
              </w:rPr>
            </w:pPr>
            <w:r>
              <w:rPr>
                <w:rFonts w:hint="eastAsia" w:hAnsi="宋体"/>
                <w:b/>
                <w:color w:val="auto"/>
                <w:szCs w:val="21"/>
                <w:highlight w:val="none"/>
              </w:rPr>
              <w:t>注：提供第三方检测机构出具的检测报告扫描件（检测报告须具有CMA或CNAS标识）。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68"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2</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48口千兆接入交换机</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支持设备虚拟化功能（V</w:t>
            </w:r>
            <w:r>
              <w:rPr>
                <w:rFonts w:hAnsi="宋体"/>
                <w:color w:val="auto"/>
                <w:szCs w:val="21"/>
                <w:highlight w:val="none"/>
              </w:rPr>
              <w:t>SU</w:t>
            </w:r>
            <w:r>
              <w:rPr>
                <w:rFonts w:hint="eastAsia" w:hAnsi="宋体"/>
                <w:color w:val="auto"/>
                <w:szCs w:val="21"/>
                <w:highlight w:val="none"/>
              </w:rPr>
              <w:t>），能够将多台物理设备虚拟成1台逻辑设备，同时虚拟化故障恢复时间小于30ms。</w:t>
            </w:r>
            <w:r>
              <w:rPr>
                <w:rFonts w:hAnsi="宋体"/>
                <w:color w:val="auto"/>
                <w:szCs w:val="21"/>
                <w:highlight w:val="none"/>
              </w:rPr>
              <w:br w:type="textWrapping"/>
            </w:r>
            <w:r>
              <w:rPr>
                <w:rFonts w:hint="eastAsia" w:hAnsi="宋体"/>
                <w:b/>
                <w:color w:val="auto"/>
                <w:szCs w:val="21"/>
                <w:highlight w:val="none"/>
              </w:rPr>
              <w:t>注：提供第三方检测机构出具的检测报告扫描件。（检测报告须具有CMA或CNAS标识）。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3</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面板AP</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为快速建立高度隔离的安全网络，设备应支持实现AP虚拟化功能，实现一台AP虚拟为多台AP，分别受不同AC设备独立管理，互不影响。不同虚拟 AP之间数据隔离，虚拟AP在AC上不占用AP License。</w:t>
            </w:r>
          </w:p>
          <w:p>
            <w:pPr>
              <w:widowControl/>
              <w:spacing w:line="360" w:lineRule="auto"/>
              <w:rPr>
                <w:rFonts w:hint="eastAsia" w:hAnsi="宋体"/>
                <w:b/>
                <w:color w:val="auto"/>
                <w:szCs w:val="21"/>
                <w:highlight w:val="none"/>
              </w:rPr>
            </w:pPr>
            <w:r>
              <w:rPr>
                <w:rFonts w:hint="eastAsia" w:hAnsi="宋体"/>
                <w:b/>
                <w:color w:val="auto"/>
                <w:szCs w:val="21"/>
                <w:highlight w:val="none"/>
              </w:rPr>
              <w:t>注：提供第三方检测机构出具的检测报告扫描件。（检测报告须具有CMA或CNAS标识）。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68"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4</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出口防火墙</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支持僵木蠕防御、支持DGA检测、恶意加密流量检测、隐蔽信道检测种类的高级威胁防御，支持被测设备上自动添加了恶意加密流量的阻断策略，被测设备上产生相应访问控制日志；支持在被测设备上产生相应的ICMP、DNS、NTP类型的隐蔽信道日志，支持EDR、漏扫、WAF、高级可持续性威胁防御联动。</w:t>
            </w:r>
          </w:p>
          <w:p>
            <w:pPr>
              <w:widowControl/>
              <w:spacing w:line="360" w:lineRule="auto"/>
              <w:rPr>
                <w:rFonts w:hint="eastAsia" w:hAnsi="宋体"/>
                <w:b/>
                <w:color w:val="auto"/>
                <w:szCs w:val="21"/>
                <w:highlight w:val="none"/>
              </w:rPr>
            </w:pPr>
            <w:r>
              <w:rPr>
                <w:rFonts w:hint="eastAsia" w:hAnsi="宋体"/>
                <w:b/>
                <w:color w:val="auto"/>
                <w:szCs w:val="21"/>
                <w:highlight w:val="none"/>
              </w:rPr>
              <w:t>注：提供第三方检测机构出具的检测报告扫描件（检测报告须具有CMA或CNAS标识）。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5</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负载均衡设备</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支持链路负载均衡、服务器负载均衡和全局负载均衡的功能多功能合一,无需额外购买相应授权，集成TCP协议优化、WEB压缩缓存、页面加速、SSL卸载、网络防火墙、Web应用防火墙、DNS防火墙、漏洞扫描、四七层DDos攻击防护等功能。</w:t>
            </w:r>
          </w:p>
          <w:p>
            <w:pPr>
              <w:widowControl/>
              <w:spacing w:line="360" w:lineRule="auto"/>
              <w:rPr>
                <w:rFonts w:hint="eastAsia" w:hAnsi="宋体"/>
                <w:b/>
                <w:color w:val="auto"/>
                <w:szCs w:val="21"/>
                <w:highlight w:val="none"/>
              </w:rPr>
            </w:pPr>
            <w:r>
              <w:rPr>
                <w:rFonts w:hint="eastAsia" w:hAnsi="宋体"/>
                <w:b/>
                <w:color w:val="auto"/>
                <w:szCs w:val="21"/>
                <w:highlight w:val="none"/>
              </w:rPr>
              <w:t>注：提供产品软件功能截图或第三方检测机构出具的检测报告扫描件（检测报告须具有CMA或CNAS标识）。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 w:type="pct"/>
            <w:noWrap w:val="0"/>
            <w:vAlign w:val="center"/>
          </w:tcPr>
          <w:p>
            <w:pPr>
              <w:widowControl/>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val="en-US" w:eastAsia="zh-CN"/>
              </w:rPr>
              <w:t>6</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日志审计</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支持IPv6/IPv4双栈环境部署，对IPv6/IPv4日志源的日志进行采集，支持标准协议下（Syslog）的IPv6日志采集，支持IPv6日志的查询、统计和存储。</w:t>
            </w:r>
          </w:p>
          <w:p>
            <w:pPr>
              <w:spacing w:line="360" w:lineRule="auto"/>
              <w:rPr>
                <w:rFonts w:hint="eastAsia" w:hAnsi="宋体"/>
                <w:b/>
                <w:color w:val="auto"/>
                <w:szCs w:val="21"/>
                <w:highlight w:val="none"/>
              </w:rPr>
            </w:pPr>
            <w:r>
              <w:rPr>
                <w:rFonts w:hint="eastAsia" w:hAnsi="宋体"/>
                <w:b/>
                <w:color w:val="auto"/>
                <w:szCs w:val="21"/>
                <w:highlight w:val="none"/>
              </w:rPr>
              <w:t>注：提供第三方检测机构出具的检测报告扫描件。（检测报告须具有CMA或CNAS标识）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8" w:type="pct"/>
            <w:noWrap w:val="0"/>
            <w:vAlign w:val="center"/>
          </w:tcPr>
          <w:p>
            <w:pPr>
              <w:widowControl/>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val="en-US" w:eastAsia="zh-CN"/>
              </w:rPr>
              <w:t>7</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高空全景摄像机</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主视频图像可将任意连续的4个图像采集模块输出的监视画面进行无缝拼接显示。</w:t>
            </w:r>
          </w:p>
          <w:p>
            <w:pPr>
              <w:widowControl/>
              <w:spacing w:line="360" w:lineRule="auto"/>
              <w:rPr>
                <w:rFonts w:hint="eastAsia" w:hAnsi="宋体"/>
                <w:color w:val="auto"/>
                <w:szCs w:val="21"/>
                <w:highlight w:val="none"/>
              </w:rPr>
            </w:pPr>
            <w:r>
              <w:rPr>
                <w:rFonts w:hint="eastAsia" w:hAnsi="宋体"/>
                <w:b/>
                <w:color w:val="auto"/>
                <w:szCs w:val="21"/>
                <w:highlight w:val="none"/>
              </w:rPr>
              <w:t>注：提供第三方检测机构出具的检测报告扫描件。（检测报告须具有CMA或CNAS标识）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 w:type="pct"/>
            <w:noWrap w:val="0"/>
            <w:vAlign w:val="center"/>
          </w:tcPr>
          <w:p>
            <w:pPr>
              <w:widowControl/>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val="en-US" w:eastAsia="zh-CN"/>
              </w:rPr>
              <w:t>8</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智能视频监控一体机</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支持人体以图搜图，可导入目标人体图片并设置相似度，检索出符合目标相似度的人体图片，可查看背景图并回放关联录像并导出人体、人脸及录像、属性excel表格。支持人脸抓拍图像和抓拍信息上传，与客户端地图关联，形成人员轨迹信息。</w:t>
            </w:r>
          </w:p>
          <w:p>
            <w:pPr>
              <w:widowControl/>
              <w:spacing w:line="360" w:lineRule="auto"/>
              <w:rPr>
                <w:rFonts w:hint="eastAsia" w:hAnsi="宋体"/>
                <w:b/>
                <w:color w:val="auto"/>
                <w:szCs w:val="21"/>
                <w:highlight w:val="none"/>
              </w:rPr>
            </w:pPr>
            <w:r>
              <w:rPr>
                <w:rFonts w:hint="eastAsia" w:hAnsi="宋体"/>
                <w:b/>
                <w:color w:val="auto"/>
                <w:szCs w:val="21"/>
                <w:highlight w:val="none"/>
              </w:rPr>
              <w:t>注：提供第三方检测机构出具的检测报告扫描件。（检测报告须具有CMA或CNAS标识）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 w:type="pct"/>
            <w:noWrap w:val="0"/>
            <w:vAlign w:val="center"/>
          </w:tcPr>
          <w:p>
            <w:pPr>
              <w:widowControl/>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val="en-US" w:eastAsia="zh-CN"/>
              </w:rPr>
              <w:t>9</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门禁控制器、读卡器及人脸识别一体机</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门禁控制器、门禁读卡器及人脸识别一体机防尘防水需满足GB/T4208和IEC60529标准的IP66防护等级要求。</w:t>
            </w:r>
          </w:p>
          <w:p>
            <w:pPr>
              <w:widowControl/>
              <w:spacing w:line="360" w:lineRule="auto"/>
              <w:rPr>
                <w:rFonts w:hint="eastAsia" w:hAnsi="宋体"/>
                <w:b/>
                <w:color w:val="auto"/>
                <w:szCs w:val="21"/>
                <w:highlight w:val="none"/>
              </w:rPr>
            </w:pPr>
            <w:r>
              <w:rPr>
                <w:rFonts w:hint="eastAsia" w:hAnsi="宋体"/>
                <w:b/>
                <w:color w:val="auto"/>
                <w:szCs w:val="21"/>
                <w:highlight w:val="none"/>
              </w:rPr>
              <w:t>注：提供第三方检测机构出具的检测报告扫描件。（检测报告须具有CMA或CNAS标识）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 w:type="pct"/>
            <w:noWrap w:val="0"/>
            <w:vAlign w:val="center"/>
          </w:tcPr>
          <w:p>
            <w:pPr>
              <w:widowControl/>
              <w:spacing w:line="360" w:lineRule="auto"/>
              <w:jc w:val="center"/>
              <w:rPr>
                <w:rFonts w:hint="eastAsia" w:hAnsi="宋体" w:eastAsia="宋体"/>
                <w:color w:val="auto"/>
                <w:szCs w:val="21"/>
                <w:highlight w:val="none"/>
                <w:lang w:val="en-US" w:eastAsia="zh-CN"/>
              </w:rPr>
            </w:pPr>
            <w:r>
              <w:rPr>
                <w:rFonts w:hint="eastAsia" w:hAnsi="宋体"/>
                <w:color w:val="auto"/>
                <w:szCs w:val="21"/>
                <w:highlight w:val="none"/>
              </w:rPr>
              <w:t>1</w:t>
            </w:r>
            <w:r>
              <w:rPr>
                <w:rFonts w:hint="eastAsia" w:hAnsi="宋体"/>
                <w:color w:val="auto"/>
                <w:szCs w:val="21"/>
                <w:highlight w:val="none"/>
                <w:lang w:val="en-US" w:eastAsia="zh-CN"/>
              </w:rPr>
              <w:t>0</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微模块</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为保证整体微模块的质量可靠性及稳定性，需提供第三方机构出具的微模块整体检验报告（微模块送检样品UPS系统不低于150KW，测试项目需包括UPS电源系统、机柜系统、制冷系统、配电系统、智能监测系统以及整体测试等）。</w:t>
            </w:r>
          </w:p>
          <w:p>
            <w:pPr>
              <w:widowControl/>
              <w:spacing w:line="360" w:lineRule="auto"/>
              <w:rPr>
                <w:rFonts w:hint="eastAsia" w:hAnsi="宋体"/>
                <w:b/>
                <w:color w:val="auto"/>
                <w:szCs w:val="21"/>
                <w:highlight w:val="none"/>
              </w:rPr>
            </w:pPr>
            <w:r>
              <w:rPr>
                <w:rFonts w:hint="eastAsia" w:hAnsi="宋体"/>
                <w:b/>
                <w:color w:val="auto"/>
                <w:szCs w:val="21"/>
                <w:highlight w:val="none"/>
              </w:rPr>
              <w:t>注：提供第三方检测机构出具的检测报告扫描件。（检测报告须具有CMA或CNAS标识）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 w:type="pct"/>
            <w:noWrap w:val="0"/>
            <w:vAlign w:val="center"/>
          </w:tcPr>
          <w:p>
            <w:pPr>
              <w:widowControl/>
              <w:spacing w:line="360" w:lineRule="auto"/>
              <w:jc w:val="center"/>
              <w:rPr>
                <w:rFonts w:hint="eastAsia" w:hAnsi="宋体" w:eastAsia="宋体"/>
                <w:color w:val="auto"/>
                <w:szCs w:val="21"/>
                <w:highlight w:val="none"/>
                <w:lang w:val="en-US" w:eastAsia="zh-CN"/>
              </w:rPr>
            </w:pPr>
            <w:r>
              <w:rPr>
                <w:rFonts w:hint="eastAsia" w:hAnsi="宋体"/>
                <w:color w:val="auto"/>
                <w:szCs w:val="21"/>
                <w:highlight w:val="none"/>
              </w:rPr>
              <w:t>1</w:t>
            </w:r>
            <w:r>
              <w:rPr>
                <w:rFonts w:hint="eastAsia" w:hAnsi="宋体"/>
                <w:color w:val="auto"/>
                <w:szCs w:val="21"/>
                <w:highlight w:val="none"/>
                <w:lang w:val="en-US" w:eastAsia="zh-CN"/>
              </w:rPr>
              <w:t>1</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数字合并式功放</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各路输入具有独立音量调节，且总音量具有高音、低音调节及音量大小控制。</w:t>
            </w:r>
          </w:p>
          <w:p>
            <w:pPr>
              <w:widowControl/>
              <w:spacing w:line="360" w:lineRule="auto"/>
              <w:rPr>
                <w:rFonts w:hint="eastAsia" w:hAnsi="宋体"/>
                <w:b/>
                <w:color w:val="auto"/>
                <w:szCs w:val="21"/>
                <w:highlight w:val="none"/>
              </w:rPr>
            </w:pPr>
            <w:r>
              <w:rPr>
                <w:rFonts w:hint="eastAsia" w:hAnsi="宋体"/>
                <w:b/>
                <w:color w:val="auto"/>
                <w:szCs w:val="21"/>
                <w:highlight w:val="none"/>
              </w:rPr>
              <w:t>注：提供第三方检测机构出具的检测报告扫描件。（检测报告须具有CMA或CNAS标识）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68" w:type="pct"/>
            <w:noWrap w:val="0"/>
            <w:vAlign w:val="center"/>
          </w:tcPr>
          <w:p>
            <w:pPr>
              <w:widowControl/>
              <w:spacing w:line="360" w:lineRule="auto"/>
              <w:jc w:val="center"/>
              <w:rPr>
                <w:rFonts w:hint="eastAsia" w:hAnsi="宋体" w:eastAsia="宋体"/>
                <w:color w:val="auto"/>
                <w:szCs w:val="21"/>
                <w:highlight w:val="none"/>
                <w:lang w:eastAsia="zh-CN"/>
              </w:rPr>
            </w:pPr>
            <w:r>
              <w:rPr>
                <w:rFonts w:hint="eastAsia" w:hAnsi="宋体"/>
                <w:color w:val="auto"/>
                <w:szCs w:val="21"/>
                <w:highlight w:val="none"/>
              </w:rPr>
              <w:t>1</w:t>
            </w:r>
            <w:r>
              <w:rPr>
                <w:rFonts w:hint="eastAsia" w:hAnsi="宋体"/>
                <w:color w:val="auto"/>
                <w:szCs w:val="21"/>
                <w:highlight w:val="none"/>
                <w:lang w:val="en-US" w:eastAsia="zh-CN"/>
              </w:rPr>
              <w:t>2</w:t>
            </w:r>
          </w:p>
        </w:tc>
        <w:tc>
          <w:tcPr>
            <w:tcW w:w="641" w:type="pct"/>
            <w:noWrap w:val="0"/>
            <w:vAlign w:val="center"/>
          </w:tcPr>
          <w:p>
            <w:pPr>
              <w:widowControl/>
              <w:spacing w:line="360" w:lineRule="auto"/>
              <w:jc w:val="center"/>
              <w:rPr>
                <w:rFonts w:hint="eastAsia" w:hAnsi="宋体"/>
                <w:color w:val="auto"/>
                <w:szCs w:val="21"/>
                <w:highlight w:val="none"/>
              </w:rPr>
            </w:pPr>
            <w:bookmarkStart w:id="1059" w:name="_Hlk104392583"/>
            <w:r>
              <w:rPr>
                <w:rFonts w:hint="eastAsia" w:hAnsi="宋体"/>
                <w:color w:val="auto"/>
                <w:szCs w:val="21"/>
                <w:highlight w:val="none"/>
              </w:rPr>
              <w:t>LED显示屏</w:t>
            </w:r>
            <w:bookmarkEnd w:id="1059"/>
          </w:p>
        </w:tc>
        <w:tc>
          <w:tcPr>
            <w:tcW w:w="4090" w:type="pct"/>
            <w:noWrap w:val="0"/>
            <w:vAlign w:val="center"/>
          </w:tcPr>
          <w:p>
            <w:pPr>
              <w:spacing w:line="360" w:lineRule="auto"/>
              <w:rPr>
                <w:rFonts w:hint="eastAsia" w:hAnsi="宋体"/>
                <w:color w:val="auto"/>
                <w:szCs w:val="21"/>
                <w:highlight w:val="none"/>
              </w:rPr>
            </w:pPr>
            <w:r>
              <w:rPr>
                <w:rFonts w:hint="eastAsia" w:hAnsi="宋体"/>
                <w:color w:val="auto"/>
                <w:szCs w:val="21"/>
                <w:highlight w:val="none"/>
              </w:rPr>
              <w:t>1.动态节能：带有智能节能功能、带电黑屏节电功能，开启智能节电功能比没有开启节能45%以上；LED显示屏能效：能效一级；PCB电路设计：PCB采用FR-4材质，灯驱合一，电路采用多层设计符合CQC13-471301-2018；电流增益调节级别：≥8位；</w:t>
            </w:r>
          </w:p>
          <w:p>
            <w:pPr>
              <w:spacing w:line="360" w:lineRule="auto"/>
              <w:rPr>
                <w:rFonts w:hint="eastAsia" w:hAnsi="宋体"/>
                <w:color w:val="auto"/>
                <w:szCs w:val="21"/>
                <w:highlight w:val="none"/>
              </w:rPr>
            </w:pPr>
            <w:r>
              <w:rPr>
                <w:rFonts w:hint="eastAsia" w:hAnsi="宋体"/>
                <w:b/>
                <w:color w:val="auto"/>
                <w:szCs w:val="21"/>
                <w:highlight w:val="none"/>
              </w:rPr>
              <w:t>注：提供第三方检测机构出具的检测报告扫描件。（检测报告须具有CMA或CNAS标识）</w:t>
            </w:r>
          </w:p>
          <w:p>
            <w:pPr>
              <w:spacing w:line="360" w:lineRule="auto"/>
              <w:rPr>
                <w:rFonts w:hint="eastAsia" w:hAnsi="宋体"/>
                <w:color w:val="auto"/>
                <w:szCs w:val="21"/>
                <w:highlight w:val="none"/>
              </w:rPr>
            </w:pPr>
            <w:r>
              <w:rPr>
                <w:rFonts w:hint="eastAsia" w:hAnsi="宋体"/>
                <w:color w:val="auto"/>
                <w:szCs w:val="21"/>
                <w:highlight w:val="none"/>
              </w:rPr>
              <w:t>2.模组机械强度：拉伸强度≥120MPA、弯曲强度≥140MPA；抗震等级：抗震等级＞8级 GB/T 17742-2008《中国地震烈度表》。</w:t>
            </w:r>
          </w:p>
          <w:p>
            <w:pPr>
              <w:spacing w:line="360" w:lineRule="auto"/>
              <w:rPr>
                <w:rFonts w:hint="eastAsia" w:hAnsi="宋体"/>
                <w:b/>
                <w:color w:val="auto"/>
                <w:szCs w:val="21"/>
                <w:highlight w:val="none"/>
              </w:rPr>
            </w:pPr>
            <w:r>
              <w:rPr>
                <w:rFonts w:hint="eastAsia" w:hAnsi="宋体"/>
                <w:b/>
                <w:color w:val="auto"/>
                <w:szCs w:val="21"/>
                <w:highlight w:val="none"/>
              </w:rPr>
              <w:t>注：提供第三方检测机构出具的检测报告扫描件。（检测报告须具有CMA或CNAS标识）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68" w:type="pct"/>
            <w:noWrap w:val="0"/>
            <w:vAlign w:val="center"/>
          </w:tcPr>
          <w:p>
            <w:pPr>
              <w:widowControl/>
              <w:spacing w:line="360" w:lineRule="auto"/>
              <w:jc w:val="center"/>
              <w:rPr>
                <w:rFonts w:hint="eastAsia" w:hAnsi="宋体" w:eastAsia="宋体"/>
                <w:color w:val="auto"/>
                <w:szCs w:val="21"/>
                <w:highlight w:val="none"/>
                <w:lang w:val="en-US" w:eastAsia="zh-CN"/>
              </w:rPr>
            </w:pPr>
            <w:r>
              <w:rPr>
                <w:rFonts w:hint="eastAsia" w:hAnsi="宋体"/>
                <w:color w:val="auto"/>
                <w:szCs w:val="21"/>
                <w:highlight w:val="none"/>
              </w:rPr>
              <w:t>1</w:t>
            </w:r>
            <w:r>
              <w:rPr>
                <w:rFonts w:hint="eastAsia" w:hAnsi="宋体"/>
                <w:color w:val="auto"/>
                <w:szCs w:val="21"/>
                <w:highlight w:val="none"/>
                <w:lang w:val="en-US" w:eastAsia="zh-CN"/>
              </w:rPr>
              <w:t>3</w:t>
            </w:r>
          </w:p>
        </w:tc>
        <w:tc>
          <w:tcPr>
            <w:tcW w:w="641" w:type="pct"/>
            <w:noWrap w:val="0"/>
            <w:vAlign w:val="center"/>
          </w:tcPr>
          <w:p>
            <w:pPr>
              <w:widowControl/>
              <w:spacing w:line="360" w:lineRule="auto"/>
              <w:jc w:val="center"/>
              <w:rPr>
                <w:rFonts w:hint="eastAsia" w:hAnsi="宋体"/>
                <w:color w:val="auto"/>
                <w:szCs w:val="21"/>
                <w:highlight w:val="none"/>
              </w:rPr>
            </w:pPr>
            <w:r>
              <w:rPr>
                <w:rFonts w:hint="eastAsia" w:hAnsi="宋体"/>
                <w:color w:val="auto"/>
                <w:szCs w:val="21"/>
                <w:highlight w:val="none"/>
              </w:rPr>
              <w:t>16路IP系列直接数字控制器</w:t>
            </w:r>
          </w:p>
        </w:tc>
        <w:tc>
          <w:tcPr>
            <w:tcW w:w="4090" w:type="pct"/>
            <w:noWrap w:val="0"/>
            <w:vAlign w:val="center"/>
          </w:tcPr>
          <w:p>
            <w:pPr>
              <w:widowControl/>
              <w:spacing w:line="360" w:lineRule="auto"/>
              <w:rPr>
                <w:rFonts w:hint="eastAsia" w:hAnsi="宋体"/>
                <w:color w:val="auto"/>
                <w:szCs w:val="21"/>
                <w:highlight w:val="none"/>
              </w:rPr>
            </w:pPr>
            <w:r>
              <w:rPr>
                <w:rFonts w:hint="eastAsia" w:hAnsi="宋体"/>
                <w:color w:val="auto"/>
                <w:szCs w:val="21"/>
                <w:highlight w:val="none"/>
              </w:rPr>
              <w:t>1.以太网口支持BACnet IP、Modbus TCP、UDP、TCP</w:t>
            </w:r>
            <w:r>
              <w:rPr>
                <w:rFonts w:hAnsi="宋体"/>
                <w:color w:val="auto"/>
                <w:szCs w:val="21"/>
                <w:highlight w:val="none"/>
              </w:rPr>
              <w:t>/IP</w:t>
            </w:r>
            <w:r>
              <w:rPr>
                <w:rFonts w:hint="eastAsia" w:hAnsi="宋体"/>
                <w:color w:val="auto"/>
                <w:szCs w:val="21"/>
                <w:highlight w:val="none"/>
              </w:rPr>
              <w:t>等。</w:t>
            </w:r>
          </w:p>
          <w:p>
            <w:pPr>
              <w:widowControl/>
              <w:spacing w:line="360" w:lineRule="auto"/>
              <w:rPr>
                <w:rFonts w:hint="eastAsia" w:hAnsi="宋体"/>
                <w:b/>
                <w:color w:val="auto"/>
                <w:szCs w:val="21"/>
                <w:highlight w:val="none"/>
              </w:rPr>
            </w:pPr>
            <w:r>
              <w:rPr>
                <w:rFonts w:hint="eastAsia" w:hAnsi="宋体"/>
                <w:b/>
                <w:color w:val="auto"/>
                <w:szCs w:val="21"/>
                <w:highlight w:val="none"/>
              </w:rPr>
              <w:t>注：提供第三方检测机构出具的检测报告扫描件。（检测报告须具有CMA或CNAS标识）</w:t>
            </w:r>
          </w:p>
          <w:p>
            <w:pPr>
              <w:widowControl/>
              <w:spacing w:line="360" w:lineRule="auto"/>
              <w:rPr>
                <w:rFonts w:hint="eastAsia" w:hAnsi="宋体"/>
                <w:color w:val="auto"/>
                <w:szCs w:val="21"/>
                <w:highlight w:val="none"/>
              </w:rPr>
            </w:pPr>
            <w:r>
              <w:rPr>
                <w:rFonts w:hint="eastAsia" w:hAnsi="宋体"/>
                <w:color w:val="auto"/>
                <w:szCs w:val="21"/>
                <w:highlight w:val="none"/>
              </w:rPr>
              <w:t>2.</w:t>
            </w:r>
            <w:r>
              <w:rPr>
                <w:rFonts w:hAnsi="宋体"/>
                <w:color w:val="auto"/>
                <w:szCs w:val="21"/>
                <w:highlight w:val="none"/>
              </w:rPr>
              <w:t>设备</w:t>
            </w:r>
            <w:r>
              <w:rPr>
                <w:rFonts w:hint="eastAsia" w:hAnsi="宋体"/>
                <w:color w:val="auto"/>
                <w:szCs w:val="21"/>
                <w:highlight w:val="none"/>
              </w:rPr>
              <w:t>R</w:t>
            </w:r>
            <w:r>
              <w:rPr>
                <w:rFonts w:hAnsi="宋体"/>
                <w:color w:val="auto"/>
                <w:szCs w:val="21"/>
                <w:highlight w:val="none"/>
              </w:rPr>
              <w:t>S485端</w:t>
            </w:r>
            <w:r>
              <w:rPr>
                <w:color w:val="auto"/>
                <w:szCs w:val="21"/>
                <w:highlight w:val="none"/>
              </w:rPr>
              <w:t>口</w:t>
            </w:r>
            <w:r>
              <w:rPr>
                <w:rFonts w:hint="eastAsia" w:hAnsi="宋体"/>
                <w:color w:val="auto"/>
                <w:szCs w:val="21"/>
                <w:highlight w:val="none"/>
              </w:rPr>
              <w:t>支持</w:t>
            </w:r>
            <w:r>
              <w:rPr>
                <w:rFonts w:hAnsi="宋体"/>
                <w:color w:val="auto"/>
                <w:szCs w:val="21"/>
                <w:highlight w:val="none"/>
              </w:rPr>
              <w:t>万能协议解析及转发</w:t>
            </w:r>
            <w:r>
              <w:rPr>
                <w:rFonts w:hint="eastAsia" w:hAnsi="宋体"/>
                <w:color w:val="auto"/>
                <w:szCs w:val="21"/>
                <w:highlight w:val="none"/>
              </w:rPr>
              <w:t>，P-</w:t>
            </w:r>
            <w:r>
              <w:rPr>
                <w:rFonts w:hAnsi="宋体"/>
                <w:color w:val="auto"/>
                <w:szCs w:val="21"/>
                <w:highlight w:val="none"/>
              </w:rPr>
              <w:t>BUS</w:t>
            </w:r>
            <w:r>
              <w:rPr>
                <w:rFonts w:hint="eastAsia" w:hAnsi="宋体"/>
                <w:color w:val="auto"/>
                <w:szCs w:val="21"/>
                <w:highlight w:val="none"/>
              </w:rPr>
              <w:t>端口具有高速、无极性、通信链路供电功能，总线端口支持BACnet MSTP、Modbus-RTU等协议。</w:t>
            </w:r>
          </w:p>
          <w:p>
            <w:pPr>
              <w:widowControl/>
              <w:spacing w:line="360" w:lineRule="auto"/>
              <w:rPr>
                <w:rFonts w:hint="eastAsia" w:hAnsi="宋体"/>
                <w:b/>
                <w:color w:val="auto"/>
                <w:szCs w:val="21"/>
                <w:highlight w:val="none"/>
              </w:rPr>
            </w:pPr>
            <w:r>
              <w:rPr>
                <w:rFonts w:hint="eastAsia" w:hAnsi="宋体"/>
                <w:b/>
                <w:color w:val="auto"/>
                <w:szCs w:val="21"/>
                <w:highlight w:val="none"/>
              </w:rPr>
              <w:t>注：</w:t>
            </w:r>
            <w:r>
              <w:rPr>
                <w:rFonts w:hint="eastAsia"/>
                <w:b/>
                <w:color w:val="auto"/>
                <w:szCs w:val="21"/>
                <w:highlight w:val="none"/>
              </w:rPr>
              <w:t>提供第三方检测机构出具的检测报告</w:t>
            </w:r>
            <w:r>
              <w:rPr>
                <w:rFonts w:hint="eastAsia" w:hAnsi="宋体"/>
                <w:b/>
                <w:color w:val="auto"/>
                <w:szCs w:val="21"/>
                <w:highlight w:val="none"/>
              </w:rPr>
              <w:t>扫描件。（检测报告须具有CMA或CNAS标识）</w:t>
            </w:r>
          </w:p>
        </w:tc>
      </w:tr>
      <w:bookmarkEnd w:id="1057"/>
    </w:tbl>
    <w:p>
      <w:pPr>
        <w:spacing w:line="360" w:lineRule="auto"/>
        <w:ind w:firstLine="412" w:firstLineChars="171"/>
        <w:rPr>
          <w:color w:val="auto"/>
          <w:highlight w:val="none"/>
        </w:rPr>
      </w:pPr>
      <w:r>
        <w:rPr>
          <w:rFonts w:hint="eastAsia"/>
          <w:b/>
          <w:color w:val="auto"/>
          <w:szCs w:val="21"/>
          <w:highlight w:val="none"/>
        </w:rPr>
        <w:t>注：为了保证各系统运行的质量以及售后服务，投标人须承诺：合同签订后</w:t>
      </w:r>
      <w:r>
        <w:rPr>
          <w:rFonts w:hint="eastAsia"/>
          <w:b/>
          <w:color w:val="auto"/>
          <w:szCs w:val="21"/>
          <w:highlight w:val="none"/>
          <w:lang w:eastAsia="zh-CN"/>
        </w:rPr>
        <w:t>三十个工作日</w:t>
      </w:r>
      <w:r>
        <w:rPr>
          <w:rFonts w:hint="eastAsia"/>
          <w:b/>
          <w:color w:val="auto"/>
          <w:szCs w:val="21"/>
          <w:highlight w:val="none"/>
        </w:rPr>
        <w:t>内向招标人提供上述证明材料及原厂针对本项目出具的授权函和免费质保函原件</w:t>
      </w:r>
      <w:r>
        <w:rPr>
          <w:b/>
          <w:color w:val="auto"/>
          <w:szCs w:val="21"/>
          <w:highlight w:val="none"/>
        </w:rPr>
        <w:t>（时间依据投标时的免费质保期），并加盖设备制造厂商公章</w:t>
      </w:r>
      <w:r>
        <w:rPr>
          <w:rFonts w:hint="eastAsia"/>
          <w:b/>
          <w:color w:val="auto"/>
          <w:szCs w:val="21"/>
          <w:highlight w:val="none"/>
        </w:rPr>
        <w:t>，如无法提供或提供不符合或以各种理由推诿或拖延时间，招标人有权解除合同并上报监管部门依法处理，中标人承担由此引起的一切责任和后果。承诺函格式自拟。</w:t>
      </w:r>
    </w:p>
    <w:p>
      <w:pPr>
        <w:spacing w:line="360" w:lineRule="auto"/>
        <w:ind w:firstLine="412" w:firstLineChars="171"/>
        <w:outlineLvl w:val="2"/>
        <w:rPr>
          <w:rFonts w:hint="eastAsia"/>
          <w:b/>
          <w:bCs/>
          <w:color w:val="auto"/>
          <w:szCs w:val="21"/>
          <w:highlight w:val="none"/>
        </w:rPr>
      </w:pPr>
      <w:r>
        <w:rPr>
          <w:rFonts w:hint="eastAsia"/>
          <w:b/>
          <w:bCs/>
          <w:color w:val="auto"/>
          <w:szCs w:val="21"/>
          <w:highlight w:val="none"/>
        </w:rPr>
        <w:t>（五）党校特色功能建设要求</w:t>
      </w:r>
    </w:p>
    <w:p>
      <w:pPr>
        <w:spacing w:line="360" w:lineRule="auto"/>
        <w:ind w:firstLine="484" w:firstLineChars="202"/>
        <w:rPr>
          <w:color w:val="auto"/>
          <w:szCs w:val="21"/>
          <w:highlight w:val="none"/>
        </w:rPr>
      </w:pPr>
      <w:r>
        <w:rPr>
          <w:rFonts w:hint="eastAsia"/>
          <w:color w:val="auto"/>
          <w:szCs w:val="21"/>
          <w:highlight w:val="none"/>
        </w:rPr>
        <w:t>（一）学员管理功能</w:t>
      </w:r>
    </w:p>
    <w:p>
      <w:pPr>
        <w:spacing w:line="360" w:lineRule="auto"/>
        <w:ind w:firstLine="484" w:firstLineChars="202"/>
        <w:rPr>
          <w:color w:val="auto"/>
          <w:szCs w:val="21"/>
          <w:highlight w:val="none"/>
        </w:rPr>
      </w:pPr>
      <w:r>
        <w:rPr>
          <w:rFonts w:hint="eastAsia"/>
          <w:color w:val="auto"/>
          <w:szCs w:val="21"/>
          <w:highlight w:val="none"/>
        </w:rPr>
        <w:t>1.具有在学员管理中多层级管理学员班级的功能。</w:t>
      </w:r>
    </w:p>
    <w:p>
      <w:pPr>
        <w:spacing w:line="360" w:lineRule="auto"/>
        <w:ind w:firstLine="484" w:firstLineChars="202"/>
        <w:rPr>
          <w:color w:val="auto"/>
          <w:szCs w:val="21"/>
          <w:highlight w:val="none"/>
        </w:rPr>
      </w:pPr>
      <w:r>
        <w:rPr>
          <w:rFonts w:hint="eastAsia"/>
          <w:color w:val="auto"/>
          <w:szCs w:val="21"/>
          <w:highlight w:val="none"/>
        </w:rPr>
        <w:t>新增实现“主体班-</w:t>
      </w:r>
      <w:r>
        <w:rPr>
          <w:color w:val="auto"/>
          <w:szCs w:val="21"/>
          <w:highlight w:val="none"/>
        </w:rPr>
        <w:t>XX</w:t>
      </w:r>
      <w:r>
        <w:rPr>
          <w:rFonts w:hint="eastAsia"/>
          <w:color w:val="auto"/>
          <w:szCs w:val="21"/>
          <w:highlight w:val="none"/>
        </w:rPr>
        <w:t>学期-第</w:t>
      </w:r>
      <w:r>
        <w:rPr>
          <w:color w:val="auto"/>
          <w:szCs w:val="21"/>
          <w:highlight w:val="none"/>
        </w:rPr>
        <w:t>XX</w:t>
      </w:r>
      <w:r>
        <w:rPr>
          <w:rFonts w:hint="eastAsia"/>
          <w:color w:val="auto"/>
          <w:szCs w:val="21"/>
          <w:highlight w:val="none"/>
        </w:rPr>
        <w:t>期X</w:t>
      </w:r>
      <w:r>
        <w:rPr>
          <w:color w:val="auto"/>
          <w:szCs w:val="21"/>
          <w:highlight w:val="none"/>
        </w:rPr>
        <w:t>X</w:t>
      </w:r>
      <w:r>
        <w:rPr>
          <w:rFonts w:hint="eastAsia"/>
          <w:color w:val="auto"/>
          <w:szCs w:val="21"/>
          <w:highlight w:val="none"/>
        </w:rPr>
        <w:t>班”3个层级，设置：班级编码，班级类别，年度，开班时间，该班次组织员，辅导员，调研指导老师，默认场所，查看范围为校领导、教务科，并在该班次页面上生成报到二维码。</w:t>
      </w:r>
    </w:p>
    <w:p>
      <w:pPr>
        <w:spacing w:line="360" w:lineRule="auto"/>
        <w:ind w:firstLine="484" w:firstLineChars="202"/>
        <w:rPr>
          <w:color w:val="auto"/>
          <w:szCs w:val="21"/>
          <w:highlight w:val="none"/>
        </w:rPr>
      </w:pPr>
      <w:r>
        <w:rPr>
          <w:color w:val="auto"/>
          <w:szCs w:val="21"/>
          <w:highlight w:val="none"/>
        </w:rPr>
        <w:t>2</w:t>
      </w:r>
      <w:r>
        <w:rPr>
          <w:rFonts w:hint="eastAsia"/>
          <w:color w:val="auto"/>
          <w:szCs w:val="21"/>
          <w:highlight w:val="none"/>
        </w:rPr>
        <w:t>.具有用微信扫描该班次二维码进行学员报到功能。</w:t>
      </w:r>
    </w:p>
    <w:p>
      <w:pPr>
        <w:spacing w:line="360" w:lineRule="auto"/>
        <w:ind w:firstLine="484" w:firstLineChars="202"/>
        <w:rPr>
          <w:color w:val="auto"/>
          <w:szCs w:val="21"/>
          <w:highlight w:val="none"/>
        </w:rPr>
      </w:pPr>
      <w:r>
        <w:rPr>
          <w:rFonts w:hint="eastAsia"/>
          <w:color w:val="auto"/>
          <w:szCs w:val="21"/>
          <w:highlight w:val="none"/>
        </w:rPr>
        <w:t>学员录入姓名、手机号、身份证号、车牌号、单位及职务、政治面貌、区域类别、缴费方式、发票抬头、14天旅居史、核酸检测、问题与建议、照片等相关信息后提交。</w:t>
      </w:r>
    </w:p>
    <w:p>
      <w:pPr>
        <w:spacing w:line="360" w:lineRule="auto"/>
        <w:ind w:firstLine="484" w:firstLineChars="202"/>
        <w:rPr>
          <w:color w:val="auto"/>
          <w:szCs w:val="21"/>
          <w:highlight w:val="none"/>
        </w:rPr>
      </w:pPr>
      <w:r>
        <w:rPr>
          <w:rFonts w:hint="eastAsia"/>
          <w:color w:val="auto"/>
          <w:szCs w:val="21"/>
          <w:highlight w:val="none"/>
        </w:rPr>
        <w:t>3.具有学员管理中报到审核、设置班干、学员导入功能。</w:t>
      </w:r>
    </w:p>
    <w:p>
      <w:pPr>
        <w:spacing w:line="360" w:lineRule="auto"/>
        <w:ind w:firstLine="484" w:firstLineChars="202"/>
        <w:rPr>
          <w:color w:val="auto"/>
          <w:szCs w:val="21"/>
          <w:highlight w:val="none"/>
        </w:rPr>
      </w:pPr>
      <w:r>
        <w:rPr>
          <w:rFonts w:hint="eastAsia"/>
          <w:color w:val="auto"/>
          <w:szCs w:val="21"/>
          <w:highlight w:val="none"/>
        </w:rPr>
        <w:t>组织员老师在学员管理-报到审核中找到该学员，并审核通过。审核通过后，组织员老师在班次目录树中只能看到自己的班次，在该班次中找到该学员，并设置班干为书记，设置党支部为第一支部。组织员老师另外通过Excel模板的方式导入其他学员，并设置学号。</w:t>
      </w:r>
    </w:p>
    <w:p>
      <w:pPr>
        <w:spacing w:line="360" w:lineRule="auto"/>
        <w:ind w:firstLine="484" w:firstLineChars="202"/>
        <w:rPr>
          <w:color w:val="auto"/>
          <w:szCs w:val="21"/>
          <w:highlight w:val="none"/>
        </w:rPr>
      </w:pPr>
      <w:r>
        <w:rPr>
          <w:rFonts w:hint="eastAsia"/>
          <w:color w:val="auto"/>
          <w:szCs w:val="21"/>
          <w:highlight w:val="none"/>
        </w:rPr>
        <w:t>（二）教学管理功能</w:t>
      </w:r>
    </w:p>
    <w:p>
      <w:pPr>
        <w:spacing w:line="360" w:lineRule="auto"/>
        <w:ind w:firstLine="484" w:firstLineChars="202"/>
        <w:rPr>
          <w:color w:val="auto"/>
          <w:szCs w:val="21"/>
          <w:highlight w:val="none"/>
        </w:rPr>
      </w:pPr>
      <w:r>
        <w:rPr>
          <w:rFonts w:hint="eastAsia"/>
          <w:color w:val="auto"/>
          <w:szCs w:val="21"/>
          <w:highlight w:val="none"/>
        </w:rPr>
        <w:t>1.具有往教学专题库中一次性导入教学专题功能。</w:t>
      </w:r>
    </w:p>
    <w:p>
      <w:pPr>
        <w:spacing w:line="360" w:lineRule="auto"/>
        <w:ind w:firstLine="484" w:firstLineChars="202"/>
        <w:rPr>
          <w:color w:val="auto"/>
          <w:szCs w:val="21"/>
          <w:highlight w:val="none"/>
        </w:rPr>
      </w:pPr>
      <w:r>
        <w:rPr>
          <w:rFonts w:hint="eastAsia"/>
          <w:color w:val="auto"/>
          <w:szCs w:val="21"/>
          <w:highlight w:val="none"/>
        </w:rPr>
        <w:t>通过导入Excel模板的方式，往教学专题库中一次性导入不少于10个教学专题。</w:t>
      </w:r>
    </w:p>
    <w:p>
      <w:pPr>
        <w:spacing w:line="360" w:lineRule="auto"/>
        <w:ind w:firstLine="484" w:firstLineChars="202"/>
        <w:rPr>
          <w:color w:val="auto"/>
          <w:szCs w:val="21"/>
          <w:highlight w:val="none"/>
        </w:rPr>
      </w:pPr>
      <w:r>
        <w:rPr>
          <w:rFonts w:hint="eastAsia"/>
          <w:color w:val="auto"/>
          <w:szCs w:val="21"/>
          <w:highlight w:val="none"/>
        </w:rPr>
        <w:t>2.具备拖拽排课、智能排课、导入图片OCR识别排课功能。</w:t>
      </w:r>
    </w:p>
    <w:p>
      <w:pPr>
        <w:spacing w:line="360" w:lineRule="auto"/>
        <w:ind w:firstLine="484" w:firstLineChars="202"/>
        <w:rPr>
          <w:color w:val="auto"/>
          <w:szCs w:val="21"/>
          <w:highlight w:val="none"/>
        </w:rPr>
      </w:pPr>
      <w:r>
        <w:rPr>
          <w:rFonts w:hint="eastAsia"/>
          <w:color w:val="auto"/>
          <w:szCs w:val="21"/>
          <w:highlight w:val="none"/>
        </w:rPr>
        <w:t>为“第</w:t>
      </w:r>
      <w:r>
        <w:rPr>
          <w:color w:val="auto"/>
          <w:szCs w:val="21"/>
          <w:highlight w:val="none"/>
        </w:rPr>
        <w:t>XX</w:t>
      </w:r>
      <w:r>
        <w:rPr>
          <w:rFonts w:hint="eastAsia"/>
          <w:color w:val="auto"/>
          <w:szCs w:val="21"/>
          <w:highlight w:val="none"/>
        </w:rPr>
        <w:t>期X</w:t>
      </w:r>
      <w:r>
        <w:rPr>
          <w:color w:val="auto"/>
          <w:szCs w:val="21"/>
          <w:highlight w:val="none"/>
        </w:rPr>
        <w:t>X</w:t>
      </w:r>
      <w:r>
        <w:rPr>
          <w:rFonts w:hint="eastAsia"/>
          <w:color w:val="auto"/>
          <w:szCs w:val="21"/>
          <w:highlight w:val="none"/>
        </w:rPr>
        <w:t>班”排课</w:t>
      </w:r>
    </w:p>
    <w:p>
      <w:pPr>
        <w:spacing w:line="360" w:lineRule="auto"/>
        <w:ind w:firstLine="484" w:firstLineChars="202"/>
        <w:rPr>
          <w:color w:val="auto"/>
          <w:szCs w:val="21"/>
          <w:highlight w:val="none"/>
        </w:rPr>
      </w:pPr>
      <w:r>
        <w:rPr>
          <w:rFonts w:hint="eastAsia"/>
          <w:color w:val="auto"/>
          <w:szCs w:val="21"/>
          <w:highlight w:val="none"/>
        </w:rPr>
        <w:t>（1）智能排课可设置如下条件：课程范围为专题库，同一午别最多排1节课，晚上不排课，连续2个周末不排课，党性修养排3门，政治理论排4门。排课完毕，导出word课表。课表以时间先后顺序，展示时间、午别、培训内容、负责单位或讲授人、地点。</w:t>
      </w:r>
    </w:p>
    <w:p>
      <w:pPr>
        <w:spacing w:line="360" w:lineRule="auto"/>
        <w:ind w:firstLine="484" w:firstLineChars="202"/>
        <w:rPr>
          <w:color w:val="auto"/>
          <w:szCs w:val="21"/>
          <w:highlight w:val="none"/>
        </w:rPr>
      </w:pPr>
      <w:r>
        <w:rPr>
          <w:rFonts w:hint="eastAsia"/>
          <w:color w:val="auto"/>
          <w:szCs w:val="21"/>
          <w:highlight w:val="none"/>
        </w:rPr>
        <w:t>（2）可导入一个排课图片，含标题、表头（日期、时间、地点、教学安排、参加人员），系统自动进行OCR识别并按图片内容自动排课。</w:t>
      </w:r>
    </w:p>
    <w:p>
      <w:pPr>
        <w:spacing w:line="360" w:lineRule="auto"/>
        <w:ind w:firstLine="484" w:firstLineChars="202"/>
        <w:rPr>
          <w:color w:val="auto"/>
          <w:szCs w:val="21"/>
          <w:highlight w:val="none"/>
        </w:rPr>
      </w:pPr>
      <w:r>
        <w:rPr>
          <w:rFonts w:hint="eastAsia"/>
          <w:color w:val="auto"/>
          <w:szCs w:val="21"/>
          <w:highlight w:val="none"/>
        </w:rPr>
        <w:t>（三）移动应用功能演示</w:t>
      </w:r>
    </w:p>
    <w:p>
      <w:pPr>
        <w:spacing w:line="360" w:lineRule="auto"/>
        <w:ind w:firstLine="484" w:firstLineChars="202"/>
        <w:rPr>
          <w:color w:val="auto"/>
          <w:szCs w:val="21"/>
          <w:highlight w:val="none"/>
        </w:rPr>
      </w:pPr>
      <w:r>
        <w:rPr>
          <w:rFonts w:hint="eastAsia"/>
          <w:color w:val="auto"/>
          <w:szCs w:val="21"/>
          <w:highlight w:val="none"/>
        </w:rPr>
        <w:t>1.具备智能语音服务功能。</w:t>
      </w:r>
    </w:p>
    <w:p>
      <w:pPr>
        <w:spacing w:line="360" w:lineRule="auto"/>
        <w:ind w:firstLine="484" w:firstLineChars="202"/>
        <w:rPr>
          <w:color w:val="auto"/>
          <w:szCs w:val="21"/>
          <w:highlight w:val="none"/>
        </w:rPr>
      </w:pPr>
      <w:r>
        <w:rPr>
          <w:rFonts w:hint="eastAsia"/>
          <w:color w:val="auto"/>
          <w:szCs w:val="21"/>
          <w:highlight w:val="none"/>
        </w:rPr>
        <w:t xml:space="preserve"> “第</w:t>
      </w:r>
      <w:r>
        <w:rPr>
          <w:color w:val="auto"/>
          <w:szCs w:val="21"/>
          <w:highlight w:val="none"/>
        </w:rPr>
        <w:t>XX</w:t>
      </w:r>
      <w:r>
        <w:rPr>
          <w:rFonts w:hint="eastAsia"/>
          <w:color w:val="auto"/>
          <w:szCs w:val="21"/>
          <w:highlight w:val="none"/>
        </w:rPr>
        <w:t>期X</w:t>
      </w:r>
      <w:r>
        <w:rPr>
          <w:color w:val="auto"/>
          <w:szCs w:val="21"/>
          <w:highlight w:val="none"/>
        </w:rPr>
        <w:t>X</w:t>
      </w:r>
      <w:r>
        <w:rPr>
          <w:rFonts w:hint="eastAsia"/>
          <w:color w:val="auto"/>
          <w:szCs w:val="21"/>
          <w:highlight w:val="none"/>
        </w:rPr>
        <w:t>班”中的学员打开手机端企业微信发语音，内容为“我要查看我的教学计划”，手机端企业微信自动打开该班次的教学计划；再对着手机发语音，内容为“我要查看X</w:t>
      </w:r>
      <w:r>
        <w:rPr>
          <w:color w:val="auto"/>
          <w:szCs w:val="21"/>
          <w:highlight w:val="none"/>
        </w:rPr>
        <w:t>X</w:t>
      </w:r>
      <w:r>
        <w:rPr>
          <w:rFonts w:hint="eastAsia"/>
          <w:color w:val="auto"/>
          <w:szCs w:val="21"/>
          <w:highlight w:val="none"/>
        </w:rPr>
        <w:t>老师的联系方式”，手机端程序自动打开X</w:t>
      </w:r>
      <w:r>
        <w:rPr>
          <w:color w:val="auto"/>
          <w:szCs w:val="21"/>
          <w:highlight w:val="none"/>
        </w:rPr>
        <w:t>X</w:t>
      </w:r>
      <w:r>
        <w:rPr>
          <w:rFonts w:hint="eastAsia"/>
          <w:color w:val="auto"/>
          <w:szCs w:val="21"/>
          <w:highlight w:val="none"/>
        </w:rPr>
        <w:t>老师的通讯录页面。</w:t>
      </w:r>
    </w:p>
    <w:p>
      <w:pPr>
        <w:spacing w:line="360" w:lineRule="auto"/>
        <w:ind w:firstLine="484" w:firstLineChars="202"/>
        <w:rPr>
          <w:color w:val="auto"/>
          <w:szCs w:val="21"/>
          <w:highlight w:val="none"/>
        </w:rPr>
      </w:pPr>
      <w:r>
        <w:rPr>
          <w:rFonts w:hint="eastAsia"/>
          <w:color w:val="auto"/>
          <w:szCs w:val="21"/>
          <w:highlight w:val="none"/>
        </w:rPr>
        <w:t>（四）情景模拟教学实训软件A</w:t>
      </w:r>
      <w:r>
        <w:rPr>
          <w:color w:val="auto"/>
          <w:szCs w:val="21"/>
          <w:highlight w:val="none"/>
        </w:rPr>
        <w:t>PP</w:t>
      </w:r>
      <w:r>
        <w:rPr>
          <w:rFonts w:hint="eastAsia"/>
          <w:color w:val="auto"/>
          <w:szCs w:val="21"/>
          <w:highlight w:val="none"/>
        </w:rPr>
        <w:t>演示：</w:t>
      </w:r>
    </w:p>
    <w:p>
      <w:pPr>
        <w:spacing w:line="360" w:lineRule="auto"/>
        <w:ind w:firstLine="484" w:firstLineChars="202"/>
        <w:rPr>
          <w:color w:val="auto"/>
          <w:szCs w:val="21"/>
          <w:highlight w:val="none"/>
        </w:rPr>
      </w:pPr>
      <w:r>
        <w:rPr>
          <w:rFonts w:hint="eastAsia"/>
          <w:color w:val="auto"/>
          <w:szCs w:val="21"/>
          <w:highlight w:val="none"/>
        </w:rPr>
        <w:t>1.具有数据统计功能。</w:t>
      </w:r>
    </w:p>
    <w:p>
      <w:pPr>
        <w:spacing w:line="360" w:lineRule="auto"/>
        <w:ind w:firstLine="484" w:firstLineChars="202"/>
        <w:rPr>
          <w:color w:val="auto"/>
          <w:szCs w:val="21"/>
          <w:highlight w:val="none"/>
        </w:rPr>
      </w:pPr>
      <w:r>
        <w:rPr>
          <w:rFonts w:hint="eastAsia"/>
          <w:color w:val="auto"/>
          <w:szCs w:val="21"/>
          <w:highlight w:val="none"/>
        </w:rPr>
        <w:t>可根据学员实际到场人数显示学员到场率，可根据需要互动的人数显示互动完成率，以数字和色彩动态圆图方式显示。</w:t>
      </w:r>
    </w:p>
    <w:p>
      <w:pPr>
        <w:spacing w:line="360" w:lineRule="auto"/>
        <w:ind w:firstLine="484" w:firstLineChars="202"/>
        <w:rPr>
          <w:color w:val="auto"/>
          <w:szCs w:val="21"/>
          <w:highlight w:val="none"/>
        </w:rPr>
      </w:pPr>
      <w:r>
        <w:rPr>
          <w:color w:val="auto"/>
          <w:szCs w:val="21"/>
          <w:highlight w:val="none"/>
        </w:rPr>
        <w:t>2</w:t>
      </w:r>
      <w:r>
        <w:rPr>
          <w:rFonts w:hint="eastAsia"/>
          <w:color w:val="auto"/>
          <w:szCs w:val="21"/>
          <w:highlight w:val="none"/>
        </w:rPr>
        <w:t>.互动时软件具有语音识别功能。</w:t>
      </w:r>
    </w:p>
    <w:p>
      <w:pPr>
        <w:spacing w:line="360" w:lineRule="auto"/>
        <w:ind w:firstLine="484" w:firstLineChars="202"/>
        <w:rPr>
          <w:color w:val="auto"/>
          <w:szCs w:val="21"/>
          <w:highlight w:val="none"/>
        </w:rPr>
      </w:pPr>
      <w:r>
        <w:rPr>
          <w:rFonts w:hint="eastAsia"/>
          <w:color w:val="auto"/>
          <w:szCs w:val="21"/>
          <w:highlight w:val="none"/>
        </w:rPr>
        <w:t>可将学员说的话转换成文字形式发送给教师，并且内容可进行互动对比。</w:t>
      </w:r>
    </w:p>
    <w:p>
      <w:pPr>
        <w:spacing w:line="360" w:lineRule="auto"/>
        <w:ind w:firstLine="484" w:firstLineChars="202"/>
        <w:rPr>
          <w:color w:val="auto"/>
          <w:szCs w:val="21"/>
          <w:highlight w:val="none"/>
        </w:rPr>
      </w:pPr>
      <w:r>
        <w:rPr>
          <w:color w:val="auto"/>
          <w:szCs w:val="21"/>
          <w:highlight w:val="none"/>
        </w:rPr>
        <w:t>3</w:t>
      </w:r>
      <w:r>
        <w:rPr>
          <w:rFonts w:hint="eastAsia"/>
          <w:color w:val="auto"/>
          <w:szCs w:val="21"/>
          <w:highlight w:val="none"/>
        </w:rPr>
        <w:t>.软件自带数据分析功能。</w:t>
      </w:r>
    </w:p>
    <w:p>
      <w:pPr>
        <w:spacing w:line="360" w:lineRule="auto"/>
        <w:ind w:firstLine="484" w:firstLineChars="202"/>
        <w:rPr>
          <w:color w:val="auto"/>
          <w:szCs w:val="21"/>
          <w:highlight w:val="none"/>
        </w:rPr>
      </w:pPr>
      <w:r>
        <w:rPr>
          <w:rFonts w:hint="eastAsia"/>
          <w:color w:val="auto"/>
          <w:szCs w:val="21"/>
          <w:highlight w:val="none"/>
        </w:rPr>
        <w:t>软件可根据学员互动内容自动提取关键词形成词云图，教师一目了然查看学员处置答题内容的重点，并且可看到词汇出现的次数。</w:t>
      </w:r>
    </w:p>
    <w:p>
      <w:pPr>
        <w:spacing w:line="360" w:lineRule="auto"/>
        <w:ind w:firstLine="484" w:firstLineChars="202"/>
        <w:rPr>
          <w:color w:val="auto"/>
          <w:szCs w:val="21"/>
          <w:highlight w:val="none"/>
        </w:rPr>
      </w:pPr>
      <w:r>
        <w:rPr>
          <w:rFonts w:hint="eastAsia"/>
          <w:color w:val="auto"/>
          <w:szCs w:val="21"/>
          <w:highlight w:val="none"/>
        </w:rPr>
        <w:t>4.具有教师一次发送多项应急决策投票功能，并可选择是否柱状图显示投票数据。</w:t>
      </w:r>
    </w:p>
    <w:p>
      <w:pPr>
        <w:spacing w:line="360" w:lineRule="auto"/>
        <w:ind w:firstLine="484" w:firstLineChars="202"/>
        <w:rPr>
          <w:rFonts w:hint="eastAsia"/>
          <w:color w:val="auto"/>
          <w:szCs w:val="21"/>
          <w:highlight w:val="none"/>
        </w:rPr>
      </w:pPr>
      <w:r>
        <w:rPr>
          <w:rFonts w:hint="eastAsia"/>
          <w:color w:val="auto"/>
          <w:szCs w:val="21"/>
          <w:highlight w:val="none"/>
        </w:rPr>
        <w:t>支持教师一次发送多项应急决策投票项给学员，并且角色参与过的投票项系统自动为学员锁定；教师可在学员投票后选择投票结果显示柱状图还是单单投票数据；为教师操作的简易性，软件需是APP端，并且所有功能在一个APP上。</w:t>
      </w:r>
    </w:p>
    <w:p>
      <w:pPr>
        <w:spacing w:line="360" w:lineRule="auto"/>
        <w:ind w:firstLine="410" w:firstLineChars="171"/>
        <w:outlineLvl w:val="2"/>
        <w:rPr>
          <w:rFonts w:hAnsi="宋体" w:cs="宋体"/>
          <w:color w:val="auto"/>
          <w:highlight w:val="none"/>
        </w:rPr>
      </w:pPr>
      <w:r>
        <w:rPr>
          <w:rFonts w:hint="eastAsia" w:hAnsi="宋体" w:cs="宋体"/>
          <w:color w:val="auto"/>
          <w:highlight w:val="none"/>
        </w:rPr>
        <w:t>（二）总体要求</w:t>
      </w:r>
    </w:p>
    <w:p>
      <w:pPr>
        <w:spacing w:line="360" w:lineRule="auto"/>
        <w:outlineLvl w:val="9"/>
        <w:rPr>
          <w:rFonts w:hint="eastAsia" w:ascii="宋体" w:hAnsi="宋体" w:cs="宋体"/>
          <w:color w:val="auto"/>
          <w:szCs w:val="21"/>
          <w:highlight w:val="none"/>
        </w:rPr>
      </w:pPr>
      <w:bookmarkStart w:id="1060" w:name="_Toc25566"/>
      <w:bookmarkStart w:id="1061" w:name="_Toc3254"/>
      <w:bookmarkStart w:id="1062" w:name="_Toc12504"/>
      <w:bookmarkStart w:id="1063" w:name="_Toc501460781"/>
      <w:r>
        <w:rPr>
          <w:rFonts w:hint="eastAsia" w:ascii="宋体" w:hAnsi="宋体" w:cs="宋体"/>
          <w:color w:val="auto"/>
          <w:szCs w:val="21"/>
          <w:highlight w:val="none"/>
        </w:rPr>
        <w:t>……</w:t>
      </w:r>
    </w:p>
    <w:p>
      <w:pPr>
        <w:rPr>
          <w:color w:val="auto"/>
          <w:highlight w:val="none"/>
        </w:rPr>
      </w:pPr>
    </w:p>
    <w:bookmarkEnd w:id="1060"/>
    <w:bookmarkEnd w:id="1061"/>
    <w:bookmarkEnd w:id="1062"/>
    <w:bookmarkEnd w:id="1063"/>
    <w:p>
      <w:pPr>
        <w:pStyle w:val="4"/>
        <w:spacing w:before="0" w:after="0" w:line="360" w:lineRule="auto"/>
        <w:ind w:firstLine="560" w:firstLineChars="200"/>
        <w:rPr>
          <w:rFonts w:hint="eastAsia" w:ascii="黑体" w:hAnsi="黑体" w:eastAsia="黑体" w:cs="黑体"/>
          <w:b w:val="0"/>
          <w:bCs/>
          <w:color w:val="auto"/>
          <w:sz w:val="28"/>
          <w:szCs w:val="28"/>
          <w:highlight w:val="none"/>
        </w:rPr>
      </w:pPr>
      <w:bookmarkStart w:id="1064" w:name="_Toc30147"/>
      <w:bookmarkStart w:id="1065" w:name="_Toc21980"/>
      <w:r>
        <w:rPr>
          <w:rFonts w:hint="eastAsia" w:ascii="黑体" w:hAnsi="黑体" w:eastAsia="黑体" w:cs="黑体"/>
          <w:b w:val="0"/>
          <w:bCs/>
          <w:color w:val="auto"/>
          <w:sz w:val="28"/>
          <w:szCs w:val="28"/>
          <w:highlight w:val="none"/>
        </w:rPr>
        <w:t>四、工程技术和施工现场要求</w:t>
      </w:r>
      <w:bookmarkEnd w:id="1064"/>
      <w:bookmarkEnd w:id="1065"/>
    </w:p>
    <w:p>
      <w:pPr>
        <w:pStyle w:val="4"/>
        <w:spacing w:before="0" w:after="0" w:line="360" w:lineRule="auto"/>
        <w:ind w:firstLine="560"/>
        <w:rPr>
          <w:rFonts w:hint="eastAsia" w:ascii="宋体" w:hAnsi="Times New Roman" w:eastAsia="宋体" w:cs="Times New Roman"/>
          <w:b w:val="0"/>
          <w:bCs w:val="0"/>
          <w:color w:val="auto"/>
          <w:kern w:val="0"/>
          <w:sz w:val="24"/>
          <w:szCs w:val="21"/>
          <w:highlight w:val="none"/>
          <w:lang w:val="en-US" w:eastAsia="zh-CN" w:bidi="ar-SA"/>
        </w:rPr>
      </w:pPr>
      <w:bookmarkStart w:id="1066" w:name="_Toc11852"/>
      <w:bookmarkStart w:id="1067" w:name="_Toc2948"/>
      <w:bookmarkStart w:id="1068" w:name="_Toc501460782"/>
      <w:r>
        <w:rPr>
          <w:rFonts w:hint="eastAsia" w:ascii="宋体" w:hAnsi="Times New Roman" w:eastAsia="宋体" w:cs="Times New Roman"/>
          <w:b w:val="0"/>
          <w:bCs w:val="0"/>
          <w:color w:val="auto"/>
          <w:kern w:val="0"/>
          <w:sz w:val="24"/>
          <w:szCs w:val="21"/>
          <w:highlight w:val="none"/>
          <w:lang w:val="en-US" w:eastAsia="zh-CN" w:bidi="ar-SA"/>
        </w:rPr>
        <w:t>经试运行、检测、测评后验收合格并通过主管部门专项验收。</w:t>
      </w:r>
    </w:p>
    <w:p>
      <w:pPr>
        <w:pStyle w:val="4"/>
        <w:spacing w:before="0" w:after="0" w:line="360" w:lineRule="auto"/>
        <w:ind w:firstLine="560"/>
        <w:rPr>
          <w:rFonts w:ascii="黑体" w:hAnsi="黑体" w:eastAsia="黑体" w:cs="黑体"/>
          <w:b w:val="0"/>
          <w:color w:val="auto"/>
          <w:sz w:val="28"/>
          <w:szCs w:val="28"/>
          <w:highlight w:val="none"/>
        </w:rPr>
      </w:pPr>
      <w:r>
        <w:rPr>
          <w:rFonts w:hint="eastAsia" w:ascii="黑体" w:hAnsi="黑体" w:eastAsia="黑体" w:cs="黑体"/>
          <w:b w:val="0"/>
          <w:bCs/>
          <w:color w:val="auto"/>
          <w:sz w:val="28"/>
          <w:szCs w:val="28"/>
          <w:highlight w:val="none"/>
        </w:rPr>
        <w:t>五、检验考核要求</w:t>
      </w:r>
      <w:bookmarkEnd w:id="1066"/>
      <w:bookmarkEnd w:id="1067"/>
    </w:p>
    <w:p>
      <w:pPr>
        <w:pStyle w:val="4"/>
        <w:spacing w:before="0" w:after="0" w:line="360" w:lineRule="auto"/>
        <w:ind w:firstLine="560"/>
        <w:rPr>
          <w:rFonts w:hint="eastAsia" w:ascii="宋体" w:hAnsi="Times New Roman" w:eastAsia="宋体" w:cs="Times New Roman"/>
          <w:b w:val="0"/>
          <w:bCs w:val="0"/>
          <w:color w:val="auto"/>
          <w:kern w:val="0"/>
          <w:sz w:val="24"/>
          <w:szCs w:val="21"/>
          <w:highlight w:val="none"/>
          <w:lang w:val="en-US" w:eastAsia="zh-CN" w:bidi="ar-SA"/>
        </w:rPr>
      </w:pPr>
      <w:bookmarkStart w:id="1069" w:name="_Toc6340"/>
      <w:bookmarkStart w:id="1070" w:name="_Toc24378"/>
      <w:bookmarkStart w:id="1071" w:name="_Toc21345"/>
      <w:bookmarkStart w:id="1072" w:name="_Toc6738"/>
      <w:r>
        <w:rPr>
          <w:rFonts w:hint="eastAsia" w:ascii="宋体" w:hAnsi="Times New Roman" w:eastAsia="宋体" w:cs="Times New Roman"/>
          <w:b w:val="0"/>
          <w:bCs w:val="0"/>
          <w:color w:val="auto"/>
          <w:kern w:val="0"/>
          <w:sz w:val="24"/>
          <w:szCs w:val="21"/>
          <w:highlight w:val="none"/>
          <w:lang w:val="en-US" w:eastAsia="zh-CN" w:bidi="ar-SA"/>
        </w:rPr>
        <w:t>本项目智能化系统需进行60天的稳定运行调试、安防检测、等保测评等其他各类本项目智能化工程验收所需的检测及测评。</w:t>
      </w:r>
    </w:p>
    <w:p>
      <w:pPr>
        <w:spacing w:line="360" w:lineRule="auto"/>
        <w:ind w:firstLine="528" w:firstLineChars="220"/>
        <w:rPr>
          <w:rFonts w:hint="eastAsia" w:hAnsi="宋体" w:cs="宋体"/>
          <w:color w:val="auto"/>
          <w:highlight w:val="none"/>
        </w:rPr>
      </w:pPr>
    </w:p>
    <w:bookmarkEnd w:id="1068"/>
    <w:bookmarkEnd w:id="1069"/>
    <w:bookmarkEnd w:id="1070"/>
    <w:bookmarkEnd w:id="1071"/>
    <w:bookmarkEnd w:id="1072"/>
    <w:p>
      <w:pPr>
        <w:pStyle w:val="4"/>
        <w:spacing w:before="0" w:after="0" w:line="360" w:lineRule="auto"/>
        <w:ind w:firstLine="560"/>
        <w:rPr>
          <w:rFonts w:ascii="黑体" w:hAnsi="黑体" w:eastAsia="黑体" w:cs="黑体"/>
          <w:b w:val="0"/>
          <w:color w:val="auto"/>
          <w:sz w:val="28"/>
          <w:szCs w:val="28"/>
          <w:highlight w:val="none"/>
        </w:rPr>
      </w:pPr>
      <w:bookmarkStart w:id="1073" w:name="_Toc899"/>
      <w:bookmarkStart w:id="1074" w:name="_Toc9481"/>
      <w:r>
        <w:rPr>
          <w:rFonts w:hint="eastAsia" w:ascii="黑体" w:hAnsi="黑体" w:eastAsia="黑体" w:cs="黑体"/>
          <w:b w:val="0"/>
          <w:bCs/>
          <w:color w:val="auto"/>
          <w:sz w:val="28"/>
          <w:szCs w:val="28"/>
          <w:highlight w:val="none"/>
        </w:rPr>
        <w:t>六、</w:t>
      </w:r>
      <w:bookmarkEnd w:id="1073"/>
      <w:r>
        <w:rPr>
          <w:rFonts w:hint="eastAsia" w:ascii="黑体" w:hAnsi="黑体" w:eastAsia="黑体" w:cs="黑体"/>
          <w:b w:val="0"/>
          <w:bCs/>
          <w:color w:val="auto"/>
          <w:sz w:val="28"/>
          <w:szCs w:val="28"/>
          <w:highlight w:val="none"/>
          <w:lang w:val="en-US" w:eastAsia="zh-CN"/>
        </w:rPr>
        <w:t>投标货物及</w:t>
      </w:r>
      <w:r>
        <w:rPr>
          <w:rFonts w:hint="eastAsia" w:ascii="黑体" w:hAnsi="黑体" w:eastAsia="黑体" w:cs="黑体"/>
          <w:b w:val="0"/>
          <w:bCs/>
          <w:color w:val="auto"/>
          <w:sz w:val="28"/>
          <w:szCs w:val="28"/>
          <w:highlight w:val="none"/>
        </w:rPr>
        <w:t>技术服务和质保期服务要求</w:t>
      </w:r>
      <w:bookmarkEnd w:id="1074"/>
    </w:p>
    <w:p>
      <w:pPr>
        <w:spacing w:line="360" w:lineRule="auto"/>
        <w:ind w:firstLine="528" w:firstLineChars="220"/>
        <w:rPr>
          <w:rFonts w:hint="eastAsia" w:hAnsi="宋体" w:cs="宋体"/>
          <w:color w:val="auto"/>
          <w:highlight w:val="none"/>
        </w:rPr>
      </w:pPr>
      <w:bookmarkStart w:id="1075" w:name="_Toc16625"/>
      <w:bookmarkStart w:id="1076" w:name="_Toc13628"/>
      <w:r>
        <w:rPr>
          <w:rFonts w:hint="eastAsia" w:hAnsi="宋体" w:cs="宋体"/>
          <w:color w:val="auto"/>
          <w:szCs w:val="21"/>
          <w:highlight w:val="none"/>
        </w:rPr>
        <w:t>1.交钥匙工程，</w:t>
      </w:r>
      <w:r>
        <w:rPr>
          <w:rFonts w:hint="eastAsia" w:hAnsi="宋体" w:cs="宋体"/>
          <w:color w:val="auto"/>
          <w:highlight w:val="none"/>
        </w:rPr>
        <w:t>合同范围内整体质量保修期为：36个月。</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2.投标人中标后需提交产品操作与维修手册，使业主及有关人员事先熟悉所供产品。手册内应包括控制程序、操作与维修的程序等。每一本手册应包括不少于以下的资料：</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1）所有产品的规格及详细的中文版操作手册及质量检测报告。</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2）整机和主要部件常见故障说明，包括配件及装配图、一般事故说明。</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3）建议的定期保养期及项目；</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4）建议紧急安全程序；</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5）紧急维修中心的电话、地址及负责人的联系方式；</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6）备件目录；</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7）附属工具和备件清单；</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8）制造厂商的质量证明书。</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3.在保修期内，中标人应负责各方面保修服务，包括免费提供所需的工作人员和材料，做一般性的定期维修保养。</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4.维修保养事项应包括但不限于以下的项目：</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1）为保持系统的正常运作，如有需要时须对设备进行维修或更换工作；</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2）提供维修保养记录书，以便招标人工作人员随时查阅有关设备的维修保养、部件更换次数；</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3）检查及维修日期等纪录；</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4）按照以下要求安排定期维修及检查：①对所有系统设备进行例行检查；②清理专业空调、机房设备；③调试所有设备；④维修所有不正常的机电设备；</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5）无论在正常工作时间或非正常工作时间收到招标人紧急事故报警时，中标人须在 8小时之内作出有效的回应到现场进行抢修工作。</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5.技术文件</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1）全套工程实施文档（包括：隐蔽工程、系统深化设计、接线、设备、材料、安装等文件）；2）系统测试文件；3）用户培训文件；4）系统维护文件；5）质量保证文件；6）竣工验收文件。</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6.其他未尽的技术条件和要求，均按有关国家标准和行业标准执行。</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7.培训要求</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1）培训和维保方案需要针对本项目的实际情况，编制方案，确保用户的稳定应用。编制完整、格式规范、内容齐全、表述准确、条理清晰，内容无前后矛盾，方案对项目实施的思路、原则、特点的理解清楚。</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2）培训和维保服务过程中要做到耐心、细心、热心的服务。做到事事有记录、事事有反馈、重大问题及时汇报。在进行现场支持工作时必须在保证数据和系统安全稳定的前提下开展工作。</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3）技术培训</w:t>
      </w:r>
    </w:p>
    <w:p>
      <w:pPr>
        <w:spacing w:line="360" w:lineRule="auto"/>
        <w:ind w:firstLine="484" w:firstLineChars="202"/>
        <w:rPr>
          <w:rFonts w:hAnsi="宋体" w:cs="宋体"/>
          <w:color w:val="auto"/>
          <w:szCs w:val="21"/>
          <w:highlight w:val="none"/>
        </w:rPr>
      </w:pPr>
      <w:r>
        <w:rPr>
          <w:rFonts w:hint="eastAsia" w:hAnsi="宋体" w:cs="宋体"/>
          <w:color w:val="auto"/>
          <w:szCs w:val="21"/>
          <w:highlight w:val="none"/>
        </w:rPr>
        <w:t>为确保招标人的设备管理人员和物业管理人员能对系统设备的运行、例行维护、紧急故障的处理等有全面地认识和了解，中标人须负责提供所需的现场技术培训，提供完整的使用、维修说明书，安装资料。</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8.人员配备</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1）拟配备的人员中至少 1 人</w:t>
      </w:r>
      <w:r>
        <w:rPr>
          <w:rFonts w:hint="eastAsia" w:hAnsi="宋体" w:cs="宋体"/>
          <w:color w:val="auto"/>
          <w:szCs w:val="21"/>
          <w:highlight w:val="none"/>
          <w:lang w:val="en-US" w:eastAsia="zh-CN"/>
        </w:rPr>
        <w:t>具有通信专业技术人员职业资格</w:t>
      </w:r>
      <w:r>
        <w:rPr>
          <w:rFonts w:hint="eastAsia" w:hAnsi="宋体" w:cs="宋体"/>
          <w:color w:val="auto"/>
          <w:szCs w:val="21"/>
          <w:highlight w:val="none"/>
        </w:rPr>
        <w:t>；</w:t>
      </w:r>
    </w:p>
    <w:p>
      <w:pPr>
        <w:spacing w:line="360" w:lineRule="auto"/>
        <w:ind w:firstLine="484" w:firstLineChars="202"/>
        <w:rPr>
          <w:rFonts w:hint="default" w:hAnsi="宋体" w:eastAsia="宋体" w:cs="宋体"/>
          <w:color w:val="auto"/>
          <w:szCs w:val="21"/>
          <w:highlight w:val="none"/>
          <w:lang w:val="en-US" w:eastAsia="zh-CN"/>
        </w:rPr>
      </w:pPr>
      <w:r>
        <w:rPr>
          <w:rFonts w:hint="eastAsia" w:hAnsi="宋体" w:cs="宋体"/>
          <w:color w:val="auto"/>
          <w:szCs w:val="21"/>
          <w:highlight w:val="none"/>
        </w:rPr>
        <w:t>2）拟配备的人员中至少 1 人</w:t>
      </w:r>
      <w:r>
        <w:rPr>
          <w:rFonts w:hint="eastAsia" w:hAnsi="宋体" w:cs="宋体"/>
          <w:color w:val="auto"/>
          <w:szCs w:val="21"/>
          <w:highlight w:val="none"/>
          <w:lang w:val="en-US" w:eastAsia="zh-CN"/>
        </w:rPr>
        <w:t>具有计算机技术与软件专业技术资格。</w:t>
      </w:r>
    </w:p>
    <w:p>
      <w:pPr>
        <w:keepNext/>
        <w:keepLines/>
        <w:spacing w:before="120" w:after="120" w:line="360" w:lineRule="auto"/>
        <w:ind w:firstLine="480" w:firstLineChars="200"/>
        <w:outlineLvl w:val="1"/>
        <w:rPr>
          <w:rFonts w:hint="eastAsia"/>
          <w:b/>
          <w:bCs/>
          <w:color w:val="auto"/>
          <w:highlight w:val="none"/>
        </w:rPr>
      </w:pPr>
      <w:bookmarkStart w:id="1077" w:name="_Toc21921"/>
      <w:bookmarkStart w:id="1078" w:name="_Toc1458"/>
      <w:r>
        <w:rPr>
          <w:rFonts w:hint="eastAsia" w:hAnsi="宋体" w:cs="宋体"/>
          <w:color w:val="auto"/>
          <w:szCs w:val="21"/>
          <w:highlight w:val="none"/>
        </w:rPr>
        <w:t>9.报价要求</w:t>
      </w:r>
      <w:bookmarkEnd w:id="1077"/>
      <w:bookmarkEnd w:id="1078"/>
    </w:p>
    <w:p>
      <w:pPr>
        <w:spacing w:line="360" w:lineRule="auto"/>
        <w:ind w:firstLine="484" w:firstLineChars="202"/>
        <w:rPr>
          <w:rFonts w:hAnsi="宋体" w:cs="宋体"/>
          <w:color w:val="auto"/>
          <w:szCs w:val="21"/>
          <w:highlight w:val="none"/>
        </w:rPr>
      </w:pPr>
      <w:r>
        <w:rPr>
          <w:rFonts w:hint="eastAsia" w:hAnsi="宋体" w:cs="宋体"/>
          <w:color w:val="auto"/>
          <w:szCs w:val="21"/>
          <w:highlight w:val="none"/>
        </w:rPr>
        <w:t>1）本项目采用全费用综合单价法计价，除非合同另有规定，综合单价是指完成招标需求全部内容的单位综合价格。包括材料（主要及辅助材料）及设备的生产（购买）、包装、运输、装卸、加工（含加工过程中的主要及辅助材料损耗）、施工（含施工过程中的主要及辅助材料损耗）、检测、验收、维保、培训、利润、税金、安全经费、文明施工费、临时设施费、环保费及其他相关施工措施费用和技术措施费用、规费等全部费用。其他因图纸不明确造成的漏项、节点不明确（由设计单位完善图纸和方案）其费用一律不予办理经济签证，均视为中标优惠或列入其他组价中，请投标报价时各单位综合考虑。投标报价总价不得高于最高投标限价。</w:t>
      </w:r>
    </w:p>
    <w:p>
      <w:pPr>
        <w:spacing w:line="360" w:lineRule="auto"/>
        <w:ind w:firstLine="484" w:firstLineChars="202"/>
        <w:rPr>
          <w:rFonts w:hAnsi="宋体" w:cs="宋体"/>
          <w:color w:val="auto"/>
          <w:szCs w:val="21"/>
          <w:highlight w:val="none"/>
        </w:rPr>
      </w:pPr>
      <w:r>
        <w:rPr>
          <w:rFonts w:hint="eastAsia" w:hAnsi="宋体" w:cs="宋体"/>
          <w:color w:val="auto"/>
          <w:szCs w:val="21"/>
          <w:highlight w:val="none"/>
        </w:rPr>
        <w:t>2）本项目的中标人需要向总包方支付中标合同价2%的总承包服务费（包含施工水电费，临时施工用电、电梯使用等），由中标人向总包方直接支付，包含在本项目中标人投标总价，请投标人自行考虑。</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3）本项目施工过程中产生的开洞、开槽及恢复工作含在本次招标范围内，投标人应自行勘察现场，综合考虑在报价中，</w:t>
      </w:r>
      <w:r>
        <w:rPr>
          <w:rFonts w:hint="eastAsia" w:hAnsi="宋体" w:cs="宋体"/>
          <w:color w:val="auto"/>
          <w:szCs w:val="21"/>
          <w:highlight w:val="none"/>
          <w:lang w:val="en-US" w:eastAsia="zh-CN"/>
        </w:rPr>
        <w:t>设备需求一览表</w:t>
      </w:r>
      <w:r>
        <w:rPr>
          <w:rFonts w:hint="eastAsia" w:hAnsi="宋体" w:cs="宋体"/>
          <w:color w:val="auto"/>
          <w:szCs w:val="21"/>
          <w:highlight w:val="none"/>
        </w:rPr>
        <w:t>不再单独列项，中标后不予调整。</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4）本项目涉及的拆除及垃圾清运工作含在本次招标范围内，投标人应自行勘察现场，综合考虑在报价中，</w:t>
      </w:r>
      <w:r>
        <w:rPr>
          <w:rFonts w:hint="eastAsia" w:hAnsi="宋体" w:cs="宋体"/>
          <w:color w:val="auto"/>
          <w:szCs w:val="21"/>
          <w:highlight w:val="none"/>
          <w:lang w:val="en-US" w:eastAsia="zh-CN"/>
        </w:rPr>
        <w:t>设备需求一览表</w:t>
      </w:r>
      <w:r>
        <w:rPr>
          <w:rFonts w:hint="eastAsia" w:hAnsi="宋体" w:cs="宋体"/>
          <w:color w:val="auto"/>
          <w:szCs w:val="21"/>
          <w:highlight w:val="none"/>
        </w:rPr>
        <w:t>不再单独列项，中标后不予调整。</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5）</w:t>
      </w:r>
      <w:r>
        <w:rPr>
          <w:rFonts w:hint="eastAsia" w:hAnsi="宋体" w:cs="宋体"/>
          <w:color w:val="auto"/>
          <w:szCs w:val="21"/>
          <w:highlight w:val="none"/>
          <w:lang w:val="en-US" w:eastAsia="zh-CN"/>
        </w:rPr>
        <w:t>设备需求一览表</w:t>
      </w:r>
      <w:r>
        <w:rPr>
          <w:rFonts w:hint="eastAsia" w:hAnsi="宋体" w:cs="宋体"/>
          <w:color w:val="auto"/>
          <w:szCs w:val="21"/>
          <w:highlight w:val="none"/>
        </w:rPr>
        <w:t>未列的设备配套软件、线缆（含配套线缆；因设备布局优化调整及接引线等需要增加的）、附属材料、零星材料及辅材含在本次招标范围内，投标人应自行勘察现场，综合考虑在报价中，</w:t>
      </w:r>
      <w:r>
        <w:rPr>
          <w:rFonts w:hint="eastAsia" w:hAnsi="宋体" w:cs="宋体"/>
          <w:color w:val="auto"/>
          <w:szCs w:val="21"/>
          <w:highlight w:val="none"/>
          <w:lang w:val="en-US" w:eastAsia="zh-CN"/>
        </w:rPr>
        <w:t>设备需求一览表</w:t>
      </w:r>
      <w:r>
        <w:rPr>
          <w:rFonts w:hint="eastAsia" w:hAnsi="宋体" w:cs="宋体"/>
          <w:color w:val="auto"/>
          <w:szCs w:val="21"/>
          <w:highlight w:val="none"/>
        </w:rPr>
        <w:t>不再单独列项，中标后不子调整。</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6）本项目涉及的管理软件接口费用及配套设施(含第三万软件接口)、系统集成费含在本次招标范围内，投标人应综合考虑在报价中，</w:t>
      </w:r>
      <w:r>
        <w:rPr>
          <w:rFonts w:hint="eastAsia" w:hAnsi="宋体" w:cs="宋体"/>
          <w:color w:val="auto"/>
          <w:szCs w:val="21"/>
          <w:highlight w:val="none"/>
          <w:lang w:val="en-US" w:eastAsia="zh-CN"/>
        </w:rPr>
        <w:t>设备需求一览表</w:t>
      </w:r>
      <w:r>
        <w:rPr>
          <w:rFonts w:hint="eastAsia" w:hAnsi="宋体" w:cs="宋体"/>
          <w:color w:val="auto"/>
          <w:szCs w:val="21"/>
          <w:highlight w:val="none"/>
        </w:rPr>
        <w:t>不再单独列项，中标后不予调整。</w:t>
      </w:r>
    </w:p>
    <w:p>
      <w:pPr>
        <w:spacing w:line="360" w:lineRule="auto"/>
        <w:ind w:firstLine="484" w:firstLineChars="202"/>
        <w:rPr>
          <w:rFonts w:hint="eastAsia" w:hAnsi="宋体" w:cs="宋体"/>
          <w:color w:val="auto"/>
          <w:szCs w:val="21"/>
          <w:highlight w:val="none"/>
        </w:rPr>
      </w:pPr>
      <w:r>
        <w:rPr>
          <w:rFonts w:hint="eastAsia" w:hAnsi="宋体" w:cs="宋体"/>
          <w:color w:val="auto"/>
          <w:szCs w:val="21"/>
          <w:highlight w:val="none"/>
        </w:rPr>
        <w:t>7）本项目涉及的非业主方委托的安防检测、等保测评等费用含在本次招标范围内，投标人应综合考虑在报价中，中标后不予调整。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bookmarkStart w:id="1251" w:name="_GoBack"/>
      <w:r>
        <w:rPr>
          <w:rFonts w:hint="eastAsia" w:ascii="宋体" w:hAnsi="宋体" w:eastAsia="宋体" w:cs="宋体"/>
          <w:b w:val="0"/>
          <w:bCs w:val="0"/>
          <w:color w:val="auto"/>
          <w:kern w:val="0"/>
          <w:sz w:val="24"/>
          <w:szCs w:val="21"/>
          <w:highlight w:val="none"/>
          <w:lang w:val="en-US" w:eastAsia="zh-CN" w:bidi="ar-SA"/>
        </w:rPr>
        <w:t>8）本项目设备单体调试及各系统联动调试费用，投标人应综合考虑在报价中，设备需求一览表不再单独列项，中标后不予调整。</w:t>
      </w:r>
    </w:p>
    <w:p>
      <w:pPr>
        <w:pStyle w:val="4"/>
        <w:spacing w:before="0" w:after="0" w:line="360" w:lineRule="auto"/>
        <w:ind w:firstLine="560"/>
        <w:rPr>
          <w:rFonts w:hint="eastAsia" w:ascii="黑体" w:hAnsi="黑体" w:eastAsia="黑体" w:cs="黑体"/>
          <w:b w:val="0"/>
          <w:color w:val="auto"/>
          <w:sz w:val="28"/>
          <w:szCs w:val="28"/>
        </w:rPr>
      </w:pPr>
      <w:r>
        <w:rPr>
          <w:rFonts w:hint="eastAsia" w:ascii="黑体" w:hAnsi="黑体" w:eastAsia="黑体" w:cs="黑体"/>
          <w:b w:val="0"/>
          <w:color w:val="auto"/>
          <w:sz w:val="28"/>
          <w:szCs w:val="28"/>
          <w:lang w:val="en-US" w:eastAsia="zh-CN"/>
        </w:rPr>
        <w:t>七</w:t>
      </w:r>
      <w:r>
        <w:rPr>
          <w:rFonts w:hint="eastAsia" w:ascii="黑体" w:hAnsi="黑体" w:eastAsia="黑体" w:cs="黑体"/>
          <w:b w:val="0"/>
          <w:color w:val="auto"/>
          <w:sz w:val="28"/>
          <w:szCs w:val="28"/>
        </w:rPr>
        <w:t>、其他要求</w:t>
      </w:r>
      <w:bookmarkEnd w:id="1075"/>
      <w:bookmarkEnd w:id="1076"/>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一）工程范围方面：</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1.根据消防或装饰等专业需做的局部调整修改，中标人需无条件配合，相关费用均已包含在合同总价内请投标人投标报价时综合考虑，后期不予增加。</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2.中标人需为本项目使用单位配置不少于1000张非接触式IC卡（一卡通系统需满足设计要求的功能，使用单位可以根据相关人员使用权限开通相应功能），相关费用均已包含在合同总价内，后期不予增加。</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3.本次招标范围内的防火、防水封堵相关费用均已包含在合同总价内请投标人投标报价时综合考虑，后期不予增加。</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4.所有施工图范围内需要提供检测报告的必须提供第三方检测报告（包括但不限于以下内容：1、机房工程：由中标单位负责委托第三方检测机构对本次建设机房工程按照相关标准要求进行检验，包含但不限于防雷及消防建设内容的检测，并出具相应的系统检验合格报告；2、综合安防系统：由中标单位负责负责委托第三方测评机构对本次建设综合安防系统按照综合安防系统相关标准要求进行检验，并出具相应的系统检验合格报告；3、软件评测：由中标单位负责负责委托第三方测评机构对本次定制开发的软件性能、用途、使用价值等进行的评价和测试，并出具相应的软件系统测评合格证；4、等保测评：由中标单位负责委托第三方检测机构对本项目进行设计的等级保护测评）。在投标报价时综合考虑，确保各部门验收、备案顺利过关，中标后不予调价。</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二）工程管理方面：</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1.委托有资质的第三方检测机构，包含在本项目中标人投标总价，请投标人投标报价时综合考虑。第三方检测机构需要经过监理单位审查并报业主同意后，参与专项检测，此项为拨付费用的必要事项。</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2.施工区域内已有的建筑物、综合管线，需做好保护措施，保证施工安全，投标时综合考虑报价，中标后费用不予调整。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3.中标人在工程实施过程中用工行为，必须严格执行国家及地方政府的有关规定，依法签订劳动合同，并按规定及时足额支付工资，进行公示。</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4.中标人自行协调周边劳务问题，并在投标报价时充分考虑风险。</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5.工程施工期间，若发现中标人有挂靠、转包等违规行为，招标人有权解除合同，并没收履约保证金，同时进一步追究相关责任。</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6、投标人应充分了解施工现场，做好现场踏勘工作。要充分考虑影响因素，施工措施考虑在投标报价中，工程施工过程中不再办理该项签证事宜。</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7.工程建设过程中，中标人必须严格按照合同的要求，保质保量按期完成合同全部内容，若发现施工过程中中标人有严重违反合同中有关工程质量、安全、进度及农民工工资发放等主要条款的行为，除予以相应的违约处理外，同时将视问题严重程度上报主管部门处罚。</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8.投标人应充分考虑到施工现场的状况，自行处理人员、材料设备等临时交通运输及现场安装调试问题，费用考虑在投标报价内，中百哦后不予调整。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9.施工过程中施工单位在管理、质量、安全等方面有缺陷或过失的，视为违约，中标人需按招标文件要求支付违约金给招标人。</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10.本项目施工过程中严禁施工单位擅自变更施工图纸，所有涉及图纸变更的内容必须报监理、招标人履行设计变更程序，否则一律变更无效。中标人若有违反上述内容的行为，除无条件改正外，还将被处以每次壹万元的违约金处理。</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12.中标人必须自觉接受招标人组织的第三方巡查和第三方检测，自愿同意并接受招标人相关违约金支付规定。</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13.中标人采购的设备材料须提供原厂生产证件，不得采购贴牌产品（OEM、ODM等）。现场一旦发现使用贴牌产品，中标人必须无条件返工，并处以10000元违约金。</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14.中标人进场后，当现场存在不同专业交叉施工时，各单位统一由代建单位、监理单位协调管理，由此造成的中标人费用增加，应综合考虑在投标报价中，中标后不予调整，造成的工期延长由中标人自行采取措施挽回，不得索赔工期。</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15.当日现场施工完成后，应自行清理施工产生的垃圾，不得遗留在现场，或将垃圾清理至指定场地，由总包统一清运，费用由中标人承担。若无法做到工完场清，招标人将委托其他单位代为清理，产生的费用将从工程款中扣除。</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16.自本项目中标结果公示之日起一周内，招标人将约谈中标人（出席约谈的人员中至少有一名为该公司主要领导）。若因中标人原因导致未能在规定时间内履行约谈的，招标人有权向相关主管部门报备后，取消中标人中标资格。</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17.中标人负责本项目相关的政府部门验收(包括但不限于机房防雷系统、视频监控系统等相关验收)，并取得验收合格文件，相关费用均已包含在合同总价内，后期不予增加。</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19.质量标准目标：中标人须配合总包单位争创黄山杯，施工质量与材料选择满足创杯创奖要求，费用含在中标人投标总价中，中标人自行考虑。中标人不得有影响土建、装饰总体项目的因素产生，造成不良影响的，处以每次壹万元的违约金处理。</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20.本项目实施过程中所有专家论证等，投标人综合考虑报价，中标后不予调整。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21.本项目实施过程中所有为满足设计及使用要求而进行图纸深化设计产生的所有相关费用，设备需求一览表不单独列项，投标人综合考虑报价，中标后不予调整。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22.本项目实施过程中为满足功能需要，并通过验收要求的一切辅材、附配件及连接件如螺母、抱箍、软铜芯、铜鼻、电池连接线、水表法兰、音箱壁挂架、油漆、钢丝绳、螺栓、音箱接头、卡侬公头、卡侬母头、RS232公头、RS232母头、水晶头、大三芯、莲花头、小3.5耳机头等材料清单不单独列项，投标人综合考虑报价，中标后不予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23.本项目实施过程中为满足功能需要，并通过验收要求的保险、税费、包装、加工及加工损耗、运输、现场落地、安装及安装损耗、调试、检测验收、超高、脚手架搭拆和交付后约定期限内免费维保等工作所发生的一切应有费用，投标人综合考虑报价，中标后不予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24.本项目涉及所有管线、桥架等穿楼板、墙体、地面需开槽、开洞、恢复、一次及二次封堵（含防火封堵，防火封堵做法参照有关图集，满足消防相关技术标准要求）所需的一切费用，清单不单独列项，投标人自行踏勘现场，综合考虑报价，中标后不予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25.本项目涉及的土方清运、设备基础等均包含的清单综合报价中，投标人综合考虑报价，中标后不予调整。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26.本工程室外主干综合管网已按图敷设，中标人进场后需进行复核，涉及点位调整、基础施工的绿化破复、管道调整增加的施工内容含在本次投标范围内，清单不单独列项，投标人自行踏勘现场，综合考虑报价，中标后不予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27.中标人进场施工，需尽早布局安防系统，该系统需在土建工程移交前上线使用。</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28. 提供智能化竣工图，竣工图体现终端设备、中转设备、机房设备等设备图标及名称。各设备编号、工井编号与竣工图和清单设备编号一致。竣工图应当与现场一致，为竣工必备资料，内容详细，方便后期管理人员接手和维修。</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29. 结合图纸及工程建设经验，按实际需求充分考虑LED大屏降温措施（如空调，同步考虑排水，接电问题），综合考虑报价，中标后不予调整。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三）工程技术方面（此项为签约合同及拨付费用的必要事项）：</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投标人须在投标文件中承诺：如中标将在中标结果公示发布之日起20个日历日（包含节假日）内完善前期工作（尤其工程范围、工程管理和工程技术方面涉及到的必要事项），达到招标文件提出的各项要求，因中标人不能满足招标文件提出的各项要求，以次充好，导致项目不能如期进场施工，由此造成的一切损失后果责任均由中标人承担，且招标人有权取消其中标人资格，并上报公共资源监督管理部门进行处理。</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2.投标人须对党校特色功能建设以下3项重要内容或功能进行演示（此项为签约合同及拨付费用的必要事项），演示内容如下：</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2.1智慧党校平台学员管理功能。</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2.2智慧党校平台教学管理功能。</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2.3移动应用功能。</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详细要求见技术规范书及招标文件第五章供货要求中“党校特色功能建设要求”</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四）投标人做好施工组织深化方案</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中标人合同签订后须向招标人提供本项目每个子系统的拓扑结构图，最终绘制形成集成系统拓扑结构图，要求如下：</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1.系统拓扑结构图体现各子系统的每个终端设备（通过水平及竖向示意图展示，同时体现供电方式，设备编号，防止混接）、信息传输中转设备（如无线路由、光电转接、交换机、汇聚交换机等，设备编号，防止混接）、信息传输链路等（设备较多且集中的区域可以用数量示意）。</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2.系统拓扑结构图合理并考虑线路和终端设备容错（即综合布线合理，中转设备或者传输线路损坏，影响的范围应当考虑教学以及校园安全的连续性）。</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3.各子系统通过核心交换机或服务器等机房内设备，汇聚形成集成系统（部分子系统独立除外，单独绘制子系统拓扑结构图即可），系统拓扑结构图体现各机房设备（机柜内的设备，可用大样图加以描述，大样图内的各设备应当与子系统设备编号一致，便于识别连接），体现各子系统间的数据交换以及各子系统与核心交换机或服务器等机房设备的数据交换（可以图示加说明表述）。</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4.拓扑结构图涉及到的终端设备、信息中转设备、机房内设备、线路等，均需要原位标准其名称及个别主要参数，编号应当与投标人投标时设备清单编号一致（投标人可对设备编号统一调整）。</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5.系统拓扑结构图应当十分详细，能够指导施工；设备及连接方式清晰，能够指导验收。</w:t>
      </w:r>
    </w:p>
    <w:p>
      <w:pPr>
        <w:pStyle w:val="4"/>
        <w:spacing w:before="0" w:after="0" w:line="360" w:lineRule="auto"/>
        <w:ind w:firstLine="56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6.施工组织深化方案应当基于原设计图纸和清单设备，各投标人应当提前准备，确保整个智能化工程顺利施工和投入运营，投标人综合考虑报价，中标后不予调整（投标人在开标前应当达到一定深度，避免投标报价错误）。</w:t>
      </w:r>
    </w:p>
    <w:p>
      <w:pPr>
        <w:pStyle w:val="4"/>
        <w:spacing w:before="0" w:after="0" w:line="360" w:lineRule="auto"/>
        <w:ind w:firstLine="560"/>
        <w:rPr>
          <w:rFonts w:hint="eastAsia" w:hAnsi="宋体"/>
          <w:bCs/>
          <w:color w:val="FF0000"/>
          <w:kern w:val="2"/>
          <w:sz w:val="28"/>
          <w:szCs w:val="32"/>
        </w:rPr>
      </w:pPr>
      <w:r>
        <w:rPr>
          <w:rFonts w:hint="eastAsia" w:ascii="宋体" w:hAnsi="宋体" w:eastAsia="宋体" w:cs="宋体"/>
          <w:b w:val="0"/>
          <w:bCs w:val="0"/>
          <w:color w:val="auto"/>
          <w:kern w:val="0"/>
          <w:sz w:val="24"/>
          <w:szCs w:val="21"/>
          <w:highlight w:val="none"/>
          <w:lang w:val="en-US" w:eastAsia="zh-CN" w:bidi="ar-SA"/>
        </w:rPr>
        <w:t>7.基于原施工图做好施工组织方案，避免野蛮施工，导致综合布线混乱不清晰，该子系统暂停施工并处以每次壹万元的违约金处理。</w:t>
      </w:r>
      <w:bookmarkEnd w:id="1251"/>
    </w:p>
    <w:p/>
    <w:p>
      <w:pPr>
        <w:spacing w:line="360" w:lineRule="auto"/>
        <w:ind w:firstLine="480" w:firstLineChars="200"/>
        <w:rPr>
          <w:highlight w:val="none"/>
        </w:rPr>
      </w:pPr>
    </w:p>
    <w:p>
      <w:pPr>
        <w:pStyle w:val="2"/>
        <w:spacing w:before="0" w:after="0" w:line="320" w:lineRule="exact"/>
        <w:jc w:val="center"/>
        <w:rPr>
          <w:rFonts w:hint="eastAsia"/>
          <w:highlight w:val="none"/>
        </w:rPr>
      </w:pPr>
      <w:r>
        <w:rPr>
          <w:rFonts w:hint="eastAsia"/>
          <w:highlight w:val="none"/>
        </w:rPr>
        <w:br w:type="page"/>
      </w:r>
    </w:p>
    <w:p>
      <w:pPr>
        <w:pStyle w:val="2"/>
        <w:spacing w:before="0" w:after="0" w:line="320" w:lineRule="exact"/>
        <w:jc w:val="center"/>
        <w:rPr>
          <w:rFonts w:hint="eastAsia"/>
          <w:highlight w:val="none"/>
        </w:rPr>
      </w:pPr>
    </w:p>
    <w:p>
      <w:pPr>
        <w:pStyle w:val="2"/>
        <w:spacing w:before="0" w:after="0" w:line="320" w:lineRule="exact"/>
        <w:jc w:val="center"/>
        <w:rPr>
          <w:rFonts w:hint="eastAsia" w:ascii="黑体" w:hAnsi="黑体" w:eastAsia="黑体" w:cs="黑体"/>
          <w:b w:val="0"/>
          <w:bCs w:val="0"/>
          <w:kern w:val="44"/>
          <w:sz w:val="32"/>
          <w:szCs w:val="44"/>
          <w:highlight w:val="none"/>
          <w:lang w:val="en-US" w:eastAsia="zh-CN" w:bidi="ar-SA"/>
        </w:rPr>
      </w:pPr>
    </w:p>
    <w:p>
      <w:pPr>
        <w:pStyle w:val="3"/>
        <w:spacing w:beforeLines="100" w:afterLines="100" w:line="240" w:lineRule="auto"/>
        <w:jc w:val="center"/>
        <w:rPr>
          <w:rFonts w:hint="eastAsia" w:ascii="黑体" w:hAnsi="黑体" w:eastAsia="黑体" w:cs="黑体"/>
          <w:b w:val="0"/>
          <w:highlight w:val="none"/>
        </w:rPr>
      </w:pPr>
      <w:bookmarkStart w:id="1079" w:name="_Toc30374"/>
      <w:r>
        <w:rPr>
          <w:rFonts w:hint="eastAsia" w:ascii="黑体" w:hAnsi="黑体" w:eastAsia="黑体" w:cs="黑体"/>
          <w:b w:val="0"/>
          <w:highlight w:val="none"/>
          <w:lang w:val="en-US" w:eastAsia="zh-CN"/>
        </w:rPr>
        <w:t>第六章  投标文件格式</w:t>
      </w:r>
      <w:bookmarkEnd w:id="1079"/>
    </w:p>
    <w:p>
      <w:pPr>
        <w:spacing w:beforeLines="200"/>
        <w:jc w:val="center"/>
        <w:outlineLvl w:val="0"/>
        <w:rPr>
          <w:rFonts w:ascii="Times New Roman"/>
          <w:bCs/>
          <w:sz w:val="44"/>
          <w:szCs w:val="44"/>
          <w:highlight w:val="none"/>
        </w:rPr>
      </w:pPr>
      <w:bookmarkStart w:id="1080" w:name="_Toc14595"/>
      <w:bookmarkStart w:id="1081" w:name="_Toc12149"/>
      <w:bookmarkStart w:id="1082" w:name="_Toc32657"/>
      <w:bookmarkStart w:id="1083" w:name="_Toc12230"/>
      <w:bookmarkStart w:id="1084" w:name="_Toc23204"/>
      <w:bookmarkStart w:id="1085" w:name="_Toc27118"/>
      <w:bookmarkStart w:id="1086" w:name="_Toc16066"/>
      <w:r>
        <w:rPr>
          <w:rFonts w:hint="eastAsia" w:ascii="Times New Roman"/>
          <w:bCs/>
          <w:sz w:val="44"/>
          <w:szCs w:val="44"/>
          <w:highlight w:val="none"/>
          <w:u w:val="single"/>
        </w:rPr>
        <w:br w:type="page"/>
      </w:r>
      <w:bookmarkStart w:id="1087" w:name="_Toc140069451"/>
      <w:bookmarkStart w:id="1088" w:name="_Toc2319"/>
      <w:r>
        <w:rPr>
          <w:rFonts w:hint="eastAsia" w:ascii="Times New Roman"/>
          <w:bCs/>
          <w:sz w:val="44"/>
          <w:szCs w:val="44"/>
          <w:highlight w:val="none"/>
          <w:u w:val="single"/>
        </w:rPr>
        <w:t>（招标项目名称）</w:t>
      </w:r>
      <w:r>
        <w:rPr>
          <w:rFonts w:hint="eastAsia" w:ascii="Times New Roman"/>
          <w:bCs/>
          <w:sz w:val="44"/>
          <w:szCs w:val="44"/>
          <w:highlight w:val="none"/>
        </w:rPr>
        <w:t>标段招标</w:t>
      </w:r>
      <w:bookmarkEnd w:id="1080"/>
      <w:bookmarkEnd w:id="1081"/>
      <w:bookmarkEnd w:id="1082"/>
      <w:bookmarkEnd w:id="1083"/>
      <w:bookmarkEnd w:id="1084"/>
      <w:bookmarkEnd w:id="1085"/>
      <w:bookmarkEnd w:id="1086"/>
      <w:bookmarkEnd w:id="1087"/>
      <w:bookmarkEnd w:id="1088"/>
    </w:p>
    <w:p>
      <w:pPr>
        <w:pStyle w:val="4"/>
        <w:spacing w:beforeLines="600" w:afterLines="100" w:line="240" w:lineRule="auto"/>
        <w:jc w:val="center"/>
        <w:rPr>
          <w:rFonts w:ascii="Times New Roman" w:hAnsi="Times New Roman" w:eastAsia="黑体"/>
          <w:b w:val="0"/>
          <w:sz w:val="44"/>
          <w:szCs w:val="44"/>
          <w:highlight w:val="none"/>
        </w:rPr>
      </w:pPr>
      <w:bookmarkStart w:id="1089" w:name="_Toc140069452"/>
      <w:bookmarkStart w:id="1090" w:name="_Toc13468"/>
      <w:bookmarkStart w:id="1091" w:name="_Toc26391"/>
      <w:r>
        <w:rPr>
          <w:rFonts w:hint="eastAsia" w:ascii="Times New Roman" w:hAnsi="Times New Roman" w:eastAsia="黑体"/>
          <w:b w:val="0"/>
          <w:sz w:val="44"/>
          <w:szCs w:val="44"/>
          <w:highlight w:val="none"/>
        </w:rPr>
        <w:t>投标文件</w:t>
      </w:r>
      <w:bookmarkEnd w:id="1089"/>
      <w:bookmarkEnd w:id="1090"/>
    </w:p>
    <w:p>
      <w:pPr>
        <w:pStyle w:val="4"/>
        <w:jc w:val="center"/>
        <w:rPr>
          <w:rFonts w:ascii="Times New Roman" w:hAnsi="Times New Roman" w:eastAsia="黑体"/>
          <w:b w:val="0"/>
          <w:highlight w:val="none"/>
        </w:rPr>
      </w:pPr>
      <w:bookmarkStart w:id="1092" w:name="_Toc5320"/>
      <w:bookmarkStart w:id="1093" w:name="_Toc140069453"/>
      <w:r>
        <w:rPr>
          <w:rFonts w:hint="eastAsia" w:ascii="Times New Roman" w:hAnsi="Times New Roman" w:eastAsia="黑体"/>
          <w:b w:val="0"/>
          <w:highlight w:val="none"/>
        </w:rPr>
        <w:t>（商务文件）</w:t>
      </w:r>
      <w:bookmarkEnd w:id="1091"/>
      <w:bookmarkEnd w:id="1092"/>
      <w:bookmarkEnd w:id="1093"/>
    </w:p>
    <w:p>
      <w:pPr>
        <w:spacing w:beforeLines="3300" w:line="480" w:lineRule="auto"/>
        <w:jc w:val="center"/>
        <w:rPr>
          <w:rFonts w:ascii="Times New Roman" w:eastAsia="黑体"/>
          <w:sz w:val="28"/>
          <w:szCs w:val="28"/>
          <w:highlight w:val="none"/>
        </w:rPr>
      </w:pPr>
      <w:bookmarkStart w:id="1094" w:name="_Toc18532"/>
      <w:bookmarkStart w:id="1095" w:name="_Toc17206"/>
      <w:bookmarkStart w:id="1096" w:name="_Toc19022"/>
      <w:bookmarkStart w:id="1097" w:name="_Toc12206"/>
      <w:r>
        <w:rPr>
          <w:rFonts w:hint="eastAsia" w:ascii="Times New Roman" w:eastAsia="黑体"/>
          <w:sz w:val="28"/>
          <w:szCs w:val="28"/>
          <w:highlight w:val="none"/>
        </w:rPr>
        <w:t>投标人：（盖单位章）</w:t>
      </w:r>
      <w:bookmarkEnd w:id="1094"/>
      <w:bookmarkEnd w:id="1095"/>
      <w:bookmarkEnd w:id="1096"/>
      <w:bookmarkEnd w:id="1097"/>
    </w:p>
    <w:p>
      <w:pPr>
        <w:spacing w:line="480" w:lineRule="auto"/>
        <w:jc w:val="center"/>
        <w:rPr>
          <w:rFonts w:ascii="Times New Roman" w:eastAsia="黑体"/>
          <w:sz w:val="28"/>
          <w:szCs w:val="28"/>
          <w:highlight w:val="none"/>
        </w:rPr>
      </w:pPr>
      <w:bookmarkStart w:id="1098" w:name="_Toc16140"/>
      <w:bookmarkStart w:id="1099" w:name="_Toc25824"/>
      <w:bookmarkStart w:id="1100" w:name="_Toc21200"/>
      <w:bookmarkStart w:id="1101" w:name="_Toc1982"/>
      <w:r>
        <w:rPr>
          <w:rFonts w:hint="eastAsia" w:ascii="Times New Roman" w:eastAsia="黑体"/>
          <w:sz w:val="28"/>
          <w:szCs w:val="28"/>
          <w:highlight w:val="none"/>
        </w:rPr>
        <w:t>年月日</w:t>
      </w:r>
      <w:bookmarkEnd w:id="1098"/>
      <w:bookmarkEnd w:id="1099"/>
      <w:bookmarkEnd w:id="1100"/>
      <w:bookmarkEnd w:id="1101"/>
    </w:p>
    <w:p>
      <w:pPr>
        <w:spacing w:beforeLines="100" w:afterLines="100"/>
        <w:ind w:firstLine="480" w:firstLineChars="200"/>
        <w:jc w:val="center"/>
        <w:rPr>
          <w:rFonts w:ascii="Times New Roman"/>
          <w:sz w:val="28"/>
          <w:szCs w:val="21"/>
          <w:highlight w:val="none"/>
        </w:rPr>
      </w:pPr>
      <w:r>
        <w:rPr>
          <w:rFonts w:ascii="Times New Roman"/>
          <w:szCs w:val="21"/>
          <w:highlight w:val="none"/>
        </w:rPr>
        <w:br w:type="page"/>
      </w:r>
      <w:r>
        <w:rPr>
          <w:rFonts w:hint="eastAsia" w:ascii="Times New Roman"/>
          <w:sz w:val="28"/>
          <w:szCs w:val="21"/>
          <w:highlight w:val="none"/>
        </w:rPr>
        <w:t>目  录</w:t>
      </w:r>
    </w:p>
    <w:p>
      <w:pPr>
        <w:spacing w:line="360" w:lineRule="auto"/>
        <w:ind w:firstLine="480" w:firstLineChars="200"/>
        <w:rPr>
          <w:rFonts w:ascii="Times New Roman"/>
          <w:szCs w:val="21"/>
          <w:highlight w:val="none"/>
        </w:rPr>
      </w:pPr>
      <w:r>
        <w:rPr>
          <w:rFonts w:hint="eastAsia" w:ascii="Times New Roman"/>
          <w:szCs w:val="21"/>
          <w:highlight w:val="none"/>
        </w:rPr>
        <w:t>一、投标函（不含报价）</w:t>
      </w:r>
    </w:p>
    <w:p>
      <w:pPr>
        <w:spacing w:line="360" w:lineRule="auto"/>
        <w:ind w:firstLine="480" w:firstLineChars="200"/>
        <w:rPr>
          <w:rFonts w:ascii="Times New Roman"/>
          <w:szCs w:val="21"/>
          <w:highlight w:val="none"/>
        </w:rPr>
      </w:pPr>
      <w:r>
        <w:rPr>
          <w:rFonts w:hint="eastAsia" w:ascii="Times New Roman"/>
          <w:szCs w:val="21"/>
          <w:highlight w:val="none"/>
        </w:rPr>
        <w:t>二、法定代表人身份证明或授权委托书</w:t>
      </w:r>
    </w:p>
    <w:p>
      <w:pPr>
        <w:spacing w:line="360" w:lineRule="auto"/>
        <w:ind w:firstLine="480" w:firstLineChars="200"/>
        <w:rPr>
          <w:rFonts w:ascii="Times New Roman"/>
          <w:szCs w:val="21"/>
          <w:highlight w:val="none"/>
        </w:rPr>
      </w:pPr>
      <w:r>
        <w:rPr>
          <w:rFonts w:hint="eastAsia" w:ascii="Times New Roman"/>
          <w:szCs w:val="21"/>
          <w:highlight w:val="none"/>
        </w:rPr>
        <w:t>三、联合体协议书（如有）</w:t>
      </w:r>
    </w:p>
    <w:p>
      <w:pPr>
        <w:spacing w:line="360" w:lineRule="auto"/>
        <w:ind w:firstLine="480" w:firstLineChars="200"/>
        <w:rPr>
          <w:rFonts w:ascii="Times New Roman"/>
          <w:szCs w:val="21"/>
          <w:highlight w:val="none"/>
        </w:rPr>
      </w:pPr>
      <w:r>
        <w:rPr>
          <w:rFonts w:hint="eastAsia" w:ascii="Times New Roman"/>
          <w:szCs w:val="21"/>
          <w:highlight w:val="none"/>
        </w:rPr>
        <w:t>四、投标保证金</w:t>
      </w:r>
    </w:p>
    <w:p>
      <w:pPr>
        <w:spacing w:line="360" w:lineRule="auto"/>
        <w:ind w:firstLine="480" w:firstLineChars="200"/>
        <w:rPr>
          <w:rFonts w:ascii="Times New Roman"/>
          <w:szCs w:val="21"/>
          <w:highlight w:val="none"/>
        </w:rPr>
      </w:pPr>
      <w:r>
        <w:rPr>
          <w:rFonts w:hint="eastAsia" w:ascii="Times New Roman"/>
          <w:szCs w:val="21"/>
          <w:highlight w:val="none"/>
        </w:rPr>
        <w:t>五、商务条款偏差表；</w:t>
      </w:r>
    </w:p>
    <w:p>
      <w:pPr>
        <w:spacing w:line="360" w:lineRule="auto"/>
        <w:ind w:firstLine="480" w:firstLineChars="200"/>
        <w:rPr>
          <w:rFonts w:ascii="Times New Roman"/>
          <w:szCs w:val="21"/>
          <w:highlight w:val="none"/>
        </w:rPr>
      </w:pPr>
      <w:r>
        <w:rPr>
          <w:rFonts w:hint="eastAsia" w:ascii="Times New Roman"/>
          <w:szCs w:val="21"/>
          <w:highlight w:val="none"/>
        </w:rPr>
        <w:t>六、资格审查资料</w:t>
      </w:r>
    </w:p>
    <w:p>
      <w:pPr>
        <w:spacing w:line="360" w:lineRule="auto"/>
        <w:ind w:firstLine="480" w:firstLineChars="200"/>
        <w:rPr>
          <w:rFonts w:ascii="Times New Roman"/>
          <w:szCs w:val="21"/>
          <w:highlight w:val="none"/>
        </w:rPr>
      </w:pPr>
      <w:r>
        <w:rPr>
          <w:rFonts w:hint="eastAsia" w:ascii="Times New Roman"/>
          <w:szCs w:val="21"/>
          <w:highlight w:val="none"/>
        </w:rPr>
        <w:t>七、商务文件详细评审资料</w:t>
      </w:r>
    </w:p>
    <w:p>
      <w:pPr>
        <w:spacing w:line="360" w:lineRule="auto"/>
        <w:ind w:firstLine="480" w:firstLineChars="200"/>
        <w:rPr>
          <w:rFonts w:ascii="Times New Roman"/>
          <w:szCs w:val="21"/>
          <w:highlight w:val="none"/>
        </w:rPr>
      </w:pPr>
      <w:bookmarkStart w:id="1102" w:name="_Toc31175"/>
      <w:r>
        <w:rPr>
          <w:rFonts w:hint="eastAsia" w:ascii="Times New Roman"/>
          <w:szCs w:val="21"/>
          <w:highlight w:val="none"/>
        </w:rPr>
        <w:t>八、诚信投标承诺书</w:t>
      </w:r>
      <w:bookmarkEnd w:id="1102"/>
    </w:p>
    <w:p>
      <w:pPr>
        <w:spacing w:line="360" w:lineRule="auto"/>
        <w:ind w:firstLine="480" w:firstLineChars="200"/>
        <w:rPr>
          <w:rFonts w:ascii="Times New Roman"/>
          <w:szCs w:val="21"/>
          <w:highlight w:val="none"/>
        </w:rPr>
      </w:pPr>
      <w:r>
        <w:rPr>
          <w:rFonts w:hint="eastAsia" w:ascii="Times New Roman"/>
          <w:szCs w:val="21"/>
          <w:highlight w:val="none"/>
        </w:rPr>
        <w:t>九</w:t>
      </w:r>
      <w:bookmarkStart w:id="1103" w:name="_Toc19764"/>
      <w:r>
        <w:rPr>
          <w:rFonts w:hint="eastAsia" w:ascii="Times New Roman"/>
          <w:szCs w:val="21"/>
          <w:highlight w:val="none"/>
        </w:rPr>
        <w:t>、其他</w:t>
      </w:r>
      <w:bookmarkEnd w:id="1103"/>
      <w:r>
        <w:rPr>
          <w:rFonts w:hint="eastAsia" w:ascii="Times New Roman"/>
          <w:szCs w:val="21"/>
          <w:highlight w:val="none"/>
        </w:rPr>
        <w:t>材料</w:t>
      </w:r>
    </w:p>
    <w:p>
      <w:pPr>
        <w:pStyle w:val="2"/>
        <w:spacing w:beforeLines="100" w:afterLines="100" w:line="240" w:lineRule="auto"/>
        <w:jc w:val="center"/>
        <w:rPr>
          <w:rFonts w:ascii="Times New Roman" w:hAnsi="Times New Roman"/>
          <w:highlight w:val="none"/>
        </w:rPr>
      </w:pPr>
      <w:r>
        <w:rPr>
          <w:rFonts w:ascii="Times New Roman" w:hAnsi="Times New Roman"/>
          <w:szCs w:val="21"/>
          <w:highlight w:val="none"/>
        </w:rPr>
        <w:br w:type="page"/>
      </w:r>
      <w:bookmarkStart w:id="1104" w:name="_Toc460227108"/>
      <w:bookmarkStart w:id="1105" w:name="_Toc390411621"/>
      <w:bookmarkStart w:id="1106" w:name="_Toc460660223"/>
      <w:bookmarkStart w:id="1107" w:name="_Toc421917001"/>
      <w:bookmarkStart w:id="1108" w:name="_Toc224103496"/>
      <w:r>
        <w:rPr>
          <w:rFonts w:hint="eastAsia" w:ascii="Times New Roman" w:hAnsi="Times New Roman"/>
          <w:highlight w:val="none"/>
        </w:rPr>
        <w:t>一、投标函</w:t>
      </w:r>
    </w:p>
    <w:p>
      <w:pPr>
        <w:adjustRightInd w:val="0"/>
        <w:snapToGrid w:val="0"/>
        <w:spacing w:line="360" w:lineRule="auto"/>
        <w:rPr>
          <w:rFonts w:hAnsi="宋体" w:cs="宋体"/>
          <w:highlight w:val="none"/>
          <w:u w:val="single"/>
        </w:rPr>
      </w:pPr>
      <w:r>
        <w:rPr>
          <w:rFonts w:hint="eastAsia" w:hAnsi="宋体" w:cs="宋体"/>
          <w:highlight w:val="none"/>
        </w:rPr>
        <w:t>致：</w:t>
      </w:r>
      <w:r>
        <w:rPr>
          <w:rFonts w:hint="eastAsia" w:hAnsi="宋体" w:cs="宋体"/>
          <w:highlight w:val="none"/>
          <w:u w:val="single"/>
        </w:rPr>
        <w:t>（招标人）</w:t>
      </w:r>
    </w:p>
    <w:p>
      <w:pPr>
        <w:spacing w:line="360" w:lineRule="auto"/>
        <w:ind w:firstLine="480" w:firstLineChars="200"/>
        <w:rPr>
          <w:rFonts w:hAnsi="宋体" w:cs="宋体"/>
          <w:highlight w:val="none"/>
        </w:rPr>
      </w:pPr>
      <w:r>
        <w:rPr>
          <w:rFonts w:hint="eastAsia" w:hAnsi="宋体" w:cs="宋体"/>
          <w:highlight w:val="none"/>
        </w:rPr>
        <w:t>1.我方已仔细研究了</w:t>
      </w:r>
      <w:r>
        <w:rPr>
          <w:rFonts w:hint="eastAsia" w:hAnsi="宋体" w:cs="宋体"/>
          <w:highlight w:val="none"/>
          <w:u w:val="single"/>
        </w:rPr>
        <w:t>（招标项目名称）</w:t>
      </w:r>
      <w:r>
        <w:rPr>
          <w:rFonts w:hint="eastAsia" w:hAnsi="宋体" w:cs="宋体"/>
          <w:highlight w:val="none"/>
        </w:rPr>
        <w:t>标段招标文件的全部内容，愿以</w:t>
      </w:r>
      <w:r>
        <w:rPr>
          <w:rFonts w:hint="eastAsia" w:hAnsi="宋体" w:cs="宋体"/>
          <w:highlight w:val="none"/>
          <w:u w:val="single"/>
        </w:rPr>
        <w:t>报价文件投标函中</w:t>
      </w:r>
      <w:r>
        <w:rPr>
          <w:rFonts w:hint="eastAsia" w:hAnsi="宋体" w:cs="宋体"/>
          <w:highlight w:val="none"/>
        </w:rPr>
        <w:t>的投标总报价提供招标文件要求的货物、安装及技术服务和质保售后服务等，并按合同约定履行义务。</w:t>
      </w:r>
    </w:p>
    <w:p>
      <w:pPr>
        <w:spacing w:line="360" w:lineRule="auto"/>
        <w:ind w:firstLine="480" w:firstLineChars="200"/>
        <w:rPr>
          <w:rFonts w:hAnsi="宋体" w:cs="宋体"/>
          <w:highlight w:val="none"/>
        </w:rPr>
      </w:pPr>
      <w:r>
        <w:rPr>
          <w:rFonts w:hint="eastAsia" w:hAnsi="宋体" w:cs="宋体"/>
          <w:highlight w:val="none"/>
        </w:rPr>
        <w:t>2.我方承诺除商务和技术偏差表列出的偏差外，我方响应招标文件的全部要求。</w:t>
      </w:r>
    </w:p>
    <w:p>
      <w:pPr>
        <w:spacing w:line="360" w:lineRule="auto"/>
        <w:ind w:firstLine="480" w:firstLineChars="200"/>
        <w:rPr>
          <w:rFonts w:hAnsi="宋体" w:cs="宋体"/>
          <w:highlight w:val="none"/>
        </w:rPr>
      </w:pPr>
      <w:r>
        <w:rPr>
          <w:rFonts w:hint="eastAsia" w:hAnsi="宋体" w:cs="宋体"/>
          <w:highlight w:val="none"/>
        </w:rPr>
        <w:t>3.我方响应招标文件规定的投标有效期，并承诺在投标有效期内不撤销投标文件。</w:t>
      </w:r>
    </w:p>
    <w:p>
      <w:pPr>
        <w:spacing w:line="360" w:lineRule="auto"/>
        <w:ind w:firstLine="480" w:firstLineChars="200"/>
        <w:rPr>
          <w:rFonts w:hAnsi="宋体" w:cs="宋体"/>
          <w:bCs/>
          <w:highlight w:val="none"/>
        </w:rPr>
      </w:pPr>
      <w:r>
        <w:rPr>
          <w:rFonts w:hint="eastAsia" w:hAnsi="宋体" w:cs="宋体"/>
          <w:bCs/>
          <w:highlight w:val="none"/>
        </w:rPr>
        <w:t>4.如我方中标，我方承诺：</w:t>
      </w:r>
    </w:p>
    <w:p>
      <w:pPr>
        <w:spacing w:line="360" w:lineRule="auto"/>
        <w:ind w:firstLine="480" w:firstLineChars="200"/>
        <w:rPr>
          <w:rFonts w:hAnsi="宋体" w:cs="宋体"/>
          <w:highlight w:val="none"/>
        </w:rPr>
      </w:pPr>
      <w:r>
        <w:rPr>
          <w:rFonts w:hint="eastAsia" w:hAnsi="宋体" w:cs="宋体"/>
          <w:highlight w:val="none"/>
        </w:rPr>
        <w:t>（1）在收到中标通知书后，在中标通知书规定的期限内与你方签订合同；</w:t>
      </w:r>
    </w:p>
    <w:p>
      <w:pPr>
        <w:spacing w:line="360" w:lineRule="auto"/>
        <w:ind w:firstLine="480" w:firstLineChars="200"/>
        <w:rPr>
          <w:rFonts w:hAnsi="宋体" w:cs="宋体"/>
          <w:highlight w:val="none"/>
        </w:rPr>
      </w:pPr>
      <w:r>
        <w:rPr>
          <w:rFonts w:hint="eastAsia" w:hAnsi="宋体" w:cs="宋体"/>
          <w:highlight w:val="none"/>
        </w:rPr>
        <w:t>（2）在签订合同时不向你方提出附加条件；</w:t>
      </w:r>
    </w:p>
    <w:p>
      <w:pPr>
        <w:spacing w:line="360" w:lineRule="auto"/>
        <w:ind w:firstLine="480" w:firstLineChars="200"/>
        <w:rPr>
          <w:rFonts w:hAnsi="宋体" w:cs="宋体"/>
          <w:highlight w:val="none"/>
        </w:rPr>
      </w:pPr>
      <w:r>
        <w:rPr>
          <w:rFonts w:hint="eastAsia" w:hAnsi="宋体" w:cs="宋体"/>
          <w:highlight w:val="none"/>
        </w:rPr>
        <w:t>（3）按照招标文件要求提交履约保证金；</w:t>
      </w:r>
      <w:bookmarkStart w:id="1109" w:name="_Toc352691658"/>
      <w:bookmarkStart w:id="1110" w:name="_Toc1187"/>
      <w:bookmarkStart w:id="1111" w:name="_Toc369531694"/>
    </w:p>
    <w:p>
      <w:pPr>
        <w:spacing w:line="360" w:lineRule="auto"/>
        <w:ind w:firstLine="480" w:firstLineChars="200"/>
        <w:rPr>
          <w:rFonts w:hAnsi="宋体" w:cs="宋体"/>
          <w:highlight w:val="none"/>
        </w:rPr>
      </w:pPr>
      <w:r>
        <w:rPr>
          <w:rFonts w:hint="eastAsia" w:hAnsi="宋体" w:cs="宋体"/>
          <w:highlight w:val="none"/>
        </w:rPr>
        <w:t>（4</w:t>
      </w:r>
      <w:bookmarkEnd w:id="1109"/>
      <w:bookmarkEnd w:id="1110"/>
      <w:bookmarkEnd w:id="1111"/>
      <w:r>
        <w:rPr>
          <w:rFonts w:hint="eastAsia" w:hAnsi="宋体" w:cs="宋体"/>
          <w:highlight w:val="none"/>
        </w:rPr>
        <w:t>）在合同约定的期限内完成合同规定的全部义务。</w:t>
      </w:r>
    </w:p>
    <w:p>
      <w:pPr>
        <w:spacing w:line="360" w:lineRule="auto"/>
        <w:ind w:firstLine="480" w:firstLineChars="200"/>
        <w:rPr>
          <w:rFonts w:hAnsi="宋体" w:cs="宋体"/>
          <w:highlight w:val="none"/>
        </w:rPr>
      </w:pPr>
      <w:r>
        <w:rPr>
          <w:rFonts w:hint="eastAsia" w:hAnsi="宋体" w:cs="宋体"/>
          <w:highlight w:val="none"/>
        </w:rPr>
        <w:t>5.</w:t>
      </w:r>
      <w:r>
        <w:rPr>
          <w:rFonts w:hint="eastAsia" w:hAnsi="宋体" w:cs="宋体"/>
          <w:bCs/>
          <w:highlight w:val="none"/>
        </w:rPr>
        <w:t>除非另外达成协议并生效，你方的中标通知书和本投标文件以及招标文件、招标文件澄清、修改、补充文件将成为约束双方的合同文件的组成部分</w:t>
      </w:r>
      <w:r>
        <w:rPr>
          <w:rFonts w:hint="eastAsia" w:hAnsi="宋体" w:cs="宋体"/>
          <w:highlight w:val="none"/>
        </w:rPr>
        <w:t>。</w:t>
      </w:r>
    </w:p>
    <w:p>
      <w:pPr>
        <w:adjustRightInd w:val="0"/>
        <w:snapToGrid w:val="0"/>
        <w:spacing w:line="360" w:lineRule="auto"/>
        <w:ind w:firstLine="420" w:firstLineChars="175"/>
        <w:rPr>
          <w:rFonts w:hAnsi="宋体" w:cs="宋体"/>
          <w:bCs/>
          <w:highlight w:val="none"/>
        </w:rPr>
      </w:pPr>
      <w:r>
        <w:rPr>
          <w:rFonts w:hint="eastAsia" w:hAnsi="宋体" w:cs="宋体"/>
          <w:highlight w:val="none"/>
        </w:rPr>
        <w:t>6.</w:t>
      </w:r>
      <w:r>
        <w:rPr>
          <w:rFonts w:hint="eastAsia" w:hAnsi="宋体" w:cs="宋体"/>
          <w:b/>
          <w:bCs/>
          <w:highlight w:val="none"/>
          <w:u w:val="single"/>
          <w:lang w:val="en-US" w:eastAsia="zh-CN"/>
        </w:rPr>
        <w:t>我方承诺拟派项目负责人</w:t>
      </w:r>
      <w:r>
        <w:rPr>
          <w:rFonts w:hint="eastAsia" w:hAnsi="宋体" w:cs="宋体"/>
          <w:b/>
          <w:bCs/>
          <w:highlight w:val="none"/>
          <w:u w:val="single"/>
        </w:rPr>
        <w:t>目前未在其他项目上任职或虽在其他项目上任职但本项目中标后能够从该项目撤离。</w:t>
      </w:r>
      <w:r>
        <w:rPr>
          <w:rFonts w:hint="eastAsia" w:hAnsi="宋体" w:cs="宋体"/>
          <w:highlight w:val="none"/>
        </w:rPr>
        <w:t>（其他补充说明）。</w:t>
      </w:r>
    </w:p>
    <w:p>
      <w:pPr>
        <w:adjustRightInd w:val="0"/>
        <w:snapToGrid w:val="0"/>
        <w:spacing w:line="360" w:lineRule="auto"/>
        <w:ind w:firstLine="420" w:firstLineChars="175"/>
        <w:rPr>
          <w:rFonts w:hAnsi="宋体" w:cs="宋体"/>
          <w:bCs/>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322246741"/>
        </w:rPr>
        <w:t>投标</w:t>
      </w:r>
      <w:r>
        <w:rPr>
          <w:rFonts w:hint="eastAsia" w:ascii="Times New Roman"/>
          <w:bCs/>
          <w:spacing w:val="0"/>
          <w:kern w:val="0"/>
          <w:szCs w:val="24"/>
          <w:highlight w:val="none"/>
          <w:fitText w:val="1200" w:id="322246741"/>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u w:val="single"/>
        </w:rPr>
      </w:pPr>
      <w:r>
        <w:rPr>
          <w:rFonts w:hint="eastAsia" w:ascii="Times New Roman"/>
          <w:spacing w:val="0"/>
          <w:kern w:val="0"/>
          <w:szCs w:val="24"/>
          <w:highlight w:val="none"/>
          <w:fitText w:val="1200" w:id="1406673661"/>
        </w:rPr>
        <w:t>法定代表人</w:t>
      </w:r>
      <w:r>
        <w:rPr>
          <w:rFonts w:hint="eastAsia" w:ascii="Times New Roman"/>
          <w:szCs w:val="24"/>
          <w:highlight w:val="none"/>
        </w:rPr>
        <w:t>：（签字或盖章）</w:t>
      </w:r>
    </w:p>
    <w:p>
      <w:pPr>
        <w:adjustRightInd w:val="0"/>
        <w:snapToGrid w:val="0"/>
        <w:spacing w:line="360" w:lineRule="auto"/>
        <w:ind w:firstLine="420" w:firstLineChars="175"/>
        <w:jc w:val="center"/>
        <w:rPr>
          <w:rFonts w:hAnsi="宋体" w:cs="宋体"/>
          <w:highlight w:val="none"/>
        </w:rPr>
      </w:pPr>
      <w:r>
        <w:rPr>
          <w:rFonts w:hint="eastAsia" w:ascii="Times New Roman"/>
          <w:bCs/>
          <w:kern w:val="0"/>
          <w:szCs w:val="24"/>
          <w:highlight w:val="none"/>
          <w:lang w:val="en-US" w:eastAsia="zh-CN"/>
        </w:rPr>
        <w:t xml:space="preserve">                                     </w:t>
      </w:r>
      <w:r>
        <w:rPr>
          <w:rFonts w:hint="eastAsia" w:ascii="Times New Roman"/>
          <w:bCs/>
          <w:spacing w:val="360"/>
          <w:kern w:val="0"/>
          <w:szCs w:val="24"/>
          <w:highlight w:val="none"/>
          <w:fitText w:val="1200" w:id="2121677919"/>
        </w:rPr>
        <w:t>日</w:t>
      </w:r>
      <w:r>
        <w:rPr>
          <w:rFonts w:hint="eastAsia" w:ascii="Times New Roman"/>
          <w:bCs/>
          <w:spacing w:val="0"/>
          <w:kern w:val="0"/>
          <w:szCs w:val="24"/>
          <w:highlight w:val="none"/>
          <w:fitText w:val="1200" w:id="2121677919"/>
        </w:rPr>
        <w:t>期</w:t>
      </w:r>
      <w:r>
        <w:rPr>
          <w:rFonts w:hint="eastAsia" w:ascii="Times New Roman"/>
          <w:szCs w:val="24"/>
          <w:highlight w:val="none"/>
        </w:rPr>
        <w:t>：</w:t>
      </w:r>
      <w:r>
        <w:rPr>
          <w:rFonts w:hint="eastAsia" w:ascii="Times New Roman"/>
          <w:szCs w:val="24"/>
          <w:highlight w:val="none"/>
          <w:lang w:val="en-US" w:eastAsia="zh-CN"/>
        </w:rPr>
        <w:t xml:space="preserve"> </w:t>
      </w:r>
      <w:r>
        <w:rPr>
          <w:rFonts w:hint="eastAsia" w:ascii="Times New Roman"/>
          <w:szCs w:val="24"/>
          <w:highlight w:val="none"/>
        </w:rPr>
        <w:t>年</w:t>
      </w:r>
      <w:r>
        <w:rPr>
          <w:rFonts w:hint="eastAsia" w:ascii="Times New Roman"/>
          <w:szCs w:val="24"/>
          <w:highlight w:val="none"/>
          <w:lang w:val="en-US" w:eastAsia="zh-CN"/>
        </w:rPr>
        <w:t xml:space="preserve"> </w:t>
      </w:r>
      <w:r>
        <w:rPr>
          <w:rFonts w:hint="eastAsia" w:ascii="Times New Roman"/>
          <w:szCs w:val="24"/>
          <w:highlight w:val="none"/>
        </w:rPr>
        <w:t>月</w:t>
      </w:r>
      <w:r>
        <w:rPr>
          <w:rFonts w:hint="eastAsia" w:ascii="Times New Roman"/>
          <w:szCs w:val="24"/>
          <w:highlight w:val="none"/>
          <w:lang w:val="en-US" w:eastAsia="zh-CN"/>
        </w:rPr>
        <w:t xml:space="preserve"> </w:t>
      </w:r>
      <w:r>
        <w:rPr>
          <w:rFonts w:hint="eastAsia" w:hAnsi="宋体" w:cs="宋体"/>
          <w:highlight w:val="none"/>
        </w:rPr>
        <w:t>日</w:t>
      </w:r>
    </w:p>
    <w:p>
      <w:pPr>
        <w:pStyle w:val="2"/>
        <w:spacing w:beforeLines="100" w:afterLines="100" w:line="240" w:lineRule="auto"/>
        <w:jc w:val="center"/>
        <w:rPr>
          <w:rFonts w:ascii="Times New Roman" w:hAnsi="Times New Roman"/>
          <w:bCs w:val="0"/>
          <w:sz w:val="32"/>
          <w:szCs w:val="32"/>
          <w:highlight w:val="none"/>
        </w:rPr>
      </w:pPr>
      <w:r>
        <w:rPr>
          <w:rFonts w:hint="eastAsia" w:ascii="Times New Roman" w:hAnsi="Times New Roman"/>
          <w:highlight w:val="none"/>
        </w:rPr>
        <w:br w:type="page"/>
      </w:r>
      <w:r>
        <w:rPr>
          <w:rFonts w:hint="eastAsia" w:ascii="Times New Roman" w:hAnsi="Times New Roman"/>
          <w:highlight w:val="none"/>
        </w:rPr>
        <w:t>二、</w:t>
      </w:r>
      <w:bookmarkEnd w:id="1104"/>
      <w:bookmarkEnd w:id="1105"/>
      <w:bookmarkEnd w:id="1106"/>
      <w:bookmarkEnd w:id="1107"/>
      <w:r>
        <w:rPr>
          <w:rFonts w:hint="eastAsia" w:ascii="Times New Roman" w:hAnsi="Times New Roman"/>
          <w:highlight w:val="none"/>
        </w:rPr>
        <w:t>法定代表人身份证明或授权委托书</w:t>
      </w:r>
    </w:p>
    <w:p>
      <w:pPr>
        <w:spacing w:line="360" w:lineRule="auto"/>
        <w:ind w:firstLine="1159" w:firstLineChars="414"/>
        <w:rPr>
          <w:bCs/>
          <w:sz w:val="28"/>
          <w:szCs w:val="22"/>
          <w:highlight w:val="none"/>
        </w:rPr>
      </w:pPr>
    </w:p>
    <w:p>
      <w:pPr>
        <w:spacing w:line="360" w:lineRule="auto"/>
        <w:jc w:val="center"/>
        <w:outlineLvl w:val="3"/>
        <w:rPr>
          <w:rFonts w:ascii="黑体" w:hAnsi="黑体" w:eastAsia="黑体" w:cs="黑体"/>
          <w:bCs/>
          <w:highlight w:val="none"/>
        </w:rPr>
      </w:pPr>
      <w:r>
        <w:rPr>
          <w:rFonts w:hint="eastAsia" w:ascii="黑体" w:hAnsi="黑体" w:eastAsia="黑体" w:cs="黑体"/>
          <w:bCs/>
          <w:highlight w:val="none"/>
        </w:rPr>
        <w:t>法定代表人身份证明</w:t>
      </w:r>
    </w:p>
    <w:p>
      <w:pPr>
        <w:spacing w:line="360" w:lineRule="auto"/>
        <w:ind w:left="765"/>
        <w:rPr>
          <w:rFonts w:hAnsi="宋体" w:cs="宋体"/>
          <w:highlight w:val="none"/>
        </w:rPr>
      </w:pPr>
    </w:p>
    <w:p>
      <w:pPr>
        <w:spacing w:line="360" w:lineRule="auto"/>
        <w:rPr>
          <w:rFonts w:hAnsi="宋体" w:cs="宋体"/>
          <w:highlight w:val="none"/>
        </w:rPr>
      </w:pPr>
      <w:r>
        <w:rPr>
          <w:rFonts w:hint="eastAsia" w:hAnsi="宋体" w:cs="宋体"/>
          <w:highlight w:val="none"/>
        </w:rPr>
        <w:t>投 标 人：</w:t>
      </w:r>
    </w:p>
    <w:p>
      <w:pPr>
        <w:spacing w:line="360" w:lineRule="auto"/>
        <w:rPr>
          <w:rFonts w:hAnsi="宋体" w:cs="宋体"/>
          <w:highlight w:val="none"/>
        </w:rPr>
      </w:pPr>
      <w:r>
        <w:rPr>
          <w:rFonts w:hint="eastAsia" w:hAnsi="宋体" w:cs="宋体"/>
          <w:highlight w:val="none"/>
        </w:rPr>
        <w:t>单位性质：</w:t>
      </w:r>
    </w:p>
    <w:p>
      <w:pPr>
        <w:spacing w:line="360" w:lineRule="auto"/>
        <w:rPr>
          <w:rFonts w:hAnsi="宋体" w:cs="宋体"/>
          <w:highlight w:val="none"/>
        </w:rPr>
      </w:pPr>
      <w:r>
        <w:rPr>
          <w:rFonts w:hint="eastAsia" w:hAnsi="宋体" w:cs="宋体"/>
          <w:highlight w:val="none"/>
        </w:rPr>
        <w:t>地    址：</w:t>
      </w:r>
    </w:p>
    <w:p>
      <w:pPr>
        <w:spacing w:line="360" w:lineRule="auto"/>
        <w:rPr>
          <w:rFonts w:hAnsi="宋体" w:cs="宋体"/>
          <w:highlight w:val="none"/>
        </w:rPr>
      </w:pPr>
      <w:r>
        <w:rPr>
          <w:rFonts w:hint="eastAsia" w:hAnsi="宋体" w:cs="宋体"/>
          <w:highlight w:val="none"/>
        </w:rPr>
        <w:t>成立时间：年月日</w:t>
      </w:r>
    </w:p>
    <w:p>
      <w:pPr>
        <w:spacing w:line="360" w:lineRule="auto"/>
        <w:rPr>
          <w:rFonts w:hAnsi="宋体" w:cs="宋体"/>
          <w:highlight w:val="none"/>
        </w:rPr>
      </w:pPr>
      <w:r>
        <w:rPr>
          <w:rFonts w:hint="eastAsia" w:hAnsi="宋体" w:cs="宋体"/>
          <w:highlight w:val="none"/>
        </w:rPr>
        <w:t>经营期限：</w:t>
      </w:r>
    </w:p>
    <w:p>
      <w:pPr>
        <w:spacing w:line="360" w:lineRule="auto"/>
        <w:rPr>
          <w:rFonts w:hAnsi="宋体" w:cs="宋体"/>
          <w:highlight w:val="none"/>
        </w:rPr>
      </w:pPr>
      <w:r>
        <w:rPr>
          <w:rFonts w:hint="eastAsia" w:hAnsi="宋体" w:cs="宋体"/>
          <w:highlight w:val="none"/>
        </w:rPr>
        <w:t>姓    名：性        别：</w:t>
      </w:r>
    </w:p>
    <w:p>
      <w:pPr>
        <w:spacing w:line="360" w:lineRule="auto"/>
        <w:rPr>
          <w:rFonts w:hAnsi="宋体" w:cs="宋体"/>
          <w:highlight w:val="none"/>
          <w:u w:val="single"/>
        </w:rPr>
      </w:pPr>
      <w:r>
        <w:rPr>
          <w:rFonts w:hint="eastAsia" w:hAnsi="宋体" w:cs="宋体"/>
          <w:highlight w:val="none"/>
        </w:rPr>
        <w:t>年    龄：职        务：</w:t>
      </w:r>
    </w:p>
    <w:p>
      <w:pPr>
        <w:spacing w:line="360" w:lineRule="auto"/>
        <w:rPr>
          <w:highlight w:val="none"/>
        </w:rPr>
      </w:pPr>
      <w:r>
        <w:rPr>
          <w:rFonts w:hint="eastAsia" w:ascii="Times New Roman"/>
          <w:szCs w:val="24"/>
          <w:highlight w:val="none"/>
        </w:rPr>
        <w:t>联系电话：手 机  号 码：</w:t>
      </w:r>
    </w:p>
    <w:p>
      <w:pPr>
        <w:spacing w:line="360" w:lineRule="auto"/>
        <w:rPr>
          <w:rFonts w:hAnsi="宋体" w:cs="宋体"/>
          <w:highlight w:val="none"/>
        </w:rPr>
      </w:pPr>
      <w:r>
        <w:rPr>
          <w:rFonts w:hint="eastAsia" w:hAnsi="宋体" w:cs="宋体"/>
          <w:highlight w:val="none"/>
        </w:rPr>
        <w:t>系（投标人名称）的法定代表人。</w:t>
      </w:r>
    </w:p>
    <w:p>
      <w:pPr>
        <w:spacing w:line="360" w:lineRule="auto"/>
        <w:rPr>
          <w:rFonts w:hAnsi="宋体" w:cs="宋体"/>
          <w:highlight w:val="none"/>
        </w:rPr>
      </w:pPr>
      <w:r>
        <w:rPr>
          <w:rFonts w:hint="eastAsia" w:hAnsi="宋体" w:cs="宋体"/>
          <w:highlight w:val="none"/>
        </w:rPr>
        <w:t>特此证明。</w:t>
      </w:r>
    </w:p>
    <w:p>
      <w:pPr>
        <w:spacing w:line="360" w:lineRule="auto"/>
        <w:rPr>
          <w:rFonts w:hAnsi="宋体" w:cs="宋体"/>
          <w:highlight w:val="none"/>
        </w:rPr>
      </w:pPr>
      <w:r>
        <w:rPr>
          <w:rFonts w:hint="eastAsia" w:hAnsi="宋体" w:cs="宋体"/>
          <w:highlight w:val="none"/>
        </w:rPr>
        <w:t>附：法定代表人身份证正反面扫描件</w:t>
      </w:r>
    </w:p>
    <w:p>
      <w:pPr>
        <w:spacing w:line="360" w:lineRule="auto"/>
        <w:rPr>
          <w:rFonts w:hAnsi="宋体" w:cs="宋体"/>
          <w:highlight w:val="none"/>
        </w:rPr>
      </w:pPr>
    </w:p>
    <w:p>
      <w:pPr>
        <w:spacing w:line="360" w:lineRule="auto"/>
        <w:rPr>
          <w:rFonts w:hAnsi="宋体" w:cs="宋体"/>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1084178010"/>
        </w:rPr>
        <w:t>投标</w:t>
      </w:r>
      <w:r>
        <w:rPr>
          <w:rFonts w:hint="eastAsia" w:ascii="Times New Roman"/>
          <w:bCs/>
          <w:spacing w:val="0"/>
          <w:kern w:val="0"/>
          <w:szCs w:val="24"/>
          <w:highlight w:val="none"/>
          <w:fitText w:val="1200" w:id="1084178010"/>
        </w:rPr>
        <w:t>人</w:t>
      </w:r>
      <w:r>
        <w:rPr>
          <w:rFonts w:hint="eastAsia" w:ascii="Times New Roman"/>
          <w:bCs/>
          <w:szCs w:val="24"/>
          <w:highlight w:val="none"/>
        </w:rPr>
        <w:t>：（盖单位章）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1440298670"/>
        </w:rPr>
        <w:t>日</w:t>
      </w:r>
      <w:r>
        <w:rPr>
          <w:rFonts w:hint="eastAsia" w:ascii="Times New Roman"/>
          <w:bCs/>
          <w:spacing w:val="0"/>
          <w:kern w:val="0"/>
          <w:szCs w:val="24"/>
          <w:highlight w:val="none"/>
          <w:fitText w:val="1200" w:id="1440298670"/>
        </w:rPr>
        <w:t>期</w:t>
      </w:r>
      <w:r>
        <w:rPr>
          <w:rFonts w:hint="eastAsia" w:ascii="Times New Roman"/>
          <w:szCs w:val="24"/>
          <w:highlight w:val="none"/>
        </w:rPr>
        <w:t>：</w:t>
      </w:r>
      <w:r>
        <w:rPr>
          <w:rFonts w:hint="eastAsia" w:ascii="Times New Roman"/>
          <w:szCs w:val="24"/>
          <w:highlight w:val="none"/>
          <w:lang w:val="en-US" w:eastAsia="zh-CN"/>
        </w:rPr>
        <w:t xml:space="preserve"> </w:t>
      </w:r>
      <w:r>
        <w:rPr>
          <w:rFonts w:hint="eastAsia" w:ascii="Times New Roman"/>
          <w:szCs w:val="24"/>
          <w:highlight w:val="none"/>
        </w:rPr>
        <w:t>年</w:t>
      </w:r>
      <w:r>
        <w:rPr>
          <w:rFonts w:hint="eastAsia" w:ascii="Times New Roman"/>
          <w:szCs w:val="24"/>
          <w:highlight w:val="none"/>
          <w:lang w:val="en-US" w:eastAsia="zh-CN"/>
        </w:rPr>
        <w:t xml:space="preserve"> </w:t>
      </w:r>
      <w:r>
        <w:rPr>
          <w:rFonts w:hint="eastAsia" w:ascii="Times New Roman"/>
          <w:szCs w:val="24"/>
          <w:highlight w:val="none"/>
        </w:rPr>
        <w:t>月</w:t>
      </w:r>
      <w:r>
        <w:rPr>
          <w:rFonts w:hint="eastAsia" w:ascii="Times New Roman"/>
          <w:szCs w:val="24"/>
          <w:highlight w:val="none"/>
          <w:lang w:val="en-US" w:eastAsia="zh-CN"/>
        </w:rPr>
        <w:t xml:space="preserve"> </w:t>
      </w:r>
      <w:r>
        <w:rPr>
          <w:rFonts w:hint="eastAsia" w:ascii="Times New Roman"/>
          <w:szCs w:val="24"/>
          <w:highlight w:val="none"/>
        </w:rPr>
        <w:t>日</w:t>
      </w:r>
    </w:p>
    <w:p>
      <w:pPr>
        <w:spacing w:beforeLines="20" w:afterLines="20" w:line="540" w:lineRule="exact"/>
        <w:ind w:firstLine="3840" w:firstLineChars="1600"/>
        <w:rPr>
          <w:szCs w:val="22"/>
          <w:highlight w:val="none"/>
        </w:rPr>
      </w:pPr>
    </w:p>
    <w:p>
      <w:pPr>
        <w:spacing w:beforeLines="20" w:afterLines="20" w:line="540" w:lineRule="exact"/>
        <w:rPr>
          <w:bCs/>
          <w:szCs w:val="22"/>
          <w:highlight w:val="none"/>
        </w:rPr>
      </w:pPr>
    </w:p>
    <w:p>
      <w:pPr>
        <w:spacing w:beforeLines="20" w:afterLines="20" w:line="540" w:lineRule="exact"/>
        <w:rPr>
          <w:bCs/>
          <w:szCs w:val="22"/>
          <w:highlight w:val="none"/>
        </w:rPr>
      </w:pPr>
    </w:p>
    <w:p>
      <w:pPr>
        <w:spacing w:beforeLines="20" w:afterLines="20" w:line="540" w:lineRule="exact"/>
        <w:rPr>
          <w:bCs/>
          <w:szCs w:val="22"/>
          <w:highlight w:val="none"/>
        </w:rPr>
      </w:pPr>
    </w:p>
    <w:bookmarkEnd w:id="1108"/>
    <w:p>
      <w:pPr>
        <w:jc w:val="center"/>
        <w:outlineLvl w:val="3"/>
        <w:rPr>
          <w:sz w:val="32"/>
          <w:szCs w:val="32"/>
          <w:highlight w:val="none"/>
        </w:rPr>
      </w:pPr>
      <w:bookmarkStart w:id="1112" w:name="_Toc535241130"/>
      <w:bookmarkStart w:id="1113" w:name="_Toc535241227"/>
      <w:bookmarkStart w:id="1114" w:name="_Toc535241084"/>
      <w:bookmarkStart w:id="1115" w:name="_Toc224103498"/>
      <w:bookmarkStart w:id="1116" w:name="_Toc224103497"/>
      <w:r>
        <w:rPr>
          <w:sz w:val="32"/>
          <w:szCs w:val="32"/>
          <w:highlight w:val="none"/>
        </w:rPr>
        <w:br w:type="page"/>
      </w:r>
      <w:r>
        <w:rPr>
          <w:rFonts w:hint="eastAsia" w:eastAsia="黑体"/>
          <w:bCs/>
          <w:highlight w:val="none"/>
        </w:rPr>
        <w:t>授权委托书</w:t>
      </w:r>
      <w:bookmarkEnd w:id="1112"/>
      <w:bookmarkEnd w:id="1113"/>
      <w:bookmarkEnd w:id="1114"/>
    </w:p>
    <w:p>
      <w:pPr>
        <w:rPr>
          <w:highlight w:val="none"/>
        </w:rPr>
      </w:pPr>
    </w:p>
    <w:p>
      <w:pPr>
        <w:snapToGrid w:val="0"/>
        <w:spacing w:line="360" w:lineRule="auto"/>
        <w:ind w:firstLine="480" w:firstLineChars="200"/>
        <w:jc w:val="left"/>
        <w:rPr>
          <w:rFonts w:hAnsi="宋体" w:cs="宋体"/>
          <w:highlight w:val="none"/>
        </w:rPr>
      </w:pPr>
      <w:r>
        <w:rPr>
          <w:rFonts w:hint="eastAsia" w:hAnsi="宋体" w:cs="宋体"/>
          <w:highlight w:val="none"/>
        </w:rPr>
        <w:t>本人（姓名）系（投标人名称）的法定代表人，现委托（姓名）为我方代理人。代理人根据授权，以我方名义签署、澄清、说明、补正、递交、撤回、修改</w:t>
      </w:r>
      <w:r>
        <w:rPr>
          <w:rFonts w:hint="eastAsia" w:hAnsi="宋体"/>
          <w:highlight w:val="none"/>
          <w:u w:val="single"/>
        </w:rPr>
        <w:t>（招标项目名称）</w:t>
      </w:r>
      <w:r>
        <w:rPr>
          <w:rFonts w:hint="eastAsia" w:hAnsi="宋体"/>
          <w:highlight w:val="none"/>
        </w:rPr>
        <w:t>标段</w:t>
      </w:r>
      <w:r>
        <w:rPr>
          <w:rFonts w:hint="eastAsia" w:hAnsi="宋体" w:cs="宋体"/>
          <w:highlight w:val="none"/>
        </w:rPr>
        <w:t>投标文件、签订合同和处理有关事宜，其法律后果由我方承担。</w:t>
      </w:r>
    </w:p>
    <w:p>
      <w:pPr>
        <w:snapToGrid w:val="0"/>
        <w:spacing w:line="360" w:lineRule="auto"/>
        <w:ind w:firstLine="480" w:firstLineChars="200"/>
        <w:rPr>
          <w:rFonts w:hAnsi="宋体" w:cs="宋体"/>
          <w:highlight w:val="none"/>
        </w:rPr>
      </w:pPr>
      <w:r>
        <w:rPr>
          <w:rFonts w:hint="eastAsia" w:hAnsi="宋体" w:cs="宋体"/>
          <w:highlight w:val="none"/>
        </w:rPr>
        <w:t>委托期限：</w:t>
      </w:r>
      <w:r>
        <w:rPr>
          <w:rFonts w:hint="eastAsia" w:ascii="Times New Roman"/>
          <w:szCs w:val="24"/>
          <w:highlight w:val="none"/>
          <w:u w:val="single"/>
        </w:rPr>
        <w:t>自本委托书签署之日起至投标有效期期满</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代理人无转委托权。</w:t>
      </w:r>
    </w:p>
    <w:p>
      <w:pPr>
        <w:snapToGrid w:val="0"/>
        <w:spacing w:line="360" w:lineRule="auto"/>
        <w:ind w:firstLine="480" w:firstLineChars="200"/>
        <w:rPr>
          <w:rFonts w:hAnsi="宋体" w:cs="宋体"/>
          <w:highlight w:val="none"/>
        </w:rPr>
      </w:pPr>
      <w:r>
        <w:rPr>
          <w:rFonts w:hint="eastAsia" w:hAnsi="宋体" w:cs="宋体"/>
          <w:highlight w:val="none"/>
        </w:rPr>
        <w:t>附：法定代表人身份证明</w:t>
      </w:r>
    </w:p>
    <w:p>
      <w:pPr>
        <w:spacing w:line="360" w:lineRule="auto"/>
        <w:rPr>
          <w:rFonts w:hAnsi="宋体" w:cs="宋体"/>
          <w:highlight w:val="none"/>
        </w:rPr>
      </w:pPr>
      <w:r>
        <w:rPr>
          <w:rFonts w:hint="eastAsia" w:hAnsi="宋体" w:cs="宋体"/>
          <w:highlight w:val="none"/>
        </w:rPr>
        <w:t xml:space="preserve">        代理人身份证正反面扫描件</w:t>
      </w: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596266111"/>
        </w:rPr>
        <w:t>投标</w:t>
      </w:r>
      <w:r>
        <w:rPr>
          <w:rFonts w:hint="eastAsia" w:ascii="Times New Roman"/>
          <w:bCs/>
          <w:spacing w:val="0"/>
          <w:kern w:val="0"/>
          <w:szCs w:val="24"/>
          <w:highlight w:val="none"/>
          <w:fitText w:val="1200" w:id="596266111"/>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u w:val="single"/>
        </w:rPr>
      </w:pPr>
      <w:r>
        <w:rPr>
          <w:rFonts w:hint="eastAsia" w:ascii="Times New Roman"/>
          <w:spacing w:val="0"/>
          <w:kern w:val="0"/>
          <w:szCs w:val="24"/>
          <w:highlight w:val="none"/>
          <w:fitText w:val="1200" w:id="351995689"/>
        </w:rPr>
        <w:t>法定代表人</w:t>
      </w:r>
      <w:r>
        <w:rPr>
          <w:rFonts w:hint="eastAsia" w:ascii="Times New Roman"/>
          <w:szCs w:val="24"/>
          <w:highlight w:val="none"/>
        </w:rPr>
        <w:t>：（签字或盖章）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1085679782"/>
        </w:rPr>
        <w:t>日</w:t>
      </w:r>
      <w:r>
        <w:rPr>
          <w:rFonts w:hint="eastAsia" w:ascii="Times New Roman"/>
          <w:bCs/>
          <w:spacing w:val="0"/>
          <w:kern w:val="0"/>
          <w:szCs w:val="24"/>
          <w:highlight w:val="none"/>
          <w:fitText w:val="1200" w:id="1085679782"/>
        </w:rPr>
        <w:t>期</w:t>
      </w:r>
      <w:r>
        <w:rPr>
          <w:rFonts w:hint="eastAsia" w:ascii="Times New Roman"/>
          <w:szCs w:val="24"/>
          <w:highlight w:val="none"/>
        </w:rPr>
        <w:t>：年月日</w:t>
      </w:r>
    </w:p>
    <w:p>
      <w:pPr>
        <w:autoSpaceDE w:val="0"/>
        <w:autoSpaceDN w:val="0"/>
        <w:adjustRightInd w:val="0"/>
        <w:snapToGrid w:val="0"/>
        <w:spacing w:line="360" w:lineRule="auto"/>
        <w:jc w:val="left"/>
        <w:rPr>
          <w:rFonts w:hAnsi="宋体" w:cs="宋体"/>
          <w:highlight w:val="none"/>
        </w:rPr>
      </w:pPr>
    </w:p>
    <w:p>
      <w:pPr>
        <w:tabs>
          <w:tab w:val="left" w:pos="5760"/>
        </w:tabs>
        <w:autoSpaceDE w:val="0"/>
        <w:autoSpaceDN w:val="0"/>
        <w:adjustRightInd w:val="0"/>
        <w:spacing w:line="360" w:lineRule="auto"/>
        <w:ind w:right="11" w:firstLine="480" w:firstLineChars="200"/>
        <w:rPr>
          <w:rFonts w:hAnsi="宋体" w:cs="宋体"/>
          <w:highlight w:val="none"/>
        </w:rPr>
      </w:pPr>
      <w:r>
        <w:rPr>
          <w:rFonts w:hint="eastAsia" w:hAnsi="宋体" w:cs="宋体"/>
          <w:highlight w:val="none"/>
        </w:rPr>
        <w:t>注：</w:t>
      </w:r>
    </w:p>
    <w:bookmarkEnd w:id="1115"/>
    <w:bookmarkEnd w:id="1116"/>
    <w:p>
      <w:pPr>
        <w:spacing w:line="360" w:lineRule="auto"/>
        <w:ind w:firstLine="480" w:firstLineChars="200"/>
        <w:rPr>
          <w:rFonts w:hAnsi="宋体" w:cs="宋体"/>
          <w:bCs/>
          <w:highlight w:val="none"/>
        </w:rPr>
      </w:pPr>
      <w:bookmarkStart w:id="1117" w:name="_Toc224103499"/>
      <w:bookmarkStart w:id="1118" w:name="_Toc460660224"/>
      <w:bookmarkStart w:id="1119" w:name="_Toc390411622"/>
      <w:bookmarkStart w:id="1120" w:name="_Toc460227109"/>
      <w:bookmarkStart w:id="1121" w:name="_Toc421917002"/>
      <w:r>
        <w:rPr>
          <w:rFonts w:hint="eastAsia" w:hAnsi="宋体" w:cs="宋体"/>
          <w:bCs/>
          <w:highlight w:val="none"/>
        </w:rPr>
        <w:t>法定代表人参加投标活动并签署文件的不需要授权委托书，只需提供法定代表人身份证明；</w:t>
      </w:r>
    </w:p>
    <w:p>
      <w:pPr>
        <w:spacing w:line="360" w:lineRule="auto"/>
        <w:ind w:firstLine="480" w:firstLineChars="200"/>
        <w:rPr>
          <w:rFonts w:hAnsi="宋体" w:cs="宋体"/>
          <w:bCs/>
          <w:highlight w:val="none"/>
        </w:rPr>
      </w:pPr>
      <w:r>
        <w:rPr>
          <w:rFonts w:hint="eastAsia" w:hAnsi="宋体" w:cs="宋体"/>
          <w:bCs/>
          <w:highlight w:val="none"/>
        </w:rPr>
        <w:t>非法定代表人参加投标活动及签署文件的还须提供授权委托书</w:t>
      </w:r>
      <w:bookmarkStart w:id="1122" w:name="_Toc535241228"/>
      <w:bookmarkStart w:id="1123" w:name="_Toc535241131"/>
      <w:bookmarkStart w:id="1124" w:name="_Toc535241085"/>
      <w:r>
        <w:rPr>
          <w:rFonts w:hint="eastAsia" w:hAnsi="宋体" w:cs="宋体"/>
          <w:bCs/>
          <w:highlight w:val="none"/>
        </w:rPr>
        <w:t>。</w:t>
      </w:r>
    </w:p>
    <w:p>
      <w:pPr>
        <w:pStyle w:val="2"/>
        <w:jc w:val="center"/>
        <w:rPr>
          <w:highlight w:val="none"/>
        </w:rPr>
      </w:pPr>
      <w:r>
        <w:rPr>
          <w:rFonts w:ascii="宋体" w:hAnsi="宋体" w:eastAsia="宋体" w:cs="宋体"/>
          <w:highlight w:val="none"/>
        </w:rPr>
        <w:br w:type="page"/>
      </w:r>
      <w:r>
        <w:rPr>
          <w:rFonts w:hint="eastAsia"/>
          <w:highlight w:val="none"/>
        </w:rPr>
        <w:t>三、联合体协议书</w:t>
      </w:r>
      <w:bookmarkEnd w:id="1117"/>
      <w:bookmarkEnd w:id="1118"/>
      <w:bookmarkEnd w:id="1119"/>
      <w:bookmarkEnd w:id="1120"/>
      <w:bookmarkEnd w:id="1121"/>
      <w:bookmarkEnd w:id="1122"/>
      <w:bookmarkEnd w:id="1123"/>
      <w:bookmarkEnd w:id="1124"/>
      <w:r>
        <w:rPr>
          <w:rFonts w:hint="eastAsia"/>
          <w:highlight w:val="none"/>
        </w:rPr>
        <w:t>（如有）</w:t>
      </w:r>
    </w:p>
    <w:p>
      <w:pPr>
        <w:spacing w:line="360" w:lineRule="auto"/>
        <w:rPr>
          <w:rFonts w:hAnsi="宋体" w:cs="宋体"/>
          <w:highlight w:val="none"/>
        </w:rPr>
      </w:pPr>
      <w:bookmarkStart w:id="1125" w:name="_Toc460227110"/>
      <w:bookmarkStart w:id="1126" w:name="_Toc460660225"/>
      <w:r>
        <w:rPr>
          <w:rFonts w:hint="eastAsia" w:hAnsi="宋体" w:cs="宋体"/>
          <w:highlight w:val="none"/>
        </w:rPr>
        <w:t>牵头人（成员一）名称：</w:t>
      </w:r>
    </w:p>
    <w:p>
      <w:pPr>
        <w:spacing w:line="360" w:lineRule="auto"/>
        <w:rPr>
          <w:rFonts w:hAnsi="宋体" w:cs="宋体"/>
          <w:highlight w:val="none"/>
        </w:rPr>
      </w:pPr>
      <w:r>
        <w:rPr>
          <w:rFonts w:hint="eastAsia" w:hAnsi="宋体" w:cs="宋体"/>
          <w:highlight w:val="none"/>
        </w:rPr>
        <w:t>法定代表人：</w:t>
      </w:r>
    </w:p>
    <w:p>
      <w:pPr>
        <w:spacing w:line="360" w:lineRule="auto"/>
        <w:rPr>
          <w:rFonts w:hAnsi="宋体" w:cs="宋体"/>
          <w:highlight w:val="none"/>
        </w:rPr>
      </w:pPr>
      <w:r>
        <w:rPr>
          <w:rFonts w:hint="eastAsia" w:hAnsi="宋体" w:cs="宋体"/>
          <w:highlight w:val="none"/>
        </w:rPr>
        <w:t>法定住所：</w:t>
      </w:r>
    </w:p>
    <w:p>
      <w:pPr>
        <w:spacing w:line="360" w:lineRule="auto"/>
        <w:rPr>
          <w:rFonts w:hAnsi="宋体" w:cs="宋体"/>
          <w:highlight w:val="none"/>
        </w:rPr>
      </w:pPr>
      <w:r>
        <w:rPr>
          <w:rFonts w:hint="eastAsia" w:hAnsi="宋体" w:cs="宋体"/>
          <w:highlight w:val="none"/>
        </w:rPr>
        <w:t>成员二名称：</w:t>
      </w:r>
    </w:p>
    <w:p>
      <w:pPr>
        <w:spacing w:line="360" w:lineRule="auto"/>
        <w:rPr>
          <w:rFonts w:hAnsi="宋体" w:cs="宋体"/>
          <w:highlight w:val="none"/>
        </w:rPr>
      </w:pPr>
      <w:r>
        <w:rPr>
          <w:rFonts w:hint="eastAsia" w:hAnsi="宋体" w:cs="宋体"/>
          <w:highlight w:val="none"/>
        </w:rPr>
        <w:t>法定代表人：</w:t>
      </w:r>
    </w:p>
    <w:p>
      <w:pPr>
        <w:spacing w:line="360" w:lineRule="auto"/>
        <w:rPr>
          <w:rFonts w:hAnsi="宋体" w:cs="宋体"/>
          <w:highlight w:val="none"/>
          <w:u w:val="single"/>
        </w:rPr>
      </w:pPr>
      <w:r>
        <w:rPr>
          <w:rFonts w:hint="eastAsia" w:hAnsi="宋体" w:cs="宋体"/>
          <w:highlight w:val="none"/>
        </w:rPr>
        <w:t>法定住所：</w:t>
      </w:r>
    </w:p>
    <w:p>
      <w:pPr>
        <w:topLinePunct/>
        <w:spacing w:line="360" w:lineRule="auto"/>
        <w:ind w:firstLine="480" w:firstLineChars="200"/>
        <w:rPr>
          <w:rFonts w:hAnsi="宋体" w:cs="宋体"/>
          <w:szCs w:val="24"/>
          <w:highlight w:val="none"/>
        </w:rPr>
      </w:pPr>
      <w:r>
        <w:rPr>
          <w:rFonts w:hint="eastAsia" w:ascii="Times New Roman"/>
          <w:szCs w:val="24"/>
          <w:highlight w:val="none"/>
        </w:rPr>
        <w:t>鉴于上述各成员单位经过友好协商，自愿组成（联合体名称）联合体，共同参加（招标人名称）（以下简称招标人）</w:t>
      </w:r>
      <w:r>
        <w:rPr>
          <w:rFonts w:hint="eastAsia" w:ascii="Times New Roman"/>
          <w:szCs w:val="24"/>
          <w:highlight w:val="none"/>
          <w:u w:val="single"/>
        </w:rPr>
        <w:t>（招标项目名称）</w:t>
      </w:r>
      <w:r>
        <w:rPr>
          <w:rFonts w:hint="eastAsia" w:ascii="Times New Roman"/>
          <w:szCs w:val="24"/>
          <w:highlight w:val="none"/>
        </w:rPr>
        <w:t>标段（以下简称本项目）的投标并争取赢得本项目合同（以下简称合同）。现就联合体投标事宜订立如下协议：</w:t>
      </w:r>
    </w:p>
    <w:p>
      <w:pPr>
        <w:topLinePunct/>
        <w:spacing w:line="360" w:lineRule="auto"/>
        <w:ind w:firstLine="480" w:firstLineChars="200"/>
        <w:rPr>
          <w:rFonts w:hAnsi="宋体" w:cs="宋体"/>
          <w:highlight w:val="none"/>
        </w:rPr>
      </w:pPr>
      <w:r>
        <w:rPr>
          <w:rFonts w:hint="eastAsia" w:hAnsi="宋体" w:cs="宋体"/>
          <w:highlight w:val="none"/>
        </w:rPr>
        <w:t>1.（某成员单位名称）为（联合体名称）牵头人。</w:t>
      </w:r>
    </w:p>
    <w:p>
      <w:pPr>
        <w:spacing w:line="360" w:lineRule="auto"/>
        <w:ind w:firstLine="480" w:firstLineChars="200"/>
        <w:rPr>
          <w:rFonts w:ascii="Times New Roman"/>
          <w:szCs w:val="24"/>
          <w:highlight w:val="none"/>
        </w:rPr>
      </w:pPr>
      <w:r>
        <w:rPr>
          <w:rFonts w:hint="eastAsia" w:ascii="Times New Roman"/>
          <w:szCs w:val="24"/>
          <w:highlight w:val="none"/>
        </w:rPr>
        <w:t>2.在本项目投标阶段，联合体牵头人合法代表联合体各成员负责本工程投标文件编制活动，代表联合体提交和接收相关的资料、信息及指示，并处理与投标和中标有关的一切事务</w:t>
      </w:r>
      <w:r>
        <w:rPr>
          <w:rFonts w:hint="eastAsia" w:hAnsi="宋体"/>
          <w:szCs w:val="21"/>
          <w:highlight w:val="none"/>
        </w:rPr>
        <w:t>（联合体牵头单位针对招标文件所作出的响应，视同联合体所有成员的共同响应）</w:t>
      </w:r>
      <w:r>
        <w:rPr>
          <w:rFonts w:hint="eastAsia" w:ascii="Times New Roman"/>
          <w:szCs w:val="24"/>
          <w:highlight w:val="none"/>
        </w:rPr>
        <w:t>；联合体中标后，联合体牵头人负责合同订立和合同实施阶段的主办、组织和协调工作。</w:t>
      </w:r>
    </w:p>
    <w:p>
      <w:pPr>
        <w:spacing w:line="360" w:lineRule="auto"/>
        <w:ind w:firstLine="480" w:firstLineChars="200"/>
        <w:rPr>
          <w:rFonts w:ascii="Times New Roman"/>
          <w:szCs w:val="24"/>
          <w:highlight w:val="none"/>
        </w:rPr>
      </w:pPr>
      <w:r>
        <w:rPr>
          <w:rFonts w:hint="eastAsia" w:ascii="Times New Roman"/>
          <w:szCs w:val="24"/>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topLinePunct/>
        <w:spacing w:line="360" w:lineRule="auto"/>
        <w:ind w:firstLine="480" w:firstLineChars="200"/>
        <w:rPr>
          <w:rFonts w:hAnsi="宋体" w:cs="宋体"/>
          <w:highlight w:val="none"/>
        </w:rPr>
      </w:pPr>
      <w:r>
        <w:rPr>
          <w:rFonts w:hint="eastAsia" w:hAnsi="宋体" w:cs="宋体"/>
          <w:highlight w:val="none"/>
        </w:rPr>
        <w:t>4.联合体各成员单位内部的职责分工如下：</w:t>
      </w:r>
    </w:p>
    <w:p>
      <w:pPr>
        <w:tabs>
          <w:tab w:val="left" w:pos="6300"/>
          <w:tab w:val="left" w:pos="8295"/>
        </w:tabs>
        <w:autoSpaceDE w:val="0"/>
        <w:autoSpaceDN w:val="0"/>
        <w:adjustRightInd w:val="0"/>
        <w:snapToGrid w:val="0"/>
        <w:spacing w:line="360" w:lineRule="auto"/>
        <w:ind w:left="840" w:leftChars="200" w:hanging="360" w:hangingChars="150"/>
        <w:jc w:val="left"/>
        <w:rPr>
          <w:rFonts w:hAnsi="宋体" w:cs="宋体"/>
          <w:snapToGrid w:val="0"/>
          <w:highlight w:val="none"/>
        </w:rPr>
      </w:pPr>
      <w:r>
        <w:rPr>
          <w:rFonts w:hint="eastAsia" w:hAnsi="宋体" w:cs="宋体"/>
          <w:highlight w:val="none"/>
        </w:rPr>
        <w:t>牵头人（成员一）</w:t>
      </w:r>
      <w:r>
        <w:rPr>
          <w:rFonts w:hint="eastAsia" w:hAnsi="宋体" w:cs="宋体"/>
          <w:snapToGrid w:val="0"/>
          <w:highlight w:val="none"/>
        </w:rPr>
        <w:t>名称：，承担；</w:t>
      </w:r>
    </w:p>
    <w:p>
      <w:pPr>
        <w:spacing w:line="360" w:lineRule="auto"/>
        <w:ind w:firstLine="480" w:firstLineChars="200"/>
        <w:rPr>
          <w:rFonts w:hAnsi="宋体" w:cs="宋体"/>
          <w:snapToGrid w:val="0"/>
          <w:highlight w:val="none"/>
        </w:rPr>
      </w:pPr>
      <w:r>
        <w:rPr>
          <w:rFonts w:hint="eastAsia" w:hAnsi="宋体" w:cs="宋体"/>
          <w:snapToGrid w:val="0"/>
          <w:highlight w:val="none"/>
        </w:rPr>
        <w:t>成员二名称： ，承担；</w:t>
      </w:r>
    </w:p>
    <w:p>
      <w:pPr>
        <w:spacing w:line="360" w:lineRule="auto"/>
        <w:ind w:firstLine="480" w:firstLineChars="200"/>
        <w:rPr>
          <w:rFonts w:hAnsi="宋体" w:cs="宋体"/>
          <w:highlight w:val="none"/>
        </w:rPr>
      </w:pPr>
      <w:r>
        <w:rPr>
          <w:rFonts w:hint="eastAsia" w:hAnsi="宋体" w:cs="宋体"/>
          <w:snapToGrid w:val="0"/>
          <w:highlight w:val="none"/>
        </w:rPr>
        <w:t>……。</w:t>
      </w:r>
    </w:p>
    <w:p>
      <w:pPr>
        <w:topLinePunct/>
        <w:spacing w:line="360" w:lineRule="auto"/>
        <w:ind w:firstLine="480" w:firstLineChars="200"/>
        <w:rPr>
          <w:rFonts w:hAnsi="宋体" w:cs="宋体"/>
          <w:highlight w:val="none"/>
        </w:rPr>
      </w:pPr>
      <w:r>
        <w:rPr>
          <w:rFonts w:hint="eastAsia" w:hAnsi="宋体" w:cs="宋体"/>
          <w:highlight w:val="none"/>
        </w:rPr>
        <w:t>5.投标工作和联合体在中标后工程实施过程中的有关费用按照各自承担的工作量分摊。</w:t>
      </w:r>
    </w:p>
    <w:p>
      <w:pPr>
        <w:topLinePunct/>
        <w:spacing w:line="360" w:lineRule="auto"/>
        <w:ind w:firstLine="480" w:firstLineChars="200"/>
        <w:rPr>
          <w:rFonts w:hAnsi="宋体" w:cs="宋体"/>
          <w:highlight w:val="none"/>
        </w:rPr>
      </w:pPr>
      <w:r>
        <w:rPr>
          <w:rFonts w:hint="eastAsia" w:hAnsi="宋体" w:cs="宋体"/>
          <w:highlight w:val="none"/>
        </w:rPr>
        <w:t>6.联合体中标后，本联合体协议是合同的附件，对联合体各成员单位有合同约束力。</w:t>
      </w:r>
    </w:p>
    <w:p>
      <w:pPr>
        <w:topLinePunct/>
        <w:spacing w:line="360" w:lineRule="auto"/>
        <w:ind w:firstLine="480" w:firstLineChars="200"/>
        <w:rPr>
          <w:rFonts w:hAnsi="宋体" w:cs="宋体"/>
          <w:highlight w:val="none"/>
        </w:rPr>
      </w:pPr>
      <w:r>
        <w:rPr>
          <w:rFonts w:hint="eastAsia" w:hAnsi="宋体" w:cs="宋体"/>
          <w:highlight w:val="none"/>
        </w:rPr>
        <w:t>7.本协议书自签署之日起生效，联合体未中标或者合同履行完毕后自动失效。</w:t>
      </w:r>
    </w:p>
    <w:p>
      <w:pPr>
        <w:topLinePunct/>
        <w:spacing w:line="360" w:lineRule="auto"/>
        <w:ind w:firstLine="480" w:firstLineChars="200"/>
        <w:rPr>
          <w:rFonts w:hAnsi="宋体" w:cs="宋体"/>
          <w:highlight w:val="none"/>
        </w:rPr>
      </w:pPr>
      <w:r>
        <w:rPr>
          <w:rFonts w:hint="eastAsia" w:hAnsi="宋体" w:cs="宋体"/>
          <w:highlight w:val="none"/>
        </w:rPr>
        <w:t>8.本协议书一式份，联合体成员和招标人各执一份。</w:t>
      </w:r>
    </w:p>
    <w:p>
      <w:pPr>
        <w:topLinePunct/>
        <w:spacing w:line="360" w:lineRule="auto"/>
        <w:ind w:firstLine="480" w:firstLineChars="200"/>
        <w:rPr>
          <w:rFonts w:hAnsi="宋体" w:cs="宋体"/>
          <w:highlight w:val="none"/>
        </w:rPr>
      </w:pPr>
    </w:p>
    <w:p>
      <w:pPr>
        <w:spacing w:line="360" w:lineRule="auto"/>
        <w:rPr>
          <w:rFonts w:hAnsi="宋体" w:cs="宋体"/>
          <w:highlight w:val="none"/>
        </w:rPr>
      </w:pPr>
    </w:p>
    <w:p>
      <w:pPr>
        <w:spacing w:line="360" w:lineRule="auto"/>
        <w:ind w:firstLine="2040" w:firstLineChars="850"/>
        <w:rPr>
          <w:rFonts w:ascii="Times New Roman"/>
          <w:szCs w:val="24"/>
          <w:highlight w:val="none"/>
        </w:rPr>
      </w:pPr>
      <w:r>
        <w:rPr>
          <w:rFonts w:hint="eastAsia" w:ascii="Times New Roman"/>
          <w:szCs w:val="24"/>
          <w:highlight w:val="none"/>
        </w:rPr>
        <w:t>牵头人（成员一）名称：（盖单位章）</w:t>
      </w:r>
    </w:p>
    <w:p>
      <w:pPr>
        <w:spacing w:line="360" w:lineRule="auto"/>
        <w:ind w:firstLine="2040" w:firstLineChars="850"/>
        <w:rPr>
          <w:rFonts w:ascii="Times New Roman"/>
          <w:szCs w:val="24"/>
          <w:highlight w:val="none"/>
        </w:rPr>
      </w:pPr>
      <w:r>
        <w:rPr>
          <w:rFonts w:hint="eastAsia" w:ascii="Times New Roman"/>
          <w:szCs w:val="24"/>
          <w:highlight w:val="none"/>
        </w:rPr>
        <w:t>法定代表人：（签字或盖章）</w:t>
      </w:r>
    </w:p>
    <w:p>
      <w:pPr>
        <w:spacing w:line="360" w:lineRule="auto"/>
        <w:ind w:firstLine="2040" w:firstLineChars="850"/>
        <w:rPr>
          <w:rFonts w:ascii="Times New Roman"/>
          <w:szCs w:val="24"/>
          <w:highlight w:val="none"/>
        </w:rPr>
      </w:pPr>
    </w:p>
    <w:p>
      <w:pPr>
        <w:spacing w:line="360" w:lineRule="auto"/>
        <w:ind w:firstLine="2040" w:firstLineChars="850"/>
        <w:rPr>
          <w:rFonts w:ascii="Times New Roman"/>
          <w:szCs w:val="24"/>
          <w:highlight w:val="none"/>
        </w:rPr>
      </w:pPr>
      <w:r>
        <w:rPr>
          <w:rFonts w:hint="eastAsia" w:ascii="Times New Roman"/>
          <w:szCs w:val="24"/>
          <w:highlight w:val="none"/>
        </w:rPr>
        <w:t>成员二名称：（盖单位章）</w:t>
      </w:r>
    </w:p>
    <w:p>
      <w:pPr>
        <w:spacing w:line="360" w:lineRule="auto"/>
        <w:ind w:firstLine="2040" w:firstLineChars="850"/>
        <w:rPr>
          <w:rFonts w:ascii="Times New Roman"/>
          <w:szCs w:val="24"/>
          <w:highlight w:val="none"/>
        </w:rPr>
      </w:pPr>
      <w:r>
        <w:rPr>
          <w:rFonts w:hint="eastAsia" w:ascii="Times New Roman"/>
          <w:szCs w:val="24"/>
          <w:highlight w:val="none"/>
        </w:rPr>
        <w:t>法定代表人：（签字或盖章）</w:t>
      </w:r>
    </w:p>
    <w:p>
      <w:pPr>
        <w:spacing w:line="360" w:lineRule="auto"/>
        <w:ind w:firstLine="2400" w:firstLineChars="1000"/>
        <w:rPr>
          <w:rFonts w:ascii="Times New Roman"/>
          <w:szCs w:val="24"/>
          <w:highlight w:val="none"/>
        </w:rPr>
      </w:pPr>
      <w:r>
        <w:rPr>
          <w:rFonts w:hint="eastAsia" w:ascii="Times New Roman"/>
          <w:szCs w:val="24"/>
          <w:highlight w:val="none"/>
        </w:rPr>
        <w:t>……</w:t>
      </w:r>
    </w:p>
    <w:p>
      <w:pPr>
        <w:wordWrap w:val="0"/>
        <w:spacing w:line="360" w:lineRule="auto"/>
        <w:jc w:val="right"/>
        <w:rPr>
          <w:szCs w:val="21"/>
          <w:highlight w:val="none"/>
        </w:rPr>
      </w:pPr>
      <w:r>
        <w:rPr>
          <w:rFonts w:hint="eastAsia" w:ascii="Times New Roman"/>
          <w:szCs w:val="24"/>
          <w:highlight w:val="none"/>
        </w:rPr>
        <w:t>年月日</w:t>
      </w:r>
    </w:p>
    <w:p>
      <w:pPr>
        <w:jc w:val="center"/>
        <w:rPr>
          <w:szCs w:val="21"/>
          <w:highlight w:val="none"/>
        </w:rPr>
      </w:pPr>
    </w:p>
    <w:p>
      <w:pPr>
        <w:pStyle w:val="2"/>
        <w:jc w:val="center"/>
        <w:rPr>
          <w:rFonts w:ascii="Times New Roman" w:hAnsi="Times New Roman"/>
          <w:highlight w:val="none"/>
        </w:rPr>
      </w:pPr>
      <w:r>
        <w:rPr>
          <w:rFonts w:ascii="Times New Roman" w:hAnsi="Times New Roman"/>
          <w:szCs w:val="22"/>
          <w:highlight w:val="none"/>
        </w:rPr>
        <w:br w:type="page"/>
      </w:r>
      <w:bookmarkStart w:id="1127" w:name="_Toc460660229"/>
      <w:bookmarkStart w:id="1128" w:name="_Toc460227114"/>
      <w:bookmarkStart w:id="1129" w:name="_Toc535241086"/>
      <w:bookmarkStart w:id="1130" w:name="_Toc535241132"/>
      <w:bookmarkStart w:id="1131" w:name="_Toc535241229"/>
      <w:r>
        <w:rPr>
          <w:rFonts w:hint="eastAsia" w:ascii="Times New Roman" w:hAnsi="Times New Roman"/>
          <w:highlight w:val="none"/>
        </w:rPr>
        <w:t>四、投标保证金</w:t>
      </w:r>
      <w:bookmarkEnd w:id="1127"/>
      <w:bookmarkEnd w:id="1128"/>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如采用现金（银行转账、银行电汇）的，系统自动抓取投标保证金提交信息，投标人应在投标文件中提供基本存款账户证明扫描件（如基本存款账户开户许可证或基本存款账户信息）。</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如采用纸质银行保函的，投标人应在投标文件中提供基本存款账户证明（如基本存款账户开户许可证或基本存款账户信息）、银行保函扫描件。银行保函格式见“投标保函示范文本”。</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存款账户信息（或基本账户开户许可证）扫描件、保函扫描件、融资担保机构的融资担保业务经营许可证扫描件编入投标文件中。担保机构担保格式见“投标保函示范文本”。</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保证保险的，投标人须将本单位针对该项目（标段）从基本账户汇出保证保险费用的凭证（须载有所投项目标段编号或项目名称、投标人基本账户信息、收取该费用的保证保险出具单位名称及其账户信息）扫描件、基本存款账户信息（或基本账户开户许可证）扫描件、保证保险扫描件编入投标文件中。保证保险格式见“投标保函示范文本”。</w:t>
      </w:r>
    </w:p>
    <w:p>
      <w:pPr>
        <w:tabs>
          <w:tab w:val="left" w:pos="8422"/>
          <w:tab w:val="left" w:pos="9622"/>
        </w:tabs>
        <w:spacing w:line="360" w:lineRule="auto"/>
        <w:ind w:firstLine="480" w:firstLineChars="200"/>
        <w:jc w:val="left"/>
        <w:rPr>
          <w:rFonts w:hAnsi="宋体" w:cs="宋体"/>
          <w:bCs/>
          <w:szCs w:val="24"/>
          <w:highlight w:val="none"/>
        </w:rPr>
      </w:pPr>
      <w:r>
        <w:rPr>
          <w:rFonts w:hint="eastAsia" w:ascii="Times New Roman" w:hAnsi="Times New Roman"/>
          <w:bCs/>
          <w:kern w:val="0"/>
          <w:sz w:val="24"/>
          <w:szCs w:val="20"/>
          <w:highlight w:val="none"/>
        </w:rPr>
        <w:t>如采用电子保函的，系统自动抓取电子保函信息，投标文件无需提供相关证明材料。</w:t>
      </w:r>
    </w:p>
    <w:p>
      <w:pPr>
        <w:spacing w:beforeLines="100" w:afterLines="100"/>
        <w:jc w:val="center"/>
        <w:outlineLvl w:val="3"/>
        <w:rPr>
          <w:rFonts w:ascii="黑体" w:hAnsi="黑体" w:eastAsia="黑体" w:cs="黑体"/>
          <w:bCs/>
          <w:szCs w:val="24"/>
          <w:highlight w:val="none"/>
        </w:rPr>
      </w:pPr>
      <w:bookmarkStart w:id="1132" w:name="_Toc10421"/>
      <w:bookmarkStart w:id="1133" w:name="_Toc3980"/>
      <w:bookmarkStart w:id="1134" w:name="_Toc12410"/>
      <w:bookmarkStart w:id="1135" w:name="_Toc17295"/>
      <w:bookmarkStart w:id="1136" w:name="_Toc1718"/>
      <w:bookmarkStart w:id="1137" w:name="_Toc8851"/>
      <w:r>
        <w:rPr>
          <w:rFonts w:hint="eastAsia" w:ascii="黑体" w:hAnsi="黑体" w:eastAsia="黑体" w:cs="黑体"/>
          <w:bCs/>
          <w:szCs w:val="24"/>
          <w:highlight w:val="none"/>
        </w:rPr>
        <w:t>（一）投标保函示范文本</w:t>
      </w:r>
      <w:bookmarkEnd w:id="1132"/>
      <w:bookmarkEnd w:id="1133"/>
      <w:bookmarkEnd w:id="1134"/>
      <w:bookmarkEnd w:id="1135"/>
      <w:bookmarkEnd w:id="1136"/>
      <w:bookmarkEnd w:id="1137"/>
    </w:p>
    <w:p>
      <w:pPr>
        <w:tabs>
          <w:tab w:val="left" w:pos="8422"/>
          <w:tab w:val="left" w:pos="9622"/>
        </w:tabs>
        <w:spacing w:line="360" w:lineRule="auto"/>
        <w:ind w:right="120" w:rightChars="50"/>
        <w:jc w:val="center"/>
        <w:rPr>
          <w:rFonts w:hAnsi="宋体" w:cs="宋体"/>
          <w:szCs w:val="24"/>
          <w:highlight w:val="none"/>
        </w:rPr>
      </w:pPr>
      <w:bookmarkStart w:id="1138" w:name="_Toc1245"/>
      <w:bookmarkStart w:id="1139" w:name="_Toc12727"/>
      <w:r>
        <w:rPr>
          <w:rFonts w:hint="eastAsia" w:hAnsi="宋体" w:cs="宋体"/>
          <w:szCs w:val="24"/>
          <w:highlight w:val="none"/>
        </w:rPr>
        <w:t xml:space="preserve">                                                编号：</w:t>
      </w:r>
      <w:bookmarkEnd w:id="1138"/>
      <w:bookmarkEnd w:id="1139"/>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致：</w:t>
      </w:r>
      <w:r>
        <w:rPr>
          <w:rFonts w:hint="eastAsia" w:hAnsi="宋体" w:cs="宋体"/>
          <w:szCs w:val="24"/>
          <w:highlight w:val="none"/>
          <w:u w:val="single"/>
        </w:rPr>
        <w:t>受益人（招标人）名称</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开立人获得通知，（投标人）于年月日参加编号为（标段编号）的（标段名称）投标（即“基础交易”）。</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元（¥）。</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二、开立人在投标人发生以下情形时承担保证担保责任：</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（1）投标人在投标有效期内撤销投标文件；</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（2）投标人在中标后无正当理由不与招标人订立合同；</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（3）投标人在签订合同时向招标人提出附加条件；</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（4）投标人不按照招标文件要求提交履约保证金；</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（5）发生招标文件明确规定可以不予退还投标保证金的其他情形。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三、本保函为不可撤销、不可转让的见索即付独立保函。本保函有效期自开立之日起至投标有效期届满之日止。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四、开立人承诺，在收到受益人发来的书面付款通知后的七日内无条件支付，前述书面付款通知即为付款要求之单据，且应满足以下要求：</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（1）付款通知到达的日期在本保函的有效期内；</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（2）载明要求支付的金额；</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（3）载明申请人违反招投标文件规定的义务内容和具体条款；</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（4）声明不存在招标文件规定或我国法律规定免除申请人或我方支付责任的情形；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（5）书面付款通知应在本保函有效期内到达的地址是：。</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受益人发出的书面付款通知应由其法定代表人（负责人）或授权代理人签字并加盖公章。</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五、本保函项下的权利不得转让，不得设定担保。受益人未经开立人书面同意转让本保函或其项下任何权利，对开立人不发生法律效力。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六、本保函项下的基础交易不成立、不生效、无效、被撤销、被解除，不影响本保函的独立有效。</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七、本保函项下的义务和责任均在保函有效期到期后自动消灭。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八、本保函适用的法律为中华人民共和国法律，因本保函产生的纠纷案件，由受益人所在地人民法院管辖。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九、本保函自我方法定代表人或授权代表签字并加盖公章之日起生效。 </w:t>
      </w:r>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开立人：（公章）</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法定代表人（或授权代表）：（签字）</w:t>
      </w:r>
    </w:p>
    <w:p>
      <w:pPr>
        <w:tabs>
          <w:tab w:val="left" w:pos="8422"/>
          <w:tab w:val="left" w:pos="9622"/>
        </w:tabs>
        <w:spacing w:line="360" w:lineRule="auto"/>
        <w:ind w:right="120" w:rightChars="50"/>
        <w:jc w:val="left"/>
        <w:rPr>
          <w:rFonts w:hAnsi="宋体" w:cs="宋体"/>
          <w:szCs w:val="24"/>
          <w:highlight w:val="none"/>
          <w:u w:val="single"/>
        </w:rPr>
      </w:pPr>
      <w:r>
        <w:rPr>
          <w:rFonts w:hint="eastAsia" w:hAnsi="宋体" w:cs="宋体"/>
          <w:szCs w:val="24"/>
          <w:highlight w:val="none"/>
        </w:rPr>
        <w:t>地    址：</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邮政编码：</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电    话：</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传    真：</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开立时间：</w:t>
      </w:r>
      <w:r>
        <w:rPr>
          <w:rFonts w:hint="eastAsia" w:hAnsi="宋体" w:cs="宋体"/>
          <w:szCs w:val="24"/>
          <w:highlight w:val="none"/>
          <w:lang w:val="en-US" w:eastAsia="zh-CN"/>
        </w:rPr>
        <w:t xml:space="preserve"> </w:t>
      </w:r>
      <w:r>
        <w:rPr>
          <w:rFonts w:hint="eastAsia" w:hAnsi="宋体" w:cs="宋体"/>
          <w:szCs w:val="24"/>
          <w:highlight w:val="none"/>
        </w:rPr>
        <w:t>年</w:t>
      </w:r>
      <w:r>
        <w:rPr>
          <w:rFonts w:hint="eastAsia" w:hAnsi="宋体" w:cs="宋体"/>
          <w:szCs w:val="24"/>
          <w:highlight w:val="none"/>
          <w:lang w:val="en-US" w:eastAsia="zh-CN"/>
        </w:rPr>
        <w:t xml:space="preserve"> </w:t>
      </w:r>
      <w:r>
        <w:rPr>
          <w:rFonts w:hint="eastAsia" w:hAnsi="宋体" w:cs="宋体"/>
          <w:szCs w:val="24"/>
          <w:highlight w:val="none"/>
        </w:rPr>
        <w:t>月</w:t>
      </w:r>
      <w:r>
        <w:rPr>
          <w:rFonts w:hint="eastAsia" w:hAnsi="宋体" w:cs="宋体"/>
          <w:szCs w:val="24"/>
          <w:highlight w:val="none"/>
          <w:lang w:val="en-US" w:eastAsia="zh-CN"/>
        </w:rPr>
        <w:t xml:space="preserve"> </w:t>
      </w:r>
      <w:r>
        <w:rPr>
          <w:rFonts w:hint="eastAsia" w:hAnsi="宋体" w:cs="宋体"/>
          <w:szCs w:val="24"/>
          <w:highlight w:val="none"/>
        </w:rPr>
        <w:t>日</w:t>
      </w:r>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注：</w:t>
      </w: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1.允许投标人实际开具的银行保函或担保机构或保证保险机构出具的担保的格式与本文件提供的格式有所不同，但不得更改本文件提供的银行保函或担保格式中的实质性内容。</w:t>
      </w: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2.投标人开具的银行保函（或担保机构担保或保证保险）必须具有明确有效的查询途径（网址链接及查询方式）。</w:t>
      </w:r>
    </w:p>
    <w:p>
      <w:pPr>
        <w:spacing w:line="560" w:lineRule="exact"/>
        <w:ind w:firstLine="422"/>
        <w:jc w:val="center"/>
        <w:rPr>
          <w:rFonts w:ascii="Times New Roman" w:eastAsia="方正小标宋简体"/>
          <w:sz w:val="44"/>
          <w:szCs w:val="44"/>
          <w:highlight w:val="none"/>
        </w:rPr>
      </w:pPr>
      <w:r>
        <w:rPr>
          <w:rFonts w:hint="eastAsia" w:hAnsi="宋体" w:cs="宋体"/>
          <w:bCs/>
          <w:snapToGrid w:val="0"/>
          <w:szCs w:val="24"/>
          <w:highlight w:val="none"/>
        </w:rPr>
        <w:br w:type="page"/>
      </w:r>
      <w:r>
        <w:rPr>
          <w:rFonts w:hint="eastAsia" w:hAnsi="宋体"/>
          <w:bCs/>
          <w:kern w:val="2"/>
          <w:sz w:val="21"/>
          <w:szCs w:val="21"/>
          <w:highlight w:val="none"/>
        </w:rPr>
        <w:t>（二）</w:t>
      </w:r>
      <w:r>
        <w:rPr>
          <w:rFonts w:hAnsi="宋体"/>
          <w:bCs/>
          <w:kern w:val="2"/>
          <w:sz w:val="21"/>
          <w:szCs w:val="21"/>
          <w:highlight w:val="none"/>
        </w:rPr>
        <w:t>投标人免缴投标保证金信用承诺函</w:t>
      </w:r>
    </w:p>
    <w:p>
      <w:pPr>
        <w:widowControl/>
        <w:spacing w:line="560" w:lineRule="exact"/>
        <w:jc w:val="center"/>
        <w:rPr>
          <w:rFonts w:ascii="Times New Roman" w:eastAsia="仿宋_GB2312"/>
          <w:sz w:val="32"/>
          <w:szCs w:val="32"/>
          <w:highlight w:val="none"/>
        </w:rPr>
      </w:pPr>
    </w:p>
    <w:p>
      <w:pPr>
        <w:spacing w:line="560" w:lineRule="exact"/>
        <w:rPr>
          <w:rFonts w:hAnsi="宋体"/>
          <w:kern w:val="2"/>
          <w:sz w:val="21"/>
          <w:szCs w:val="21"/>
          <w:highlight w:val="none"/>
        </w:rPr>
      </w:pPr>
      <w:r>
        <w:rPr>
          <w:rFonts w:hAnsi="宋体"/>
          <w:bCs/>
          <w:kern w:val="2"/>
          <w:sz w:val="21"/>
          <w:szCs w:val="21"/>
          <w:highlight w:val="none"/>
        </w:rPr>
        <w:t>致：(招标人名称)</w:t>
      </w:r>
    </w:p>
    <w:p>
      <w:pPr>
        <w:spacing w:line="560" w:lineRule="exact"/>
        <w:ind w:firstLine="420"/>
        <w:rPr>
          <w:rFonts w:hAnsi="宋体"/>
          <w:kern w:val="2"/>
          <w:sz w:val="21"/>
          <w:szCs w:val="21"/>
          <w:highlight w:val="none"/>
        </w:rPr>
      </w:pPr>
      <w:r>
        <w:rPr>
          <w:rFonts w:hAnsi="宋体"/>
          <w:kern w:val="2"/>
          <w:sz w:val="21"/>
          <w:szCs w:val="21"/>
          <w:highlight w:val="none"/>
        </w:rPr>
        <w:t>按照招标文件的规定，我单位郑重承诺如下：</w:t>
      </w:r>
    </w:p>
    <w:p>
      <w:pPr>
        <w:spacing w:line="560" w:lineRule="exact"/>
        <w:ind w:firstLine="420"/>
        <w:rPr>
          <w:rFonts w:hAnsi="宋体"/>
          <w:kern w:val="2"/>
          <w:sz w:val="21"/>
          <w:szCs w:val="21"/>
          <w:highlight w:val="none"/>
        </w:rPr>
      </w:pPr>
      <w:r>
        <w:rPr>
          <w:rFonts w:hAnsi="宋体"/>
          <w:kern w:val="2"/>
          <w:sz w:val="21"/>
          <w:szCs w:val="21"/>
          <w:highlight w:val="none"/>
        </w:rPr>
        <w:t>我单位将严格遵守《中华人民共和国招标投标法》等法律、法规</w:t>
      </w:r>
      <w:r>
        <w:rPr>
          <w:rFonts w:hint="eastAsia" w:hAnsi="宋体"/>
          <w:kern w:val="2"/>
          <w:sz w:val="21"/>
          <w:szCs w:val="21"/>
          <w:highlight w:val="none"/>
        </w:rPr>
        <w:t>和招标文件约定条款</w:t>
      </w:r>
      <w:r>
        <w:rPr>
          <w:rFonts w:hAnsi="宋体"/>
          <w:kern w:val="2"/>
          <w:sz w:val="21"/>
          <w:szCs w:val="21"/>
          <w:highlight w:val="none"/>
        </w:rPr>
        <w:t>。如果存在招标文件约定的投标保证金不予退还的情形，将于收到招标人书面通知7日内将招标文件约定的投标保证金足额缴纳至招标人指定账户。</w:t>
      </w:r>
    </w:p>
    <w:p>
      <w:pPr>
        <w:spacing w:line="560" w:lineRule="exact"/>
        <w:ind w:firstLine="420"/>
        <w:rPr>
          <w:rFonts w:hAnsi="宋体"/>
          <w:kern w:val="2"/>
          <w:sz w:val="21"/>
          <w:szCs w:val="21"/>
          <w:highlight w:val="none"/>
        </w:rPr>
      </w:pPr>
      <w:r>
        <w:rPr>
          <w:rFonts w:hAnsi="宋体"/>
          <w:kern w:val="2"/>
          <w:sz w:val="21"/>
          <w:szCs w:val="21"/>
          <w:highlight w:val="none"/>
        </w:rPr>
        <w:t>我单位对上述承诺的真实性负责。如有虚假，我单位愿意承担弄虚作假法律责任。</w:t>
      </w:r>
    </w:p>
    <w:p>
      <w:pPr>
        <w:tabs>
          <w:tab w:val="left" w:pos="8422"/>
          <w:tab w:val="left" w:pos="9622"/>
        </w:tabs>
        <w:spacing w:line="560" w:lineRule="exact"/>
        <w:rPr>
          <w:rFonts w:hAnsi="宋体"/>
          <w:kern w:val="2"/>
          <w:sz w:val="21"/>
          <w:szCs w:val="21"/>
          <w:highlight w:val="none"/>
        </w:rPr>
      </w:pPr>
    </w:p>
    <w:p>
      <w:pPr>
        <w:tabs>
          <w:tab w:val="left" w:pos="8422"/>
          <w:tab w:val="left" w:pos="9622"/>
        </w:tabs>
        <w:spacing w:line="360" w:lineRule="auto"/>
        <w:ind w:right="120" w:rightChars="50"/>
        <w:jc w:val="left"/>
        <w:rPr>
          <w:rFonts w:hAnsi="宋体" w:cs="宋体"/>
          <w:kern w:val="2"/>
          <w:sz w:val="21"/>
          <w:szCs w:val="21"/>
          <w:highlight w:val="none"/>
        </w:rPr>
      </w:pPr>
    </w:p>
    <w:p>
      <w:pPr>
        <w:adjustRightInd w:val="0"/>
        <w:snapToGrid w:val="0"/>
        <w:spacing w:line="360" w:lineRule="auto"/>
        <w:ind w:right="210"/>
        <w:jc w:val="right"/>
        <w:rPr>
          <w:rFonts w:hAnsi="宋体" w:cs="仿宋_GB2312"/>
          <w:bCs/>
          <w:kern w:val="2"/>
          <w:sz w:val="21"/>
          <w:szCs w:val="21"/>
          <w:highlight w:val="none"/>
          <w:u w:val="single"/>
        </w:rPr>
      </w:pPr>
      <w:r>
        <w:rPr>
          <w:rFonts w:hint="eastAsia" w:hAnsi="宋体" w:cs="仿宋_GB2312"/>
          <w:bCs/>
          <w:spacing w:val="142"/>
          <w:kern w:val="0"/>
          <w:sz w:val="21"/>
          <w:szCs w:val="21"/>
          <w:highlight w:val="none"/>
          <w:fitText w:val="1200" w:id="-1218188030"/>
        </w:rPr>
        <w:t>投标</w:t>
      </w:r>
      <w:r>
        <w:rPr>
          <w:rFonts w:hint="eastAsia" w:hAnsi="宋体" w:cs="仿宋_GB2312"/>
          <w:bCs/>
          <w:spacing w:val="1"/>
          <w:kern w:val="0"/>
          <w:sz w:val="21"/>
          <w:szCs w:val="21"/>
          <w:highlight w:val="none"/>
          <w:fitText w:val="1200" w:id="-1218188030"/>
        </w:rPr>
        <w:t>人</w:t>
      </w:r>
      <w:r>
        <w:rPr>
          <w:rFonts w:hint="eastAsia" w:hAnsi="宋体" w:cs="仿宋_GB2312"/>
          <w:bCs/>
          <w:kern w:val="2"/>
          <w:sz w:val="21"/>
          <w:szCs w:val="21"/>
          <w:highlight w:val="none"/>
        </w:rPr>
        <w:t>：（盖单位章）</w:t>
      </w:r>
    </w:p>
    <w:p>
      <w:pPr>
        <w:adjustRightInd w:val="0"/>
        <w:snapToGrid w:val="0"/>
        <w:spacing w:line="360" w:lineRule="auto"/>
        <w:ind w:firstLine="420" w:firstLineChars="200"/>
        <w:jc w:val="center"/>
        <w:rPr>
          <w:rFonts w:hAnsi="宋体" w:cs="宋体"/>
          <w:bCs/>
          <w:snapToGrid w:val="0"/>
          <w:szCs w:val="24"/>
          <w:highlight w:val="none"/>
        </w:rPr>
      </w:pPr>
      <w:r>
        <w:rPr>
          <w:rFonts w:hint="eastAsia" w:hAnsi="宋体" w:cs="仿宋_GB2312"/>
          <w:bCs/>
          <w:sz w:val="21"/>
          <w:szCs w:val="21"/>
          <w:highlight w:val="none"/>
        </w:rPr>
        <w:t xml:space="preserve">                                              </w:t>
      </w:r>
      <w:r>
        <w:rPr>
          <w:rFonts w:hint="eastAsia" w:hAnsi="宋体" w:cs="仿宋_GB2312"/>
          <w:bCs/>
          <w:spacing w:val="390"/>
          <w:kern w:val="0"/>
          <w:sz w:val="21"/>
          <w:szCs w:val="21"/>
          <w:highlight w:val="none"/>
          <w:fitText w:val="1200" w:id="-1218188029"/>
        </w:rPr>
        <w:t>日</w:t>
      </w:r>
      <w:r>
        <w:rPr>
          <w:rFonts w:hint="eastAsia" w:hAnsi="宋体" w:cs="仿宋_GB2312"/>
          <w:bCs/>
          <w:spacing w:val="0"/>
          <w:kern w:val="0"/>
          <w:sz w:val="21"/>
          <w:szCs w:val="21"/>
          <w:highlight w:val="none"/>
          <w:fitText w:val="1200" w:id="-1218188029"/>
        </w:rPr>
        <w:t>期</w:t>
      </w:r>
      <w:r>
        <w:rPr>
          <w:rFonts w:hint="eastAsia" w:hAnsi="宋体" w:cs="仿宋_GB2312"/>
          <w:kern w:val="2"/>
          <w:sz w:val="21"/>
          <w:szCs w:val="21"/>
          <w:highlight w:val="none"/>
        </w:rPr>
        <w:t>：  年  月  日</w:t>
      </w:r>
    </w:p>
    <w:p>
      <w:pPr>
        <w:pStyle w:val="2"/>
        <w:jc w:val="center"/>
        <w:rPr>
          <w:rFonts w:ascii="Times New Roman" w:hAnsi="Times New Roman"/>
          <w:snapToGrid w:val="0"/>
          <w:highlight w:val="none"/>
        </w:rPr>
      </w:pPr>
      <w:r>
        <w:rPr>
          <w:rFonts w:ascii="Times New Roman" w:hAnsi="Times New Roman"/>
          <w:snapToGrid w:val="0"/>
          <w:highlight w:val="none"/>
        </w:rPr>
        <w:br w:type="page"/>
      </w:r>
      <w:r>
        <w:rPr>
          <w:rFonts w:hint="eastAsia" w:ascii="Times New Roman" w:hAnsi="Times New Roman"/>
          <w:highlight w:val="none"/>
        </w:rPr>
        <w:t>五、商务条款偏差表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序号</w:t>
            </w:r>
          </w:p>
        </w:tc>
        <w:tc>
          <w:tcPr>
            <w:tcW w:w="2821"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招标文件要求</w:t>
            </w:r>
          </w:p>
        </w:tc>
        <w:tc>
          <w:tcPr>
            <w:tcW w:w="2977"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投标文件响应</w:t>
            </w:r>
          </w:p>
        </w:tc>
        <w:tc>
          <w:tcPr>
            <w:tcW w:w="1506"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925" w:type="dxa"/>
            <w:vMerge w:val="continue"/>
            <w:vAlign w:val="center"/>
          </w:tcPr>
          <w:p>
            <w:pPr>
              <w:widowControl/>
              <w:snapToGrid w:val="0"/>
              <w:spacing w:line="360" w:lineRule="auto"/>
              <w:jc w:val="center"/>
              <w:rPr>
                <w:rFonts w:hAnsi="宋体" w:cs="宋体"/>
                <w:highlight w:val="none"/>
              </w:rPr>
            </w:pPr>
          </w:p>
        </w:tc>
        <w:tc>
          <w:tcPr>
            <w:tcW w:w="1545"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276" w:type="dxa"/>
            <w:vAlign w:val="center"/>
          </w:tcPr>
          <w:p>
            <w:pPr>
              <w:widowControl/>
              <w:snapToGrid w:val="0"/>
              <w:spacing w:line="360" w:lineRule="auto"/>
              <w:jc w:val="center"/>
              <w:rPr>
                <w:rFonts w:hAnsi="宋体" w:cs="宋体"/>
                <w:highlight w:val="none"/>
              </w:rPr>
            </w:pPr>
            <w:r>
              <w:rPr>
                <w:rFonts w:hint="eastAsia" w:hAnsi="宋体" w:cs="宋体"/>
                <w:highlight w:val="none"/>
              </w:rPr>
              <w:t>具体要求</w:t>
            </w:r>
          </w:p>
        </w:tc>
        <w:tc>
          <w:tcPr>
            <w:tcW w:w="1559"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418" w:type="dxa"/>
            <w:vAlign w:val="center"/>
          </w:tcPr>
          <w:p>
            <w:pPr>
              <w:widowControl/>
              <w:snapToGrid w:val="0"/>
              <w:spacing w:line="360" w:lineRule="auto"/>
              <w:jc w:val="center"/>
              <w:rPr>
                <w:rFonts w:hAnsi="宋体" w:cs="宋体"/>
                <w:highlight w:val="none"/>
              </w:rPr>
            </w:pPr>
            <w:r>
              <w:rPr>
                <w:rFonts w:hint="eastAsia" w:hAnsi="宋体" w:cs="宋体"/>
                <w:highlight w:val="none"/>
              </w:rPr>
              <w:t>具体内容</w:t>
            </w:r>
          </w:p>
        </w:tc>
        <w:tc>
          <w:tcPr>
            <w:tcW w:w="1506" w:type="dxa"/>
            <w:vMerge w:val="continue"/>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1</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2</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3</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4</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bl>
    <w:p>
      <w:pPr>
        <w:spacing w:line="360" w:lineRule="auto"/>
        <w:rPr>
          <w:rFonts w:hAnsi="宋体" w:cs="宋体"/>
          <w:highlight w:val="none"/>
        </w:rPr>
      </w:pPr>
    </w:p>
    <w:p>
      <w:pPr>
        <w:spacing w:line="360" w:lineRule="auto"/>
        <w:rPr>
          <w:rFonts w:hAnsi="宋体" w:cs="宋体"/>
          <w:highlight w:val="none"/>
        </w:rPr>
      </w:pPr>
      <w:r>
        <w:rPr>
          <w:rFonts w:hint="eastAsia" w:hAnsi="宋体" w:cs="宋体"/>
          <w:highlight w:val="none"/>
        </w:rPr>
        <w:t>注：投标人对付款方式、交货及安装周期、交货及安装地点、质量保证期、投标有效期及其他商务条款未完全响应的，应当填写上表。</w:t>
      </w:r>
    </w:p>
    <w:p>
      <w:pPr>
        <w:spacing w:line="360" w:lineRule="auto"/>
        <w:rPr>
          <w:rFonts w:hAnsi="宋体" w:cs="宋体"/>
          <w:highlight w:val="none"/>
        </w:rPr>
      </w:pPr>
      <w:r>
        <w:rPr>
          <w:rFonts w:hint="eastAsia" w:hAnsi="宋体" w:cs="宋体"/>
          <w:highlight w:val="none"/>
        </w:rPr>
        <w:t>投标人保证：除商务条款偏差表列出的偏差外，投标人响应招标文件的全部要求。</w:t>
      </w:r>
    </w:p>
    <w:p>
      <w:pPr>
        <w:spacing w:line="360" w:lineRule="auto"/>
        <w:rPr>
          <w:rFonts w:hAnsi="宋体" w:cs="宋体"/>
          <w:highlight w:val="none"/>
        </w:rPr>
      </w:pPr>
    </w:p>
    <w:p>
      <w:pPr>
        <w:pStyle w:val="2"/>
        <w:spacing w:beforeLines="100" w:afterLines="100" w:line="240" w:lineRule="auto"/>
        <w:jc w:val="center"/>
        <w:rPr>
          <w:rFonts w:ascii="Times New Roman" w:hAnsi="Times New Roman"/>
          <w:bCs w:val="0"/>
          <w:sz w:val="32"/>
          <w:szCs w:val="32"/>
          <w:highlight w:val="none"/>
        </w:rPr>
      </w:pPr>
      <w:r>
        <w:rPr>
          <w:rFonts w:hint="eastAsia" w:ascii="Times New Roman" w:hAnsi="Times New Roman"/>
          <w:bCs w:val="0"/>
          <w:sz w:val="32"/>
          <w:szCs w:val="32"/>
          <w:highlight w:val="none"/>
        </w:rPr>
        <w:br w:type="page"/>
      </w:r>
      <w:r>
        <w:rPr>
          <w:rFonts w:hint="eastAsia" w:cs="黑体"/>
          <w:highlight w:val="none"/>
        </w:rPr>
        <w:t>六、资格审查资料</w:t>
      </w:r>
    </w:p>
    <w:p>
      <w:pPr>
        <w:pStyle w:val="5"/>
        <w:spacing w:before="0" w:after="0"/>
        <w:jc w:val="center"/>
        <w:rPr>
          <w:rFonts w:ascii="黑体" w:hAnsi="黑体" w:cs="黑体"/>
          <w:szCs w:val="24"/>
          <w:highlight w:val="none"/>
        </w:rPr>
      </w:pPr>
      <w:r>
        <w:rPr>
          <w:rFonts w:hint="eastAsia" w:ascii="黑体" w:hAnsi="黑体" w:cs="黑体"/>
          <w:szCs w:val="24"/>
          <w:highlight w:val="none"/>
        </w:rPr>
        <w:t>（一）投标人基本情况表</w:t>
      </w:r>
      <w:bookmarkEnd w:id="1125"/>
      <w:bookmarkEnd w:id="1126"/>
      <w:bookmarkEnd w:id="1129"/>
      <w:bookmarkEnd w:id="1130"/>
      <w:bookmarkEnd w:id="1131"/>
    </w:p>
    <w:tbl>
      <w:tblPr>
        <w:tblStyle w:val="53"/>
        <w:tblW w:w="8931"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投标人名称</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注册资金</w:t>
            </w:r>
          </w:p>
        </w:tc>
        <w:tc>
          <w:tcPr>
            <w:tcW w:w="335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注册地址</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邮政编码</w:t>
            </w:r>
          </w:p>
        </w:tc>
        <w:tc>
          <w:tcPr>
            <w:tcW w:w="335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联系方式</w:t>
            </w: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联系人</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网址</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法定代表人</w:t>
            </w:r>
          </w:p>
          <w:p>
            <w:pPr>
              <w:topLinePunct/>
              <w:spacing w:line="360" w:lineRule="auto"/>
              <w:jc w:val="center"/>
              <w:rPr>
                <w:rFonts w:hAnsi="宋体" w:cs="宋体"/>
                <w:highlight w:val="none"/>
              </w:rPr>
            </w:pPr>
            <w:r>
              <w:rPr>
                <w:rFonts w:hint="eastAsia" w:hAnsi="宋体" w:cs="宋体"/>
                <w:highlight w:val="none"/>
              </w:rPr>
              <w:t>（单位负责人）</w:t>
            </w: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姓名</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rPr>
                <w:rFonts w:hAnsi="宋体" w:cs="宋体"/>
                <w:highlight w:val="none"/>
              </w:rPr>
            </w:pPr>
            <w:r>
              <w:rPr>
                <w:rFonts w:hint="eastAsia" w:hAnsi="宋体" w:cs="宋体"/>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基本存款账户开户银行</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基本存款账户银行账号</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Ansi="宋体" w:cs="宋体"/>
                <w:highlight w:val="none"/>
              </w:rPr>
            </w:pPr>
            <w:r>
              <w:rPr>
                <w:rFonts w:hint="eastAsia" w:ascii="Times New Roman"/>
                <w:szCs w:val="24"/>
                <w:highlight w:val="none"/>
              </w:rPr>
              <w:t>经营范围</w:t>
            </w:r>
          </w:p>
        </w:tc>
        <w:tc>
          <w:tcPr>
            <w:tcW w:w="6757" w:type="dxa"/>
            <w:gridSpan w:val="4"/>
            <w:tcBorders>
              <w:top w:val="single" w:color="auto" w:sz="4" w:space="0"/>
              <w:left w:val="single" w:color="auto" w:sz="4" w:space="0"/>
              <w:right w:val="single" w:color="auto" w:sz="4" w:space="0"/>
            </w:tcBorders>
            <w:vAlign w:val="center"/>
          </w:tcPr>
          <w:p>
            <w:pPr>
              <w:autoSpaceDE w:val="0"/>
              <w:autoSpaceDN w:val="0"/>
              <w:adjustRightInd w:val="0"/>
              <w:snapToGrid w:val="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8" w:hRule="atLeast"/>
        </w:trPr>
        <w:tc>
          <w:tcPr>
            <w:tcW w:w="2174"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Times New Roman"/>
                <w:szCs w:val="24"/>
                <w:highlight w:val="none"/>
              </w:rPr>
            </w:pPr>
            <w:r>
              <w:rPr>
                <w:rFonts w:ascii="Times New Roman"/>
                <w:szCs w:val="24"/>
                <w:highlight w:val="none"/>
              </w:rPr>
              <w:t>投标人关联</w:t>
            </w:r>
          </w:p>
          <w:p>
            <w:pPr>
              <w:autoSpaceDE w:val="0"/>
              <w:autoSpaceDN w:val="0"/>
              <w:adjustRightInd w:val="0"/>
              <w:snapToGrid w:val="0"/>
              <w:jc w:val="center"/>
              <w:rPr>
                <w:rFonts w:hAnsi="宋体" w:cs="宋体"/>
                <w:highlight w:val="none"/>
              </w:rPr>
            </w:pPr>
            <w:r>
              <w:rPr>
                <w:rFonts w:ascii="Times New Roman"/>
                <w:szCs w:val="24"/>
                <w:highlight w:val="none"/>
              </w:rPr>
              <w:t>企业情况</w:t>
            </w:r>
          </w:p>
        </w:tc>
        <w:tc>
          <w:tcPr>
            <w:tcW w:w="6757" w:type="dxa"/>
            <w:gridSpan w:val="4"/>
            <w:tcBorders>
              <w:top w:val="single" w:color="auto" w:sz="4" w:space="0"/>
              <w:left w:val="single" w:color="auto" w:sz="4" w:space="0"/>
              <w:right w:val="single" w:color="auto" w:sz="4" w:space="0"/>
            </w:tcBorders>
            <w:vAlign w:val="center"/>
          </w:tcPr>
          <w:p>
            <w:pPr>
              <w:topLinePunct/>
              <w:jc w:val="left"/>
              <w:rPr>
                <w:highlight w:val="none"/>
              </w:rPr>
            </w:pPr>
            <w:r>
              <w:rPr>
                <w:rFonts w:hint="eastAsia"/>
                <w:highlight w:val="none"/>
              </w:rPr>
              <w:t>投标人应提供关联企业情况，包括：</w:t>
            </w:r>
          </w:p>
          <w:p>
            <w:pPr>
              <w:topLinePunct/>
              <w:jc w:val="left"/>
              <w:rPr>
                <w:highlight w:val="none"/>
              </w:rPr>
            </w:pPr>
            <w:r>
              <w:rPr>
                <w:rFonts w:hint="eastAsia"/>
                <w:highlight w:val="none"/>
              </w:rPr>
              <w:t>（1）投标人投资（控股）或管理的下属企业名称、持有股权（出资额）比例；</w:t>
            </w:r>
          </w:p>
          <w:p>
            <w:pPr>
              <w:topLinePunct/>
              <w:jc w:val="left"/>
              <w:rPr>
                <w:highlight w:val="none"/>
              </w:rPr>
            </w:pPr>
            <w:r>
              <w:rPr>
                <w:rFonts w:hint="eastAsia"/>
                <w:highlight w:val="none"/>
              </w:rPr>
              <w:t>（2）与投标人单位负责人（即法定代表人）为同一人的其他单位名称；</w:t>
            </w:r>
          </w:p>
          <w:p>
            <w:pPr>
              <w:topLinePunct/>
              <w:jc w:val="left"/>
              <w:rPr>
                <w:highlight w:val="none"/>
              </w:rPr>
            </w:pPr>
            <w:r>
              <w:rPr>
                <w:rFonts w:hint="eastAsia"/>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投标货物制造商名称</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投标人须知要求</w:t>
            </w:r>
          </w:p>
          <w:p>
            <w:pPr>
              <w:topLinePunct/>
              <w:spacing w:line="360" w:lineRule="auto"/>
              <w:jc w:val="center"/>
              <w:rPr>
                <w:rFonts w:hAnsi="宋体" w:cs="宋体"/>
                <w:highlight w:val="none"/>
              </w:rPr>
            </w:pPr>
            <w:r>
              <w:rPr>
                <w:rFonts w:hint="eastAsia" w:hAnsi="宋体" w:cs="宋体"/>
                <w:highlight w:val="none"/>
              </w:rPr>
              <w:t>投标货物制造商需具有的资质证书</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备注</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bl>
    <w:p>
      <w:pPr>
        <w:spacing w:line="360" w:lineRule="auto"/>
        <w:rPr>
          <w:rFonts w:hAnsi="宋体" w:cs="宋体"/>
          <w:highlight w:val="none"/>
        </w:rPr>
      </w:pPr>
      <w:r>
        <w:rPr>
          <w:rFonts w:hint="eastAsia" w:hAnsi="宋体" w:cs="宋体"/>
          <w:highlight w:val="none"/>
        </w:rPr>
        <w:t>注：1.投标人应根据招标文件第二章“投标人须知”前附表附录1的要求在本表后附资质证书、营业执照等材料。接受联合体的，联合体成员分别填写。</w:t>
      </w:r>
    </w:p>
    <w:p>
      <w:pPr>
        <w:spacing w:line="360" w:lineRule="auto"/>
        <w:ind w:firstLine="480" w:firstLineChars="200"/>
        <w:rPr>
          <w:rFonts w:hAnsi="宋体" w:cs="宋体"/>
          <w:highlight w:val="none"/>
        </w:rPr>
      </w:pPr>
      <w:r>
        <w:rPr>
          <w:rFonts w:hint="eastAsia" w:hAnsi="宋体" w:cs="宋体"/>
          <w:highlight w:val="none"/>
        </w:rPr>
        <w:t>2.如果投标人须知第1.4.1项对投标货物制造商的资质提出了要求，投标人应根据投标人须知第3.5.1项的要求在本表后附相关资质证书扫描件或电子件。</w:t>
      </w:r>
    </w:p>
    <w:p>
      <w:pPr>
        <w:pStyle w:val="5"/>
        <w:spacing w:before="0" w:after="0"/>
        <w:ind w:firstLine="0" w:firstLineChars="0"/>
        <w:jc w:val="center"/>
        <w:rPr>
          <w:rFonts w:ascii="宋体" w:hAnsi="宋体" w:eastAsia="宋体" w:cs="宋体"/>
          <w:highlight w:val="none"/>
        </w:rPr>
      </w:pPr>
      <w:r>
        <w:rPr>
          <w:rFonts w:hint="eastAsia" w:ascii="宋体" w:hAnsi="宋体" w:eastAsia="宋体" w:cs="宋体"/>
          <w:highlight w:val="none"/>
        </w:rPr>
        <w:br w:type="page"/>
      </w:r>
      <w:bookmarkStart w:id="1140" w:name="_Toc535241230"/>
      <w:bookmarkStart w:id="1141" w:name="_Toc535241087"/>
      <w:bookmarkStart w:id="1142" w:name="_Toc535241133"/>
      <w:r>
        <w:rPr>
          <w:rFonts w:hint="eastAsia" w:ascii="黑体" w:hAnsi="黑体" w:cs="黑体"/>
          <w:szCs w:val="24"/>
          <w:highlight w:val="none"/>
        </w:rPr>
        <w:t>（二）近年财务状况（如要求）</w:t>
      </w:r>
    </w:p>
    <w:p>
      <w:pPr>
        <w:pStyle w:val="5"/>
        <w:numPr>
          <w:ilvl w:val="0"/>
          <w:numId w:val="6"/>
        </w:numPr>
        <w:spacing w:before="0" w:after="0"/>
        <w:jc w:val="center"/>
        <w:rPr>
          <w:rFonts w:ascii="黑体" w:hAnsi="黑体" w:cs="黑体"/>
          <w:szCs w:val="24"/>
          <w:highlight w:val="none"/>
        </w:rPr>
      </w:pPr>
      <w:r>
        <w:rPr>
          <w:rFonts w:hint="eastAsia" w:ascii="宋体" w:hAnsi="宋体" w:eastAsia="宋体" w:cs="宋体"/>
          <w:highlight w:val="none"/>
        </w:rPr>
        <w:br w:type="page"/>
      </w:r>
      <w:bookmarkEnd w:id="1140"/>
      <w:bookmarkEnd w:id="1141"/>
      <w:bookmarkEnd w:id="1142"/>
      <w:r>
        <w:rPr>
          <w:rFonts w:hint="eastAsia" w:ascii="黑体" w:hAnsi="黑体" w:cs="黑体"/>
          <w:szCs w:val="24"/>
          <w:highlight w:val="none"/>
        </w:rPr>
        <w:t>投标人业绩情况表（资格审查）</w:t>
      </w:r>
    </w:p>
    <w:tbl>
      <w:tblPr>
        <w:tblStyle w:val="5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6"/>
        <w:gridCol w:w="5907"/>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业绩序号</w:t>
            </w:r>
          </w:p>
        </w:tc>
        <w:tc>
          <w:tcPr>
            <w:tcW w:w="3468" w:type="pct"/>
            <w:vAlign w:val="center"/>
          </w:tcPr>
          <w:p>
            <w:pPr>
              <w:jc w:val="center"/>
              <w:rPr>
                <w:rFonts w:ascii="Times New Roman"/>
                <w:szCs w:val="24"/>
                <w:highlight w:val="none"/>
              </w:rPr>
            </w:pPr>
            <w:r>
              <w:rPr>
                <w:rFonts w:hint="eastAsia" w:ascii="Times New Roman"/>
                <w:szCs w:val="24"/>
                <w:highlight w:val="none"/>
              </w:rPr>
              <w:t>项目</w:t>
            </w:r>
            <w:r>
              <w:rPr>
                <w:rFonts w:ascii="Times New Roman"/>
                <w:szCs w:val="24"/>
                <w:highlight w:val="none"/>
              </w:rPr>
              <w:t>名称</w:t>
            </w:r>
            <w:r>
              <w:rPr>
                <w:rFonts w:hint="eastAsia" w:ascii="Times New Roman"/>
                <w:szCs w:val="24"/>
                <w:highlight w:val="none"/>
              </w:rPr>
              <w:t>（合同名称）</w:t>
            </w:r>
          </w:p>
        </w:tc>
        <w:tc>
          <w:tcPr>
            <w:tcW w:w="681" w:type="pct"/>
            <w:vAlign w:val="center"/>
          </w:tcPr>
          <w:p>
            <w:pPr>
              <w:jc w:val="center"/>
              <w:rPr>
                <w:rFonts w:ascii="Times New Roman"/>
                <w:szCs w:val="24"/>
                <w:highlight w:val="none"/>
              </w:rPr>
            </w:pPr>
            <w:r>
              <w:rPr>
                <w:rFonts w:hint="eastAsia" w:ascii="Times New Roman"/>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1</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ascii="Times New Roman"/>
                <w:szCs w:val="24"/>
                <w:highlight w:val="none"/>
              </w:rPr>
              <w:t>2</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bl>
    <w:p>
      <w:pPr>
        <w:spacing w:line="360" w:lineRule="auto"/>
        <w:ind w:firstLine="480" w:firstLineChars="200"/>
        <w:rPr>
          <w:szCs w:val="24"/>
          <w:highlight w:val="none"/>
        </w:rPr>
      </w:pPr>
      <w:r>
        <w:rPr>
          <w:rFonts w:hint="eastAsia"/>
          <w:szCs w:val="24"/>
          <w:highlight w:val="none"/>
        </w:rPr>
        <w:t>注：</w:t>
      </w:r>
    </w:p>
    <w:p>
      <w:pPr>
        <w:spacing w:line="360" w:lineRule="auto"/>
        <w:ind w:firstLine="480" w:firstLineChars="200"/>
        <w:rPr>
          <w:szCs w:val="24"/>
          <w:highlight w:val="none"/>
        </w:rPr>
      </w:pPr>
      <w:r>
        <w:rPr>
          <w:rFonts w:hint="eastAsia"/>
          <w:szCs w:val="24"/>
          <w:highlight w:val="none"/>
        </w:rPr>
        <w:t>1.投标人应将用于资格审查的投标人业绩在上表中列明，按照列明</w:t>
      </w:r>
      <w:r>
        <w:rPr>
          <w:szCs w:val="24"/>
          <w:highlight w:val="none"/>
        </w:rPr>
        <w:t>的</w:t>
      </w:r>
      <w:r>
        <w:rPr>
          <w:rFonts w:hint="eastAsia"/>
          <w:szCs w:val="24"/>
          <w:highlight w:val="none"/>
        </w:rPr>
        <w:t>业绩序号先后</w:t>
      </w:r>
      <w:r>
        <w:rPr>
          <w:szCs w:val="24"/>
          <w:highlight w:val="none"/>
        </w:rPr>
        <w:t>顺序</w:t>
      </w:r>
      <w:r>
        <w:rPr>
          <w:rFonts w:hint="eastAsia"/>
          <w:szCs w:val="24"/>
          <w:highlight w:val="none"/>
        </w:rPr>
        <w:t>依次填写“投标人</w:t>
      </w:r>
      <w:r>
        <w:rPr>
          <w:szCs w:val="24"/>
          <w:highlight w:val="none"/>
        </w:rPr>
        <w:t>业绩</w:t>
      </w:r>
      <w:r>
        <w:rPr>
          <w:rFonts w:hint="eastAsia"/>
          <w:szCs w:val="24"/>
          <w:highlight w:val="none"/>
        </w:rPr>
        <w:t>信息</w:t>
      </w:r>
      <w:r>
        <w:rPr>
          <w:szCs w:val="24"/>
          <w:highlight w:val="none"/>
        </w:rPr>
        <w:t>表</w:t>
      </w:r>
      <w:r>
        <w:rPr>
          <w:rFonts w:hint="eastAsia"/>
          <w:szCs w:val="24"/>
          <w:highlight w:val="none"/>
        </w:rPr>
        <w:t>（资格</w:t>
      </w:r>
      <w:r>
        <w:rPr>
          <w:szCs w:val="24"/>
          <w:highlight w:val="none"/>
        </w:rPr>
        <w:t>审查</w:t>
      </w:r>
      <w:r>
        <w:rPr>
          <w:rFonts w:hint="eastAsia"/>
          <w:szCs w:val="24"/>
          <w:highlight w:val="none"/>
        </w:rPr>
        <w:t>）”，并附相应业绩证明材料。</w:t>
      </w:r>
    </w:p>
    <w:p>
      <w:pPr>
        <w:spacing w:line="360" w:lineRule="auto"/>
        <w:ind w:firstLine="480" w:firstLineChars="200"/>
        <w:rPr>
          <w:szCs w:val="24"/>
          <w:highlight w:val="none"/>
        </w:rPr>
      </w:pPr>
      <w:r>
        <w:rPr>
          <w:rFonts w:hint="eastAsia"/>
          <w:szCs w:val="24"/>
          <w:highlight w:val="none"/>
        </w:rPr>
        <w:t>2.评标委员会应当按照上表列明的业绩序号先后顺序依次进行评审，且仅评审“附录3  资格审查条件(业绩最低要求)”规定数量的业绩，超出规定数量部分或未在上表列明的业绩均不作为资格审查投标人业绩予以评审。</w:t>
      </w:r>
    </w:p>
    <w:p>
      <w:pPr>
        <w:tabs>
          <w:tab w:val="left" w:pos="8422"/>
          <w:tab w:val="left" w:pos="9622"/>
        </w:tabs>
        <w:spacing w:line="360" w:lineRule="auto"/>
        <w:ind w:left="4800" w:leftChars="2000" w:right="120" w:rightChars="50"/>
        <w:jc w:val="left"/>
        <w:rPr>
          <w:szCs w:val="24"/>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1770790916"/>
        </w:rPr>
        <w:t>投标</w:t>
      </w:r>
      <w:r>
        <w:rPr>
          <w:rFonts w:hint="eastAsia" w:ascii="Times New Roman"/>
          <w:bCs/>
          <w:spacing w:val="0"/>
          <w:kern w:val="0"/>
          <w:szCs w:val="24"/>
          <w:highlight w:val="none"/>
          <w:fitText w:val="1200" w:id="1770790916"/>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rPr>
      </w:pPr>
      <w:r>
        <w:rPr>
          <w:rFonts w:hint="eastAsia" w:ascii="Times New Roman"/>
          <w:bCs/>
          <w:spacing w:val="360"/>
          <w:kern w:val="0"/>
          <w:szCs w:val="24"/>
          <w:highlight w:val="none"/>
          <w:fitText w:val="1200" w:id="1090616522"/>
        </w:rPr>
        <w:t>日</w:t>
      </w:r>
      <w:r>
        <w:rPr>
          <w:rFonts w:hint="eastAsia" w:ascii="Times New Roman"/>
          <w:bCs/>
          <w:spacing w:val="0"/>
          <w:kern w:val="0"/>
          <w:szCs w:val="24"/>
          <w:highlight w:val="none"/>
          <w:fitText w:val="1200" w:id="1090616522"/>
        </w:rPr>
        <w:t>期</w:t>
      </w:r>
      <w:r>
        <w:rPr>
          <w:rFonts w:hint="eastAsia" w:ascii="Times New Roman"/>
          <w:szCs w:val="24"/>
          <w:highlight w:val="none"/>
        </w:rPr>
        <w:t>：年</w:t>
      </w:r>
      <w:r>
        <w:rPr>
          <w:rFonts w:hint="eastAsia" w:ascii="Times New Roman"/>
          <w:szCs w:val="24"/>
          <w:highlight w:val="none"/>
          <w:lang w:val="en-US" w:eastAsia="zh-CN"/>
        </w:rPr>
        <w:t xml:space="preserve"> </w:t>
      </w:r>
      <w:r>
        <w:rPr>
          <w:rFonts w:hint="eastAsia" w:ascii="Times New Roman"/>
          <w:szCs w:val="24"/>
          <w:highlight w:val="none"/>
        </w:rPr>
        <w:t>月</w:t>
      </w:r>
      <w:r>
        <w:rPr>
          <w:rFonts w:hint="eastAsia" w:ascii="Times New Roman"/>
          <w:szCs w:val="24"/>
          <w:highlight w:val="none"/>
          <w:lang w:val="en-US" w:eastAsia="zh-CN"/>
        </w:rPr>
        <w:t xml:space="preserve"> </w:t>
      </w:r>
      <w:r>
        <w:rPr>
          <w:rFonts w:hint="eastAsia" w:ascii="Times New Roman"/>
          <w:szCs w:val="24"/>
          <w:highlight w:val="none"/>
        </w:rPr>
        <w:t>日</w:t>
      </w:r>
    </w:p>
    <w:p>
      <w:pPr>
        <w:adjustRightInd w:val="0"/>
        <w:snapToGrid w:val="0"/>
        <w:spacing w:line="360" w:lineRule="auto"/>
        <w:jc w:val="center"/>
        <w:outlineLvl w:val="0"/>
        <w:rPr>
          <w:bCs/>
          <w:szCs w:val="24"/>
          <w:highlight w:val="none"/>
        </w:rPr>
      </w:pPr>
      <w:r>
        <w:rPr>
          <w:rFonts w:hint="eastAsia" w:ascii="Times New Roman"/>
          <w:szCs w:val="24"/>
          <w:highlight w:val="none"/>
        </w:rPr>
        <w:br w:type="page"/>
      </w:r>
      <w:bookmarkStart w:id="1143" w:name="_Toc140069454"/>
      <w:bookmarkStart w:id="1144" w:name="_Toc27190"/>
      <w:r>
        <w:rPr>
          <w:rFonts w:hint="eastAsia"/>
          <w:bCs/>
          <w:szCs w:val="24"/>
          <w:highlight w:val="none"/>
        </w:rPr>
        <w:t>投标人业绩信息表（资格审查）</w:t>
      </w:r>
      <w:bookmarkEnd w:id="1143"/>
      <w:bookmarkEnd w:id="1144"/>
    </w:p>
    <w:tbl>
      <w:tblPr>
        <w:tblStyle w:val="5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2"/>
                <w:highlight w:val="none"/>
              </w:rPr>
              <w:t>资格审查业绩</w:t>
            </w:r>
          </w:p>
        </w:tc>
      </w:tr>
    </w:tbl>
    <w:p>
      <w:pPr>
        <w:spacing w:line="360" w:lineRule="auto"/>
        <w:rPr>
          <w:rFonts w:hAnsi="宋体" w:cs="宋体"/>
          <w:highlight w:val="none"/>
        </w:rPr>
      </w:pPr>
      <w:r>
        <w:rPr>
          <w:rFonts w:hint="eastAsia" w:hAnsi="宋体" w:cs="宋体"/>
          <w:highlight w:val="none"/>
        </w:rPr>
        <w:t>注：1.投标人应根据招标文件第二章“投标人须知”前附表附录3的要求在本表后附相关证明材料。</w:t>
      </w:r>
    </w:p>
    <w:p>
      <w:pPr>
        <w:spacing w:line="360" w:lineRule="auto"/>
        <w:ind w:firstLine="480" w:firstLineChars="200"/>
        <w:rPr>
          <w:rFonts w:hAnsi="宋体" w:cs="宋体"/>
          <w:bCs/>
          <w:highlight w:val="none"/>
        </w:rPr>
      </w:pPr>
      <w:r>
        <w:rPr>
          <w:rFonts w:hint="eastAsia" w:hAnsi="宋体" w:cs="宋体"/>
          <w:highlight w:val="none"/>
        </w:rPr>
        <w:t>2.投标人为代理经销商的，投标人须知第1.4.1项要求投标人提供投标货物的业绩的，投标人应按照上表的格式提供投标货物的业绩情况并根据投标人须知第3.5.1项的要求在本表后附相关证明材料。</w:t>
      </w:r>
      <w:bookmarkStart w:id="1145" w:name="_Toc421917005"/>
      <w:bookmarkStart w:id="1146" w:name="_Toc390411625"/>
      <w:bookmarkStart w:id="1147" w:name="_Toc460660227"/>
      <w:bookmarkStart w:id="1148" w:name="_Toc460227112"/>
    </w:p>
    <w:bookmarkEnd w:id="1145"/>
    <w:bookmarkEnd w:id="1146"/>
    <w:bookmarkEnd w:id="1147"/>
    <w:bookmarkEnd w:id="1148"/>
    <w:p>
      <w:pPr>
        <w:pStyle w:val="5"/>
        <w:spacing w:before="0" w:after="0"/>
        <w:jc w:val="center"/>
        <w:rPr>
          <w:rFonts w:ascii="宋体" w:hAnsi="宋体" w:eastAsia="宋体" w:cs="宋体"/>
          <w:highlight w:val="none"/>
        </w:rPr>
      </w:pPr>
      <w:bookmarkStart w:id="1149" w:name="_Toc460660230"/>
      <w:bookmarkStart w:id="1150" w:name="_Toc421917009"/>
      <w:bookmarkStart w:id="1151" w:name="_Toc459832202"/>
      <w:r>
        <w:rPr>
          <w:rFonts w:hint="eastAsia" w:ascii="黑体" w:hAnsi="黑体" w:cs="黑体"/>
          <w:szCs w:val="24"/>
          <w:highlight w:val="none"/>
        </w:rPr>
        <w:br w:type="page"/>
      </w:r>
      <w:r>
        <w:rPr>
          <w:rFonts w:hint="eastAsia" w:ascii="黑体" w:hAnsi="黑体" w:cs="黑体"/>
          <w:szCs w:val="24"/>
          <w:highlight w:val="none"/>
        </w:rPr>
        <w:t>（四）</w:t>
      </w:r>
      <w:bookmarkEnd w:id="1149"/>
      <w:r>
        <w:rPr>
          <w:rFonts w:hint="eastAsia" w:ascii="黑体" w:hAnsi="黑体" w:cs="黑体"/>
          <w:szCs w:val="24"/>
          <w:highlight w:val="none"/>
        </w:rPr>
        <w:t>制造商授权书</w:t>
      </w:r>
      <w:r>
        <w:rPr>
          <w:rFonts w:hint="eastAsia" w:ascii="黑体" w:hAnsi="黑体" w:cs="黑体"/>
          <w:szCs w:val="24"/>
          <w:lang w:eastAsia="zh-CN"/>
        </w:rPr>
        <w:t>（本项目不适用）</w:t>
      </w:r>
    </w:p>
    <w:bookmarkEnd w:id="1150"/>
    <w:bookmarkEnd w:id="1151"/>
    <w:p>
      <w:pPr>
        <w:spacing w:line="360" w:lineRule="auto"/>
        <w:ind w:firstLine="480" w:firstLineChars="200"/>
        <w:rPr>
          <w:rFonts w:hAnsi="宋体" w:cs="宋体"/>
          <w:bCs/>
          <w:highlight w:val="none"/>
        </w:rPr>
      </w:pPr>
      <w:r>
        <w:rPr>
          <w:rFonts w:hint="eastAsia" w:hAnsi="宋体" w:cs="宋体"/>
          <w:bCs/>
          <w:highlight w:val="none"/>
        </w:rPr>
        <w:t>致：</w:t>
      </w:r>
      <w:r>
        <w:rPr>
          <w:rFonts w:hint="eastAsia" w:hAnsi="宋体" w:cs="宋体"/>
          <w:highlight w:val="none"/>
          <w:u w:val="single"/>
        </w:rPr>
        <w:t>（招标人名称）</w:t>
      </w:r>
    </w:p>
    <w:p>
      <w:pPr>
        <w:spacing w:line="360" w:lineRule="auto"/>
        <w:ind w:firstLine="480" w:firstLineChars="200"/>
        <w:rPr>
          <w:rFonts w:hAnsi="宋体" w:cs="宋体"/>
          <w:bCs/>
          <w:highlight w:val="none"/>
        </w:rPr>
      </w:pPr>
      <w:r>
        <w:rPr>
          <w:rFonts w:hint="eastAsia" w:hAnsi="宋体" w:cs="宋体"/>
          <w:bCs/>
          <w:highlight w:val="none"/>
        </w:rPr>
        <w:t>我单位（制造商名称）是按（国家／地区名称）法律成立的一家制造商，主要营业地点设在（制造商地址）。兹授权按（国家／地区名称）的法律正式成立的，主要营业地点设在（投标人的单位地址）的（投标人名称）以我单位制造的（</w:t>
      </w:r>
      <w:r>
        <w:rPr>
          <w:rFonts w:hint="eastAsia" w:hAnsi="宋体" w:cs="宋体"/>
          <w:highlight w:val="none"/>
        </w:rPr>
        <w:t>货物</w:t>
      </w:r>
      <w:r>
        <w:rPr>
          <w:rFonts w:hint="eastAsia" w:hAnsi="宋体" w:cs="宋体"/>
          <w:bCs/>
          <w:highlight w:val="none"/>
        </w:rPr>
        <w:t>名称）进行</w:t>
      </w:r>
      <w:r>
        <w:rPr>
          <w:rFonts w:hint="eastAsia" w:hAnsi="宋体"/>
          <w:highlight w:val="none"/>
          <w:u w:val="single"/>
        </w:rPr>
        <w:t>（招标项目名称）</w:t>
      </w:r>
      <w:r>
        <w:rPr>
          <w:rFonts w:hint="eastAsia" w:hAnsi="宋体"/>
          <w:highlight w:val="none"/>
        </w:rPr>
        <w:t>标段</w:t>
      </w:r>
      <w:r>
        <w:rPr>
          <w:rFonts w:hint="eastAsia" w:hAnsi="宋体" w:cs="宋体"/>
          <w:bCs/>
          <w:highlight w:val="none"/>
        </w:rPr>
        <w:t>投标活动。我单位同意按照中标合同供货，并对产品质量承担责任。</w:t>
      </w:r>
    </w:p>
    <w:p>
      <w:pPr>
        <w:spacing w:line="360" w:lineRule="auto"/>
        <w:ind w:firstLine="480" w:firstLineChars="200"/>
        <w:rPr>
          <w:rFonts w:hAnsi="宋体" w:cs="宋体"/>
          <w:bCs/>
          <w:highlight w:val="none"/>
        </w:rPr>
      </w:pPr>
      <w:r>
        <w:rPr>
          <w:rFonts w:hint="eastAsia" w:hAnsi="宋体" w:cs="宋体"/>
          <w:bCs/>
          <w:highlight w:val="none"/>
        </w:rPr>
        <w:t>授权期限：。</w:t>
      </w:r>
    </w:p>
    <w:p>
      <w:pPr>
        <w:spacing w:line="360" w:lineRule="auto"/>
        <w:ind w:firstLine="480" w:firstLineChars="200"/>
        <w:rPr>
          <w:rFonts w:hAnsi="宋体" w:cs="宋体"/>
          <w:bCs/>
          <w:highlight w:val="none"/>
        </w:rPr>
      </w:pPr>
    </w:p>
    <w:p>
      <w:pPr>
        <w:spacing w:line="360" w:lineRule="auto"/>
        <w:ind w:firstLine="480" w:firstLineChars="200"/>
        <w:rPr>
          <w:rFonts w:hAnsi="宋体" w:cs="宋体"/>
          <w:bCs/>
          <w:highlight w:val="none"/>
        </w:rPr>
      </w:pPr>
    </w:p>
    <w:p>
      <w:pPr>
        <w:spacing w:line="360" w:lineRule="auto"/>
        <w:ind w:firstLine="2880" w:firstLineChars="1200"/>
        <w:rPr>
          <w:rFonts w:hAnsi="宋体" w:cs="宋体"/>
          <w:bCs/>
          <w:highlight w:val="none"/>
        </w:rPr>
      </w:pPr>
      <w:r>
        <w:rPr>
          <w:rFonts w:hint="eastAsia" w:hAnsi="宋体" w:cs="宋体"/>
          <w:bCs/>
          <w:highlight w:val="none"/>
        </w:rPr>
        <w:t xml:space="preserve">投标人名称：（盖单位章）  </w:t>
      </w:r>
    </w:p>
    <w:p>
      <w:pPr>
        <w:spacing w:line="360" w:lineRule="auto"/>
        <w:ind w:firstLine="2880" w:firstLineChars="1200"/>
        <w:rPr>
          <w:rFonts w:hAnsi="宋体" w:cs="宋体"/>
          <w:bCs/>
          <w:highlight w:val="none"/>
        </w:rPr>
      </w:pPr>
      <w:r>
        <w:rPr>
          <w:rFonts w:hint="eastAsia" w:hAnsi="宋体" w:cs="宋体"/>
          <w:bCs/>
          <w:highlight w:val="none"/>
        </w:rPr>
        <w:t>制造商名称：（盖单位章）</w:t>
      </w:r>
    </w:p>
    <w:p>
      <w:pPr>
        <w:spacing w:line="360" w:lineRule="auto"/>
        <w:ind w:firstLine="480" w:firstLineChars="200"/>
        <w:rPr>
          <w:rFonts w:hAnsi="宋体" w:cs="宋体"/>
          <w:bCs/>
          <w:highlight w:val="none"/>
        </w:rPr>
      </w:pPr>
    </w:p>
    <w:p>
      <w:pPr>
        <w:pStyle w:val="5"/>
        <w:spacing w:before="0" w:after="0"/>
        <w:jc w:val="center"/>
        <w:rPr>
          <w:rFonts w:ascii="宋体" w:hAnsi="宋体" w:eastAsia="宋体" w:cs="宋体"/>
          <w:highlight w:val="none"/>
        </w:rPr>
      </w:pPr>
      <w:bookmarkStart w:id="1152" w:name="_Toc20521"/>
      <w:bookmarkStart w:id="1153" w:name="_Toc13177"/>
      <w:bookmarkStart w:id="1154" w:name="_Toc23419"/>
      <w:bookmarkStart w:id="1155" w:name="_Toc4344"/>
      <w:bookmarkStart w:id="1156" w:name="_Toc14916"/>
      <w:bookmarkStart w:id="1157" w:name="_Toc22953"/>
      <w:bookmarkStart w:id="1158" w:name="_Toc7277"/>
      <w:bookmarkStart w:id="1159" w:name="_Toc14214"/>
      <w:r>
        <w:rPr>
          <w:rFonts w:hint="eastAsia" w:ascii="黑体" w:hAnsi="黑体" w:cs="黑体"/>
          <w:highlight w:val="none"/>
        </w:rPr>
        <w:br w:type="page"/>
      </w:r>
      <w:r>
        <w:rPr>
          <w:rFonts w:hint="eastAsia" w:ascii="黑体" w:hAnsi="黑体" w:cs="黑体"/>
          <w:szCs w:val="24"/>
          <w:highlight w:val="none"/>
        </w:rPr>
        <w:t>（五）拟委任的项目负责人简历</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349"/>
        <w:gridCol w:w="984"/>
        <w:gridCol w:w="213"/>
        <w:gridCol w:w="1368"/>
        <w:gridCol w:w="1177"/>
        <w:gridCol w:w="363"/>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姓  名</w:t>
            </w:r>
          </w:p>
        </w:tc>
        <w:tc>
          <w:tcPr>
            <w:tcW w:w="792" w:type="pct"/>
            <w:vAlign w:val="center"/>
          </w:tcPr>
          <w:p>
            <w:pPr>
              <w:spacing w:line="360" w:lineRule="auto"/>
              <w:jc w:val="center"/>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年 龄</w:t>
            </w:r>
          </w:p>
        </w:tc>
        <w:tc>
          <w:tcPr>
            <w:tcW w:w="803" w:type="pct"/>
            <w:vAlign w:val="center"/>
          </w:tcPr>
          <w:p>
            <w:pPr>
              <w:spacing w:line="360" w:lineRule="auto"/>
              <w:jc w:val="center"/>
              <w:rPr>
                <w:rFonts w:hAnsi="宋体" w:cs="宋体"/>
                <w:highlight w:val="none"/>
              </w:rPr>
            </w:pPr>
          </w:p>
        </w:tc>
        <w:tc>
          <w:tcPr>
            <w:tcW w:w="904" w:type="pct"/>
            <w:gridSpan w:val="2"/>
            <w:vAlign w:val="center"/>
          </w:tcPr>
          <w:p>
            <w:pPr>
              <w:spacing w:line="360" w:lineRule="auto"/>
              <w:jc w:val="center"/>
              <w:rPr>
                <w:rFonts w:hAnsi="宋体" w:cs="宋体"/>
                <w:highlight w:val="none"/>
              </w:rPr>
            </w:pPr>
            <w:r>
              <w:rPr>
                <w:rFonts w:hint="eastAsia" w:hAnsi="宋体" w:cs="宋体"/>
                <w:highlight w:val="none"/>
              </w:rPr>
              <w:t>学 历</w:t>
            </w:r>
          </w:p>
        </w:tc>
        <w:tc>
          <w:tcPr>
            <w:tcW w:w="1096" w:type="pct"/>
            <w:vAlign w:val="center"/>
          </w:tcPr>
          <w:p>
            <w:pPr>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职  称</w:t>
            </w:r>
          </w:p>
        </w:tc>
        <w:tc>
          <w:tcPr>
            <w:tcW w:w="792" w:type="pct"/>
            <w:vAlign w:val="center"/>
          </w:tcPr>
          <w:p>
            <w:pPr>
              <w:spacing w:line="360" w:lineRule="auto"/>
              <w:jc w:val="center"/>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单位</w:t>
            </w:r>
          </w:p>
          <w:p>
            <w:pPr>
              <w:spacing w:line="360" w:lineRule="auto"/>
              <w:jc w:val="center"/>
              <w:rPr>
                <w:rFonts w:hAnsi="宋体" w:cs="宋体"/>
                <w:highlight w:val="none"/>
              </w:rPr>
            </w:pPr>
            <w:r>
              <w:rPr>
                <w:rFonts w:hint="eastAsia" w:hAnsi="宋体" w:cs="宋体"/>
                <w:highlight w:val="none"/>
              </w:rPr>
              <w:t>职务</w:t>
            </w:r>
          </w:p>
        </w:tc>
        <w:tc>
          <w:tcPr>
            <w:tcW w:w="803" w:type="pct"/>
            <w:vAlign w:val="center"/>
          </w:tcPr>
          <w:p>
            <w:pPr>
              <w:spacing w:line="360" w:lineRule="auto"/>
              <w:jc w:val="center"/>
              <w:rPr>
                <w:rFonts w:hAnsi="宋体" w:cs="宋体"/>
                <w:highlight w:val="none"/>
              </w:rPr>
            </w:pPr>
          </w:p>
        </w:tc>
        <w:tc>
          <w:tcPr>
            <w:tcW w:w="904" w:type="pct"/>
            <w:gridSpan w:val="2"/>
            <w:vAlign w:val="center"/>
          </w:tcPr>
          <w:p>
            <w:pPr>
              <w:spacing w:line="360" w:lineRule="auto"/>
              <w:jc w:val="center"/>
              <w:rPr>
                <w:rFonts w:hAnsi="宋体" w:cs="宋体"/>
                <w:highlight w:val="none"/>
              </w:rPr>
            </w:pPr>
            <w:r>
              <w:rPr>
                <w:rFonts w:hint="eastAsia" w:hAnsi="宋体" w:cs="宋体"/>
                <w:highlight w:val="none"/>
              </w:rPr>
              <w:t>拟在本标段</w:t>
            </w:r>
          </w:p>
          <w:p>
            <w:pPr>
              <w:spacing w:line="360" w:lineRule="auto"/>
              <w:jc w:val="center"/>
              <w:rPr>
                <w:rFonts w:hAnsi="宋体" w:cs="宋体"/>
                <w:highlight w:val="none"/>
              </w:rPr>
            </w:pPr>
            <w:r>
              <w:rPr>
                <w:rFonts w:hint="eastAsia" w:hAnsi="宋体" w:cs="宋体"/>
                <w:highlight w:val="none"/>
              </w:rPr>
              <w:t>项目担任职务</w:t>
            </w:r>
          </w:p>
        </w:tc>
        <w:tc>
          <w:tcPr>
            <w:tcW w:w="1096" w:type="pct"/>
            <w:vAlign w:val="center"/>
          </w:tcPr>
          <w:p>
            <w:pPr>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执业资格</w:t>
            </w:r>
          </w:p>
        </w:tc>
        <w:tc>
          <w:tcPr>
            <w:tcW w:w="792" w:type="pct"/>
            <w:vAlign w:val="center"/>
          </w:tcPr>
          <w:p>
            <w:pPr>
              <w:spacing w:line="360" w:lineRule="auto"/>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资格证</w:t>
            </w:r>
          </w:p>
          <w:p>
            <w:pPr>
              <w:spacing w:line="360" w:lineRule="auto"/>
              <w:jc w:val="center"/>
              <w:rPr>
                <w:rFonts w:hAnsi="宋体" w:cs="宋体"/>
                <w:highlight w:val="none"/>
              </w:rPr>
            </w:pPr>
            <w:r>
              <w:rPr>
                <w:rFonts w:hint="eastAsia" w:hAnsi="宋体" w:cs="宋体"/>
                <w:highlight w:val="none"/>
              </w:rPr>
              <w:t>书编号</w:t>
            </w:r>
          </w:p>
        </w:tc>
        <w:tc>
          <w:tcPr>
            <w:tcW w:w="2803" w:type="pct"/>
            <w:gridSpan w:val="4"/>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毕业学校</w:t>
            </w:r>
          </w:p>
        </w:tc>
        <w:tc>
          <w:tcPr>
            <w:tcW w:w="4298" w:type="pct"/>
            <w:gridSpan w:val="7"/>
            <w:vAlign w:val="center"/>
          </w:tcPr>
          <w:p>
            <w:pPr>
              <w:spacing w:line="360" w:lineRule="auto"/>
              <w:rPr>
                <w:rFonts w:hAnsi="宋体" w:cs="宋体"/>
                <w:highlight w:val="none"/>
                <w:u w:val="single"/>
              </w:rPr>
            </w:pPr>
            <w:r>
              <w:rPr>
                <w:rFonts w:hint="eastAsia" w:hAnsi="宋体" w:cs="宋体"/>
                <w:highlight w:val="none"/>
              </w:rPr>
              <w:t>年月毕业于学校专业，学制年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8"/>
            <w:vAlign w:val="center"/>
          </w:tcPr>
          <w:p>
            <w:pPr>
              <w:spacing w:line="360" w:lineRule="auto"/>
              <w:jc w:val="center"/>
              <w:rPr>
                <w:rFonts w:hAnsi="宋体" w:cs="宋体"/>
                <w:highlight w:val="none"/>
              </w:rPr>
            </w:pPr>
            <w:r>
              <w:rPr>
                <w:rFonts w:hint="eastAsia" w:hAnsi="宋体" w:cs="宋体"/>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jc w:val="center"/>
              <w:rPr>
                <w:rFonts w:hAnsi="宋体" w:cs="宋体"/>
                <w:highlight w:val="none"/>
              </w:rPr>
            </w:pPr>
            <w:r>
              <w:rPr>
                <w:rFonts w:hint="eastAsia" w:hAnsi="宋体" w:cs="宋体"/>
                <w:highlight w:val="none"/>
              </w:rPr>
              <w:t>时间</w:t>
            </w:r>
          </w:p>
        </w:tc>
        <w:tc>
          <w:tcPr>
            <w:tcW w:w="1370" w:type="pct"/>
            <w:gridSpan w:val="2"/>
            <w:vAlign w:val="center"/>
          </w:tcPr>
          <w:p>
            <w:pPr>
              <w:spacing w:line="360" w:lineRule="auto"/>
              <w:jc w:val="center"/>
              <w:rPr>
                <w:rFonts w:hAnsi="宋体" w:cs="宋体"/>
                <w:highlight w:val="none"/>
              </w:rPr>
            </w:pPr>
            <w:r>
              <w:rPr>
                <w:rFonts w:hint="eastAsia" w:hAnsi="宋体" w:cs="宋体"/>
                <w:highlight w:val="none"/>
              </w:rPr>
              <w:t>参加过的项目名称</w:t>
            </w:r>
          </w:p>
        </w:tc>
        <w:tc>
          <w:tcPr>
            <w:tcW w:w="917" w:type="pct"/>
            <w:gridSpan w:val="2"/>
            <w:vAlign w:val="center"/>
          </w:tcPr>
          <w:p>
            <w:pPr>
              <w:spacing w:line="360" w:lineRule="auto"/>
              <w:jc w:val="center"/>
              <w:rPr>
                <w:rFonts w:hAnsi="宋体" w:cs="宋体"/>
                <w:highlight w:val="none"/>
              </w:rPr>
            </w:pPr>
            <w:r>
              <w:rPr>
                <w:rFonts w:hint="eastAsia" w:hAnsi="宋体" w:cs="宋体"/>
                <w:highlight w:val="none"/>
              </w:rPr>
              <w:t>签约合同价金额（万元）</w:t>
            </w:r>
          </w:p>
        </w:tc>
        <w:tc>
          <w:tcPr>
            <w:tcW w:w="691" w:type="pct"/>
            <w:vAlign w:val="center"/>
          </w:tcPr>
          <w:p>
            <w:pPr>
              <w:spacing w:line="360" w:lineRule="auto"/>
              <w:jc w:val="center"/>
              <w:rPr>
                <w:rFonts w:hAnsi="宋体" w:cs="宋体"/>
                <w:highlight w:val="none"/>
              </w:rPr>
            </w:pPr>
            <w:r>
              <w:rPr>
                <w:rFonts w:hint="eastAsia" w:hAnsi="宋体" w:cs="宋体"/>
                <w:highlight w:val="none"/>
              </w:rPr>
              <w:t>担任职务</w:t>
            </w:r>
          </w:p>
        </w:tc>
        <w:tc>
          <w:tcPr>
            <w:tcW w:w="1309" w:type="pct"/>
            <w:gridSpan w:val="2"/>
            <w:vAlign w:val="center"/>
          </w:tcPr>
          <w:p>
            <w:pPr>
              <w:spacing w:line="360" w:lineRule="auto"/>
              <w:jc w:val="center"/>
              <w:rPr>
                <w:rFonts w:hAnsi="宋体" w:cs="宋体"/>
                <w:highlight w:val="none"/>
              </w:rPr>
            </w:pPr>
            <w:r>
              <w:rPr>
                <w:rFonts w:hint="eastAsia" w:hAnsi="宋体" w:cs="宋体"/>
                <w:highlight w:val="none"/>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spacing w:line="360" w:lineRule="auto"/>
              <w:rPr>
                <w:rFonts w:hAnsi="宋体" w:cs="宋体"/>
                <w:highlight w:val="none"/>
              </w:rPr>
            </w:pPr>
          </w:p>
        </w:tc>
        <w:tc>
          <w:tcPr>
            <w:tcW w:w="917" w:type="pct"/>
            <w:gridSpan w:val="2"/>
          </w:tcPr>
          <w:p>
            <w:pPr>
              <w:spacing w:line="360" w:lineRule="auto"/>
              <w:rPr>
                <w:rFonts w:hAnsi="宋体" w:cs="宋体"/>
                <w:highlight w:val="none"/>
              </w:rPr>
            </w:pPr>
          </w:p>
        </w:tc>
        <w:tc>
          <w:tcPr>
            <w:tcW w:w="691" w:type="pct"/>
          </w:tcPr>
          <w:p>
            <w:pPr>
              <w:spacing w:line="360" w:lineRule="auto"/>
              <w:rPr>
                <w:rFonts w:hAnsi="宋体" w:cs="宋体"/>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pStyle w:val="34"/>
              <w:spacing w:before="0" w:after="0" w:line="360" w:lineRule="auto"/>
              <w:rPr>
                <w:rFonts w:ascii="宋体" w:hAnsi="宋体" w:cs="宋体"/>
                <w:b w:val="0"/>
                <w:sz w:val="24"/>
                <w:szCs w:val="24"/>
                <w:highlight w:val="none"/>
              </w:rPr>
            </w:pPr>
          </w:p>
        </w:tc>
        <w:tc>
          <w:tcPr>
            <w:tcW w:w="917" w:type="pct"/>
            <w:gridSpan w:val="2"/>
          </w:tcPr>
          <w:p>
            <w:pPr>
              <w:pStyle w:val="34"/>
              <w:spacing w:before="0" w:after="0" w:line="360" w:lineRule="auto"/>
              <w:rPr>
                <w:rFonts w:ascii="宋体" w:hAnsi="宋体" w:cs="宋体"/>
                <w:b w:val="0"/>
                <w:sz w:val="24"/>
                <w:szCs w:val="24"/>
                <w:highlight w:val="none"/>
              </w:rPr>
            </w:pPr>
          </w:p>
        </w:tc>
        <w:tc>
          <w:tcPr>
            <w:tcW w:w="691" w:type="pct"/>
          </w:tcPr>
          <w:p>
            <w:pPr>
              <w:pStyle w:val="34"/>
              <w:spacing w:before="0" w:after="0" w:line="360" w:lineRule="auto"/>
              <w:rPr>
                <w:rFonts w:ascii="宋体" w:hAnsi="宋体" w:cs="宋体"/>
                <w:b w:val="0"/>
                <w:sz w:val="24"/>
                <w:szCs w:val="24"/>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spacing w:line="360" w:lineRule="auto"/>
              <w:rPr>
                <w:rFonts w:hAnsi="宋体" w:cs="宋体"/>
                <w:highlight w:val="none"/>
              </w:rPr>
            </w:pPr>
          </w:p>
        </w:tc>
        <w:tc>
          <w:tcPr>
            <w:tcW w:w="917" w:type="pct"/>
            <w:gridSpan w:val="2"/>
          </w:tcPr>
          <w:p>
            <w:pPr>
              <w:spacing w:line="360" w:lineRule="auto"/>
              <w:rPr>
                <w:rFonts w:hAnsi="宋体" w:cs="宋体"/>
                <w:highlight w:val="none"/>
              </w:rPr>
            </w:pPr>
          </w:p>
        </w:tc>
        <w:tc>
          <w:tcPr>
            <w:tcW w:w="691" w:type="pct"/>
          </w:tcPr>
          <w:p>
            <w:pPr>
              <w:spacing w:line="360" w:lineRule="auto"/>
              <w:rPr>
                <w:rFonts w:hAnsi="宋体" w:cs="宋体"/>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tcBorders>
              <w:right w:val="single" w:color="auto" w:sz="8" w:space="0"/>
            </w:tcBorders>
            <w:vAlign w:val="center"/>
          </w:tcPr>
          <w:p>
            <w:pPr>
              <w:spacing w:line="360" w:lineRule="auto"/>
              <w:rPr>
                <w:rFonts w:hAnsi="宋体" w:cs="宋体"/>
                <w:highlight w:val="none"/>
              </w:rPr>
            </w:pPr>
          </w:p>
        </w:tc>
        <w:tc>
          <w:tcPr>
            <w:tcW w:w="691" w:type="pct"/>
            <w:tcBorders>
              <w:left w:val="single" w:color="auto" w:sz="8" w:space="0"/>
            </w:tcBorders>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r>
              <w:rPr>
                <w:rFonts w:hint="eastAsia" w:hAnsi="宋体" w:cs="宋体"/>
                <w:highlight w:val="none"/>
              </w:rPr>
              <w:t>获奖情况</w:t>
            </w:r>
          </w:p>
        </w:tc>
        <w:tc>
          <w:tcPr>
            <w:tcW w:w="4287" w:type="pct"/>
            <w:gridSpan w:val="7"/>
            <w:vAlign w:val="center"/>
          </w:tcPr>
          <w:p>
            <w:pPr>
              <w:spacing w:line="360" w:lineRule="auto"/>
              <w:rPr>
                <w:rFonts w:hAnsi="宋体" w:cs="宋体"/>
                <w:highlight w:val="none"/>
              </w:rPr>
            </w:pPr>
          </w:p>
        </w:tc>
      </w:tr>
    </w:tbl>
    <w:p>
      <w:pPr>
        <w:tabs>
          <w:tab w:val="left" w:pos="2580"/>
          <w:tab w:val="left" w:pos="5940"/>
        </w:tabs>
        <w:autoSpaceDE w:val="0"/>
        <w:autoSpaceDN w:val="0"/>
        <w:adjustRightInd w:val="0"/>
        <w:snapToGrid w:val="0"/>
        <w:spacing w:line="360" w:lineRule="auto"/>
        <w:jc w:val="left"/>
        <w:rPr>
          <w:rFonts w:hAnsi="宋体" w:cs="宋体"/>
          <w:spacing w:val="-6"/>
          <w:highlight w:val="none"/>
        </w:rPr>
      </w:pPr>
      <w:r>
        <w:rPr>
          <w:rFonts w:hint="eastAsia" w:hAnsi="宋体" w:cs="宋体"/>
          <w:spacing w:val="-6"/>
          <w:highlight w:val="none"/>
        </w:rPr>
        <w:t>注：1. 本表应填写项目负责人相关情况。</w:t>
      </w:r>
    </w:p>
    <w:p>
      <w:pPr>
        <w:tabs>
          <w:tab w:val="left" w:pos="2580"/>
          <w:tab w:val="left" w:pos="5940"/>
        </w:tabs>
        <w:autoSpaceDE w:val="0"/>
        <w:autoSpaceDN w:val="0"/>
        <w:adjustRightInd w:val="0"/>
        <w:snapToGrid w:val="0"/>
        <w:spacing w:line="360" w:lineRule="auto"/>
        <w:jc w:val="left"/>
        <w:rPr>
          <w:rFonts w:hAnsi="宋体" w:cs="宋体"/>
          <w:spacing w:val="-6"/>
          <w:highlight w:val="none"/>
        </w:rPr>
      </w:pPr>
      <w:r>
        <w:rPr>
          <w:rFonts w:hint="eastAsia" w:hAnsi="宋体" w:cs="宋体"/>
          <w:spacing w:val="-6"/>
          <w:highlight w:val="none"/>
        </w:rPr>
        <w:t xml:space="preserve">    2. 投标人应根据招标文件的要求在本表后附相关证明材料。</w:t>
      </w:r>
    </w:p>
    <w:p>
      <w:pPr>
        <w:pStyle w:val="5"/>
        <w:spacing w:before="0" w:after="0"/>
        <w:jc w:val="center"/>
        <w:rPr>
          <w:rFonts w:ascii="黑体" w:hAnsi="黑体" w:cs="黑体"/>
          <w:szCs w:val="24"/>
          <w:highlight w:val="none"/>
        </w:rPr>
      </w:pPr>
      <w:r>
        <w:rPr>
          <w:highlight w:val="none"/>
        </w:rPr>
        <w:br w:type="page"/>
      </w:r>
      <w:r>
        <w:rPr>
          <w:rFonts w:hint="eastAsia" w:ascii="黑体" w:hAnsi="黑体" w:cs="黑体"/>
          <w:szCs w:val="24"/>
          <w:highlight w:val="none"/>
        </w:rPr>
        <w:t>（六）项目负责人业绩情况表（资格审查）</w:t>
      </w:r>
    </w:p>
    <w:tbl>
      <w:tblPr>
        <w:tblStyle w:val="5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1"/>
        <w:gridCol w:w="4983"/>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业绩序号</w:t>
            </w:r>
          </w:p>
        </w:tc>
        <w:tc>
          <w:tcPr>
            <w:tcW w:w="2926" w:type="pct"/>
            <w:vAlign w:val="center"/>
          </w:tcPr>
          <w:p>
            <w:pPr>
              <w:jc w:val="center"/>
              <w:rPr>
                <w:rFonts w:hAnsi="宋体" w:cs="宋体"/>
                <w:szCs w:val="24"/>
                <w:highlight w:val="none"/>
              </w:rPr>
            </w:pPr>
            <w:r>
              <w:rPr>
                <w:rFonts w:hint="eastAsia" w:hAnsi="宋体" w:cs="宋体"/>
                <w:szCs w:val="24"/>
                <w:highlight w:val="none"/>
              </w:rPr>
              <w:t>项目名称（合同名称）</w:t>
            </w:r>
          </w:p>
        </w:tc>
        <w:tc>
          <w:tcPr>
            <w:tcW w:w="1250" w:type="pct"/>
            <w:vAlign w:val="center"/>
          </w:tcPr>
          <w:p>
            <w:pPr>
              <w:jc w:val="center"/>
              <w:rPr>
                <w:rFonts w:hAnsi="宋体" w:cs="宋体"/>
                <w:szCs w:val="24"/>
                <w:highlight w:val="none"/>
              </w:rPr>
            </w:pPr>
            <w:r>
              <w:rPr>
                <w:rFonts w:hint="eastAsia" w:hAnsi="宋体" w:cs="宋体"/>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1</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2</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bl>
    <w:p>
      <w:pPr>
        <w:spacing w:line="360" w:lineRule="auto"/>
        <w:ind w:firstLine="480" w:firstLineChars="200"/>
        <w:rPr>
          <w:rFonts w:hAnsi="宋体" w:cs="宋体"/>
          <w:szCs w:val="24"/>
          <w:highlight w:val="none"/>
        </w:rPr>
      </w:pPr>
      <w:r>
        <w:rPr>
          <w:rFonts w:hint="eastAsia" w:hAnsi="宋体" w:cs="宋体"/>
          <w:szCs w:val="24"/>
          <w:highlight w:val="none"/>
        </w:rPr>
        <w:t>注：</w:t>
      </w:r>
    </w:p>
    <w:p>
      <w:pPr>
        <w:spacing w:line="360" w:lineRule="auto"/>
        <w:ind w:firstLine="480" w:firstLineChars="200"/>
        <w:rPr>
          <w:rFonts w:hAnsi="宋体" w:cs="宋体"/>
          <w:szCs w:val="24"/>
          <w:highlight w:val="none"/>
        </w:rPr>
      </w:pPr>
      <w:r>
        <w:rPr>
          <w:rFonts w:hint="eastAsia" w:hAnsi="宋体" w:cs="宋体"/>
          <w:szCs w:val="24"/>
          <w:highlight w:val="none"/>
        </w:rPr>
        <w:t>1.投标人应将用于资格审查的</w:t>
      </w:r>
      <w:r>
        <w:rPr>
          <w:rFonts w:hint="eastAsia" w:ascii="Times New Roman"/>
          <w:highlight w:val="none"/>
        </w:rPr>
        <w:t>项目负责人</w:t>
      </w:r>
      <w:r>
        <w:rPr>
          <w:rFonts w:hint="eastAsia" w:hAnsi="宋体" w:cs="宋体"/>
          <w:szCs w:val="24"/>
          <w:highlight w:val="none"/>
        </w:rPr>
        <w:t>业绩在上表中列明，按照列明的业绩序号先后顺序依次填写“项目负责人业绩信息表（资格审查）”，并附相应业绩证明材料。</w:t>
      </w:r>
    </w:p>
    <w:p>
      <w:pPr>
        <w:spacing w:line="360" w:lineRule="auto"/>
        <w:ind w:firstLine="480" w:firstLineChars="200"/>
        <w:rPr>
          <w:rFonts w:hAnsi="宋体" w:cs="宋体"/>
          <w:szCs w:val="24"/>
          <w:highlight w:val="none"/>
        </w:rPr>
      </w:pPr>
      <w:r>
        <w:rPr>
          <w:rFonts w:hint="eastAsia" w:hAnsi="宋体" w:cs="宋体"/>
          <w:szCs w:val="24"/>
          <w:highlight w:val="none"/>
        </w:rPr>
        <w:t>2.</w:t>
      </w:r>
      <w:r>
        <w:rPr>
          <w:rFonts w:hint="eastAsia"/>
          <w:szCs w:val="24"/>
          <w:highlight w:val="none"/>
        </w:rPr>
        <w:t>评标委员会应当按照上表列明的业绩序号先后顺序依次进行评审，且仅评审“附录5  资格审查条件（项目负责人最低要求）”规定数量的业绩，超出规定数量部分或未在上表列明的业绩均不作为资格审查项目负责人业绩予以评审。</w:t>
      </w:r>
    </w:p>
    <w:p>
      <w:pPr>
        <w:tabs>
          <w:tab w:val="left" w:pos="8422"/>
          <w:tab w:val="left" w:pos="9622"/>
        </w:tabs>
        <w:spacing w:line="360" w:lineRule="auto"/>
        <w:ind w:left="4800" w:leftChars="2000" w:right="120" w:rightChars="50"/>
        <w:jc w:val="left"/>
        <w:rPr>
          <w:rFonts w:hAnsi="宋体" w:cs="宋体"/>
          <w:szCs w:val="24"/>
          <w:highlight w:val="none"/>
        </w:rPr>
      </w:pPr>
    </w:p>
    <w:p>
      <w:pPr>
        <w:adjustRightInd w:val="0"/>
        <w:snapToGrid w:val="0"/>
        <w:spacing w:line="360" w:lineRule="auto"/>
        <w:jc w:val="right"/>
        <w:rPr>
          <w:rFonts w:hAnsi="宋体" w:cs="宋体"/>
          <w:bCs/>
          <w:szCs w:val="24"/>
          <w:highlight w:val="none"/>
          <w:u w:val="single"/>
        </w:rPr>
      </w:pPr>
      <w:r>
        <w:rPr>
          <w:rFonts w:hint="eastAsia" w:hAnsi="宋体" w:cs="宋体"/>
          <w:bCs/>
          <w:spacing w:val="120"/>
          <w:kern w:val="0"/>
          <w:szCs w:val="24"/>
          <w:highlight w:val="none"/>
          <w:fitText w:val="1200" w:id="503068454"/>
        </w:rPr>
        <w:t>投标</w:t>
      </w:r>
      <w:r>
        <w:rPr>
          <w:rFonts w:hint="eastAsia" w:hAnsi="宋体" w:cs="宋体"/>
          <w:bCs/>
          <w:spacing w:val="0"/>
          <w:kern w:val="0"/>
          <w:szCs w:val="24"/>
          <w:highlight w:val="none"/>
          <w:fitText w:val="1200" w:id="503068454"/>
        </w:rPr>
        <w:t>人</w:t>
      </w:r>
      <w:r>
        <w:rPr>
          <w:rFonts w:hint="eastAsia" w:hAnsi="宋体" w:cs="宋体"/>
          <w:bCs/>
          <w:szCs w:val="24"/>
          <w:highlight w:val="none"/>
        </w:rPr>
        <w:t>：（盖单位章）</w:t>
      </w:r>
    </w:p>
    <w:p>
      <w:pPr>
        <w:adjustRightInd w:val="0"/>
        <w:snapToGrid w:val="0"/>
        <w:spacing w:line="360" w:lineRule="auto"/>
        <w:jc w:val="right"/>
        <w:rPr>
          <w:rFonts w:hAnsi="宋体" w:cs="宋体"/>
          <w:szCs w:val="24"/>
          <w:highlight w:val="none"/>
        </w:rPr>
      </w:pPr>
      <w:r>
        <w:rPr>
          <w:rFonts w:hint="eastAsia" w:hAnsi="宋体" w:cs="宋体"/>
          <w:bCs/>
          <w:spacing w:val="360"/>
          <w:kern w:val="0"/>
          <w:szCs w:val="24"/>
          <w:highlight w:val="none"/>
          <w:fitText w:val="1200" w:id="910505911"/>
        </w:rPr>
        <w:t>日</w:t>
      </w:r>
      <w:r>
        <w:rPr>
          <w:rFonts w:hint="eastAsia" w:hAnsi="宋体" w:cs="宋体"/>
          <w:bCs/>
          <w:spacing w:val="0"/>
          <w:kern w:val="0"/>
          <w:szCs w:val="24"/>
          <w:highlight w:val="none"/>
          <w:fitText w:val="1200" w:id="910505911"/>
        </w:rPr>
        <w:t>期</w:t>
      </w:r>
      <w:r>
        <w:rPr>
          <w:rFonts w:hint="eastAsia" w:hAnsi="宋体" w:cs="宋体"/>
          <w:szCs w:val="24"/>
          <w:highlight w:val="none"/>
        </w:rPr>
        <w:t>：年月日</w:t>
      </w:r>
    </w:p>
    <w:p>
      <w:pPr>
        <w:rPr>
          <w:rFonts w:ascii="黑体" w:hAnsi="黑体" w:cs="黑体"/>
          <w:szCs w:val="24"/>
          <w:highlight w:val="none"/>
        </w:rPr>
      </w:pPr>
    </w:p>
    <w:p>
      <w:pPr>
        <w:jc w:val="center"/>
        <w:outlineLvl w:val="0"/>
        <w:rPr>
          <w:szCs w:val="24"/>
          <w:highlight w:val="none"/>
        </w:rPr>
      </w:pPr>
      <w:r>
        <w:rPr>
          <w:rFonts w:hint="eastAsia" w:hAnsi="宋体" w:cs="宋体"/>
          <w:szCs w:val="24"/>
          <w:highlight w:val="none"/>
        </w:rPr>
        <w:br w:type="page"/>
      </w:r>
      <w:bookmarkStart w:id="1160" w:name="_Toc140069455"/>
      <w:bookmarkStart w:id="1161" w:name="_Toc27850"/>
      <w:r>
        <w:rPr>
          <w:rFonts w:hint="eastAsia" w:hAnsi="宋体" w:cs="宋体"/>
          <w:szCs w:val="24"/>
          <w:highlight w:val="none"/>
        </w:rPr>
        <w:t>项目负责人业绩信息表（资格审查）</w:t>
      </w:r>
      <w:bookmarkEnd w:id="1160"/>
      <w:bookmarkEnd w:id="1161"/>
    </w:p>
    <w:tbl>
      <w:tblPr>
        <w:tblStyle w:val="5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合同项目负责人</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4"/>
                <w:highlight w:val="none"/>
              </w:rPr>
              <w:t>资格审查用业绩</w:t>
            </w:r>
          </w:p>
        </w:tc>
      </w:tr>
    </w:tbl>
    <w:p>
      <w:pPr>
        <w:spacing w:line="360" w:lineRule="auto"/>
        <w:rPr>
          <w:rFonts w:hAnsi="宋体" w:cs="宋体"/>
          <w:highlight w:val="none"/>
        </w:rPr>
      </w:pPr>
      <w:r>
        <w:rPr>
          <w:rFonts w:hint="eastAsia" w:hAnsi="宋体" w:cs="宋体"/>
          <w:highlight w:val="none"/>
        </w:rPr>
        <w:t>注：投标人应根据招标文件第二章“投标人须知”前附表附录5的要求在本表后附相关证明材料。</w:t>
      </w:r>
    </w:p>
    <w:p>
      <w:pPr>
        <w:spacing w:line="360" w:lineRule="auto"/>
        <w:rPr>
          <w:rFonts w:hAnsi="宋体" w:cs="宋体"/>
          <w:highlight w:val="none"/>
        </w:rPr>
      </w:pPr>
    </w:p>
    <w:p>
      <w:pPr>
        <w:spacing w:line="360" w:lineRule="auto"/>
        <w:jc w:val="center"/>
        <w:outlineLvl w:val="0"/>
        <w:rPr>
          <w:rFonts w:ascii="黑体" w:hAnsi="黑体" w:eastAsia="黑体" w:cs="黑体"/>
          <w:bCs/>
          <w:highlight w:val="none"/>
        </w:rPr>
      </w:pPr>
      <w:r>
        <w:rPr>
          <w:rFonts w:hint="eastAsia" w:hAnsi="宋体" w:cs="宋体"/>
          <w:spacing w:val="-6"/>
          <w:highlight w:val="none"/>
        </w:rPr>
        <w:br w:type="page"/>
      </w:r>
      <w:bookmarkStart w:id="1162" w:name="_Toc140069456"/>
      <w:bookmarkStart w:id="1163" w:name="_Toc28266"/>
      <w:r>
        <w:rPr>
          <w:rFonts w:hint="eastAsia" w:ascii="黑体" w:hAnsi="黑体" w:eastAsia="黑体" w:cs="黑体"/>
          <w:bCs/>
          <w:highlight w:val="none"/>
        </w:rPr>
        <w:t>（七）投标人信誉情况</w:t>
      </w:r>
      <w:bookmarkEnd w:id="1152"/>
      <w:bookmarkEnd w:id="1153"/>
      <w:bookmarkEnd w:id="1154"/>
      <w:bookmarkEnd w:id="1155"/>
      <w:bookmarkEnd w:id="1156"/>
      <w:bookmarkEnd w:id="1157"/>
      <w:bookmarkEnd w:id="1158"/>
      <w:bookmarkEnd w:id="1159"/>
      <w:bookmarkEnd w:id="1162"/>
      <w:bookmarkEnd w:id="1163"/>
    </w:p>
    <w:p>
      <w:pPr>
        <w:jc w:val="center"/>
        <w:rPr>
          <w:rFonts w:ascii="Times New Roman"/>
          <w:bCs/>
          <w:snapToGrid w:val="0"/>
          <w:szCs w:val="24"/>
          <w:highlight w:val="none"/>
        </w:rPr>
      </w:pPr>
      <w:bookmarkStart w:id="1164" w:name="_Toc12379"/>
      <w:bookmarkStart w:id="1165" w:name="_Toc1027"/>
      <w:bookmarkStart w:id="1166" w:name="_Toc17949"/>
      <w:bookmarkStart w:id="1167" w:name="_Toc24185"/>
      <w:bookmarkStart w:id="1168" w:name="_Toc32304"/>
      <w:r>
        <w:rPr>
          <w:rFonts w:hint="eastAsia" w:ascii="Times New Roman"/>
          <w:bCs/>
          <w:snapToGrid w:val="0"/>
          <w:szCs w:val="24"/>
          <w:highlight w:val="none"/>
        </w:rPr>
        <w:t>投标人无需提供证明材料，由评标委员会通过电子服务系统查询。</w:t>
      </w:r>
    </w:p>
    <w:p>
      <w:pPr>
        <w:jc w:val="center"/>
        <w:outlineLvl w:val="0"/>
        <w:rPr>
          <w:rFonts w:ascii="黑体" w:hAnsi="黑体" w:eastAsia="黑体"/>
          <w:szCs w:val="24"/>
          <w:highlight w:val="none"/>
        </w:rPr>
      </w:pPr>
      <w:r>
        <w:rPr>
          <w:rFonts w:hint="eastAsia" w:ascii="黑体" w:hAnsi="黑体" w:eastAsia="黑体"/>
          <w:szCs w:val="24"/>
          <w:highlight w:val="none"/>
        </w:rPr>
        <w:br w:type="page"/>
      </w:r>
      <w:bookmarkStart w:id="1169" w:name="_Toc24647"/>
      <w:bookmarkStart w:id="1170" w:name="_Toc140069457"/>
      <w:bookmarkStart w:id="1171" w:name="_Toc22435"/>
      <w:r>
        <w:rPr>
          <w:rFonts w:hint="eastAsia" w:ascii="黑体" w:hAnsi="黑体" w:eastAsia="黑体"/>
          <w:szCs w:val="24"/>
          <w:highlight w:val="none"/>
        </w:rPr>
        <w:t>七、</w:t>
      </w:r>
      <w:bookmarkEnd w:id="1164"/>
      <w:bookmarkEnd w:id="1165"/>
      <w:bookmarkEnd w:id="1166"/>
      <w:bookmarkEnd w:id="1167"/>
      <w:bookmarkEnd w:id="1168"/>
      <w:r>
        <w:rPr>
          <w:rFonts w:hint="eastAsia" w:ascii="黑体" w:hAnsi="黑体" w:eastAsia="黑体"/>
          <w:szCs w:val="24"/>
          <w:highlight w:val="none"/>
        </w:rPr>
        <w:t>商务文件详细评审资料</w:t>
      </w:r>
      <w:bookmarkEnd w:id="1169"/>
      <w:bookmarkEnd w:id="1170"/>
      <w:bookmarkEnd w:id="1171"/>
    </w:p>
    <w:p>
      <w:pPr>
        <w:autoSpaceDE w:val="0"/>
        <w:autoSpaceDN w:val="0"/>
        <w:adjustRightInd w:val="0"/>
        <w:snapToGrid w:val="0"/>
        <w:spacing w:line="360" w:lineRule="auto"/>
        <w:jc w:val="left"/>
        <w:rPr>
          <w:rFonts w:ascii="Times New Roman"/>
          <w:snapToGrid w:val="0"/>
          <w:szCs w:val="24"/>
          <w:highlight w:val="none"/>
        </w:rPr>
      </w:pPr>
    </w:p>
    <w:p>
      <w:pPr>
        <w:spacing w:beforeLines="50" w:afterLines="50" w:line="360" w:lineRule="auto"/>
        <w:jc w:val="left"/>
        <w:rPr>
          <w:bCs/>
          <w:szCs w:val="24"/>
          <w:highlight w:val="none"/>
        </w:rPr>
      </w:pPr>
      <w:r>
        <w:rPr>
          <w:rFonts w:hint="eastAsia" w:ascii="Times New Roman"/>
          <w:szCs w:val="24"/>
          <w:highlight w:val="none"/>
        </w:rPr>
        <w:t>投标人对照商务文件详细评审条件，自行提供其他相关资料（如有）</w:t>
      </w:r>
    </w:p>
    <w:p>
      <w:pPr>
        <w:spacing w:beforeLines="50" w:afterLines="50" w:line="360" w:lineRule="auto"/>
        <w:jc w:val="center"/>
        <w:outlineLvl w:val="3"/>
        <w:rPr>
          <w:bCs/>
          <w:szCs w:val="24"/>
          <w:highlight w:val="none"/>
        </w:rPr>
      </w:pPr>
      <w:bookmarkStart w:id="1172" w:name="_Toc30750"/>
      <w:bookmarkStart w:id="1173" w:name="_Toc15813"/>
      <w:bookmarkStart w:id="1174" w:name="_Toc13031"/>
      <w:bookmarkStart w:id="1175" w:name="_Toc20940"/>
      <w:bookmarkStart w:id="1176" w:name="_Toc28511"/>
      <w:bookmarkStart w:id="1177" w:name="_Toc17174"/>
      <w:r>
        <w:rPr>
          <w:rFonts w:hint="eastAsia"/>
          <w:bCs/>
          <w:szCs w:val="24"/>
          <w:highlight w:val="none"/>
        </w:rPr>
        <w:t>（一）</w:t>
      </w:r>
      <w:bookmarkEnd w:id="1172"/>
      <w:bookmarkEnd w:id="1173"/>
      <w:bookmarkEnd w:id="1174"/>
      <w:bookmarkEnd w:id="1175"/>
      <w:bookmarkEnd w:id="1176"/>
      <w:r>
        <w:rPr>
          <w:rFonts w:hint="eastAsia"/>
          <w:bCs/>
          <w:szCs w:val="24"/>
          <w:highlight w:val="none"/>
        </w:rPr>
        <w:t>投标人业绩情况表（详细评审）</w:t>
      </w:r>
      <w:bookmarkEnd w:id="1177"/>
    </w:p>
    <w:tbl>
      <w:tblPr>
        <w:tblStyle w:val="5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5155"/>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业绩序号</w:t>
            </w:r>
          </w:p>
        </w:tc>
        <w:tc>
          <w:tcPr>
            <w:tcW w:w="3027" w:type="pct"/>
            <w:vAlign w:val="center"/>
          </w:tcPr>
          <w:p>
            <w:pPr>
              <w:jc w:val="center"/>
              <w:rPr>
                <w:rFonts w:ascii="Times New Roman"/>
                <w:highlight w:val="none"/>
              </w:rPr>
            </w:pPr>
            <w:r>
              <w:rPr>
                <w:rFonts w:hint="eastAsia" w:ascii="Times New Roman"/>
                <w:highlight w:val="none"/>
              </w:rPr>
              <w:t>项目</w:t>
            </w:r>
            <w:r>
              <w:rPr>
                <w:rFonts w:ascii="Times New Roman"/>
                <w:highlight w:val="none"/>
              </w:rPr>
              <w:t>名称</w:t>
            </w:r>
            <w:r>
              <w:rPr>
                <w:rFonts w:hint="eastAsia" w:ascii="Times New Roman"/>
                <w:highlight w:val="none"/>
              </w:rPr>
              <w:t>（合同名称）</w:t>
            </w:r>
          </w:p>
        </w:tc>
        <w:tc>
          <w:tcPr>
            <w:tcW w:w="1040" w:type="pct"/>
            <w:vAlign w:val="center"/>
          </w:tcPr>
          <w:p>
            <w:pPr>
              <w:jc w:val="center"/>
              <w:rPr>
                <w:rFonts w:ascii="Times New Roman"/>
                <w:highlight w:val="none"/>
              </w:rPr>
            </w:pPr>
            <w:r>
              <w:rPr>
                <w:rFonts w:hint="eastAsia" w:ascii="Times New Roman"/>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1</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32" w:type="pct"/>
            <w:vAlign w:val="center"/>
          </w:tcPr>
          <w:p>
            <w:pPr>
              <w:jc w:val="center"/>
              <w:rPr>
                <w:rFonts w:ascii="Times New Roman"/>
                <w:highlight w:val="none"/>
              </w:rPr>
            </w:pPr>
            <w:r>
              <w:rPr>
                <w:rFonts w:hint="eastAsia" w:ascii="Times New Roman"/>
                <w:highlight w:val="none"/>
              </w:rPr>
              <w:t>2</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bl>
    <w:p>
      <w:pPr>
        <w:spacing w:line="360" w:lineRule="auto"/>
        <w:ind w:firstLine="480" w:firstLineChars="200"/>
        <w:rPr>
          <w:highlight w:val="none"/>
        </w:rPr>
      </w:pPr>
      <w:r>
        <w:rPr>
          <w:rFonts w:hint="eastAsia"/>
          <w:highlight w:val="none"/>
        </w:rPr>
        <w:t>注：</w:t>
      </w:r>
    </w:p>
    <w:p>
      <w:pPr>
        <w:spacing w:line="360" w:lineRule="auto"/>
        <w:ind w:firstLine="480" w:firstLineChars="200"/>
        <w:rPr>
          <w:highlight w:val="none"/>
        </w:rPr>
      </w:pPr>
      <w:r>
        <w:rPr>
          <w:rFonts w:hint="eastAsia"/>
          <w:highlight w:val="none"/>
        </w:rPr>
        <w:t>1.投标人应将用于商务文件详细评审的投标人业绩在上表中列明，按照列明</w:t>
      </w:r>
      <w:r>
        <w:rPr>
          <w:highlight w:val="none"/>
        </w:rPr>
        <w:t>的</w:t>
      </w:r>
      <w:r>
        <w:rPr>
          <w:rFonts w:hint="eastAsia"/>
          <w:highlight w:val="none"/>
        </w:rPr>
        <w:t>业绩序号先后</w:t>
      </w:r>
      <w:r>
        <w:rPr>
          <w:highlight w:val="none"/>
        </w:rPr>
        <w:t>顺序</w:t>
      </w:r>
      <w:r>
        <w:rPr>
          <w:rFonts w:hint="eastAsia"/>
          <w:highlight w:val="none"/>
        </w:rPr>
        <w:t>依次填写“投标人</w:t>
      </w:r>
      <w:r>
        <w:rPr>
          <w:highlight w:val="none"/>
        </w:rPr>
        <w:t>业绩</w:t>
      </w:r>
      <w:r>
        <w:rPr>
          <w:rFonts w:hint="eastAsia"/>
          <w:highlight w:val="none"/>
        </w:rPr>
        <w:t>信息</w:t>
      </w:r>
      <w:r>
        <w:rPr>
          <w:highlight w:val="none"/>
        </w:rPr>
        <w:t>表</w:t>
      </w:r>
      <w:r>
        <w:rPr>
          <w:rFonts w:hint="eastAsia"/>
          <w:highlight w:val="none"/>
        </w:rPr>
        <w:t>（详细评审）”，并附相应业绩证明材料。</w:t>
      </w:r>
    </w:p>
    <w:p>
      <w:pPr>
        <w:spacing w:line="360" w:lineRule="auto"/>
        <w:ind w:firstLine="480" w:firstLineChars="200"/>
        <w:rPr>
          <w:highlight w:val="none"/>
        </w:rPr>
      </w:pPr>
      <w:r>
        <w:rPr>
          <w:rFonts w:hint="eastAsia"/>
          <w:highlight w:val="none"/>
        </w:rPr>
        <w:t>2.评标</w:t>
      </w:r>
      <w:r>
        <w:rPr>
          <w:highlight w:val="none"/>
        </w:rPr>
        <w:t>委员会应当按照上表</w:t>
      </w:r>
      <w:r>
        <w:rPr>
          <w:rFonts w:hint="eastAsia"/>
          <w:highlight w:val="none"/>
        </w:rPr>
        <w:t>列明</w:t>
      </w:r>
      <w:r>
        <w:rPr>
          <w:highlight w:val="none"/>
        </w:rPr>
        <w:t>的</w:t>
      </w:r>
      <w:r>
        <w:rPr>
          <w:rFonts w:hint="eastAsia"/>
          <w:highlight w:val="none"/>
        </w:rPr>
        <w:t>业绩序号先后</w:t>
      </w:r>
      <w:r>
        <w:rPr>
          <w:highlight w:val="none"/>
        </w:rPr>
        <w:t>顺序</w:t>
      </w:r>
      <w:r>
        <w:rPr>
          <w:rFonts w:hint="eastAsia"/>
          <w:highlight w:val="none"/>
        </w:rPr>
        <w:t>依次</w:t>
      </w:r>
      <w:r>
        <w:rPr>
          <w:highlight w:val="none"/>
        </w:rPr>
        <w:t>进行评审，</w:t>
      </w:r>
      <w:r>
        <w:rPr>
          <w:rFonts w:hint="eastAsia"/>
          <w:highlight w:val="none"/>
        </w:rPr>
        <w:t>且仅评审评审标准规定数量的业绩，超出规定数量部分或未在上表列明的业绩均不作为</w:t>
      </w:r>
      <w:r>
        <w:rPr>
          <w:rFonts w:hint="eastAsia" w:ascii="Times New Roman"/>
          <w:highlight w:val="none"/>
        </w:rPr>
        <w:t>商务文件详细评审投标人业绩</w:t>
      </w:r>
      <w:r>
        <w:rPr>
          <w:rFonts w:hint="eastAsia"/>
          <w:highlight w:val="none"/>
        </w:rPr>
        <w:t>予以评审。</w:t>
      </w:r>
    </w:p>
    <w:p>
      <w:pPr>
        <w:tabs>
          <w:tab w:val="left" w:pos="8422"/>
          <w:tab w:val="left" w:pos="9622"/>
        </w:tabs>
        <w:spacing w:line="360" w:lineRule="auto"/>
        <w:ind w:left="4800" w:leftChars="2000" w:right="120" w:rightChars="50"/>
        <w:jc w:val="left"/>
        <w:rPr>
          <w:highlight w:val="none"/>
        </w:rPr>
      </w:pPr>
    </w:p>
    <w:p>
      <w:pPr>
        <w:adjustRightInd w:val="0"/>
        <w:snapToGrid w:val="0"/>
        <w:spacing w:line="360" w:lineRule="auto"/>
        <w:jc w:val="right"/>
        <w:rPr>
          <w:rFonts w:ascii="Times New Roman"/>
          <w:bCs/>
          <w:szCs w:val="21"/>
          <w:highlight w:val="none"/>
          <w:u w:val="single"/>
        </w:rPr>
      </w:pPr>
      <w:r>
        <w:rPr>
          <w:rFonts w:hint="eastAsia" w:ascii="Times New Roman"/>
          <w:bCs/>
          <w:spacing w:val="120"/>
          <w:kern w:val="0"/>
          <w:szCs w:val="21"/>
          <w:highlight w:val="none"/>
          <w:fitText w:val="1200" w:id="1039618615"/>
        </w:rPr>
        <w:t>投标</w:t>
      </w:r>
      <w:r>
        <w:rPr>
          <w:rFonts w:hint="eastAsia" w:ascii="Times New Roman"/>
          <w:bCs/>
          <w:spacing w:val="0"/>
          <w:kern w:val="0"/>
          <w:szCs w:val="21"/>
          <w:highlight w:val="none"/>
          <w:fitText w:val="1200" w:id="1039618615"/>
        </w:rPr>
        <w:t>人</w:t>
      </w:r>
      <w:r>
        <w:rPr>
          <w:rFonts w:hint="eastAsia" w:ascii="Times New Roman"/>
          <w:bCs/>
          <w:szCs w:val="21"/>
          <w:highlight w:val="none"/>
        </w:rPr>
        <w:t>：（盖单位章）</w:t>
      </w:r>
    </w:p>
    <w:p>
      <w:pPr>
        <w:adjustRightInd w:val="0"/>
        <w:snapToGrid w:val="0"/>
        <w:spacing w:line="360" w:lineRule="auto"/>
        <w:jc w:val="right"/>
        <w:rPr>
          <w:rFonts w:ascii="Times New Roman" w:eastAsia="黑体"/>
          <w:sz w:val="28"/>
          <w:szCs w:val="28"/>
          <w:highlight w:val="none"/>
        </w:rPr>
      </w:pPr>
      <w:r>
        <w:rPr>
          <w:rFonts w:hint="eastAsia" w:ascii="Times New Roman"/>
          <w:bCs/>
          <w:spacing w:val="360"/>
          <w:kern w:val="0"/>
          <w:szCs w:val="21"/>
          <w:highlight w:val="none"/>
          <w:fitText w:val="1200" w:id="835465661"/>
        </w:rPr>
        <w:t>日</w:t>
      </w:r>
      <w:r>
        <w:rPr>
          <w:rFonts w:hint="eastAsia" w:ascii="Times New Roman"/>
          <w:bCs/>
          <w:spacing w:val="0"/>
          <w:kern w:val="0"/>
          <w:szCs w:val="21"/>
          <w:highlight w:val="none"/>
          <w:fitText w:val="1200" w:id="835465661"/>
        </w:rPr>
        <w:t>期</w:t>
      </w:r>
      <w:r>
        <w:rPr>
          <w:rFonts w:hint="eastAsia" w:ascii="Times New Roman"/>
          <w:szCs w:val="21"/>
          <w:highlight w:val="none"/>
        </w:rPr>
        <w:t>：年月日</w:t>
      </w:r>
    </w:p>
    <w:p>
      <w:pPr>
        <w:jc w:val="center"/>
        <w:rPr>
          <w:rFonts w:ascii="黑体" w:hAnsi="黑体" w:eastAsia="黑体"/>
          <w:bCs/>
          <w:szCs w:val="24"/>
          <w:highlight w:val="none"/>
        </w:rPr>
      </w:pPr>
    </w:p>
    <w:p>
      <w:pPr>
        <w:spacing w:beforeLines="50" w:afterLines="50" w:line="360" w:lineRule="auto"/>
        <w:jc w:val="center"/>
        <w:rPr>
          <w:bCs/>
          <w:szCs w:val="24"/>
          <w:highlight w:val="none"/>
        </w:rPr>
      </w:pPr>
    </w:p>
    <w:p>
      <w:pPr>
        <w:spacing w:beforeLines="50" w:afterLines="50" w:line="360" w:lineRule="auto"/>
        <w:jc w:val="center"/>
        <w:outlineLvl w:val="0"/>
        <w:rPr>
          <w:bCs/>
          <w:szCs w:val="24"/>
          <w:highlight w:val="none"/>
        </w:rPr>
      </w:pPr>
      <w:r>
        <w:rPr>
          <w:rFonts w:hint="eastAsia"/>
          <w:bCs/>
          <w:szCs w:val="24"/>
          <w:highlight w:val="none"/>
        </w:rPr>
        <w:br w:type="page"/>
      </w:r>
      <w:bookmarkStart w:id="1178" w:name="_Toc20943"/>
      <w:bookmarkStart w:id="1179" w:name="_Toc140069458"/>
      <w:bookmarkStart w:id="1180" w:name="_Toc29467"/>
      <w:r>
        <w:rPr>
          <w:rFonts w:hint="eastAsia"/>
          <w:bCs/>
          <w:szCs w:val="24"/>
          <w:highlight w:val="none"/>
        </w:rPr>
        <w:t>投标人业绩信息表（详细评审）</w:t>
      </w:r>
      <w:bookmarkEnd w:id="1178"/>
      <w:bookmarkEnd w:id="1179"/>
      <w:bookmarkEnd w:id="1180"/>
    </w:p>
    <w:tbl>
      <w:tblPr>
        <w:tblStyle w:val="53"/>
        <w:tblW w:w="5019"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74"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74" w:type="dxa"/>
            <w:vAlign w:val="center"/>
          </w:tcPr>
          <w:p>
            <w:pPr>
              <w:topLinePunct/>
              <w:spacing w:line="360" w:lineRule="auto"/>
              <w:jc w:val="center"/>
              <w:rPr>
                <w:rFonts w:hAnsi="宋体" w:cs="宋体"/>
                <w:highlight w:val="none"/>
              </w:rPr>
            </w:pPr>
            <w:r>
              <w:rPr>
                <w:rFonts w:hint="eastAsia" w:ascii="Times New Roman"/>
                <w:szCs w:val="24"/>
                <w:highlight w:val="none"/>
              </w:rPr>
              <w:t>商务文件详细评审业绩</w:t>
            </w:r>
          </w:p>
        </w:tc>
      </w:tr>
    </w:tbl>
    <w:p>
      <w:pPr>
        <w:autoSpaceDE w:val="0"/>
        <w:autoSpaceDN w:val="0"/>
        <w:adjustRightInd w:val="0"/>
        <w:spacing w:line="300" w:lineRule="exact"/>
        <w:jc w:val="left"/>
        <w:rPr>
          <w:rFonts w:ascii="Times New Roman" w:cs="宋体"/>
          <w:szCs w:val="24"/>
          <w:highlight w:val="none"/>
        </w:rPr>
      </w:pPr>
      <w:r>
        <w:rPr>
          <w:rFonts w:hint="eastAsia" w:ascii="Times New Roman" w:cs="宋体"/>
          <w:szCs w:val="24"/>
          <w:highlight w:val="none"/>
        </w:rPr>
        <w:t>注：投标人应根据招标文件要求在本表后附相关证明材料。</w:t>
      </w:r>
    </w:p>
    <w:p>
      <w:pPr>
        <w:spacing w:line="440" w:lineRule="exact"/>
        <w:ind w:firstLine="2467" w:firstLineChars="1028"/>
        <w:rPr>
          <w:rFonts w:ascii="Times New Roman"/>
          <w:szCs w:val="24"/>
          <w:highlight w:val="none"/>
        </w:rPr>
      </w:pPr>
    </w:p>
    <w:p>
      <w:pPr>
        <w:spacing w:beforeLines="50" w:afterLines="50" w:line="360" w:lineRule="auto"/>
        <w:jc w:val="center"/>
        <w:outlineLvl w:val="0"/>
        <w:rPr>
          <w:bCs/>
          <w:szCs w:val="24"/>
          <w:highlight w:val="none"/>
        </w:rPr>
      </w:pPr>
      <w:r>
        <w:rPr>
          <w:rFonts w:hint="eastAsia" w:ascii="Times New Roman"/>
          <w:bCs/>
          <w:szCs w:val="24"/>
          <w:highlight w:val="none"/>
        </w:rPr>
        <w:br w:type="page"/>
      </w:r>
      <w:bookmarkStart w:id="1181" w:name="_Toc2852"/>
      <w:bookmarkStart w:id="1182" w:name="_Toc30459"/>
      <w:bookmarkStart w:id="1183" w:name="_Toc140069459"/>
      <w:r>
        <w:rPr>
          <w:rFonts w:hint="eastAsia" w:ascii="Times New Roman"/>
          <w:bCs/>
          <w:szCs w:val="24"/>
          <w:highlight w:val="none"/>
        </w:rPr>
        <w:t>（二）</w:t>
      </w:r>
      <w:bookmarkEnd w:id="1181"/>
      <w:bookmarkStart w:id="1184" w:name="_Toc7173"/>
      <w:r>
        <w:rPr>
          <w:rFonts w:hint="eastAsia"/>
          <w:bCs/>
          <w:szCs w:val="24"/>
          <w:highlight w:val="none"/>
        </w:rPr>
        <w:t>项目负责人业绩情况表（详细评审）</w:t>
      </w:r>
      <w:bookmarkEnd w:id="1182"/>
      <w:bookmarkEnd w:id="1183"/>
    </w:p>
    <w:tbl>
      <w:tblPr>
        <w:tblStyle w:val="5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3"/>
        <w:gridCol w:w="562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业绩序号</w:t>
            </w:r>
          </w:p>
        </w:tc>
        <w:tc>
          <w:tcPr>
            <w:tcW w:w="3304" w:type="pct"/>
            <w:vAlign w:val="center"/>
          </w:tcPr>
          <w:p>
            <w:pPr>
              <w:jc w:val="center"/>
              <w:rPr>
                <w:rFonts w:ascii="Times New Roman"/>
                <w:highlight w:val="none"/>
              </w:rPr>
            </w:pPr>
            <w:r>
              <w:rPr>
                <w:rFonts w:hint="eastAsia" w:ascii="Times New Roman"/>
                <w:highlight w:val="none"/>
              </w:rPr>
              <w:t>项目</w:t>
            </w:r>
            <w:r>
              <w:rPr>
                <w:rFonts w:ascii="Times New Roman"/>
                <w:highlight w:val="none"/>
              </w:rPr>
              <w:t>名称</w:t>
            </w:r>
            <w:r>
              <w:rPr>
                <w:rFonts w:hint="eastAsia" w:ascii="Times New Roman"/>
                <w:highlight w:val="none"/>
              </w:rPr>
              <w:t>（合同名称）</w:t>
            </w:r>
          </w:p>
        </w:tc>
        <w:tc>
          <w:tcPr>
            <w:tcW w:w="777" w:type="pct"/>
            <w:vAlign w:val="center"/>
          </w:tcPr>
          <w:p>
            <w:pPr>
              <w:jc w:val="center"/>
              <w:rPr>
                <w:rFonts w:ascii="Times New Roman"/>
                <w:highlight w:val="none"/>
              </w:rPr>
            </w:pPr>
            <w:r>
              <w:rPr>
                <w:rFonts w:hint="eastAsia" w:ascii="Times New Roman"/>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1</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ascii="Times New Roman"/>
                <w:highlight w:val="none"/>
              </w:rPr>
              <w:t>2</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bl>
    <w:p>
      <w:pPr>
        <w:spacing w:line="360" w:lineRule="auto"/>
        <w:ind w:firstLine="480" w:firstLineChars="200"/>
        <w:rPr>
          <w:highlight w:val="none"/>
        </w:rPr>
      </w:pPr>
      <w:r>
        <w:rPr>
          <w:rFonts w:hint="eastAsia"/>
          <w:highlight w:val="none"/>
        </w:rPr>
        <w:t>注：</w:t>
      </w:r>
    </w:p>
    <w:p>
      <w:pPr>
        <w:spacing w:line="360" w:lineRule="auto"/>
        <w:ind w:firstLine="480" w:firstLineChars="200"/>
        <w:rPr>
          <w:highlight w:val="none"/>
        </w:rPr>
      </w:pPr>
      <w:r>
        <w:rPr>
          <w:rFonts w:hint="eastAsia"/>
          <w:highlight w:val="none"/>
        </w:rPr>
        <w:t>1.投标人应将用于商务文件详细评审的项目负责人业绩在上表中列明，按照列明</w:t>
      </w:r>
      <w:r>
        <w:rPr>
          <w:highlight w:val="none"/>
        </w:rPr>
        <w:t>的</w:t>
      </w:r>
      <w:r>
        <w:rPr>
          <w:rFonts w:hint="eastAsia"/>
          <w:highlight w:val="none"/>
        </w:rPr>
        <w:t>业绩序号先后</w:t>
      </w:r>
      <w:r>
        <w:rPr>
          <w:highlight w:val="none"/>
        </w:rPr>
        <w:t>顺序</w:t>
      </w:r>
      <w:r>
        <w:rPr>
          <w:rFonts w:hint="eastAsia"/>
          <w:highlight w:val="none"/>
        </w:rPr>
        <w:t>依次填写“项目负责人</w:t>
      </w:r>
      <w:r>
        <w:rPr>
          <w:highlight w:val="none"/>
        </w:rPr>
        <w:t>业绩</w:t>
      </w:r>
      <w:r>
        <w:rPr>
          <w:rFonts w:hint="eastAsia"/>
          <w:highlight w:val="none"/>
        </w:rPr>
        <w:t>信息</w:t>
      </w:r>
      <w:r>
        <w:rPr>
          <w:highlight w:val="none"/>
        </w:rPr>
        <w:t>表</w:t>
      </w:r>
      <w:r>
        <w:rPr>
          <w:rFonts w:hint="eastAsia"/>
          <w:highlight w:val="none"/>
        </w:rPr>
        <w:t>（详细评审）”，并附相应业绩证明材料。</w:t>
      </w:r>
    </w:p>
    <w:p>
      <w:pPr>
        <w:spacing w:line="360" w:lineRule="auto"/>
        <w:ind w:firstLine="480" w:firstLineChars="200"/>
        <w:rPr>
          <w:highlight w:val="none"/>
        </w:rPr>
      </w:pPr>
      <w:r>
        <w:rPr>
          <w:rFonts w:hint="eastAsia"/>
          <w:highlight w:val="none"/>
        </w:rPr>
        <w:t>2.评标</w:t>
      </w:r>
      <w:r>
        <w:rPr>
          <w:highlight w:val="none"/>
        </w:rPr>
        <w:t>委员会应当按照上表</w:t>
      </w:r>
      <w:r>
        <w:rPr>
          <w:rFonts w:hint="eastAsia"/>
          <w:highlight w:val="none"/>
        </w:rPr>
        <w:t>列明</w:t>
      </w:r>
      <w:r>
        <w:rPr>
          <w:highlight w:val="none"/>
        </w:rPr>
        <w:t>的</w:t>
      </w:r>
      <w:r>
        <w:rPr>
          <w:rFonts w:hint="eastAsia"/>
          <w:highlight w:val="none"/>
        </w:rPr>
        <w:t>业绩序号先后</w:t>
      </w:r>
      <w:r>
        <w:rPr>
          <w:highlight w:val="none"/>
        </w:rPr>
        <w:t>顺序</w:t>
      </w:r>
      <w:r>
        <w:rPr>
          <w:rFonts w:hint="eastAsia"/>
          <w:highlight w:val="none"/>
        </w:rPr>
        <w:t>依次</w:t>
      </w:r>
      <w:r>
        <w:rPr>
          <w:highlight w:val="none"/>
        </w:rPr>
        <w:t>进行评审，</w:t>
      </w:r>
      <w:r>
        <w:rPr>
          <w:rFonts w:hint="eastAsia"/>
          <w:highlight w:val="none"/>
        </w:rPr>
        <w:t>且仅评审评审标准规定数量的业绩，超出规定数量部分或未在上表列明的业绩均不作为</w:t>
      </w:r>
      <w:r>
        <w:rPr>
          <w:rFonts w:hint="eastAsia" w:ascii="Times New Roman"/>
          <w:highlight w:val="none"/>
        </w:rPr>
        <w:t>商务文件详细评审项目负责人业绩</w:t>
      </w:r>
      <w:r>
        <w:rPr>
          <w:rFonts w:hint="eastAsia"/>
          <w:highlight w:val="none"/>
        </w:rPr>
        <w:t>予以评审。</w:t>
      </w:r>
    </w:p>
    <w:p>
      <w:pPr>
        <w:tabs>
          <w:tab w:val="left" w:pos="8422"/>
          <w:tab w:val="left" w:pos="9622"/>
        </w:tabs>
        <w:spacing w:line="360" w:lineRule="auto"/>
        <w:ind w:left="4800" w:leftChars="2000" w:right="120" w:rightChars="50"/>
        <w:jc w:val="left"/>
        <w:rPr>
          <w:highlight w:val="none"/>
        </w:rPr>
      </w:pPr>
    </w:p>
    <w:p>
      <w:pPr>
        <w:adjustRightInd w:val="0"/>
        <w:snapToGrid w:val="0"/>
        <w:spacing w:line="360" w:lineRule="auto"/>
        <w:jc w:val="right"/>
        <w:rPr>
          <w:rFonts w:ascii="Times New Roman"/>
          <w:bCs/>
          <w:szCs w:val="21"/>
          <w:highlight w:val="none"/>
          <w:u w:val="single"/>
        </w:rPr>
      </w:pPr>
      <w:r>
        <w:rPr>
          <w:rFonts w:hint="eastAsia" w:ascii="Times New Roman"/>
          <w:bCs/>
          <w:spacing w:val="120"/>
          <w:kern w:val="0"/>
          <w:szCs w:val="21"/>
          <w:highlight w:val="none"/>
          <w:fitText w:val="1200" w:id="896541319"/>
        </w:rPr>
        <w:t>投标</w:t>
      </w:r>
      <w:r>
        <w:rPr>
          <w:rFonts w:hint="eastAsia" w:ascii="Times New Roman"/>
          <w:bCs/>
          <w:spacing w:val="0"/>
          <w:kern w:val="0"/>
          <w:szCs w:val="21"/>
          <w:highlight w:val="none"/>
          <w:fitText w:val="1200" w:id="896541319"/>
        </w:rPr>
        <w:t>人</w:t>
      </w:r>
      <w:r>
        <w:rPr>
          <w:rFonts w:hint="eastAsia" w:ascii="Times New Roman"/>
          <w:bCs/>
          <w:szCs w:val="21"/>
          <w:highlight w:val="none"/>
        </w:rPr>
        <w:t>：（盖单位章）</w:t>
      </w:r>
    </w:p>
    <w:p>
      <w:pPr>
        <w:adjustRightInd w:val="0"/>
        <w:snapToGrid w:val="0"/>
        <w:spacing w:line="360" w:lineRule="auto"/>
        <w:jc w:val="right"/>
        <w:rPr>
          <w:rFonts w:ascii="Times New Roman" w:eastAsia="黑体"/>
          <w:sz w:val="28"/>
          <w:szCs w:val="28"/>
          <w:highlight w:val="none"/>
        </w:rPr>
      </w:pPr>
      <w:r>
        <w:rPr>
          <w:rFonts w:hint="eastAsia" w:ascii="Times New Roman"/>
          <w:bCs/>
          <w:spacing w:val="360"/>
          <w:kern w:val="0"/>
          <w:szCs w:val="21"/>
          <w:highlight w:val="none"/>
          <w:fitText w:val="1200" w:id="108730388"/>
        </w:rPr>
        <w:t>日</w:t>
      </w:r>
      <w:r>
        <w:rPr>
          <w:rFonts w:hint="eastAsia" w:ascii="Times New Roman"/>
          <w:bCs/>
          <w:spacing w:val="0"/>
          <w:kern w:val="0"/>
          <w:szCs w:val="21"/>
          <w:highlight w:val="none"/>
          <w:fitText w:val="1200" w:id="108730388"/>
        </w:rPr>
        <w:t>期</w:t>
      </w:r>
      <w:r>
        <w:rPr>
          <w:rFonts w:hint="eastAsia" w:ascii="Times New Roman"/>
          <w:szCs w:val="21"/>
          <w:highlight w:val="none"/>
        </w:rPr>
        <w:t>：年月日</w:t>
      </w:r>
    </w:p>
    <w:p>
      <w:pPr>
        <w:jc w:val="center"/>
        <w:rPr>
          <w:bCs/>
          <w:szCs w:val="24"/>
          <w:highlight w:val="none"/>
        </w:rPr>
      </w:pPr>
    </w:p>
    <w:p>
      <w:pPr>
        <w:spacing w:beforeLines="50" w:afterLines="50" w:line="360" w:lineRule="auto"/>
        <w:jc w:val="center"/>
        <w:outlineLvl w:val="0"/>
        <w:rPr>
          <w:rFonts w:ascii="Times New Roman"/>
          <w:bCs/>
          <w:szCs w:val="24"/>
          <w:highlight w:val="none"/>
        </w:rPr>
      </w:pPr>
      <w:r>
        <w:rPr>
          <w:rFonts w:hint="eastAsia" w:ascii="Times New Roman"/>
          <w:bCs/>
          <w:szCs w:val="24"/>
          <w:highlight w:val="none"/>
        </w:rPr>
        <w:br w:type="page"/>
      </w:r>
      <w:bookmarkStart w:id="1185" w:name="_Toc5495"/>
      <w:bookmarkStart w:id="1186" w:name="_Toc140069460"/>
      <w:r>
        <w:rPr>
          <w:rFonts w:hint="eastAsia" w:ascii="Times New Roman"/>
          <w:bCs/>
          <w:szCs w:val="24"/>
          <w:highlight w:val="none"/>
        </w:rPr>
        <w:t>项目负责人业绩信息表（详细评审）</w:t>
      </w:r>
      <w:bookmarkEnd w:id="1185"/>
      <w:bookmarkEnd w:id="1186"/>
    </w:p>
    <w:tbl>
      <w:tblPr>
        <w:tblStyle w:val="5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合同项目负责人</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4"/>
                <w:highlight w:val="none"/>
              </w:rPr>
              <w:t>商务文件详细评审业绩</w:t>
            </w:r>
          </w:p>
        </w:tc>
      </w:tr>
    </w:tbl>
    <w:p>
      <w:pPr>
        <w:autoSpaceDE w:val="0"/>
        <w:autoSpaceDN w:val="0"/>
        <w:adjustRightInd w:val="0"/>
        <w:spacing w:line="300" w:lineRule="exact"/>
        <w:jc w:val="left"/>
        <w:rPr>
          <w:rFonts w:ascii="Times New Roman" w:cs="宋体"/>
          <w:szCs w:val="24"/>
          <w:highlight w:val="none"/>
        </w:rPr>
      </w:pPr>
      <w:r>
        <w:rPr>
          <w:rFonts w:hint="eastAsia" w:ascii="Times New Roman" w:cs="宋体"/>
          <w:szCs w:val="24"/>
          <w:highlight w:val="none"/>
        </w:rPr>
        <w:t>注：投标人应根据招标文件要求在本表后附相关证明材料。</w:t>
      </w:r>
    </w:p>
    <w:p>
      <w:pPr>
        <w:jc w:val="center"/>
        <w:rPr>
          <w:sz w:val="28"/>
          <w:szCs w:val="28"/>
          <w:highlight w:val="none"/>
        </w:rPr>
      </w:pPr>
    </w:p>
    <w:p>
      <w:pPr>
        <w:spacing w:beforeLines="50" w:afterLines="50" w:line="360" w:lineRule="auto"/>
        <w:jc w:val="center"/>
        <w:outlineLvl w:val="3"/>
        <w:rPr>
          <w:rFonts w:ascii="Times New Roman"/>
          <w:bCs/>
          <w:szCs w:val="24"/>
          <w:highlight w:val="none"/>
        </w:rPr>
      </w:pPr>
      <w:r>
        <w:rPr>
          <w:rFonts w:hint="eastAsia" w:ascii="Times New Roman"/>
          <w:bCs/>
          <w:szCs w:val="24"/>
          <w:highlight w:val="none"/>
        </w:rPr>
        <w:br w:type="page"/>
      </w:r>
      <w:r>
        <w:rPr>
          <w:rFonts w:hint="eastAsia" w:ascii="Times New Roman"/>
          <w:bCs/>
          <w:szCs w:val="24"/>
          <w:highlight w:val="none"/>
        </w:rPr>
        <w:t>（三）其他</w:t>
      </w:r>
      <w:bookmarkEnd w:id="1184"/>
    </w:p>
    <w:p>
      <w:pPr>
        <w:rPr>
          <w:highlight w:val="none"/>
        </w:rPr>
      </w:pPr>
      <w:r>
        <w:rPr>
          <w:rFonts w:ascii="Times New Roman"/>
          <w:szCs w:val="22"/>
          <w:highlight w:val="none"/>
        </w:rPr>
        <w:br w:type="page"/>
      </w:r>
      <w:bookmarkStart w:id="1187" w:name="_Toc421917010"/>
      <w:bookmarkStart w:id="1188" w:name="_Toc390411629"/>
      <w:bookmarkStart w:id="1189" w:name="_Toc460227118"/>
      <w:bookmarkStart w:id="1190" w:name="_Toc460660233"/>
    </w:p>
    <w:p>
      <w:pPr>
        <w:pStyle w:val="2"/>
        <w:jc w:val="center"/>
        <w:rPr>
          <w:bCs w:val="0"/>
          <w:highlight w:val="none"/>
        </w:rPr>
      </w:pPr>
      <w:bookmarkStart w:id="1191" w:name="_Toc1866"/>
      <w:bookmarkStart w:id="1192" w:name="_Toc117001997"/>
      <w:bookmarkStart w:id="1193" w:name="_Toc13623"/>
      <w:r>
        <w:rPr>
          <w:rFonts w:hint="eastAsia"/>
          <w:bCs w:val="0"/>
          <w:highlight w:val="none"/>
        </w:rPr>
        <w:t>八、诚信投标承诺书</w:t>
      </w:r>
      <w:bookmarkEnd w:id="1191"/>
      <w:bookmarkEnd w:id="1192"/>
      <w:bookmarkEnd w:id="1193"/>
    </w:p>
    <w:p>
      <w:pPr>
        <w:spacing w:line="360" w:lineRule="auto"/>
        <w:rPr>
          <w:rFonts w:ascii="Times New Roman" w:cs="宋体"/>
          <w:szCs w:val="24"/>
          <w:highlight w:val="none"/>
        </w:rPr>
      </w:pPr>
      <w:r>
        <w:rPr>
          <w:rFonts w:hint="eastAsia" w:ascii="Times New Roman" w:cs="宋体"/>
          <w:bCs/>
          <w:szCs w:val="24"/>
          <w:highlight w:val="none"/>
          <w:u w:val="single"/>
        </w:rPr>
        <w:t>致：（招标人）</w:t>
      </w:r>
    </w:p>
    <w:p>
      <w:pPr>
        <w:spacing w:beforeLines="100" w:line="360" w:lineRule="auto"/>
        <w:rPr>
          <w:rFonts w:ascii="Times New Roman" w:cs="宋体"/>
          <w:szCs w:val="24"/>
          <w:highlight w:val="none"/>
        </w:rPr>
      </w:pPr>
      <w:r>
        <w:rPr>
          <w:rFonts w:hint="eastAsia" w:ascii="Times New Roman" w:cs="宋体"/>
          <w:szCs w:val="24"/>
          <w:highlight w:val="none"/>
        </w:rPr>
        <w:t>我公司郑重承诺：</w:t>
      </w:r>
    </w:p>
    <w:p>
      <w:pPr>
        <w:spacing w:beforeLines="100" w:line="360" w:lineRule="auto"/>
        <w:ind w:firstLine="480" w:firstLineChars="200"/>
        <w:rPr>
          <w:rFonts w:ascii="Times New Roman" w:cs="宋体"/>
          <w:szCs w:val="24"/>
          <w:highlight w:val="none"/>
        </w:rPr>
      </w:pPr>
      <w:r>
        <w:rPr>
          <w:rFonts w:hint="eastAsia" w:ascii="Times New Roman" w:cs="宋体"/>
          <w:szCs w:val="24"/>
          <w:highlight w:val="none"/>
        </w:rPr>
        <w:t>1.遵循公开、公正和诚实信用的原则自愿参加</w:t>
      </w:r>
      <w:r>
        <w:rPr>
          <w:rFonts w:hint="eastAsia" w:ascii="Times New Roman" w:cs="宋体"/>
          <w:szCs w:val="24"/>
          <w:highlight w:val="none"/>
          <w:u w:val="single"/>
        </w:rPr>
        <w:t>（招标项目名称）</w:t>
      </w:r>
      <w:r>
        <w:rPr>
          <w:rFonts w:hint="eastAsia" w:ascii="Times New Roman" w:cs="宋体"/>
          <w:szCs w:val="24"/>
          <w:highlight w:val="none"/>
        </w:rPr>
        <w:t>标段的投标。</w:t>
      </w:r>
    </w:p>
    <w:p>
      <w:pPr>
        <w:spacing w:line="360" w:lineRule="auto"/>
        <w:ind w:firstLine="480" w:firstLineChars="200"/>
        <w:rPr>
          <w:rFonts w:ascii="Times New Roman" w:cs="宋体"/>
          <w:szCs w:val="24"/>
          <w:highlight w:val="none"/>
        </w:rPr>
      </w:pPr>
      <w:r>
        <w:rPr>
          <w:rFonts w:hint="eastAsia" w:ascii="Times New Roman" w:cs="宋体"/>
          <w:szCs w:val="24"/>
          <w:highlight w:val="none"/>
        </w:rPr>
        <w:t>2.本次投标提供的资质证书、业绩及奖项等一切材料均真实、有效、合法。否则，我公司愿意接受招标人、公共资源交易监督管理部门作出的相关处理、处罚。</w:t>
      </w:r>
    </w:p>
    <w:p>
      <w:pPr>
        <w:spacing w:line="360" w:lineRule="auto"/>
        <w:ind w:firstLine="480" w:firstLineChars="200"/>
        <w:rPr>
          <w:rFonts w:ascii="Times New Roman" w:cs="宋体"/>
          <w:szCs w:val="24"/>
          <w:highlight w:val="none"/>
        </w:rPr>
      </w:pPr>
      <w:r>
        <w:rPr>
          <w:rFonts w:hint="eastAsia" w:ascii="Times New Roman" w:cs="宋体"/>
          <w:szCs w:val="24"/>
          <w:highlight w:val="none"/>
        </w:rPr>
        <w:t>3.本次投标为我公司自行投标，未出借、转让资质证书，未让他人挂靠投标。</w:t>
      </w:r>
    </w:p>
    <w:p>
      <w:pPr>
        <w:spacing w:line="360" w:lineRule="auto"/>
        <w:ind w:firstLine="480" w:firstLineChars="200"/>
        <w:rPr>
          <w:rFonts w:ascii="Times New Roman" w:cs="宋体"/>
          <w:szCs w:val="24"/>
          <w:highlight w:val="none"/>
        </w:rPr>
      </w:pPr>
      <w:r>
        <w:rPr>
          <w:rFonts w:hint="eastAsia" w:ascii="Times New Roman" w:cs="宋体"/>
          <w:szCs w:val="24"/>
          <w:highlight w:val="none"/>
        </w:rPr>
        <w:t>4.未与其他投标人相互串通投标报价，未排挤其他投标人的公平竞争、损害招标人的合法权益。</w:t>
      </w:r>
    </w:p>
    <w:p>
      <w:pPr>
        <w:spacing w:line="360" w:lineRule="auto"/>
        <w:ind w:firstLine="480" w:firstLineChars="200"/>
        <w:rPr>
          <w:rFonts w:ascii="Times New Roman" w:cs="宋体"/>
          <w:szCs w:val="24"/>
          <w:highlight w:val="none"/>
        </w:rPr>
      </w:pPr>
      <w:r>
        <w:rPr>
          <w:rFonts w:hint="eastAsia" w:ascii="Times New Roman" w:cs="宋体"/>
          <w:szCs w:val="24"/>
          <w:highlight w:val="none"/>
        </w:rPr>
        <w:t>5.未与招标人、招标代理机构或其他投标人串通投标，损害国家利益、社会公共利益或者他人的合法权益。</w:t>
      </w:r>
    </w:p>
    <w:p>
      <w:pPr>
        <w:spacing w:line="360" w:lineRule="auto"/>
        <w:ind w:firstLine="480" w:firstLineChars="200"/>
        <w:rPr>
          <w:rFonts w:ascii="Times New Roman" w:cs="宋体"/>
          <w:szCs w:val="24"/>
          <w:highlight w:val="none"/>
        </w:rPr>
      </w:pPr>
      <w:r>
        <w:rPr>
          <w:rFonts w:hint="eastAsia" w:ascii="Times New Roman" w:cs="宋体"/>
          <w:szCs w:val="24"/>
          <w:highlight w:val="none"/>
        </w:rPr>
        <w:t>6.中标后按照合同约定履行义务，完成中标项目；不向他人转让中标项目，不将中标项目肢解后分别向他人转让；不违法分包。</w:t>
      </w:r>
    </w:p>
    <w:p>
      <w:pPr>
        <w:spacing w:line="360" w:lineRule="auto"/>
        <w:ind w:firstLine="480" w:firstLineChars="200"/>
        <w:rPr>
          <w:rFonts w:ascii="Times New Roman" w:cs="宋体"/>
          <w:szCs w:val="24"/>
          <w:highlight w:val="none"/>
        </w:rPr>
      </w:pPr>
      <w:r>
        <w:rPr>
          <w:rFonts w:hint="eastAsia" w:ascii="Times New Roman" w:cs="宋体"/>
          <w:szCs w:val="24"/>
          <w:highlight w:val="none"/>
        </w:rPr>
        <w:t>7.如提出异议（投诉），对提供的异议（投诉）材料的真实性负责，不恶意异议（投诉）；不捏造事实、提供虚假材料或者以非法手段取得证明材料进行异议（投诉），影响交易活动正常进行；否则，我公司愿意接受公共资源交易监督管理部门作出的相关处理、处罚。</w:t>
      </w:r>
    </w:p>
    <w:p>
      <w:pPr>
        <w:spacing w:line="360" w:lineRule="auto"/>
        <w:ind w:firstLine="480" w:firstLineChars="200"/>
        <w:rPr>
          <w:rFonts w:ascii="Times New Roman" w:cs="宋体"/>
          <w:szCs w:val="24"/>
          <w:highlight w:val="none"/>
        </w:rPr>
      </w:pPr>
      <w:r>
        <w:rPr>
          <w:rFonts w:hint="eastAsia" w:ascii="Times New Roman" w:cs="宋体"/>
          <w:szCs w:val="24"/>
          <w:highlight w:val="none"/>
        </w:rPr>
        <w:t>8.本次投标不存在第二章“投标人须知”第1.4.3项、第1.4.4项规定的任何一种情形。</w:t>
      </w:r>
    </w:p>
    <w:p>
      <w:pPr>
        <w:spacing w:line="360" w:lineRule="auto"/>
        <w:ind w:firstLine="480" w:firstLineChars="200"/>
        <w:rPr>
          <w:rFonts w:ascii="Times New Roman" w:cs="宋体"/>
          <w:szCs w:val="24"/>
          <w:highlight w:val="none"/>
          <w:u w:val="single"/>
        </w:rPr>
      </w:pPr>
      <w:r>
        <w:rPr>
          <w:rFonts w:hint="eastAsia" w:ascii="Times New Roman" w:cs="宋体"/>
          <w:szCs w:val="24"/>
          <w:highlight w:val="none"/>
        </w:rPr>
        <w:t>9.</w:t>
      </w:r>
      <w:r>
        <w:rPr>
          <w:rFonts w:ascii="Times New Roman"/>
          <w:snapToGrid w:val="0"/>
          <w:szCs w:val="24"/>
          <w:highlight w:val="none"/>
        </w:rPr>
        <w:t>（其他补充</w:t>
      </w:r>
      <w:r>
        <w:rPr>
          <w:rFonts w:hint="eastAsia" w:ascii="Times New Roman"/>
          <w:snapToGrid w:val="0"/>
          <w:szCs w:val="24"/>
          <w:highlight w:val="none"/>
        </w:rPr>
        <w:t>承诺</w:t>
      </w:r>
      <w:r>
        <w:rPr>
          <w:rFonts w:ascii="Times New Roman"/>
          <w:snapToGrid w:val="0"/>
          <w:szCs w:val="24"/>
          <w:highlight w:val="none"/>
        </w:rPr>
        <w:t>）</w:t>
      </w:r>
      <w:r>
        <w:rPr>
          <w:rFonts w:hint="eastAsia" w:ascii="Times New Roman"/>
          <w:snapToGrid w:val="0"/>
          <w:szCs w:val="24"/>
          <w:highlight w:val="none"/>
        </w:rPr>
        <w:t>。</w:t>
      </w:r>
    </w:p>
    <w:p>
      <w:pPr>
        <w:spacing w:line="360" w:lineRule="auto"/>
        <w:ind w:firstLine="480" w:firstLineChars="200"/>
        <w:rPr>
          <w:rFonts w:ascii="Times New Roman" w:cs="宋体"/>
          <w:szCs w:val="24"/>
          <w:highlight w:val="none"/>
        </w:rPr>
      </w:pPr>
    </w:p>
    <w:p>
      <w:pPr>
        <w:spacing w:line="360" w:lineRule="auto"/>
        <w:ind w:firstLine="480" w:firstLineChars="200"/>
        <w:rPr>
          <w:rFonts w:ascii="Times New Roman" w:cs="宋体"/>
          <w:szCs w:val="24"/>
          <w:highlight w:val="none"/>
        </w:rPr>
      </w:pPr>
    </w:p>
    <w:p>
      <w:pPr>
        <w:adjustRightInd w:val="0"/>
        <w:snapToGrid w:val="0"/>
        <w:spacing w:line="360" w:lineRule="auto"/>
        <w:jc w:val="right"/>
        <w:rPr>
          <w:rFonts w:ascii="Times New Roman"/>
          <w:bCs/>
          <w:szCs w:val="24"/>
          <w:highlight w:val="none"/>
        </w:rPr>
      </w:pPr>
      <w:r>
        <w:rPr>
          <w:rFonts w:hint="eastAsia" w:ascii="Times New Roman"/>
          <w:bCs/>
          <w:spacing w:val="120"/>
          <w:kern w:val="0"/>
          <w:szCs w:val="24"/>
          <w:highlight w:val="none"/>
          <w:fitText w:val="1200" w:id="1464163887"/>
        </w:rPr>
        <w:t>投标</w:t>
      </w:r>
      <w:r>
        <w:rPr>
          <w:rFonts w:hint="eastAsia" w:ascii="Times New Roman"/>
          <w:bCs/>
          <w:spacing w:val="0"/>
          <w:kern w:val="0"/>
          <w:szCs w:val="24"/>
          <w:highlight w:val="none"/>
          <w:fitText w:val="1200" w:id="1464163887"/>
        </w:rPr>
        <w:t>人</w:t>
      </w:r>
      <w:r>
        <w:rPr>
          <w:rFonts w:hint="eastAsia" w:ascii="Times New Roman"/>
          <w:bCs/>
          <w:szCs w:val="24"/>
          <w:highlight w:val="none"/>
        </w:rPr>
        <w:t>：（盖单位章）</w:t>
      </w:r>
    </w:p>
    <w:p>
      <w:pPr>
        <w:adjustRightInd w:val="0"/>
        <w:snapToGrid w:val="0"/>
        <w:spacing w:line="360" w:lineRule="auto"/>
        <w:jc w:val="right"/>
        <w:rPr>
          <w:highlight w:val="none"/>
        </w:rPr>
      </w:pPr>
      <w:r>
        <w:rPr>
          <w:rFonts w:hint="eastAsia" w:ascii="Times New Roman"/>
          <w:spacing w:val="0"/>
          <w:kern w:val="0"/>
          <w:szCs w:val="21"/>
          <w:highlight w:val="none"/>
          <w:fitText w:val="1200" w:id="1352606711"/>
        </w:rPr>
        <w:t>法定代表人</w:t>
      </w:r>
      <w:r>
        <w:rPr>
          <w:rFonts w:hint="eastAsia" w:ascii="Times New Roman"/>
          <w:szCs w:val="21"/>
          <w:highlight w:val="none"/>
        </w:rPr>
        <w:t>：（签字或盖章）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838804853"/>
        </w:rPr>
        <w:t>日</w:t>
      </w:r>
      <w:r>
        <w:rPr>
          <w:rFonts w:hint="eastAsia" w:ascii="Times New Roman"/>
          <w:bCs/>
          <w:spacing w:val="0"/>
          <w:kern w:val="0"/>
          <w:szCs w:val="24"/>
          <w:highlight w:val="none"/>
          <w:fitText w:val="1200" w:id="838804853"/>
        </w:rPr>
        <w:t>期</w:t>
      </w:r>
      <w:r>
        <w:rPr>
          <w:rFonts w:hint="eastAsia" w:ascii="Times New Roman"/>
          <w:szCs w:val="24"/>
          <w:highlight w:val="none"/>
        </w:rPr>
        <w:t>：年月日</w:t>
      </w:r>
    </w:p>
    <w:p>
      <w:pPr>
        <w:rPr>
          <w:sz w:val="28"/>
          <w:szCs w:val="28"/>
          <w:highlight w:val="none"/>
        </w:rPr>
      </w:pPr>
    </w:p>
    <w:p>
      <w:pPr>
        <w:ind w:firstLine="480"/>
        <w:jc w:val="center"/>
        <w:rPr>
          <w:rFonts w:ascii="Times New Roman"/>
          <w:kern w:val="2"/>
          <w:sz w:val="21"/>
          <w:highlight w:val="none"/>
        </w:rPr>
      </w:pPr>
      <w:r>
        <w:rPr>
          <w:rFonts w:hint="eastAsia" w:ascii="Times New Roman"/>
          <w:sz w:val="28"/>
          <w:szCs w:val="28"/>
          <w:highlight w:val="none"/>
        </w:rPr>
        <w:br w:type="page"/>
      </w:r>
      <w:bookmarkStart w:id="1194" w:name="_Toc14879"/>
    </w:p>
    <w:p>
      <w:pPr>
        <w:jc w:val="center"/>
        <w:rPr>
          <w:sz w:val="28"/>
          <w:szCs w:val="28"/>
          <w:highlight w:val="none"/>
        </w:rPr>
      </w:pPr>
      <w:r>
        <w:rPr>
          <w:rFonts w:hint="eastAsia" w:ascii="黑体" w:hAnsi="黑体" w:eastAsia="黑体"/>
          <w:highlight w:val="none"/>
        </w:rPr>
        <w:t>十、其他</w:t>
      </w:r>
      <w:bookmarkEnd w:id="1187"/>
      <w:bookmarkEnd w:id="1188"/>
      <w:bookmarkEnd w:id="1189"/>
      <w:bookmarkEnd w:id="1190"/>
      <w:r>
        <w:rPr>
          <w:rFonts w:hint="eastAsia" w:ascii="黑体" w:hAnsi="黑体" w:eastAsia="黑体"/>
          <w:highlight w:val="none"/>
        </w:rPr>
        <w:t>材料</w:t>
      </w:r>
      <w:bookmarkEnd w:id="1194"/>
    </w:p>
    <w:p>
      <w:pPr>
        <w:tabs>
          <w:tab w:val="left" w:pos="2580"/>
          <w:tab w:val="left" w:pos="5940"/>
        </w:tabs>
        <w:autoSpaceDE w:val="0"/>
        <w:autoSpaceDN w:val="0"/>
        <w:adjustRightInd w:val="0"/>
        <w:snapToGrid w:val="0"/>
        <w:spacing w:line="400" w:lineRule="exact"/>
        <w:ind w:firstLine="456" w:firstLineChars="200"/>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spacing w:line="360" w:lineRule="auto"/>
        <w:ind w:firstLine="480" w:firstLineChars="200"/>
        <w:jc w:val="left"/>
        <w:rPr>
          <w:rFonts w:ascii="Times New Roman"/>
          <w:szCs w:val="22"/>
          <w:highlight w:val="none"/>
        </w:rPr>
      </w:pPr>
    </w:p>
    <w:p>
      <w:pPr>
        <w:spacing w:beforeLines="200" w:line="360" w:lineRule="auto"/>
        <w:jc w:val="center"/>
        <w:outlineLvl w:val="0"/>
        <w:rPr>
          <w:rFonts w:ascii="Times New Roman"/>
          <w:bCs/>
          <w:sz w:val="44"/>
          <w:szCs w:val="44"/>
          <w:highlight w:val="none"/>
        </w:rPr>
      </w:pPr>
      <w:r>
        <w:rPr>
          <w:rFonts w:hint="eastAsia" w:ascii="Times New Roman"/>
          <w:highlight w:val="none"/>
        </w:rPr>
        <w:br w:type="page"/>
      </w:r>
      <w:bookmarkStart w:id="1195" w:name="_Toc15622"/>
      <w:bookmarkStart w:id="1196" w:name="_Toc140069461"/>
      <w:bookmarkStart w:id="1197" w:name="_Toc14552"/>
      <w:bookmarkStart w:id="1198" w:name="_Toc584"/>
      <w:bookmarkStart w:id="1199" w:name="_Toc30110"/>
      <w:bookmarkStart w:id="1200" w:name="_Toc9691"/>
      <w:bookmarkStart w:id="1201" w:name="_Toc0"/>
      <w:bookmarkStart w:id="1202" w:name="_Toc17482"/>
      <w:bookmarkStart w:id="1203" w:name="_Toc29915"/>
      <w:r>
        <w:rPr>
          <w:rFonts w:hint="eastAsia" w:ascii="Times New Roman"/>
          <w:sz w:val="44"/>
          <w:szCs w:val="44"/>
          <w:highlight w:val="none"/>
          <w:u w:val="single"/>
        </w:rPr>
        <w:t>（招标项目名称）</w:t>
      </w:r>
      <w:r>
        <w:rPr>
          <w:rFonts w:hint="eastAsia" w:ascii="Times New Roman"/>
          <w:sz w:val="44"/>
          <w:szCs w:val="44"/>
          <w:highlight w:val="none"/>
        </w:rPr>
        <w:t>标段招标</w:t>
      </w:r>
      <w:bookmarkEnd w:id="1195"/>
      <w:bookmarkEnd w:id="1196"/>
      <w:bookmarkEnd w:id="1197"/>
      <w:bookmarkEnd w:id="1198"/>
      <w:bookmarkEnd w:id="1199"/>
      <w:bookmarkEnd w:id="1200"/>
      <w:bookmarkEnd w:id="1201"/>
      <w:bookmarkEnd w:id="1202"/>
      <w:bookmarkEnd w:id="1203"/>
    </w:p>
    <w:p>
      <w:pPr>
        <w:pStyle w:val="4"/>
        <w:spacing w:beforeLines="500" w:afterLines="100" w:line="240" w:lineRule="auto"/>
        <w:jc w:val="center"/>
        <w:rPr>
          <w:rFonts w:ascii="Times New Roman" w:hAnsi="Times New Roman" w:eastAsia="黑体"/>
          <w:b w:val="0"/>
          <w:sz w:val="44"/>
          <w:szCs w:val="44"/>
          <w:highlight w:val="none"/>
        </w:rPr>
      </w:pPr>
      <w:bookmarkStart w:id="1204" w:name="_Toc14993"/>
      <w:bookmarkStart w:id="1205" w:name="_Toc140069462"/>
      <w:bookmarkStart w:id="1206" w:name="_Toc23592"/>
      <w:r>
        <w:rPr>
          <w:rFonts w:hint="eastAsia" w:ascii="Times New Roman" w:hAnsi="Times New Roman" w:eastAsia="黑体"/>
          <w:b w:val="0"/>
          <w:sz w:val="44"/>
          <w:szCs w:val="44"/>
          <w:highlight w:val="none"/>
        </w:rPr>
        <w:t>投标文件</w:t>
      </w:r>
      <w:bookmarkEnd w:id="1204"/>
      <w:bookmarkEnd w:id="1205"/>
    </w:p>
    <w:p>
      <w:pPr>
        <w:pStyle w:val="4"/>
        <w:jc w:val="center"/>
        <w:rPr>
          <w:rFonts w:ascii="Times New Roman" w:hAnsi="Times New Roman" w:eastAsia="黑体"/>
          <w:b w:val="0"/>
          <w:bCs w:val="0"/>
          <w:sz w:val="36"/>
          <w:szCs w:val="22"/>
          <w:highlight w:val="none"/>
        </w:rPr>
      </w:pPr>
      <w:bookmarkStart w:id="1207" w:name="_Toc16509"/>
      <w:bookmarkStart w:id="1208" w:name="_Toc140069463"/>
      <w:r>
        <w:rPr>
          <w:rFonts w:hint="eastAsia" w:ascii="Times New Roman" w:hAnsi="Times New Roman" w:eastAsia="黑体"/>
          <w:b w:val="0"/>
          <w:bCs w:val="0"/>
          <w:sz w:val="36"/>
          <w:szCs w:val="22"/>
          <w:highlight w:val="none"/>
        </w:rPr>
        <w:t>（技术文件）</w:t>
      </w:r>
      <w:bookmarkEnd w:id="1206"/>
      <w:bookmarkEnd w:id="1207"/>
      <w:bookmarkEnd w:id="1208"/>
    </w:p>
    <w:p>
      <w:pPr>
        <w:spacing w:beforeLines="3000" w:line="480" w:lineRule="auto"/>
        <w:jc w:val="center"/>
        <w:rPr>
          <w:rFonts w:ascii="Times New Roman" w:eastAsia="黑体"/>
          <w:sz w:val="28"/>
          <w:szCs w:val="28"/>
          <w:highlight w:val="none"/>
        </w:rPr>
      </w:pPr>
      <w:bookmarkStart w:id="1209" w:name="_Toc2070"/>
      <w:bookmarkStart w:id="1210" w:name="_Toc7858"/>
      <w:bookmarkStart w:id="1211" w:name="_Toc14549"/>
      <w:bookmarkStart w:id="1212" w:name="_Toc18372"/>
      <w:bookmarkStart w:id="1213" w:name="_Toc15620"/>
      <w:r>
        <w:rPr>
          <w:rFonts w:hint="eastAsia" w:ascii="Times New Roman" w:eastAsia="黑体"/>
          <w:sz w:val="28"/>
          <w:szCs w:val="28"/>
          <w:highlight w:val="none"/>
        </w:rPr>
        <w:t>投标人：（盖单位章）</w:t>
      </w:r>
      <w:bookmarkEnd w:id="1209"/>
      <w:bookmarkEnd w:id="1210"/>
      <w:bookmarkEnd w:id="1211"/>
      <w:bookmarkEnd w:id="1212"/>
      <w:bookmarkEnd w:id="1213"/>
    </w:p>
    <w:p>
      <w:pPr>
        <w:tabs>
          <w:tab w:val="left" w:pos="3280"/>
          <w:tab w:val="left" w:pos="4680"/>
          <w:tab w:val="left" w:pos="6080"/>
        </w:tabs>
        <w:autoSpaceDE w:val="0"/>
        <w:autoSpaceDN w:val="0"/>
        <w:adjustRightInd w:val="0"/>
        <w:snapToGrid w:val="0"/>
        <w:spacing w:line="480" w:lineRule="auto"/>
        <w:jc w:val="center"/>
        <w:rPr>
          <w:rFonts w:ascii="Times New Roman"/>
          <w:bCs/>
          <w:w w:val="99"/>
          <w:sz w:val="28"/>
          <w:szCs w:val="22"/>
          <w:highlight w:val="none"/>
        </w:rPr>
      </w:pPr>
      <w:bookmarkStart w:id="1214" w:name="_Toc518"/>
      <w:bookmarkStart w:id="1215" w:name="_Toc18115"/>
      <w:bookmarkStart w:id="1216" w:name="_Toc23773"/>
      <w:bookmarkStart w:id="1217" w:name="_Toc31763"/>
      <w:bookmarkStart w:id="1218" w:name="_Toc16137"/>
      <w:r>
        <w:rPr>
          <w:rFonts w:hint="eastAsia" w:ascii="Times New Roman" w:eastAsia="黑体"/>
          <w:sz w:val="28"/>
          <w:szCs w:val="28"/>
          <w:highlight w:val="none"/>
        </w:rPr>
        <w:t>年月日</w:t>
      </w:r>
      <w:bookmarkEnd w:id="1214"/>
      <w:bookmarkEnd w:id="1215"/>
      <w:bookmarkEnd w:id="1216"/>
      <w:bookmarkEnd w:id="1217"/>
      <w:bookmarkEnd w:id="1218"/>
    </w:p>
    <w:p>
      <w:pPr>
        <w:spacing w:beforeLines="100" w:afterLines="100"/>
        <w:ind w:firstLine="640" w:firstLineChars="200"/>
        <w:jc w:val="center"/>
        <w:rPr>
          <w:rFonts w:ascii="Times New Roman"/>
          <w:sz w:val="28"/>
          <w:szCs w:val="21"/>
          <w:highlight w:val="none"/>
        </w:rPr>
      </w:pPr>
      <w:bookmarkStart w:id="1219" w:name="_Toc460660258"/>
      <w:bookmarkStart w:id="1220" w:name="_Toc421917018"/>
      <w:bookmarkStart w:id="1221" w:name="_Toc460227143"/>
      <w:bookmarkStart w:id="1222" w:name="_Toc390411637"/>
      <w:bookmarkStart w:id="1223" w:name="_Toc224103503"/>
      <w:bookmarkStart w:id="1224" w:name="_Toc535241146"/>
      <w:r>
        <w:rPr>
          <w:rFonts w:ascii="Times New Roman"/>
          <w:sz w:val="32"/>
          <w:szCs w:val="32"/>
          <w:highlight w:val="none"/>
        </w:rPr>
        <w:br w:type="page"/>
      </w:r>
      <w:r>
        <w:rPr>
          <w:rFonts w:hint="eastAsia" w:ascii="Times New Roman"/>
          <w:sz w:val="28"/>
          <w:szCs w:val="21"/>
          <w:highlight w:val="none"/>
        </w:rPr>
        <w:t>目  录</w:t>
      </w:r>
    </w:p>
    <w:p>
      <w:pPr>
        <w:spacing w:line="360" w:lineRule="auto"/>
        <w:ind w:firstLine="480" w:firstLineChars="200"/>
        <w:rPr>
          <w:rFonts w:hAnsi="宋体" w:cs="宋体"/>
          <w:highlight w:val="none"/>
        </w:rPr>
      </w:pPr>
      <w:r>
        <w:rPr>
          <w:rFonts w:hint="eastAsia" w:hAnsi="宋体" w:cs="宋体"/>
          <w:highlight w:val="none"/>
        </w:rPr>
        <w:t>一、技术条款偏差表</w:t>
      </w:r>
    </w:p>
    <w:p>
      <w:pPr>
        <w:spacing w:line="360" w:lineRule="auto"/>
        <w:ind w:firstLine="480" w:firstLineChars="200"/>
        <w:rPr>
          <w:rFonts w:hAnsi="宋体" w:cs="宋体"/>
          <w:highlight w:val="none"/>
        </w:rPr>
      </w:pPr>
      <w:r>
        <w:rPr>
          <w:rFonts w:hint="eastAsia" w:hAnsi="宋体" w:cs="宋体"/>
          <w:highlight w:val="none"/>
        </w:rPr>
        <w:t>二、投标货物技术性能指标的详细描述</w:t>
      </w:r>
    </w:p>
    <w:p>
      <w:pPr>
        <w:spacing w:line="360" w:lineRule="auto"/>
        <w:ind w:firstLine="480" w:firstLineChars="200"/>
        <w:rPr>
          <w:rFonts w:hAnsi="宋体" w:cs="宋体"/>
          <w:highlight w:val="none"/>
        </w:rPr>
      </w:pPr>
      <w:r>
        <w:rPr>
          <w:rFonts w:hint="eastAsia" w:hAnsi="宋体" w:cs="宋体"/>
          <w:highlight w:val="none"/>
        </w:rPr>
        <w:t>三、技术服务和质保期服务计划</w:t>
      </w:r>
    </w:p>
    <w:p>
      <w:pPr>
        <w:spacing w:line="360" w:lineRule="auto"/>
        <w:ind w:firstLine="480" w:firstLineChars="200"/>
        <w:rPr>
          <w:rFonts w:hAnsi="宋体" w:cs="宋体"/>
          <w:highlight w:val="none"/>
        </w:rPr>
      </w:pPr>
      <w:r>
        <w:rPr>
          <w:rFonts w:hint="eastAsia" w:hAnsi="宋体" w:cs="宋体"/>
          <w:highlight w:val="none"/>
        </w:rPr>
        <w:t>四、技术支持资料</w:t>
      </w:r>
    </w:p>
    <w:p>
      <w:pPr>
        <w:spacing w:line="360" w:lineRule="auto"/>
        <w:ind w:firstLine="480" w:firstLineChars="200"/>
        <w:rPr>
          <w:rFonts w:hAnsi="宋体" w:cs="宋体"/>
          <w:highlight w:val="none"/>
        </w:rPr>
      </w:pPr>
      <w:r>
        <w:rPr>
          <w:rFonts w:hint="eastAsia" w:hAnsi="宋体" w:cs="宋体"/>
          <w:highlight w:val="none"/>
        </w:rPr>
        <w:t>五、技术文件详细评审资料</w:t>
      </w:r>
    </w:p>
    <w:p>
      <w:pPr>
        <w:spacing w:line="360" w:lineRule="auto"/>
        <w:ind w:firstLine="480" w:firstLineChars="200"/>
        <w:rPr>
          <w:rFonts w:hAnsi="宋体" w:cs="宋体"/>
          <w:highlight w:val="none"/>
        </w:rPr>
      </w:pPr>
      <w:r>
        <w:rPr>
          <w:rFonts w:hint="eastAsia" w:hAnsi="宋体" w:cs="宋体"/>
          <w:highlight w:val="none"/>
        </w:rPr>
        <w:t>六、其他内容</w:t>
      </w:r>
    </w:p>
    <w:p>
      <w:pPr>
        <w:pStyle w:val="2"/>
        <w:spacing w:before="0" w:after="0"/>
        <w:ind w:firstLine="480"/>
        <w:jc w:val="center"/>
        <w:rPr>
          <w:rFonts w:cs="黑体"/>
          <w:highlight w:val="none"/>
        </w:rPr>
      </w:pPr>
      <w:r>
        <w:rPr>
          <w:rFonts w:hint="eastAsia" w:cs="黑体"/>
          <w:highlight w:val="none"/>
        </w:rPr>
        <w:br w:type="page"/>
      </w:r>
      <w:r>
        <w:rPr>
          <w:rFonts w:hint="eastAsia" w:cs="黑体"/>
          <w:highlight w:val="none"/>
        </w:rPr>
        <w:t>一、技术条款偏差表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69"/>
        <w:gridCol w:w="977"/>
        <w:gridCol w:w="1150"/>
        <w:gridCol w:w="992"/>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序号</w:t>
            </w:r>
          </w:p>
        </w:tc>
        <w:tc>
          <w:tcPr>
            <w:tcW w:w="3796" w:type="dxa"/>
            <w:gridSpan w:val="3"/>
            <w:vAlign w:val="center"/>
          </w:tcPr>
          <w:p>
            <w:pPr>
              <w:widowControl/>
              <w:snapToGrid w:val="0"/>
              <w:spacing w:line="360" w:lineRule="auto"/>
              <w:jc w:val="center"/>
              <w:rPr>
                <w:rFonts w:hAnsi="宋体" w:cs="宋体"/>
                <w:highlight w:val="none"/>
              </w:rPr>
            </w:pPr>
            <w:r>
              <w:rPr>
                <w:rFonts w:hint="eastAsia" w:hAnsi="宋体" w:cs="宋体"/>
                <w:highlight w:val="none"/>
              </w:rPr>
              <w:t>招标文件要求</w:t>
            </w:r>
          </w:p>
        </w:tc>
        <w:tc>
          <w:tcPr>
            <w:tcW w:w="2410"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投标文件响应</w:t>
            </w:r>
          </w:p>
        </w:tc>
        <w:tc>
          <w:tcPr>
            <w:tcW w:w="1506"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Align w:val="center"/>
          </w:tcPr>
          <w:p>
            <w:pPr>
              <w:widowControl/>
              <w:snapToGrid w:val="0"/>
              <w:spacing w:line="360" w:lineRule="auto"/>
              <w:jc w:val="center"/>
              <w:rPr>
                <w:rFonts w:hAnsi="宋体" w:cs="宋体"/>
                <w:highlight w:val="none"/>
              </w:rPr>
            </w:pPr>
            <w:r>
              <w:rPr>
                <w:rFonts w:hint="eastAsia" w:hAnsi="宋体" w:cs="宋体"/>
                <w:highlight w:val="none"/>
              </w:rPr>
              <w:t>供货要求</w:t>
            </w:r>
          </w:p>
        </w:tc>
        <w:tc>
          <w:tcPr>
            <w:tcW w:w="977"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150" w:type="dxa"/>
            <w:vAlign w:val="center"/>
          </w:tcPr>
          <w:p>
            <w:pPr>
              <w:widowControl/>
              <w:snapToGrid w:val="0"/>
              <w:spacing w:line="360" w:lineRule="auto"/>
              <w:jc w:val="center"/>
              <w:rPr>
                <w:rFonts w:hAnsi="宋体" w:cs="宋体"/>
                <w:highlight w:val="none"/>
              </w:rPr>
            </w:pPr>
            <w:r>
              <w:rPr>
                <w:rFonts w:hint="eastAsia" w:hAnsi="宋体" w:cs="宋体"/>
                <w:highlight w:val="none"/>
              </w:rPr>
              <w:t>具体要求</w:t>
            </w:r>
          </w:p>
        </w:tc>
        <w:tc>
          <w:tcPr>
            <w:tcW w:w="992"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418" w:type="dxa"/>
            <w:vAlign w:val="center"/>
          </w:tcPr>
          <w:p>
            <w:pPr>
              <w:widowControl/>
              <w:snapToGrid w:val="0"/>
              <w:spacing w:line="360" w:lineRule="auto"/>
              <w:jc w:val="center"/>
              <w:rPr>
                <w:rFonts w:hAnsi="宋体" w:cs="宋体"/>
                <w:highlight w:val="none"/>
              </w:rPr>
            </w:pPr>
            <w:r>
              <w:rPr>
                <w:rFonts w:hint="eastAsia" w:hAnsi="宋体" w:cs="宋体"/>
                <w:highlight w:val="none"/>
              </w:rPr>
              <w:t>具体内容</w:t>
            </w:r>
          </w:p>
        </w:tc>
        <w:tc>
          <w:tcPr>
            <w:tcW w:w="1506" w:type="dxa"/>
            <w:vMerge w:val="continue"/>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1</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供货范围</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2</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相关配置、功能、技术性能参数等具体要求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3</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检验考核要求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4</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技术服务要求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其他要求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bl>
    <w:p>
      <w:pPr>
        <w:spacing w:line="360" w:lineRule="auto"/>
        <w:rPr>
          <w:rFonts w:hAnsi="宋体" w:cs="宋体"/>
          <w:highlight w:val="none"/>
        </w:rPr>
      </w:pPr>
    </w:p>
    <w:p>
      <w:pPr>
        <w:spacing w:line="360" w:lineRule="auto"/>
        <w:rPr>
          <w:rFonts w:hAnsi="宋体" w:cs="宋体"/>
          <w:highlight w:val="none"/>
        </w:rPr>
      </w:pPr>
      <w:r>
        <w:rPr>
          <w:rFonts w:hint="eastAsia" w:hAnsi="宋体" w:cs="宋体"/>
          <w:highlight w:val="none"/>
        </w:rPr>
        <w:t>投标人保证：除技术条款偏差表列出的偏差外，投标人响应招标文件的全部要求。</w:t>
      </w:r>
    </w:p>
    <w:p>
      <w:pPr>
        <w:rPr>
          <w:highlight w:val="none"/>
        </w:rPr>
      </w:pPr>
    </w:p>
    <w:p>
      <w:pPr>
        <w:spacing w:beforeLines="50" w:afterLines="50" w:line="360" w:lineRule="auto"/>
        <w:jc w:val="center"/>
        <w:outlineLvl w:val="2"/>
        <w:rPr>
          <w:rFonts w:ascii="Times New Roman"/>
          <w:bCs/>
          <w:szCs w:val="24"/>
          <w:highlight w:val="none"/>
        </w:rPr>
      </w:pPr>
      <w:r>
        <w:rPr>
          <w:rFonts w:ascii="Times New Roman"/>
          <w:sz w:val="32"/>
          <w:szCs w:val="32"/>
          <w:highlight w:val="none"/>
        </w:rPr>
        <w:br w:type="page"/>
      </w:r>
      <w:bookmarkEnd w:id="1219"/>
      <w:bookmarkEnd w:id="1220"/>
      <w:bookmarkEnd w:id="1221"/>
      <w:bookmarkEnd w:id="1222"/>
      <w:bookmarkEnd w:id="1223"/>
      <w:bookmarkEnd w:id="1224"/>
      <w:r>
        <w:rPr>
          <w:rFonts w:hint="eastAsia" w:ascii="黑体" w:hAnsi="黑体" w:eastAsia="黑体" w:cs="黑体"/>
          <w:szCs w:val="24"/>
          <w:highlight w:val="none"/>
        </w:rPr>
        <w:t>二、投标货物技术性能指标的详细描述</w:t>
      </w:r>
    </w:p>
    <w:p>
      <w:pPr>
        <w:jc w:val="center"/>
        <w:rPr>
          <w:sz w:val="28"/>
          <w:szCs w:val="28"/>
          <w:highlight w:val="none"/>
        </w:rPr>
      </w:pPr>
    </w:p>
    <w:p>
      <w:pPr>
        <w:pStyle w:val="2"/>
        <w:jc w:val="center"/>
        <w:rPr>
          <w:rFonts w:cs="黑体"/>
          <w:bCs w:val="0"/>
          <w:szCs w:val="22"/>
          <w:highlight w:val="none"/>
        </w:rPr>
      </w:pPr>
      <w:r>
        <w:rPr>
          <w:rFonts w:hint="eastAsia" w:ascii="Times New Roman" w:hAnsi="Times New Roman" w:eastAsia="宋体"/>
          <w:highlight w:val="none"/>
        </w:rPr>
        <w:br w:type="page"/>
      </w:r>
      <w:r>
        <w:rPr>
          <w:rFonts w:hint="eastAsia" w:cs="黑体"/>
          <w:bCs w:val="0"/>
          <w:highlight w:val="none"/>
        </w:rPr>
        <w:t>三、技术服务和质保期服务计划</w:t>
      </w:r>
    </w:p>
    <w:p>
      <w:pPr>
        <w:pStyle w:val="2"/>
        <w:jc w:val="center"/>
        <w:rPr>
          <w:highlight w:val="none"/>
        </w:rPr>
      </w:pPr>
      <w:r>
        <w:rPr>
          <w:rFonts w:hint="eastAsia" w:ascii="Times New Roman" w:hAnsi="Times New Roman"/>
          <w:highlight w:val="none"/>
        </w:rPr>
        <w:br w:type="page"/>
      </w:r>
      <w:r>
        <w:rPr>
          <w:rFonts w:hint="eastAsia" w:ascii="Times New Roman" w:hAnsi="Times New Roman"/>
          <w:highlight w:val="none"/>
        </w:rPr>
        <w:t>四、</w:t>
      </w:r>
      <w:r>
        <w:rPr>
          <w:rFonts w:hint="eastAsia" w:cs="黑体"/>
          <w:bCs w:val="0"/>
          <w:highlight w:val="none"/>
        </w:rPr>
        <w:t>技术支持资料</w:t>
      </w:r>
    </w:p>
    <w:p>
      <w:pPr>
        <w:pStyle w:val="2"/>
        <w:jc w:val="center"/>
        <w:rPr>
          <w:rFonts w:ascii="Times New Roman" w:hAnsi="Times New Roman"/>
          <w:highlight w:val="none"/>
        </w:rPr>
      </w:pPr>
      <w:r>
        <w:rPr>
          <w:szCs w:val="22"/>
          <w:highlight w:val="none"/>
        </w:rPr>
        <w:br w:type="page"/>
      </w:r>
      <w:r>
        <w:rPr>
          <w:rFonts w:hint="eastAsia" w:ascii="Times New Roman" w:hAnsi="Times New Roman"/>
          <w:highlight w:val="none"/>
        </w:rPr>
        <w:t>五、技术文件详细评审资料</w:t>
      </w:r>
    </w:p>
    <w:p>
      <w:pPr>
        <w:rPr>
          <w:highlight w:val="none"/>
        </w:rPr>
      </w:pPr>
      <w:r>
        <w:rPr>
          <w:rFonts w:hint="eastAsia" w:ascii="Times New Roman"/>
          <w:szCs w:val="24"/>
          <w:highlight w:val="none"/>
        </w:rPr>
        <w:t>投标人对照技术文件详细评审条件，自行提供其他相关资料（如有）</w:t>
      </w:r>
    </w:p>
    <w:p>
      <w:pPr>
        <w:spacing w:beforeLines="50" w:afterLines="50" w:line="360" w:lineRule="auto"/>
        <w:jc w:val="center"/>
        <w:outlineLvl w:val="3"/>
        <w:rPr>
          <w:bCs/>
          <w:szCs w:val="24"/>
          <w:highlight w:val="none"/>
        </w:rPr>
      </w:pPr>
      <w:r>
        <w:rPr>
          <w:rFonts w:hint="eastAsia"/>
          <w:bCs/>
          <w:szCs w:val="24"/>
          <w:highlight w:val="none"/>
        </w:rPr>
        <w:t>（一）供货及安装方案</w:t>
      </w:r>
    </w:p>
    <w:p>
      <w:pPr>
        <w:spacing w:beforeLines="50" w:afterLines="50" w:line="360" w:lineRule="auto"/>
        <w:jc w:val="center"/>
        <w:outlineLvl w:val="3"/>
        <w:rPr>
          <w:bCs/>
          <w:szCs w:val="24"/>
          <w:highlight w:val="none"/>
        </w:rPr>
      </w:pPr>
      <w:r>
        <w:rPr>
          <w:rFonts w:hint="eastAsia"/>
          <w:bCs/>
          <w:szCs w:val="24"/>
          <w:highlight w:val="none"/>
        </w:rPr>
        <w:br w:type="page"/>
      </w:r>
      <w:r>
        <w:rPr>
          <w:rFonts w:hint="eastAsia"/>
          <w:bCs/>
          <w:szCs w:val="24"/>
          <w:highlight w:val="none"/>
        </w:rPr>
        <w:t>（二）其他</w:t>
      </w:r>
    </w:p>
    <w:p>
      <w:pPr>
        <w:pStyle w:val="2"/>
        <w:spacing w:beforeLines="100" w:afterLines="100" w:line="240" w:lineRule="auto"/>
        <w:jc w:val="center"/>
        <w:rPr>
          <w:rFonts w:ascii="Times New Roman" w:hAnsi="Times New Roman"/>
          <w:highlight w:val="none"/>
        </w:rPr>
      </w:pPr>
      <w:r>
        <w:rPr>
          <w:rFonts w:hint="eastAsia" w:ascii="Times New Roman" w:hAnsi="Times New Roman"/>
          <w:highlight w:val="none"/>
        </w:rPr>
        <w:br w:type="page"/>
      </w:r>
      <w:r>
        <w:rPr>
          <w:rFonts w:hint="eastAsia" w:ascii="Times New Roman" w:hAnsi="Times New Roman"/>
          <w:highlight w:val="none"/>
        </w:rPr>
        <w:t>六、其他内容</w:t>
      </w:r>
    </w:p>
    <w:p>
      <w:pPr>
        <w:tabs>
          <w:tab w:val="left" w:pos="2580"/>
          <w:tab w:val="left" w:pos="5940"/>
        </w:tabs>
        <w:autoSpaceDE w:val="0"/>
        <w:autoSpaceDN w:val="0"/>
        <w:adjustRightInd w:val="0"/>
        <w:snapToGrid w:val="0"/>
        <w:spacing w:line="400" w:lineRule="exact"/>
        <w:ind w:firstLine="456" w:firstLineChars="200"/>
        <w:jc w:val="center"/>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tabs>
          <w:tab w:val="left" w:pos="2580"/>
          <w:tab w:val="left" w:pos="5940"/>
        </w:tabs>
        <w:autoSpaceDE w:val="0"/>
        <w:autoSpaceDN w:val="0"/>
        <w:adjustRightInd w:val="0"/>
        <w:snapToGrid w:val="0"/>
        <w:spacing w:beforeLines="200" w:line="360" w:lineRule="auto"/>
        <w:jc w:val="center"/>
        <w:outlineLvl w:val="0"/>
        <w:rPr>
          <w:rFonts w:ascii="Times New Roman"/>
          <w:bCs/>
          <w:sz w:val="44"/>
          <w:szCs w:val="44"/>
          <w:highlight w:val="none"/>
        </w:rPr>
      </w:pPr>
      <w:r>
        <w:rPr>
          <w:rFonts w:hint="eastAsia" w:ascii="Times New Roman" w:eastAsia="黑体"/>
          <w:sz w:val="28"/>
          <w:szCs w:val="28"/>
          <w:highlight w:val="none"/>
          <w:u w:val="single"/>
        </w:rPr>
        <w:br w:type="page"/>
      </w:r>
      <w:bookmarkStart w:id="1225" w:name="_Toc140069464"/>
      <w:bookmarkStart w:id="1226" w:name="_Toc24960"/>
      <w:r>
        <w:rPr>
          <w:rFonts w:hint="eastAsia" w:ascii="Times New Roman"/>
          <w:sz w:val="44"/>
          <w:szCs w:val="44"/>
          <w:highlight w:val="none"/>
          <w:u w:val="single"/>
        </w:rPr>
        <w:t>（招标项目名称）</w:t>
      </w:r>
      <w:r>
        <w:rPr>
          <w:rFonts w:hint="eastAsia" w:ascii="Times New Roman"/>
          <w:sz w:val="44"/>
          <w:szCs w:val="44"/>
          <w:highlight w:val="none"/>
        </w:rPr>
        <w:t>标段招标</w:t>
      </w:r>
      <w:bookmarkEnd w:id="1225"/>
      <w:bookmarkEnd w:id="1226"/>
    </w:p>
    <w:p>
      <w:pPr>
        <w:pStyle w:val="4"/>
        <w:spacing w:beforeLines="500" w:afterLines="100" w:line="240" w:lineRule="auto"/>
        <w:jc w:val="center"/>
        <w:rPr>
          <w:rFonts w:ascii="Times New Roman" w:hAnsi="Times New Roman" w:eastAsia="黑体"/>
          <w:b w:val="0"/>
          <w:sz w:val="44"/>
          <w:szCs w:val="44"/>
          <w:highlight w:val="none"/>
        </w:rPr>
      </w:pPr>
      <w:bookmarkStart w:id="1227" w:name="_Toc140069465"/>
      <w:bookmarkStart w:id="1228" w:name="_Toc32336"/>
      <w:bookmarkStart w:id="1229" w:name="_Toc7747"/>
      <w:r>
        <w:rPr>
          <w:rFonts w:hint="eastAsia" w:ascii="Times New Roman" w:hAnsi="Times New Roman" w:eastAsia="黑体"/>
          <w:b w:val="0"/>
          <w:sz w:val="44"/>
          <w:szCs w:val="44"/>
          <w:highlight w:val="none"/>
        </w:rPr>
        <w:t>投标文件</w:t>
      </w:r>
      <w:bookmarkEnd w:id="1227"/>
      <w:bookmarkEnd w:id="1228"/>
    </w:p>
    <w:p>
      <w:pPr>
        <w:pStyle w:val="4"/>
        <w:jc w:val="center"/>
        <w:rPr>
          <w:rFonts w:ascii="Times New Roman" w:hAnsi="Times New Roman" w:eastAsia="黑体"/>
          <w:b w:val="0"/>
          <w:highlight w:val="none"/>
        </w:rPr>
      </w:pPr>
      <w:bookmarkStart w:id="1230" w:name="_Toc140069466"/>
      <w:bookmarkStart w:id="1231" w:name="_Toc8139"/>
      <w:r>
        <w:rPr>
          <w:rFonts w:hint="eastAsia" w:ascii="Times New Roman" w:hAnsi="Times New Roman" w:eastAsia="黑体"/>
          <w:b w:val="0"/>
          <w:highlight w:val="none"/>
        </w:rPr>
        <w:t>（报价文件）</w:t>
      </w:r>
      <w:bookmarkEnd w:id="1229"/>
      <w:bookmarkEnd w:id="1230"/>
      <w:bookmarkEnd w:id="1231"/>
    </w:p>
    <w:p>
      <w:pPr>
        <w:spacing w:beforeLines="3000" w:line="480" w:lineRule="auto"/>
        <w:jc w:val="center"/>
        <w:rPr>
          <w:rFonts w:ascii="Times New Roman" w:eastAsia="黑体"/>
          <w:sz w:val="28"/>
          <w:szCs w:val="28"/>
          <w:highlight w:val="none"/>
        </w:rPr>
      </w:pPr>
      <w:bookmarkStart w:id="1232" w:name="_Toc9461"/>
      <w:bookmarkStart w:id="1233" w:name="_Toc19468"/>
      <w:bookmarkStart w:id="1234" w:name="_Toc28590"/>
      <w:bookmarkStart w:id="1235" w:name="_Toc11104"/>
      <w:r>
        <w:rPr>
          <w:rFonts w:hint="eastAsia" w:ascii="Times New Roman" w:eastAsia="黑体"/>
          <w:sz w:val="28"/>
          <w:szCs w:val="28"/>
          <w:highlight w:val="none"/>
        </w:rPr>
        <w:t>投标人：（盖单位章）</w:t>
      </w:r>
      <w:bookmarkEnd w:id="1232"/>
      <w:bookmarkEnd w:id="1233"/>
      <w:bookmarkEnd w:id="1234"/>
      <w:bookmarkEnd w:id="1235"/>
    </w:p>
    <w:p>
      <w:pPr>
        <w:tabs>
          <w:tab w:val="left" w:pos="3280"/>
          <w:tab w:val="left" w:pos="4680"/>
          <w:tab w:val="left" w:pos="6080"/>
        </w:tabs>
        <w:autoSpaceDE w:val="0"/>
        <w:autoSpaceDN w:val="0"/>
        <w:adjustRightInd w:val="0"/>
        <w:snapToGrid w:val="0"/>
        <w:spacing w:line="480" w:lineRule="auto"/>
        <w:jc w:val="center"/>
        <w:rPr>
          <w:rFonts w:ascii="Times New Roman"/>
          <w:bCs/>
          <w:sz w:val="28"/>
          <w:szCs w:val="22"/>
          <w:highlight w:val="none"/>
        </w:rPr>
      </w:pPr>
      <w:bookmarkStart w:id="1236" w:name="_Toc9542"/>
      <w:bookmarkStart w:id="1237" w:name="_Toc30859"/>
      <w:bookmarkStart w:id="1238" w:name="_Toc27697"/>
      <w:bookmarkStart w:id="1239" w:name="_Toc2813"/>
      <w:r>
        <w:rPr>
          <w:rFonts w:hint="eastAsia" w:ascii="Times New Roman" w:eastAsia="黑体"/>
          <w:sz w:val="28"/>
          <w:szCs w:val="28"/>
          <w:highlight w:val="none"/>
        </w:rPr>
        <w:t>年</w:t>
      </w:r>
      <w:r>
        <w:rPr>
          <w:rFonts w:hint="eastAsia" w:ascii="Times New Roman" w:eastAsia="黑体"/>
          <w:sz w:val="28"/>
          <w:szCs w:val="28"/>
          <w:highlight w:val="none"/>
          <w:lang w:val="en-US" w:eastAsia="zh-CN"/>
        </w:rPr>
        <w:t xml:space="preserve"> </w:t>
      </w:r>
      <w:r>
        <w:rPr>
          <w:rFonts w:hint="eastAsia" w:ascii="Times New Roman" w:eastAsia="黑体"/>
          <w:sz w:val="28"/>
          <w:szCs w:val="28"/>
          <w:highlight w:val="none"/>
        </w:rPr>
        <w:t>月</w:t>
      </w:r>
      <w:r>
        <w:rPr>
          <w:rFonts w:hint="eastAsia" w:ascii="Times New Roman" w:eastAsia="黑体"/>
          <w:sz w:val="28"/>
          <w:szCs w:val="28"/>
          <w:highlight w:val="none"/>
          <w:lang w:val="en-US" w:eastAsia="zh-CN"/>
        </w:rPr>
        <w:t xml:space="preserve"> </w:t>
      </w:r>
      <w:r>
        <w:rPr>
          <w:rFonts w:hint="eastAsia" w:ascii="Times New Roman" w:eastAsia="黑体"/>
          <w:sz w:val="28"/>
          <w:szCs w:val="28"/>
          <w:highlight w:val="none"/>
        </w:rPr>
        <w:t>日</w:t>
      </w:r>
      <w:bookmarkEnd w:id="1236"/>
      <w:bookmarkEnd w:id="1237"/>
      <w:bookmarkEnd w:id="1238"/>
      <w:bookmarkEnd w:id="1239"/>
    </w:p>
    <w:p>
      <w:pPr>
        <w:spacing w:beforeLines="100" w:afterLines="100" w:line="360" w:lineRule="auto"/>
        <w:ind w:firstLine="480" w:firstLineChars="200"/>
        <w:jc w:val="center"/>
        <w:rPr>
          <w:rFonts w:ascii="Times New Roman"/>
          <w:sz w:val="28"/>
          <w:szCs w:val="21"/>
          <w:highlight w:val="none"/>
        </w:rPr>
      </w:pPr>
      <w:bookmarkStart w:id="1240" w:name="_Toc460227120"/>
      <w:bookmarkStart w:id="1241" w:name="_Toc390411631"/>
      <w:bookmarkStart w:id="1242" w:name="_Toc460660235"/>
      <w:bookmarkStart w:id="1243" w:name="_Toc421917012"/>
      <w:r>
        <w:rPr>
          <w:rFonts w:hint="eastAsia" w:ascii="Times New Roman"/>
          <w:highlight w:val="none"/>
        </w:rPr>
        <w:br w:type="page"/>
      </w:r>
      <w:r>
        <w:rPr>
          <w:rFonts w:hint="eastAsia" w:ascii="Times New Roman"/>
          <w:sz w:val="28"/>
          <w:szCs w:val="21"/>
          <w:highlight w:val="none"/>
        </w:rPr>
        <w:t>目  录</w:t>
      </w:r>
    </w:p>
    <w:p>
      <w:pPr>
        <w:spacing w:line="360" w:lineRule="auto"/>
        <w:ind w:firstLine="480" w:firstLineChars="200"/>
        <w:rPr>
          <w:rFonts w:ascii="Times New Roman"/>
          <w:szCs w:val="21"/>
          <w:highlight w:val="none"/>
        </w:rPr>
      </w:pPr>
      <w:r>
        <w:rPr>
          <w:rFonts w:hint="eastAsia" w:ascii="Times New Roman"/>
          <w:szCs w:val="21"/>
          <w:highlight w:val="none"/>
        </w:rPr>
        <w:t>一、投标函</w:t>
      </w:r>
    </w:p>
    <w:p>
      <w:pPr>
        <w:spacing w:line="360" w:lineRule="auto"/>
        <w:ind w:firstLine="480" w:firstLineChars="200"/>
        <w:rPr>
          <w:highlight w:val="none"/>
        </w:rPr>
      </w:pPr>
      <w:r>
        <w:rPr>
          <w:rFonts w:hint="eastAsia" w:ascii="Times New Roman"/>
          <w:szCs w:val="21"/>
          <w:highlight w:val="none"/>
        </w:rPr>
        <w:t>二、</w:t>
      </w:r>
      <w:r>
        <w:rPr>
          <w:highlight w:val="none"/>
        </w:rPr>
        <w:t>分项报价表</w:t>
      </w:r>
    </w:p>
    <w:p>
      <w:pPr>
        <w:spacing w:line="360" w:lineRule="auto"/>
        <w:ind w:firstLine="480" w:firstLineChars="200"/>
        <w:rPr>
          <w:highlight w:val="none"/>
        </w:rPr>
      </w:pPr>
      <w:r>
        <w:rPr>
          <w:rFonts w:hint="eastAsia" w:ascii="Times New Roman"/>
          <w:szCs w:val="21"/>
          <w:highlight w:val="none"/>
        </w:rPr>
        <w:t>三、</w:t>
      </w:r>
      <w:r>
        <w:rPr>
          <w:rFonts w:hint="eastAsia"/>
          <w:highlight w:val="none"/>
        </w:rPr>
        <w:t>其他内容</w:t>
      </w:r>
    </w:p>
    <w:p>
      <w:pPr>
        <w:pStyle w:val="2"/>
        <w:spacing w:beforeLines="100" w:afterLines="100" w:line="240" w:lineRule="auto"/>
        <w:jc w:val="center"/>
        <w:rPr>
          <w:rFonts w:ascii="Times New Roman" w:hAnsi="Times New Roman"/>
          <w:highlight w:val="none"/>
        </w:rPr>
      </w:pPr>
      <w:bookmarkStart w:id="1244" w:name="_Toc16012"/>
      <w:bookmarkStart w:id="1245" w:name="_Toc20295"/>
      <w:bookmarkStart w:id="1246" w:name="_Toc14679"/>
      <w:bookmarkStart w:id="1247" w:name="_Toc4869"/>
      <w:r>
        <w:rPr>
          <w:rFonts w:hint="eastAsia" w:ascii="Times New Roman" w:hAnsi="Times New Roman"/>
          <w:highlight w:val="none"/>
        </w:rPr>
        <w:br w:type="page"/>
      </w:r>
      <w:bookmarkEnd w:id="1240"/>
      <w:bookmarkEnd w:id="1241"/>
      <w:bookmarkEnd w:id="1242"/>
      <w:bookmarkEnd w:id="1243"/>
      <w:bookmarkEnd w:id="1244"/>
      <w:bookmarkEnd w:id="1245"/>
      <w:bookmarkEnd w:id="1246"/>
      <w:bookmarkEnd w:id="1247"/>
      <w:r>
        <w:rPr>
          <w:rFonts w:hint="eastAsia" w:ascii="Times New Roman" w:hAnsi="Times New Roman"/>
          <w:highlight w:val="none"/>
        </w:rPr>
        <w:t>一、投标函</w:t>
      </w:r>
    </w:p>
    <w:p>
      <w:pPr>
        <w:adjustRightInd w:val="0"/>
        <w:snapToGrid w:val="0"/>
        <w:spacing w:line="360" w:lineRule="auto"/>
        <w:rPr>
          <w:rFonts w:hAnsi="宋体" w:cs="宋体"/>
          <w:highlight w:val="none"/>
          <w:u w:val="single"/>
        </w:rPr>
      </w:pPr>
      <w:r>
        <w:rPr>
          <w:rFonts w:hint="eastAsia" w:hAnsi="宋体" w:cs="宋体"/>
          <w:highlight w:val="none"/>
        </w:rPr>
        <w:t>致：</w:t>
      </w:r>
      <w:r>
        <w:rPr>
          <w:rFonts w:hint="eastAsia" w:hAnsi="宋体" w:cs="宋体"/>
          <w:highlight w:val="none"/>
          <w:u w:val="single"/>
        </w:rPr>
        <w:t>（招标人）</w:t>
      </w:r>
    </w:p>
    <w:p>
      <w:pPr>
        <w:tabs>
          <w:tab w:val="left" w:pos="7560"/>
        </w:tabs>
        <w:adjustRightInd w:val="0"/>
        <w:snapToGrid w:val="0"/>
        <w:spacing w:line="360" w:lineRule="auto"/>
        <w:ind w:firstLine="480" w:firstLineChars="200"/>
        <w:jc w:val="left"/>
        <w:rPr>
          <w:rFonts w:hAnsi="宋体" w:cs="宋体"/>
          <w:highlight w:val="none"/>
          <w:u w:val="single"/>
        </w:rPr>
      </w:pPr>
      <w:r>
        <w:rPr>
          <w:rFonts w:hint="eastAsia" w:hAnsi="宋体" w:cs="宋体"/>
          <w:highlight w:val="none"/>
        </w:rPr>
        <w:t>1. 我方已仔细研究了</w:t>
      </w:r>
      <w:r>
        <w:rPr>
          <w:rFonts w:hint="eastAsia" w:hAnsi="宋体"/>
          <w:highlight w:val="none"/>
          <w:u w:val="single"/>
        </w:rPr>
        <w:t>（招标项目名称）</w:t>
      </w:r>
      <w:r>
        <w:rPr>
          <w:rFonts w:hint="eastAsia" w:hAnsi="宋体"/>
          <w:highlight w:val="none"/>
        </w:rPr>
        <w:t>标段</w:t>
      </w:r>
      <w:r>
        <w:rPr>
          <w:rFonts w:hint="eastAsia" w:hAnsi="宋体" w:cs="宋体"/>
          <w:highlight w:val="none"/>
        </w:rPr>
        <w:t>招标文件的全部内容，愿意以人民币（大写）（¥）的投标总报价提供招标文件要求的货物、安装及技术服务和质保售后服务等，并按合同约定履行义务。</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3. 除非另外达成协议并生效，你方的中标通知书和本投标文件以及招标文件、招标文件澄清、修改、补充文件将成为约束双方的合同文件的组成部分。</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4. 其他补充说明：（补充说明事项）</w:t>
      </w:r>
    </w:p>
    <w:p>
      <w:pPr>
        <w:adjustRightInd w:val="0"/>
        <w:snapToGrid w:val="0"/>
        <w:spacing w:line="360" w:lineRule="auto"/>
        <w:ind w:firstLine="420" w:firstLineChars="175"/>
        <w:rPr>
          <w:rFonts w:hAnsi="宋体" w:cs="宋体"/>
          <w:bCs/>
          <w:highlight w:val="none"/>
        </w:rPr>
      </w:pPr>
    </w:p>
    <w:p>
      <w:pPr>
        <w:adjustRightInd w:val="0"/>
        <w:snapToGrid w:val="0"/>
        <w:spacing w:line="360" w:lineRule="auto"/>
        <w:ind w:firstLine="480" w:firstLineChars="200"/>
        <w:rPr>
          <w:rFonts w:hAnsi="宋体" w:cs="宋体"/>
          <w:bCs/>
          <w:highlight w:val="none"/>
          <w:u w:val="single"/>
        </w:rPr>
      </w:pPr>
      <w:r>
        <w:rPr>
          <w:rFonts w:hint="eastAsia" w:hAnsi="宋体" w:cs="宋体"/>
          <w:bCs/>
          <w:highlight w:val="none"/>
        </w:rPr>
        <w:t>投 标 人：（盖单位章）</w:t>
      </w:r>
    </w:p>
    <w:p>
      <w:pPr>
        <w:adjustRightInd w:val="0"/>
        <w:snapToGrid w:val="0"/>
        <w:spacing w:line="360" w:lineRule="auto"/>
        <w:ind w:firstLine="480" w:firstLineChars="200"/>
        <w:rPr>
          <w:rFonts w:hAnsi="宋体" w:cs="宋体"/>
          <w:highlight w:val="none"/>
          <w:u w:val="single"/>
        </w:rPr>
      </w:pPr>
      <w:r>
        <w:rPr>
          <w:rFonts w:hint="eastAsia" w:hAnsi="宋体" w:cs="宋体"/>
          <w:highlight w:val="none"/>
        </w:rPr>
        <w:t>法定代表人（单位负责人）：（签字或盖章）</w:t>
      </w:r>
    </w:p>
    <w:p>
      <w:pPr>
        <w:adjustRightInd w:val="0"/>
        <w:snapToGrid w:val="0"/>
        <w:spacing w:line="360" w:lineRule="auto"/>
        <w:ind w:left="125" w:leftChars="52" w:firstLine="360" w:firstLineChars="150"/>
        <w:rPr>
          <w:rFonts w:hAnsi="宋体" w:cs="宋体"/>
          <w:highlight w:val="none"/>
          <w:u w:val="single"/>
        </w:rPr>
      </w:pPr>
      <w:r>
        <w:rPr>
          <w:rFonts w:hint="eastAsia" w:hAnsi="宋体" w:cs="宋体"/>
          <w:highlight w:val="none"/>
        </w:rPr>
        <w:t>单位地址：</w:t>
      </w:r>
    </w:p>
    <w:p>
      <w:pPr>
        <w:adjustRightInd w:val="0"/>
        <w:snapToGrid w:val="0"/>
        <w:spacing w:line="360" w:lineRule="auto"/>
        <w:ind w:firstLine="480" w:firstLineChars="200"/>
        <w:rPr>
          <w:rFonts w:hAnsi="宋体" w:cs="宋体"/>
          <w:highlight w:val="none"/>
        </w:rPr>
      </w:pPr>
      <w:r>
        <w:rPr>
          <w:rFonts w:hint="eastAsia" w:hAnsi="宋体" w:cs="宋体"/>
          <w:highlight w:val="none"/>
        </w:rPr>
        <w:t>邮政编码：电话： 传真：</w:t>
      </w:r>
    </w:p>
    <w:p>
      <w:pPr>
        <w:adjustRightInd w:val="0"/>
        <w:snapToGrid w:val="0"/>
        <w:spacing w:line="360" w:lineRule="auto"/>
        <w:ind w:firstLine="480" w:firstLineChars="200"/>
        <w:rPr>
          <w:rFonts w:hAnsi="宋体" w:cs="宋体"/>
          <w:highlight w:val="none"/>
        </w:rPr>
      </w:pPr>
      <w:r>
        <w:rPr>
          <w:rFonts w:hint="eastAsia" w:hAnsi="宋体" w:cs="宋体"/>
          <w:highlight w:val="none"/>
        </w:rPr>
        <w:t>日期：年月日</w:t>
      </w:r>
    </w:p>
    <w:p>
      <w:pPr>
        <w:adjustRightInd w:val="0"/>
        <w:snapToGrid w:val="0"/>
        <w:spacing w:beforeLines="20" w:afterLines="20" w:line="400" w:lineRule="exact"/>
        <w:rPr>
          <w:szCs w:val="22"/>
          <w:highlight w:val="none"/>
        </w:rPr>
      </w:pPr>
      <w:r>
        <w:rPr>
          <w:szCs w:val="22"/>
          <w:highlight w:val="none"/>
        </w:rPr>
        <w:br w:type="page"/>
      </w:r>
    </w:p>
    <w:p>
      <w:pPr>
        <w:pStyle w:val="2"/>
        <w:jc w:val="center"/>
        <w:rPr>
          <w:rFonts w:cs="黑体"/>
          <w:highlight w:val="none"/>
        </w:rPr>
      </w:pPr>
      <w:bookmarkStart w:id="1248" w:name="_Toc421917014"/>
      <w:bookmarkStart w:id="1249" w:name="_Toc460227122"/>
      <w:bookmarkStart w:id="1250" w:name="_Toc460660237"/>
      <w:r>
        <w:rPr>
          <w:rFonts w:hint="eastAsia" w:cs="黑体"/>
          <w:highlight w:val="none"/>
        </w:rPr>
        <w:t>二、</w:t>
      </w:r>
      <w:bookmarkEnd w:id="1248"/>
      <w:bookmarkEnd w:id="1249"/>
      <w:bookmarkEnd w:id="1250"/>
      <w:r>
        <w:rPr>
          <w:rFonts w:hint="eastAsia" w:cs="黑体"/>
          <w:highlight w:val="none"/>
        </w:rPr>
        <w:t>分项报价表</w:t>
      </w:r>
    </w:p>
    <w:p>
      <w:pPr>
        <w:spacing w:line="360" w:lineRule="auto"/>
        <w:ind w:firstLine="480" w:firstLineChars="200"/>
        <w:rPr>
          <w:rFonts w:hAnsi="宋体" w:cs="宋体"/>
          <w:highlight w:val="none"/>
        </w:rPr>
      </w:pPr>
      <w:r>
        <w:rPr>
          <w:rFonts w:hint="eastAsia" w:hAnsi="宋体" w:cs="宋体"/>
          <w:highlight w:val="none"/>
        </w:rPr>
        <w:t>1.分项报价表说明</w:t>
      </w:r>
    </w:p>
    <w:p>
      <w:pPr>
        <w:spacing w:line="360" w:lineRule="auto"/>
        <w:ind w:firstLine="480" w:firstLineChars="200"/>
        <w:rPr>
          <w:rFonts w:hAnsi="宋体" w:cs="宋体"/>
          <w:highlight w:val="none"/>
        </w:rPr>
      </w:pPr>
      <w:r>
        <w:rPr>
          <w:rFonts w:hint="eastAsia" w:hAnsi="宋体" w:cs="宋体"/>
          <w:highlight w:val="none"/>
        </w:rPr>
        <w:t>2.分项报价表</w:t>
      </w:r>
    </w:p>
    <w:p>
      <w:pPr>
        <w:rPr>
          <w:highlight w:val="none"/>
        </w:rPr>
      </w:pPr>
    </w:p>
    <w:p>
      <w:pPr>
        <w:spacing w:line="360" w:lineRule="auto"/>
        <w:jc w:val="center"/>
        <w:rPr>
          <w:rFonts w:hAnsi="宋体" w:cs="宋体"/>
          <w:highlight w:val="none"/>
        </w:rPr>
      </w:pPr>
      <w:r>
        <w:rPr>
          <w:rFonts w:hint="eastAsia" w:hAnsi="宋体" w:cs="宋体"/>
          <w:highlight w:val="none"/>
        </w:rPr>
        <w:t>表1  分项报价汇总表</w:t>
      </w:r>
    </w:p>
    <w:p>
      <w:pPr>
        <w:spacing w:line="360" w:lineRule="auto"/>
        <w:rPr>
          <w:rFonts w:hAnsi="宋体" w:cs="宋体"/>
          <w:highlight w:val="none"/>
        </w:rPr>
      </w:pPr>
      <w:r>
        <w:rPr>
          <w:rFonts w:hint="eastAsia" w:hAnsi="宋体" w:cs="宋体"/>
          <w:highlight w:val="none"/>
        </w:rPr>
        <w:t xml:space="preserve">项目名称：                                       </w:t>
      </w:r>
    </w:p>
    <w:tbl>
      <w:tblPr>
        <w:tblStyle w:val="53"/>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30"/>
        <w:gridCol w:w="4584"/>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表号</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名称</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szCs w:val="24"/>
                <w:highlight w:val="none"/>
              </w:rPr>
            </w:pPr>
            <w:r>
              <w:rPr>
                <w:rFonts w:hint="eastAsia" w:hAnsi="宋体" w:cs="宋体"/>
                <w:szCs w:val="24"/>
                <w:highlight w:val="none"/>
              </w:rPr>
              <w:t>表1-1</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货物及安装（如有）报价</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2</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szCs w:val="24"/>
                <w:highlight w:val="none"/>
              </w:rPr>
            </w:pPr>
            <w:r>
              <w:rPr>
                <w:rFonts w:hint="eastAsia" w:hAnsi="宋体" w:cs="宋体"/>
                <w:szCs w:val="24"/>
                <w:highlight w:val="none"/>
              </w:rPr>
              <w:t>表1-2</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暂定金（如有）</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3</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hAnsi="宋体" w:cs="宋体"/>
                <w:szCs w:val="24"/>
                <w:highlight w:val="none"/>
              </w:rPr>
            </w:pPr>
            <w:r>
              <w:rPr>
                <w:rFonts w:hint="eastAsia" w:hAnsi="宋体" w:cs="宋体"/>
                <w:szCs w:val="24"/>
                <w:highlight w:val="none"/>
              </w:rPr>
              <w:t>表1-3</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其他（如有）</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szCs w:val="21"/>
                <w:highlight w:val="none"/>
              </w:rPr>
              <w:t>……</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5</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Ansi="宋体" w:cs="宋体"/>
                <w:highlight w:val="none"/>
              </w:rPr>
              <w:t>…</w:t>
            </w:r>
            <w:r>
              <w:rPr>
                <w:rFonts w:hint="eastAsia" w:hAnsi="宋体" w:cs="宋体"/>
                <w:highlight w:val="none"/>
              </w:rPr>
              <w:t>.</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Ansi="宋体" w:cs="宋体"/>
                <w:highlight w:val="none"/>
              </w:rPr>
            </w:pPr>
            <w:r>
              <w:rPr>
                <w:rFonts w:hint="eastAsia" w:hAnsi="宋体" w:cs="宋体"/>
                <w:highlight w:val="none"/>
              </w:rPr>
              <w:t>投标总报价等于序号项之和，转入投标函中（等于投标函中的投标总报价）</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bl>
    <w:p>
      <w:pPr>
        <w:snapToGrid w:val="0"/>
        <w:spacing w:line="360" w:lineRule="auto"/>
        <w:ind w:firstLine="480" w:firstLineChars="200"/>
        <w:jc w:val="left"/>
        <w:rPr>
          <w:highlight w:val="none"/>
        </w:rPr>
      </w:pPr>
      <w:r>
        <w:rPr>
          <w:rFonts w:hint="eastAsia"/>
          <w:highlight w:val="none"/>
        </w:rPr>
        <w:t>注1：货物及安装报价包括货物、安装、调试、考核（检测）验收、培训等内容。</w:t>
      </w:r>
    </w:p>
    <w:p>
      <w:pPr>
        <w:snapToGrid w:val="0"/>
        <w:spacing w:line="360" w:lineRule="auto"/>
        <w:ind w:firstLine="480" w:firstLineChars="200"/>
        <w:jc w:val="left"/>
        <w:rPr>
          <w:highlight w:val="none"/>
        </w:rPr>
      </w:pPr>
      <w:r>
        <w:rPr>
          <w:rFonts w:hint="eastAsia"/>
          <w:highlight w:val="none"/>
        </w:rPr>
        <w:t>注2：投标报价均为含税价。</w:t>
      </w:r>
    </w:p>
    <w:p>
      <w:pPr>
        <w:spacing w:line="360" w:lineRule="auto"/>
        <w:ind w:firstLine="480" w:firstLineChars="200"/>
        <w:rPr>
          <w:rFonts w:hAnsi="宋体" w:cs="宋体"/>
          <w:highlight w:val="none"/>
        </w:rPr>
      </w:pPr>
      <w:r>
        <w:rPr>
          <w:rFonts w:hint="eastAsia"/>
          <w:highlight w:val="none"/>
        </w:rPr>
        <w:t>注3：本表供招标人参考，可根据项目情况按照设备分项、安装分项、备品备件等分项分别报价</w:t>
      </w:r>
    </w:p>
    <w:p>
      <w:pPr>
        <w:rPr>
          <w:highlight w:val="none"/>
        </w:rPr>
      </w:pPr>
      <w:r>
        <w:rPr>
          <w:highlight w:val="none"/>
        </w:rPr>
        <w:br w:type="page"/>
      </w:r>
    </w:p>
    <w:p>
      <w:pPr>
        <w:spacing w:line="360" w:lineRule="auto"/>
        <w:jc w:val="center"/>
        <w:rPr>
          <w:rFonts w:hAnsi="宋体" w:cs="宋体"/>
          <w:szCs w:val="24"/>
          <w:highlight w:val="none"/>
        </w:rPr>
      </w:pPr>
      <w:r>
        <w:rPr>
          <w:rFonts w:hint="eastAsia" w:hAnsi="宋体" w:cs="宋体"/>
          <w:szCs w:val="24"/>
          <w:highlight w:val="none"/>
        </w:rPr>
        <w:t>表1-1  货物及安装分项报价表</w:t>
      </w:r>
    </w:p>
    <w:tbl>
      <w:tblPr>
        <w:tblStyle w:val="5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43"/>
        <w:gridCol w:w="454"/>
        <w:gridCol w:w="856"/>
        <w:gridCol w:w="1328"/>
        <w:gridCol w:w="638"/>
        <w:gridCol w:w="477"/>
        <w:gridCol w:w="1123"/>
        <w:gridCol w:w="111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序号</w:t>
            </w: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货物名称</w:t>
            </w: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规格</w:t>
            </w: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品牌</w:t>
            </w: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制造商/生产商</w:t>
            </w: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单位</w:t>
            </w: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数量</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单价（元）</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合价（元）</w:t>
            </w: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3801" w:type="pct"/>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合计（转入表1）</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注：货物及安装分项报价的汇总金额转入表1，计入本项目投标总价。</w:t>
            </w:r>
          </w:p>
        </w:tc>
      </w:tr>
    </w:tbl>
    <w:p>
      <w:pPr>
        <w:spacing w:line="360" w:lineRule="auto"/>
        <w:jc w:val="center"/>
        <w:rPr>
          <w:rFonts w:hAnsi="宋体" w:cs="宋体"/>
          <w:bCs/>
          <w:szCs w:val="24"/>
          <w:highlight w:val="none"/>
        </w:rPr>
      </w:pPr>
    </w:p>
    <w:p>
      <w:pPr>
        <w:spacing w:line="360" w:lineRule="auto"/>
        <w:jc w:val="center"/>
        <w:rPr>
          <w:rFonts w:hAnsi="宋体" w:cs="宋体"/>
          <w:bCs/>
          <w:szCs w:val="24"/>
          <w:highlight w:val="none"/>
        </w:rPr>
      </w:pPr>
      <w:r>
        <w:rPr>
          <w:rFonts w:hint="eastAsia" w:hAnsi="宋体" w:cs="宋体"/>
          <w:bCs/>
          <w:szCs w:val="24"/>
          <w:highlight w:val="none"/>
        </w:rPr>
        <w:br w:type="page"/>
      </w:r>
      <w:r>
        <w:rPr>
          <w:rFonts w:hint="eastAsia" w:hAnsi="宋体" w:cs="宋体"/>
          <w:szCs w:val="24"/>
          <w:highlight w:val="none"/>
        </w:rPr>
        <w:t>表1-2  暂定金（如有）</w:t>
      </w:r>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944"/>
        <w:gridCol w:w="258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序号</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项目</w:t>
            </w: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内容</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75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合计（转入表1）</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napToGrid w:val="0"/>
              <w:spacing w:line="360" w:lineRule="auto"/>
              <w:rPr>
                <w:rFonts w:hAnsi="宋体" w:cs="宋体"/>
                <w:bCs/>
                <w:szCs w:val="24"/>
                <w:highlight w:val="none"/>
              </w:rPr>
            </w:pPr>
            <w:r>
              <w:rPr>
                <w:rFonts w:hint="eastAsia" w:hAnsi="宋体" w:cs="宋体"/>
                <w:bCs/>
                <w:szCs w:val="24"/>
                <w:highlight w:val="none"/>
              </w:rPr>
              <w:t>注：本表中金额为招标人为本项目设定的暂定金，投标人不应对此费用金额做出任何修改，并将此费用转入表1，计入本项目投标总价。</w:t>
            </w:r>
          </w:p>
        </w:tc>
      </w:tr>
    </w:tbl>
    <w:p>
      <w:pPr>
        <w:pStyle w:val="2"/>
        <w:spacing w:beforeLines="100" w:afterLines="100" w:line="240" w:lineRule="auto"/>
        <w:jc w:val="center"/>
        <w:rPr>
          <w:rFonts w:ascii="Times New Roman" w:hAnsi="Times New Roman"/>
          <w:highlight w:val="none"/>
        </w:rPr>
      </w:pPr>
      <w:r>
        <w:rPr>
          <w:rFonts w:hint="eastAsia" w:eastAsia="宋体"/>
          <w:highlight w:val="none"/>
        </w:rPr>
        <w:br w:type="page"/>
      </w:r>
      <w:r>
        <w:rPr>
          <w:rFonts w:hint="eastAsia" w:ascii="Times New Roman" w:hAnsi="Times New Roman"/>
          <w:highlight w:val="none"/>
        </w:rPr>
        <w:t>三、其他内容</w:t>
      </w:r>
    </w:p>
    <w:p>
      <w:pPr>
        <w:tabs>
          <w:tab w:val="left" w:pos="2580"/>
          <w:tab w:val="left" w:pos="5940"/>
        </w:tabs>
        <w:autoSpaceDE w:val="0"/>
        <w:autoSpaceDN w:val="0"/>
        <w:adjustRightInd w:val="0"/>
        <w:snapToGrid w:val="0"/>
        <w:spacing w:line="400" w:lineRule="exact"/>
        <w:ind w:firstLine="456" w:firstLineChars="200"/>
        <w:jc w:val="center"/>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spacing w:line="360" w:lineRule="auto"/>
        <w:rPr>
          <w:highlight w:val="none"/>
        </w:rPr>
      </w:pPr>
    </w:p>
    <w:sectPr>
      <w:headerReference r:id="rId3" w:type="default"/>
      <w:footerReference r:id="rId4" w:type="default"/>
      <w:footerReference r:id="rId5" w:type="even"/>
      <w:footnotePr>
        <w:numFmt w:val="decimalEnclosedCircleChinese"/>
        <w:numRestart w:val="eachPage"/>
      </w:footnotePr>
      <w:pgSz w:w="11906" w:h="16838"/>
      <w:pgMar w:top="1440" w:right="1803" w:bottom="1440" w:left="1803"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Sylfaen">
    <w:panose1 w:val="010A0502050306030303"/>
    <w:charset w:val="00"/>
    <w:family w:val="roman"/>
    <w:pitch w:val="default"/>
    <w:sig w:usb0="04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86"/>
    <w:family w:val="auto"/>
    <w:pitch w:val="default"/>
    <w:sig w:usb0="00000000" w:usb1="00000000" w:usb2="00000010" w:usb3="00000000" w:csb0="0004000A"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文本框 5" o:spid="_x0000_s3073" o:spt="202" type="#_x0000_t202" style="position:absolute;left:0pt;margin-top:0pt;height:24.05pt;width:31.6pt;mso-position-horizontal:center;mso-position-horizontal-relative:margin;z-index:251659264;mso-width-relative:page;mso-height-relative:page;" filled="f" stroked="f" coordsize="21600,21600" o:gfxdata="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nHUg1AAAAAMBAAAPAAAAAAAAAAEAIAAAACIAAABkcnMvZG93bnJldi54bWxQSwECFAAUAAAA&#10;CACHTuJAeUAh0LkBAABxAwAADgAAAAAAAAABACAAAAAjAQAAZHJzL2Uyb0RvYy54bWxQSwUGAAAA&#10;AAYABgBZAQAATgUAAAAA&#10;">
          <v:path/>
          <v:fill on="f" focussize="0,0"/>
          <v:stroke on="f" joinstyle="miter"/>
          <v:imagedata o:title=""/>
          <o:lock v:ext="edit"/>
          <v:textbox inset="0mm,0mm,0mm,0mm">
            <w:txbxContent>
              <w:p>
                <w:pPr>
                  <w:pStyle w:val="3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7"/>
      </w:rPr>
    </w:pPr>
    <w:r>
      <w:fldChar w:fldCharType="begin"/>
    </w:r>
    <w:r>
      <w:rPr>
        <w:rStyle w:val="57"/>
      </w:rPr>
      <w:instrText xml:space="preserve">PAGE  </w:instrTex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建筑智能化项目招标示范文本（一次平均202</w:t>
    </w:r>
    <w:r>
      <w:rPr>
        <w:rFonts w:hint="eastAsia"/>
        <w:lang w:val="en-US" w:eastAsia="zh-CN"/>
      </w:rPr>
      <w:t>405</w:t>
    </w:r>
    <w:r>
      <w:rPr>
        <w:rFonts w:hint="eastAsia"/>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7C9C7"/>
    <w:multiLevelType w:val="singleLevel"/>
    <w:tmpl w:val="9617C9C7"/>
    <w:lvl w:ilvl="0" w:tentative="0">
      <w:start w:val="3"/>
      <w:numFmt w:val="chineseCounting"/>
      <w:suff w:val="nothing"/>
      <w:lvlText w:val="（%1）"/>
      <w:lvlJc w:val="left"/>
      <w:rPr>
        <w:rFonts w:hint="eastAsia"/>
      </w:rPr>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0000000A"/>
    <w:multiLevelType w:val="singleLevel"/>
    <w:tmpl w:val="0000000A"/>
    <w:lvl w:ilvl="0" w:tentative="0">
      <w:start w:val="1"/>
      <w:numFmt w:val="decimal"/>
      <w:suff w:val="nothing"/>
      <w:lvlText w:val="（%1）"/>
      <w:lvlJc w:val="left"/>
      <w:pPr>
        <w:tabs>
          <w:tab w:val="left" w:pos="0"/>
        </w:tabs>
        <w:ind w:left="0" w:firstLine="0"/>
      </w:pPr>
    </w:lvl>
  </w:abstractNum>
  <w:abstractNum w:abstractNumId="3">
    <w:nsid w:val="434E7049"/>
    <w:multiLevelType w:val="singleLevel"/>
    <w:tmpl w:val="434E7049"/>
    <w:lvl w:ilvl="0" w:tentative="0">
      <w:start w:val="1"/>
      <w:numFmt w:val="decimal"/>
      <w:suff w:val="space"/>
      <w:lvlText w:val="%1."/>
      <w:lvlJc w:val="left"/>
    </w:lvl>
  </w:abstractNum>
  <w:abstractNum w:abstractNumId="4">
    <w:nsid w:val="76D617AF"/>
    <w:multiLevelType w:val="singleLevel"/>
    <w:tmpl w:val="76D617AF"/>
    <w:lvl w:ilvl="0" w:tentative="0">
      <w:start w:val="6"/>
      <w:numFmt w:val="decimal"/>
      <w:suff w:val="space"/>
      <w:lvlText w:val="%1."/>
      <w:lvlJc w:val="left"/>
    </w:lvl>
  </w:abstractNum>
  <w:abstractNum w:abstractNumId="5">
    <w:nsid w:val="7F7E5238"/>
    <w:multiLevelType w:val="multilevel"/>
    <w:tmpl w:val="7F7E5238"/>
    <w:lvl w:ilvl="0" w:tentative="0">
      <w:start w:val="1"/>
      <w:numFmt w:val="none"/>
      <w:pStyle w:val="139"/>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5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44"/>
      <w:lvlText w:val="           "/>
      <w:lvlJc w:val="left"/>
      <w:pPr>
        <w:tabs>
          <w:tab w:val="left" w:pos="1440"/>
        </w:tabs>
        <w:ind w:left="1152" w:hanging="1152"/>
      </w:pPr>
      <w:rPr>
        <w:rFonts w:hint="eastAsia"/>
      </w:rPr>
    </w:lvl>
    <w:lvl w:ilvl="6" w:tentative="0">
      <w:start w:val="1"/>
      <w:numFmt w:val="decimal"/>
      <w:pStyle w:val="146"/>
      <w:lvlText w:val="%1.%2.%3.%4.%5.%6.%7"/>
      <w:lvlJc w:val="left"/>
      <w:pPr>
        <w:tabs>
          <w:tab w:val="left" w:pos="2520"/>
        </w:tabs>
        <w:ind w:left="1296" w:hanging="1296"/>
      </w:pPr>
      <w:rPr>
        <w:rFonts w:hint="eastAsia"/>
      </w:rPr>
    </w:lvl>
    <w:lvl w:ilvl="7" w:tentative="0">
      <w:start w:val="1"/>
      <w:numFmt w:val="decimal"/>
      <w:pStyle w:val="148"/>
      <w:lvlText w:val="%1.%2.%3.%4.%5.%6.%7.%8"/>
      <w:lvlJc w:val="left"/>
      <w:pPr>
        <w:tabs>
          <w:tab w:val="left" w:pos="1440"/>
        </w:tabs>
        <w:ind w:left="1440" w:hanging="1440"/>
      </w:pPr>
      <w:rPr>
        <w:rFonts w:hint="eastAsia"/>
      </w:rPr>
    </w:lvl>
    <w:lvl w:ilvl="8" w:tentative="0">
      <w:start w:val="1"/>
      <w:numFmt w:val="decimal"/>
      <w:pStyle w:val="150"/>
      <w:lvlText w:val="%1.%2.%3.%4.%5.%6.%7.%8.%9"/>
      <w:lvlJc w:val="left"/>
      <w:pPr>
        <w:tabs>
          <w:tab w:val="left" w:pos="1584"/>
        </w:tabs>
        <w:ind w:left="1584" w:hanging="1584"/>
      </w:pPr>
      <w:rPr>
        <w:rFonts w:hint="eastAsia"/>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0YWI3MWMzOWYxMDBlMDkxOThiNjIwNDJhZGJiNDEifQ=="/>
  </w:docVars>
  <w:rsids>
    <w:rsidRoot w:val="00172A27"/>
    <w:rsid w:val="00000461"/>
    <w:rsid w:val="000018B8"/>
    <w:rsid w:val="000019D9"/>
    <w:rsid w:val="00001A78"/>
    <w:rsid w:val="00001C66"/>
    <w:rsid w:val="00002D91"/>
    <w:rsid w:val="00002F77"/>
    <w:rsid w:val="00005402"/>
    <w:rsid w:val="00005BB2"/>
    <w:rsid w:val="0000765A"/>
    <w:rsid w:val="000078B8"/>
    <w:rsid w:val="0001052A"/>
    <w:rsid w:val="000110EA"/>
    <w:rsid w:val="00012F97"/>
    <w:rsid w:val="00013020"/>
    <w:rsid w:val="00013F89"/>
    <w:rsid w:val="00014CCC"/>
    <w:rsid w:val="00020429"/>
    <w:rsid w:val="000219E9"/>
    <w:rsid w:val="00021C4F"/>
    <w:rsid w:val="0002210C"/>
    <w:rsid w:val="000223E2"/>
    <w:rsid w:val="0002308F"/>
    <w:rsid w:val="0002396A"/>
    <w:rsid w:val="00026638"/>
    <w:rsid w:val="00027183"/>
    <w:rsid w:val="000308BD"/>
    <w:rsid w:val="00031800"/>
    <w:rsid w:val="00031F4B"/>
    <w:rsid w:val="00032363"/>
    <w:rsid w:val="00033008"/>
    <w:rsid w:val="00033094"/>
    <w:rsid w:val="00033535"/>
    <w:rsid w:val="00034E70"/>
    <w:rsid w:val="00035C6F"/>
    <w:rsid w:val="00035DE8"/>
    <w:rsid w:val="0003614A"/>
    <w:rsid w:val="00036169"/>
    <w:rsid w:val="00036B4D"/>
    <w:rsid w:val="00036EA3"/>
    <w:rsid w:val="00036EE9"/>
    <w:rsid w:val="00037BBC"/>
    <w:rsid w:val="0004182B"/>
    <w:rsid w:val="00042A09"/>
    <w:rsid w:val="00043541"/>
    <w:rsid w:val="00043CDD"/>
    <w:rsid w:val="00043F3A"/>
    <w:rsid w:val="00044449"/>
    <w:rsid w:val="00045BA0"/>
    <w:rsid w:val="000465A6"/>
    <w:rsid w:val="00047377"/>
    <w:rsid w:val="00050532"/>
    <w:rsid w:val="000517F3"/>
    <w:rsid w:val="0005181A"/>
    <w:rsid w:val="000541B0"/>
    <w:rsid w:val="0005499C"/>
    <w:rsid w:val="00054AFE"/>
    <w:rsid w:val="00055257"/>
    <w:rsid w:val="00055609"/>
    <w:rsid w:val="0005586E"/>
    <w:rsid w:val="00055C35"/>
    <w:rsid w:val="00056E98"/>
    <w:rsid w:val="0005725C"/>
    <w:rsid w:val="00057D7E"/>
    <w:rsid w:val="00057E5B"/>
    <w:rsid w:val="0006024A"/>
    <w:rsid w:val="00060CF4"/>
    <w:rsid w:val="00061BA9"/>
    <w:rsid w:val="00061F0A"/>
    <w:rsid w:val="00063257"/>
    <w:rsid w:val="000634CE"/>
    <w:rsid w:val="00063765"/>
    <w:rsid w:val="000663BA"/>
    <w:rsid w:val="00066FAB"/>
    <w:rsid w:val="00071C48"/>
    <w:rsid w:val="00072109"/>
    <w:rsid w:val="000732BE"/>
    <w:rsid w:val="00073514"/>
    <w:rsid w:val="000737AC"/>
    <w:rsid w:val="00076A22"/>
    <w:rsid w:val="00076A82"/>
    <w:rsid w:val="00077D9C"/>
    <w:rsid w:val="00077F7B"/>
    <w:rsid w:val="00081A25"/>
    <w:rsid w:val="00081EEC"/>
    <w:rsid w:val="000826F5"/>
    <w:rsid w:val="000828A1"/>
    <w:rsid w:val="00082ABA"/>
    <w:rsid w:val="00082B19"/>
    <w:rsid w:val="00082DC4"/>
    <w:rsid w:val="000833B1"/>
    <w:rsid w:val="00083E91"/>
    <w:rsid w:val="0008436E"/>
    <w:rsid w:val="00084963"/>
    <w:rsid w:val="00085373"/>
    <w:rsid w:val="000853C1"/>
    <w:rsid w:val="00085527"/>
    <w:rsid w:val="00085ACD"/>
    <w:rsid w:val="00085C64"/>
    <w:rsid w:val="00085FA8"/>
    <w:rsid w:val="000868D0"/>
    <w:rsid w:val="0008690D"/>
    <w:rsid w:val="000877D7"/>
    <w:rsid w:val="000904A0"/>
    <w:rsid w:val="000906F8"/>
    <w:rsid w:val="000921A0"/>
    <w:rsid w:val="00092347"/>
    <w:rsid w:val="000925E9"/>
    <w:rsid w:val="00092C06"/>
    <w:rsid w:val="000930E4"/>
    <w:rsid w:val="000945C7"/>
    <w:rsid w:val="00094AA1"/>
    <w:rsid w:val="00095D5C"/>
    <w:rsid w:val="000976BB"/>
    <w:rsid w:val="000A10AD"/>
    <w:rsid w:val="000A14D5"/>
    <w:rsid w:val="000A2093"/>
    <w:rsid w:val="000A2484"/>
    <w:rsid w:val="000A25BD"/>
    <w:rsid w:val="000A25C9"/>
    <w:rsid w:val="000A26BA"/>
    <w:rsid w:val="000A2AE5"/>
    <w:rsid w:val="000A2CA0"/>
    <w:rsid w:val="000A2DA7"/>
    <w:rsid w:val="000A4786"/>
    <w:rsid w:val="000A4846"/>
    <w:rsid w:val="000A4F09"/>
    <w:rsid w:val="000A588E"/>
    <w:rsid w:val="000A74C4"/>
    <w:rsid w:val="000B0326"/>
    <w:rsid w:val="000B0D81"/>
    <w:rsid w:val="000B17C0"/>
    <w:rsid w:val="000B1A25"/>
    <w:rsid w:val="000B1C86"/>
    <w:rsid w:val="000B2DCA"/>
    <w:rsid w:val="000B2EA3"/>
    <w:rsid w:val="000B3B78"/>
    <w:rsid w:val="000B44CF"/>
    <w:rsid w:val="000B4502"/>
    <w:rsid w:val="000B45ED"/>
    <w:rsid w:val="000B465B"/>
    <w:rsid w:val="000C053D"/>
    <w:rsid w:val="000C2F6F"/>
    <w:rsid w:val="000C3780"/>
    <w:rsid w:val="000C3CF6"/>
    <w:rsid w:val="000C3DE3"/>
    <w:rsid w:val="000C5607"/>
    <w:rsid w:val="000C5ECD"/>
    <w:rsid w:val="000C6D46"/>
    <w:rsid w:val="000C76BC"/>
    <w:rsid w:val="000C7B55"/>
    <w:rsid w:val="000D002B"/>
    <w:rsid w:val="000D05C9"/>
    <w:rsid w:val="000D104C"/>
    <w:rsid w:val="000D106F"/>
    <w:rsid w:val="000D1617"/>
    <w:rsid w:val="000D18DA"/>
    <w:rsid w:val="000D1D83"/>
    <w:rsid w:val="000D22F8"/>
    <w:rsid w:val="000D3273"/>
    <w:rsid w:val="000D3553"/>
    <w:rsid w:val="000D410B"/>
    <w:rsid w:val="000D4534"/>
    <w:rsid w:val="000D66D7"/>
    <w:rsid w:val="000D779A"/>
    <w:rsid w:val="000E0493"/>
    <w:rsid w:val="000E15AF"/>
    <w:rsid w:val="000E2484"/>
    <w:rsid w:val="000E5ADA"/>
    <w:rsid w:val="000E60E5"/>
    <w:rsid w:val="000E6540"/>
    <w:rsid w:val="000E7186"/>
    <w:rsid w:val="000E7533"/>
    <w:rsid w:val="000E7955"/>
    <w:rsid w:val="000F0BB8"/>
    <w:rsid w:val="000F30B7"/>
    <w:rsid w:val="000F31DA"/>
    <w:rsid w:val="000F3C34"/>
    <w:rsid w:val="000F3C5E"/>
    <w:rsid w:val="000F5501"/>
    <w:rsid w:val="000F6221"/>
    <w:rsid w:val="000F7527"/>
    <w:rsid w:val="0010005B"/>
    <w:rsid w:val="00101417"/>
    <w:rsid w:val="0010293D"/>
    <w:rsid w:val="0010519E"/>
    <w:rsid w:val="0010564E"/>
    <w:rsid w:val="00105AA8"/>
    <w:rsid w:val="00106121"/>
    <w:rsid w:val="00106426"/>
    <w:rsid w:val="001070B1"/>
    <w:rsid w:val="00110C05"/>
    <w:rsid w:val="00113859"/>
    <w:rsid w:val="001142AA"/>
    <w:rsid w:val="00117156"/>
    <w:rsid w:val="0012071E"/>
    <w:rsid w:val="0012073C"/>
    <w:rsid w:val="00120D75"/>
    <w:rsid w:val="00123E04"/>
    <w:rsid w:val="00123E2A"/>
    <w:rsid w:val="00123E36"/>
    <w:rsid w:val="00125783"/>
    <w:rsid w:val="00125908"/>
    <w:rsid w:val="001259AF"/>
    <w:rsid w:val="00125AFD"/>
    <w:rsid w:val="00125C49"/>
    <w:rsid w:val="00125E15"/>
    <w:rsid w:val="0012717C"/>
    <w:rsid w:val="001276C1"/>
    <w:rsid w:val="00127B5C"/>
    <w:rsid w:val="00131332"/>
    <w:rsid w:val="001319B0"/>
    <w:rsid w:val="001319E4"/>
    <w:rsid w:val="00131CE5"/>
    <w:rsid w:val="00133192"/>
    <w:rsid w:val="00134155"/>
    <w:rsid w:val="00134802"/>
    <w:rsid w:val="00134B0A"/>
    <w:rsid w:val="001364FA"/>
    <w:rsid w:val="00137B93"/>
    <w:rsid w:val="00137F52"/>
    <w:rsid w:val="00140958"/>
    <w:rsid w:val="00140DB8"/>
    <w:rsid w:val="0014150C"/>
    <w:rsid w:val="00141FD0"/>
    <w:rsid w:val="00142D14"/>
    <w:rsid w:val="0014347A"/>
    <w:rsid w:val="00144B7C"/>
    <w:rsid w:val="0014511E"/>
    <w:rsid w:val="001454C8"/>
    <w:rsid w:val="00145939"/>
    <w:rsid w:val="00145B74"/>
    <w:rsid w:val="00145C28"/>
    <w:rsid w:val="00146130"/>
    <w:rsid w:val="00146E40"/>
    <w:rsid w:val="00147F81"/>
    <w:rsid w:val="001502F2"/>
    <w:rsid w:val="001507E0"/>
    <w:rsid w:val="00151063"/>
    <w:rsid w:val="00151530"/>
    <w:rsid w:val="0015216E"/>
    <w:rsid w:val="001521F2"/>
    <w:rsid w:val="00152511"/>
    <w:rsid w:val="0015301F"/>
    <w:rsid w:val="001535C3"/>
    <w:rsid w:val="00153752"/>
    <w:rsid w:val="00153A85"/>
    <w:rsid w:val="00153F39"/>
    <w:rsid w:val="001545E0"/>
    <w:rsid w:val="00154AD4"/>
    <w:rsid w:val="00154F1C"/>
    <w:rsid w:val="00154FF0"/>
    <w:rsid w:val="0015641C"/>
    <w:rsid w:val="00157272"/>
    <w:rsid w:val="00157426"/>
    <w:rsid w:val="0016039F"/>
    <w:rsid w:val="001603B4"/>
    <w:rsid w:val="00161E00"/>
    <w:rsid w:val="00161E33"/>
    <w:rsid w:val="00161FE5"/>
    <w:rsid w:val="00163D05"/>
    <w:rsid w:val="0016668C"/>
    <w:rsid w:val="00166692"/>
    <w:rsid w:val="00166827"/>
    <w:rsid w:val="00166AFE"/>
    <w:rsid w:val="0017051A"/>
    <w:rsid w:val="00170E20"/>
    <w:rsid w:val="001715BC"/>
    <w:rsid w:val="0017189E"/>
    <w:rsid w:val="00172519"/>
    <w:rsid w:val="00172A27"/>
    <w:rsid w:val="00172B8F"/>
    <w:rsid w:val="0017437F"/>
    <w:rsid w:val="001746A4"/>
    <w:rsid w:val="001752AB"/>
    <w:rsid w:val="001756CD"/>
    <w:rsid w:val="00175B5C"/>
    <w:rsid w:val="001762E6"/>
    <w:rsid w:val="00176B84"/>
    <w:rsid w:val="001806DF"/>
    <w:rsid w:val="00181ADF"/>
    <w:rsid w:val="001828BF"/>
    <w:rsid w:val="001832FF"/>
    <w:rsid w:val="00184243"/>
    <w:rsid w:val="001845EF"/>
    <w:rsid w:val="00184D01"/>
    <w:rsid w:val="00185265"/>
    <w:rsid w:val="00185455"/>
    <w:rsid w:val="0019007C"/>
    <w:rsid w:val="001917E0"/>
    <w:rsid w:val="001929AC"/>
    <w:rsid w:val="00192D6E"/>
    <w:rsid w:val="00194A84"/>
    <w:rsid w:val="00195166"/>
    <w:rsid w:val="00196390"/>
    <w:rsid w:val="001A007B"/>
    <w:rsid w:val="001A0938"/>
    <w:rsid w:val="001A159E"/>
    <w:rsid w:val="001A2F36"/>
    <w:rsid w:val="001A32D3"/>
    <w:rsid w:val="001A4A9A"/>
    <w:rsid w:val="001A4C65"/>
    <w:rsid w:val="001A530A"/>
    <w:rsid w:val="001A5B8E"/>
    <w:rsid w:val="001A6A10"/>
    <w:rsid w:val="001B16A2"/>
    <w:rsid w:val="001B17F5"/>
    <w:rsid w:val="001B226C"/>
    <w:rsid w:val="001B27BF"/>
    <w:rsid w:val="001B3D39"/>
    <w:rsid w:val="001B4482"/>
    <w:rsid w:val="001B54DD"/>
    <w:rsid w:val="001B713C"/>
    <w:rsid w:val="001C004F"/>
    <w:rsid w:val="001C04AE"/>
    <w:rsid w:val="001C0B8C"/>
    <w:rsid w:val="001C158F"/>
    <w:rsid w:val="001C1ADD"/>
    <w:rsid w:val="001C2800"/>
    <w:rsid w:val="001C41D9"/>
    <w:rsid w:val="001C4EC4"/>
    <w:rsid w:val="001C593A"/>
    <w:rsid w:val="001C6830"/>
    <w:rsid w:val="001C6C76"/>
    <w:rsid w:val="001C7A9C"/>
    <w:rsid w:val="001D07B4"/>
    <w:rsid w:val="001D145C"/>
    <w:rsid w:val="001D1698"/>
    <w:rsid w:val="001D1A8C"/>
    <w:rsid w:val="001D2748"/>
    <w:rsid w:val="001D31AA"/>
    <w:rsid w:val="001D3853"/>
    <w:rsid w:val="001D3B19"/>
    <w:rsid w:val="001D41D1"/>
    <w:rsid w:val="001D61C0"/>
    <w:rsid w:val="001D67E1"/>
    <w:rsid w:val="001D690E"/>
    <w:rsid w:val="001D697D"/>
    <w:rsid w:val="001D6DEC"/>
    <w:rsid w:val="001D767F"/>
    <w:rsid w:val="001D7863"/>
    <w:rsid w:val="001E04B9"/>
    <w:rsid w:val="001E2742"/>
    <w:rsid w:val="001E29CA"/>
    <w:rsid w:val="001E2BC9"/>
    <w:rsid w:val="001E593B"/>
    <w:rsid w:val="001E6137"/>
    <w:rsid w:val="001E7DEB"/>
    <w:rsid w:val="001F04FF"/>
    <w:rsid w:val="001F0867"/>
    <w:rsid w:val="001F1AA5"/>
    <w:rsid w:val="001F3770"/>
    <w:rsid w:val="001F612B"/>
    <w:rsid w:val="001F63FC"/>
    <w:rsid w:val="001F6E77"/>
    <w:rsid w:val="001F74ED"/>
    <w:rsid w:val="00200DC4"/>
    <w:rsid w:val="0020117F"/>
    <w:rsid w:val="0020178E"/>
    <w:rsid w:val="00202192"/>
    <w:rsid w:val="0020234C"/>
    <w:rsid w:val="00202F49"/>
    <w:rsid w:val="00203DF8"/>
    <w:rsid w:val="00204101"/>
    <w:rsid w:val="00204364"/>
    <w:rsid w:val="00205D3F"/>
    <w:rsid w:val="002060AE"/>
    <w:rsid w:val="00206861"/>
    <w:rsid w:val="002071BD"/>
    <w:rsid w:val="00207A3B"/>
    <w:rsid w:val="00207EE0"/>
    <w:rsid w:val="00210476"/>
    <w:rsid w:val="00211256"/>
    <w:rsid w:val="002119A5"/>
    <w:rsid w:val="00212847"/>
    <w:rsid w:val="00214202"/>
    <w:rsid w:val="0021421A"/>
    <w:rsid w:val="002153F9"/>
    <w:rsid w:val="00215627"/>
    <w:rsid w:val="00216F0A"/>
    <w:rsid w:val="0021729D"/>
    <w:rsid w:val="00221ECE"/>
    <w:rsid w:val="00221FF8"/>
    <w:rsid w:val="00222F85"/>
    <w:rsid w:val="002233F3"/>
    <w:rsid w:val="0022399F"/>
    <w:rsid w:val="00225FAA"/>
    <w:rsid w:val="00226266"/>
    <w:rsid w:val="00226C5A"/>
    <w:rsid w:val="00230CE5"/>
    <w:rsid w:val="00232726"/>
    <w:rsid w:val="002327BD"/>
    <w:rsid w:val="002330D2"/>
    <w:rsid w:val="00233675"/>
    <w:rsid w:val="00233E6E"/>
    <w:rsid w:val="00234769"/>
    <w:rsid w:val="00234FFF"/>
    <w:rsid w:val="0023511D"/>
    <w:rsid w:val="00235666"/>
    <w:rsid w:val="00235883"/>
    <w:rsid w:val="00235A5E"/>
    <w:rsid w:val="00235DF7"/>
    <w:rsid w:val="00236578"/>
    <w:rsid w:val="002367B8"/>
    <w:rsid w:val="002368FF"/>
    <w:rsid w:val="00236CA9"/>
    <w:rsid w:val="00236FB8"/>
    <w:rsid w:val="00237E2E"/>
    <w:rsid w:val="0024213B"/>
    <w:rsid w:val="002422DA"/>
    <w:rsid w:val="00243414"/>
    <w:rsid w:val="00244FA6"/>
    <w:rsid w:val="00246426"/>
    <w:rsid w:val="002507E8"/>
    <w:rsid w:val="0025387D"/>
    <w:rsid w:val="00253F9A"/>
    <w:rsid w:val="00254443"/>
    <w:rsid w:val="00254CCC"/>
    <w:rsid w:val="00254DB7"/>
    <w:rsid w:val="00254F46"/>
    <w:rsid w:val="0025582E"/>
    <w:rsid w:val="00255E46"/>
    <w:rsid w:val="00256C8E"/>
    <w:rsid w:val="002574B6"/>
    <w:rsid w:val="00257B1A"/>
    <w:rsid w:val="00257BB3"/>
    <w:rsid w:val="00257C3E"/>
    <w:rsid w:val="00257FDC"/>
    <w:rsid w:val="002601F1"/>
    <w:rsid w:val="0026054C"/>
    <w:rsid w:val="00261273"/>
    <w:rsid w:val="002640CA"/>
    <w:rsid w:val="002648E7"/>
    <w:rsid w:val="00264D81"/>
    <w:rsid w:val="00265086"/>
    <w:rsid w:val="00265111"/>
    <w:rsid w:val="00265FA5"/>
    <w:rsid w:val="0026607B"/>
    <w:rsid w:val="0026677E"/>
    <w:rsid w:val="00266D19"/>
    <w:rsid w:val="00267281"/>
    <w:rsid w:val="00267DC0"/>
    <w:rsid w:val="002701ED"/>
    <w:rsid w:val="002714D0"/>
    <w:rsid w:val="00272C77"/>
    <w:rsid w:val="00272D4E"/>
    <w:rsid w:val="00272D69"/>
    <w:rsid w:val="0027368B"/>
    <w:rsid w:val="00273BF1"/>
    <w:rsid w:val="00274156"/>
    <w:rsid w:val="002747E7"/>
    <w:rsid w:val="00276010"/>
    <w:rsid w:val="00276258"/>
    <w:rsid w:val="00277223"/>
    <w:rsid w:val="002774F6"/>
    <w:rsid w:val="00277B84"/>
    <w:rsid w:val="00277E31"/>
    <w:rsid w:val="00281108"/>
    <w:rsid w:val="002812A7"/>
    <w:rsid w:val="002812CD"/>
    <w:rsid w:val="002815A4"/>
    <w:rsid w:val="00284F59"/>
    <w:rsid w:val="002936C5"/>
    <w:rsid w:val="00295A39"/>
    <w:rsid w:val="00296BAE"/>
    <w:rsid w:val="0029746D"/>
    <w:rsid w:val="00297AC6"/>
    <w:rsid w:val="002A228C"/>
    <w:rsid w:val="002A2BD0"/>
    <w:rsid w:val="002A2F1B"/>
    <w:rsid w:val="002A309C"/>
    <w:rsid w:val="002A32D5"/>
    <w:rsid w:val="002A3D90"/>
    <w:rsid w:val="002A58E3"/>
    <w:rsid w:val="002A5911"/>
    <w:rsid w:val="002A707C"/>
    <w:rsid w:val="002A7DF7"/>
    <w:rsid w:val="002A7E1F"/>
    <w:rsid w:val="002B09EE"/>
    <w:rsid w:val="002B0CC7"/>
    <w:rsid w:val="002B1536"/>
    <w:rsid w:val="002B2B59"/>
    <w:rsid w:val="002B3301"/>
    <w:rsid w:val="002B3C7E"/>
    <w:rsid w:val="002B423A"/>
    <w:rsid w:val="002B44E9"/>
    <w:rsid w:val="002B4717"/>
    <w:rsid w:val="002B48F8"/>
    <w:rsid w:val="002B49A9"/>
    <w:rsid w:val="002B596D"/>
    <w:rsid w:val="002B65B6"/>
    <w:rsid w:val="002B72EB"/>
    <w:rsid w:val="002C17DA"/>
    <w:rsid w:val="002C2260"/>
    <w:rsid w:val="002C2636"/>
    <w:rsid w:val="002C44D1"/>
    <w:rsid w:val="002C4C10"/>
    <w:rsid w:val="002C634F"/>
    <w:rsid w:val="002C76F0"/>
    <w:rsid w:val="002C78E2"/>
    <w:rsid w:val="002D000B"/>
    <w:rsid w:val="002D0AB0"/>
    <w:rsid w:val="002D3380"/>
    <w:rsid w:val="002D37A6"/>
    <w:rsid w:val="002D3EF1"/>
    <w:rsid w:val="002D435B"/>
    <w:rsid w:val="002D48E2"/>
    <w:rsid w:val="002D4CB3"/>
    <w:rsid w:val="002D52DF"/>
    <w:rsid w:val="002D56D6"/>
    <w:rsid w:val="002D6433"/>
    <w:rsid w:val="002E14B3"/>
    <w:rsid w:val="002E1DE3"/>
    <w:rsid w:val="002E299E"/>
    <w:rsid w:val="002E3481"/>
    <w:rsid w:val="002E3676"/>
    <w:rsid w:val="002E45FA"/>
    <w:rsid w:val="002E48B9"/>
    <w:rsid w:val="002E4B18"/>
    <w:rsid w:val="002E4B61"/>
    <w:rsid w:val="002E5D38"/>
    <w:rsid w:val="002E7E3D"/>
    <w:rsid w:val="002F263C"/>
    <w:rsid w:val="002F30BA"/>
    <w:rsid w:val="002F34AA"/>
    <w:rsid w:val="002F3B56"/>
    <w:rsid w:val="002F4941"/>
    <w:rsid w:val="002F5997"/>
    <w:rsid w:val="002F5BCF"/>
    <w:rsid w:val="002F5D36"/>
    <w:rsid w:val="002F5F4C"/>
    <w:rsid w:val="002F60D8"/>
    <w:rsid w:val="00301854"/>
    <w:rsid w:val="00301939"/>
    <w:rsid w:val="00303612"/>
    <w:rsid w:val="003039DB"/>
    <w:rsid w:val="003040B2"/>
    <w:rsid w:val="0030443C"/>
    <w:rsid w:val="0030717D"/>
    <w:rsid w:val="00307E43"/>
    <w:rsid w:val="00310460"/>
    <w:rsid w:val="003104AC"/>
    <w:rsid w:val="00310623"/>
    <w:rsid w:val="00310C43"/>
    <w:rsid w:val="00311531"/>
    <w:rsid w:val="003147D9"/>
    <w:rsid w:val="00314E7D"/>
    <w:rsid w:val="00314FCD"/>
    <w:rsid w:val="003162E6"/>
    <w:rsid w:val="0031674A"/>
    <w:rsid w:val="00316D5F"/>
    <w:rsid w:val="003209C4"/>
    <w:rsid w:val="00323F94"/>
    <w:rsid w:val="0032512F"/>
    <w:rsid w:val="003257F2"/>
    <w:rsid w:val="003261BF"/>
    <w:rsid w:val="00326B34"/>
    <w:rsid w:val="003300B5"/>
    <w:rsid w:val="0033043B"/>
    <w:rsid w:val="003304F5"/>
    <w:rsid w:val="003306C4"/>
    <w:rsid w:val="00330894"/>
    <w:rsid w:val="00331467"/>
    <w:rsid w:val="0033180A"/>
    <w:rsid w:val="00331872"/>
    <w:rsid w:val="003318D1"/>
    <w:rsid w:val="00332433"/>
    <w:rsid w:val="003326FE"/>
    <w:rsid w:val="00332D12"/>
    <w:rsid w:val="003342D8"/>
    <w:rsid w:val="00334F3F"/>
    <w:rsid w:val="003358E6"/>
    <w:rsid w:val="0033634B"/>
    <w:rsid w:val="003367D4"/>
    <w:rsid w:val="00337584"/>
    <w:rsid w:val="0034028F"/>
    <w:rsid w:val="00344EE8"/>
    <w:rsid w:val="0034507B"/>
    <w:rsid w:val="00346456"/>
    <w:rsid w:val="003476DE"/>
    <w:rsid w:val="00347758"/>
    <w:rsid w:val="003478FB"/>
    <w:rsid w:val="00347F6C"/>
    <w:rsid w:val="0035112F"/>
    <w:rsid w:val="00352E8C"/>
    <w:rsid w:val="003532E6"/>
    <w:rsid w:val="003540F6"/>
    <w:rsid w:val="00354A9C"/>
    <w:rsid w:val="00354D91"/>
    <w:rsid w:val="00360186"/>
    <w:rsid w:val="0036101A"/>
    <w:rsid w:val="00361CD9"/>
    <w:rsid w:val="00362076"/>
    <w:rsid w:val="003629F3"/>
    <w:rsid w:val="00363ED9"/>
    <w:rsid w:val="003646AC"/>
    <w:rsid w:val="00364C8B"/>
    <w:rsid w:val="00365295"/>
    <w:rsid w:val="00365F2A"/>
    <w:rsid w:val="00366A25"/>
    <w:rsid w:val="00366C27"/>
    <w:rsid w:val="003671C7"/>
    <w:rsid w:val="00370526"/>
    <w:rsid w:val="003707C8"/>
    <w:rsid w:val="00370C13"/>
    <w:rsid w:val="003715A1"/>
    <w:rsid w:val="00371989"/>
    <w:rsid w:val="0037237D"/>
    <w:rsid w:val="00372866"/>
    <w:rsid w:val="00372B0D"/>
    <w:rsid w:val="00372D94"/>
    <w:rsid w:val="00372F1C"/>
    <w:rsid w:val="00372FA0"/>
    <w:rsid w:val="00373C30"/>
    <w:rsid w:val="00373DE8"/>
    <w:rsid w:val="003764F6"/>
    <w:rsid w:val="003767E7"/>
    <w:rsid w:val="003768C0"/>
    <w:rsid w:val="00381A84"/>
    <w:rsid w:val="00381EFF"/>
    <w:rsid w:val="003821DE"/>
    <w:rsid w:val="00382566"/>
    <w:rsid w:val="00382C4E"/>
    <w:rsid w:val="00384603"/>
    <w:rsid w:val="00384825"/>
    <w:rsid w:val="00384FF2"/>
    <w:rsid w:val="003850AE"/>
    <w:rsid w:val="003853B4"/>
    <w:rsid w:val="00385594"/>
    <w:rsid w:val="00386D0E"/>
    <w:rsid w:val="00387170"/>
    <w:rsid w:val="003911F1"/>
    <w:rsid w:val="00391565"/>
    <w:rsid w:val="0039164F"/>
    <w:rsid w:val="003916ED"/>
    <w:rsid w:val="00392C55"/>
    <w:rsid w:val="00393298"/>
    <w:rsid w:val="0039397D"/>
    <w:rsid w:val="00393B6D"/>
    <w:rsid w:val="00394B21"/>
    <w:rsid w:val="00394D82"/>
    <w:rsid w:val="0039590C"/>
    <w:rsid w:val="00395A1C"/>
    <w:rsid w:val="00395DEA"/>
    <w:rsid w:val="00395F1B"/>
    <w:rsid w:val="00396285"/>
    <w:rsid w:val="00397D89"/>
    <w:rsid w:val="003A0053"/>
    <w:rsid w:val="003A01B6"/>
    <w:rsid w:val="003A1E13"/>
    <w:rsid w:val="003A1FC6"/>
    <w:rsid w:val="003A248D"/>
    <w:rsid w:val="003A2B28"/>
    <w:rsid w:val="003A495D"/>
    <w:rsid w:val="003A70BE"/>
    <w:rsid w:val="003A7C56"/>
    <w:rsid w:val="003A7C59"/>
    <w:rsid w:val="003B052D"/>
    <w:rsid w:val="003B0906"/>
    <w:rsid w:val="003B09BA"/>
    <w:rsid w:val="003B1797"/>
    <w:rsid w:val="003B1960"/>
    <w:rsid w:val="003B1B57"/>
    <w:rsid w:val="003B1E03"/>
    <w:rsid w:val="003B225A"/>
    <w:rsid w:val="003B3F6B"/>
    <w:rsid w:val="003B4583"/>
    <w:rsid w:val="003B4A7F"/>
    <w:rsid w:val="003B5E27"/>
    <w:rsid w:val="003B5FCE"/>
    <w:rsid w:val="003B7569"/>
    <w:rsid w:val="003C0A97"/>
    <w:rsid w:val="003C0BA3"/>
    <w:rsid w:val="003C1845"/>
    <w:rsid w:val="003C1D2C"/>
    <w:rsid w:val="003C2410"/>
    <w:rsid w:val="003C5396"/>
    <w:rsid w:val="003C580D"/>
    <w:rsid w:val="003C5D7A"/>
    <w:rsid w:val="003C6964"/>
    <w:rsid w:val="003C7270"/>
    <w:rsid w:val="003D16F3"/>
    <w:rsid w:val="003D1F76"/>
    <w:rsid w:val="003D351E"/>
    <w:rsid w:val="003D3903"/>
    <w:rsid w:val="003D4318"/>
    <w:rsid w:val="003D4971"/>
    <w:rsid w:val="003D4E39"/>
    <w:rsid w:val="003D51CA"/>
    <w:rsid w:val="003D61D2"/>
    <w:rsid w:val="003D66F2"/>
    <w:rsid w:val="003D7681"/>
    <w:rsid w:val="003E0E74"/>
    <w:rsid w:val="003E0FE1"/>
    <w:rsid w:val="003E10EF"/>
    <w:rsid w:val="003E183F"/>
    <w:rsid w:val="003E202C"/>
    <w:rsid w:val="003E3D34"/>
    <w:rsid w:val="003E49D2"/>
    <w:rsid w:val="003E55C6"/>
    <w:rsid w:val="003E61F9"/>
    <w:rsid w:val="003E61FF"/>
    <w:rsid w:val="003E6DE1"/>
    <w:rsid w:val="003E74ED"/>
    <w:rsid w:val="003E777E"/>
    <w:rsid w:val="003F0FAA"/>
    <w:rsid w:val="003F1E6A"/>
    <w:rsid w:val="003F26D5"/>
    <w:rsid w:val="003F272B"/>
    <w:rsid w:val="003F2F68"/>
    <w:rsid w:val="003F3504"/>
    <w:rsid w:val="003F4AE4"/>
    <w:rsid w:val="003F5A45"/>
    <w:rsid w:val="00400851"/>
    <w:rsid w:val="00402BC6"/>
    <w:rsid w:val="00402FD1"/>
    <w:rsid w:val="004034CC"/>
    <w:rsid w:val="0040587E"/>
    <w:rsid w:val="00406B70"/>
    <w:rsid w:val="00406F09"/>
    <w:rsid w:val="0040743D"/>
    <w:rsid w:val="00407C80"/>
    <w:rsid w:val="0041055D"/>
    <w:rsid w:val="004118D3"/>
    <w:rsid w:val="00411A4A"/>
    <w:rsid w:val="0041251D"/>
    <w:rsid w:val="00413E15"/>
    <w:rsid w:val="00414D48"/>
    <w:rsid w:val="0041578C"/>
    <w:rsid w:val="0041644E"/>
    <w:rsid w:val="0041741D"/>
    <w:rsid w:val="0041744F"/>
    <w:rsid w:val="004176A6"/>
    <w:rsid w:val="0041788D"/>
    <w:rsid w:val="00417F7E"/>
    <w:rsid w:val="00423F31"/>
    <w:rsid w:val="00424343"/>
    <w:rsid w:val="00424C3B"/>
    <w:rsid w:val="0042641B"/>
    <w:rsid w:val="00426B61"/>
    <w:rsid w:val="00426D10"/>
    <w:rsid w:val="0042766C"/>
    <w:rsid w:val="00427E57"/>
    <w:rsid w:val="00430306"/>
    <w:rsid w:val="00431722"/>
    <w:rsid w:val="00432500"/>
    <w:rsid w:val="004329E5"/>
    <w:rsid w:val="00435627"/>
    <w:rsid w:val="004362DD"/>
    <w:rsid w:val="00436669"/>
    <w:rsid w:val="00436801"/>
    <w:rsid w:val="00436B3D"/>
    <w:rsid w:val="00440264"/>
    <w:rsid w:val="00443529"/>
    <w:rsid w:val="00443775"/>
    <w:rsid w:val="00443AD9"/>
    <w:rsid w:val="00443EBF"/>
    <w:rsid w:val="004476AB"/>
    <w:rsid w:val="004513AA"/>
    <w:rsid w:val="004527CF"/>
    <w:rsid w:val="00452DEB"/>
    <w:rsid w:val="004533F3"/>
    <w:rsid w:val="00453E80"/>
    <w:rsid w:val="004548C7"/>
    <w:rsid w:val="004554A9"/>
    <w:rsid w:val="00455848"/>
    <w:rsid w:val="00457626"/>
    <w:rsid w:val="00457B72"/>
    <w:rsid w:val="004609AE"/>
    <w:rsid w:val="004613C3"/>
    <w:rsid w:val="004635B9"/>
    <w:rsid w:val="00463A7A"/>
    <w:rsid w:val="00464AF2"/>
    <w:rsid w:val="00465417"/>
    <w:rsid w:val="00465EA1"/>
    <w:rsid w:val="00466180"/>
    <w:rsid w:val="004662E9"/>
    <w:rsid w:val="0046711D"/>
    <w:rsid w:val="004673CB"/>
    <w:rsid w:val="004679F2"/>
    <w:rsid w:val="00470F69"/>
    <w:rsid w:val="0047115B"/>
    <w:rsid w:val="00473D65"/>
    <w:rsid w:val="00474539"/>
    <w:rsid w:val="00474782"/>
    <w:rsid w:val="004747C9"/>
    <w:rsid w:val="00474F36"/>
    <w:rsid w:val="00475CA1"/>
    <w:rsid w:val="00476ADF"/>
    <w:rsid w:val="00476FA2"/>
    <w:rsid w:val="00477D4D"/>
    <w:rsid w:val="004800C3"/>
    <w:rsid w:val="004810BE"/>
    <w:rsid w:val="00482549"/>
    <w:rsid w:val="00482563"/>
    <w:rsid w:val="00482B2E"/>
    <w:rsid w:val="0048314B"/>
    <w:rsid w:val="0048438A"/>
    <w:rsid w:val="004866B8"/>
    <w:rsid w:val="004869FA"/>
    <w:rsid w:val="00487120"/>
    <w:rsid w:val="00487CD0"/>
    <w:rsid w:val="00490447"/>
    <w:rsid w:val="00490E5A"/>
    <w:rsid w:val="004910EE"/>
    <w:rsid w:val="00491492"/>
    <w:rsid w:val="00491EF0"/>
    <w:rsid w:val="004923FF"/>
    <w:rsid w:val="004933CF"/>
    <w:rsid w:val="00493C9D"/>
    <w:rsid w:val="004955A9"/>
    <w:rsid w:val="00495C3F"/>
    <w:rsid w:val="00495EDA"/>
    <w:rsid w:val="004960DF"/>
    <w:rsid w:val="0049658E"/>
    <w:rsid w:val="00497B30"/>
    <w:rsid w:val="004A010E"/>
    <w:rsid w:val="004A0217"/>
    <w:rsid w:val="004A0AD1"/>
    <w:rsid w:val="004A18B3"/>
    <w:rsid w:val="004A2A04"/>
    <w:rsid w:val="004A4C6F"/>
    <w:rsid w:val="004A5E76"/>
    <w:rsid w:val="004A6805"/>
    <w:rsid w:val="004A6851"/>
    <w:rsid w:val="004A6F55"/>
    <w:rsid w:val="004B0636"/>
    <w:rsid w:val="004B0ECA"/>
    <w:rsid w:val="004B1463"/>
    <w:rsid w:val="004B2176"/>
    <w:rsid w:val="004B3888"/>
    <w:rsid w:val="004B48FF"/>
    <w:rsid w:val="004B59CD"/>
    <w:rsid w:val="004B6035"/>
    <w:rsid w:val="004B60BE"/>
    <w:rsid w:val="004B6550"/>
    <w:rsid w:val="004B6C8C"/>
    <w:rsid w:val="004B7477"/>
    <w:rsid w:val="004C11D0"/>
    <w:rsid w:val="004C1234"/>
    <w:rsid w:val="004C197E"/>
    <w:rsid w:val="004C2172"/>
    <w:rsid w:val="004C2A8E"/>
    <w:rsid w:val="004C2AFB"/>
    <w:rsid w:val="004C3BA9"/>
    <w:rsid w:val="004C4DEE"/>
    <w:rsid w:val="004C52CE"/>
    <w:rsid w:val="004C64ED"/>
    <w:rsid w:val="004C793D"/>
    <w:rsid w:val="004D022A"/>
    <w:rsid w:val="004D024A"/>
    <w:rsid w:val="004D0262"/>
    <w:rsid w:val="004D098B"/>
    <w:rsid w:val="004D0A17"/>
    <w:rsid w:val="004D1C29"/>
    <w:rsid w:val="004D1CBB"/>
    <w:rsid w:val="004D2934"/>
    <w:rsid w:val="004D3313"/>
    <w:rsid w:val="004D3576"/>
    <w:rsid w:val="004D6EEF"/>
    <w:rsid w:val="004D7715"/>
    <w:rsid w:val="004D7870"/>
    <w:rsid w:val="004D7FBF"/>
    <w:rsid w:val="004E3BC2"/>
    <w:rsid w:val="004E3E79"/>
    <w:rsid w:val="004E4019"/>
    <w:rsid w:val="004E44DA"/>
    <w:rsid w:val="004E49D7"/>
    <w:rsid w:val="004E4A7E"/>
    <w:rsid w:val="004E530C"/>
    <w:rsid w:val="004E5396"/>
    <w:rsid w:val="004E5A7E"/>
    <w:rsid w:val="004E632F"/>
    <w:rsid w:val="004E64F0"/>
    <w:rsid w:val="004E67DC"/>
    <w:rsid w:val="004E6C73"/>
    <w:rsid w:val="004E6D6D"/>
    <w:rsid w:val="004E714D"/>
    <w:rsid w:val="004F0006"/>
    <w:rsid w:val="004F0D60"/>
    <w:rsid w:val="004F104D"/>
    <w:rsid w:val="004F1D8D"/>
    <w:rsid w:val="004F2D32"/>
    <w:rsid w:val="004F32AB"/>
    <w:rsid w:val="004F42D5"/>
    <w:rsid w:val="004F4A05"/>
    <w:rsid w:val="004F4B5D"/>
    <w:rsid w:val="004F4C73"/>
    <w:rsid w:val="004F532B"/>
    <w:rsid w:val="004F5B37"/>
    <w:rsid w:val="004F6FA4"/>
    <w:rsid w:val="004F7733"/>
    <w:rsid w:val="00500358"/>
    <w:rsid w:val="0050135B"/>
    <w:rsid w:val="005020C9"/>
    <w:rsid w:val="0050235D"/>
    <w:rsid w:val="005025B9"/>
    <w:rsid w:val="00502B2F"/>
    <w:rsid w:val="00502F38"/>
    <w:rsid w:val="00502F66"/>
    <w:rsid w:val="005032AC"/>
    <w:rsid w:val="00503966"/>
    <w:rsid w:val="00503CD1"/>
    <w:rsid w:val="00503CEC"/>
    <w:rsid w:val="00504B80"/>
    <w:rsid w:val="00504BA1"/>
    <w:rsid w:val="00504C81"/>
    <w:rsid w:val="00504D5C"/>
    <w:rsid w:val="00506483"/>
    <w:rsid w:val="0050773C"/>
    <w:rsid w:val="005109E0"/>
    <w:rsid w:val="00510ACA"/>
    <w:rsid w:val="00511BDA"/>
    <w:rsid w:val="0051302C"/>
    <w:rsid w:val="005141EF"/>
    <w:rsid w:val="005147B5"/>
    <w:rsid w:val="00516AF9"/>
    <w:rsid w:val="005170F4"/>
    <w:rsid w:val="00520552"/>
    <w:rsid w:val="00522C21"/>
    <w:rsid w:val="00522C4F"/>
    <w:rsid w:val="00523414"/>
    <w:rsid w:val="00523B75"/>
    <w:rsid w:val="005243F4"/>
    <w:rsid w:val="0052543E"/>
    <w:rsid w:val="00525457"/>
    <w:rsid w:val="00525914"/>
    <w:rsid w:val="00526024"/>
    <w:rsid w:val="00526DCB"/>
    <w:rsid w:val="00527F80"/>
    <w:rsid w:val="00531621"/>
    <w:rsid w:val="00531899"/>
    <w:rsid w:val="00535DBE"/>
    <w:rsid w:val="00535EEF"/>
    <w:rsid w:val="0053646F"/>
    <w:rsid w:val="00536CC0"/>
    <w:rsid w:val="005371EF"/>
    <w:rsid w:val="00540235"/>
    <w:rsid w:val="005406A6"/>
    <w:rsid w:val="00541016"/>
    <w:rsid w:val="00541C39"/>
    <w:rsid w:val="00541D75"/>
    <w:rsid w:val="00543576"/>
    <w:rsid w:val="00544A8B"/>
    <w:rsid w:val="00545543"/>
    <w:rsid w:val="005459FA"/>
    <w:rsid w:val="00546D91"/>
    <w:rsid w:val="00546F62"/>
    <w:rsid w:val="00547EA5"/>
    <w:rsid w:val="005502F4"/>
    <w:rsid w:val="0055138C"/>
    <w:rsid w:val="005517FF"/>
    <w:rsid w:val="00551FCF"/>
    <w:rsid w:val="0055318B"/>
    <w:rsid w:val="005535D4"/>
    <w:rsid w:val="00553FDC"/>
    <w:rsid w:val="00554186"/>
    <w:rsid w:val="005548EE"/>
    <w:rsid w:val="00554FE5"/>
    <w:rsid w:val="00555969"/>
    <w:rsid w:val="00555CF7"/>
    <w:rsid w:val="00555DC0"/>
    <w:rsid w:val="00556160"/>
    <w:rsid w:val="00556BE3"/>
    <w:rsid w:val="00556DA3"/>
    <w:rsid w:val="00556E33"/>
    <w:rsid w:val="0056004D"/>
    <w:rsid w:val="00561FBA"/>
    <w:rsid w:val="00562235"/>
    <w:rsid w:val="005624C8"/>
    <w:rsid w:val="00562E83"/>
    <w:rsid w:val="0056303F"/>
    <w:rsid w:val="0056322D"/>
    <w:rsid w:val="00564366"/>
    <w:rsid w:val="00564610"/>
    <w:rsid w:val="00564BA2"/>
    <w:rsid w:val="0056781C"/>
    <w:rsid w:val="00571CC8"/>
    <w:rsid w:val="0057551F"/>
    <w:rsid w:val="0057567B"/>
    <w:rsid w:val="00575E34"/>
    <w:rsid w:val="00575E6E"/>
    <w:rsid w:val="0057690C"/>
    <w:rsid w:val="00576F00"/>
    <w:rsid w:val="00577CCF"/>
    <w:rsid w:val="00584B20"/>
    <w:rsid w:val="00584EBC"/>
    <w:rsid w:val="00585B98"/>
    <w:rsid w:val="00586347"/>
    <w:rsid w:val="00586BEF"/>
    <w:rsid w:val="00587480"/>
    <w:rsid w:val="005879A0"/>
    <w:rsid w:val="0059023F"/>
    <w:rsid w:val="005906A4"/>
    <w:rsid w:val="00590835"/>
    <w:rsid w:val="00592BC6"/>
    <w:rsid w:val="005939C1"/>
    <w:rsid w:val="00593A61"/>
    <w:rsid w:val="00593F7B"/>
    <w:rsid w:val="0059470F"/>
    <w:rsid w:val="0059471B"/>
    <w:rsid w:val="00594792"/>
    <w:rsid w:val="00594913"/>
    <w:rsid w:val="00594AD6"/>
    <w:rsid w:val="00595A16"/>
    <w:rsid w:val="005961D1"/>
    <w:rsid w:val="00597189"/>
    <w:rsid w:val="005A104B"/>
    <w:rsid w:val="005A1FB7"/>
    <w:rsid w:val="005A257F"/>
    <w:rsid w:val="005A2A27"/>
    <w:rsid w:val="005A4BE8"/>
    <w:rsid w:val="005A6794"/>
    <w:rsid w:val="005A6BC2"/>
    <w:rsid w:val="005A706E"/>
    <w:rsid w:val="005A7746"/>
    <w:rsid w:val="005A7F78"/>
    <w:rsid w:val="005B23B8"/>
    <w:rsid w:val="005B2E05"/>
    <w:rsid w:val="005B3C35"/>
    <w:rsid w:val="005B55B5"/>
    <w:rsid w:val="005B6550"/>
    <w:rsid w:val="005B6BFD"/>
    <w:rsid w:val="005B749F"/>
    <w:rsid w:val="005B7704"/>
    <w:rsid w:val="005C0DC4"/>
    <w:rsid w:val="005C11D4"/>
    <w:rsid w:val="005C2388"/>
    <w:rsid w:val="005C3E33"/>
    <w:rsid w:val="005C4774"/>
    <w:rsid w:val="005C59BB"/>
    <w:rsid w:val="005C7C16"/>
    <w:rsid w:val="005D047A"/>
    <w:rsid w:val="005D1249"/>
    <w:rsid w:val="005D4328"/>
    <w:rsid w:val="005D4354"/>
    <w:rsid w:val="005D58CF"/>
    <w:rsid w:val="005D5BB7"/>
    <w:rsid w:val="005D6C4C"/>
    <w:rsid w:val="005D71EF"/>
    <w:rsid w:val="005E0000"/>
    <w:rsid w:val="005E2D6D"/>
    <w:rsid w:val="005E3D4C"/>
    <w:rsid w:val="005E4E4F"/>
    <w:rsid w:val="005E503B"/>
    <w:rsid w:val="005E5F90"/>
    <w:rsid w:val="005E6091"/>
    <w:rsid w:val="005F0B2A"/>
    <w:rsid w:val="005F24F2"/>
    <w:rsid w:val="005F39D5"/>
    <w:rsid w:val="005F4E95"/>
    <w:rsid w:val="005F6C6E"/>
    <w:rsid w:val="005F7619"/>
    <w:rsid w:val="005F7F46"/>
    <w:rsid w:val="006003E9"/>
    <w:rsid w:val="00601521"/>
    <w:rsid w:val="006017C0"/>
    <w:rsid w:val="00601FDA"/>
    <w:rsid w:val="0060271A"/>
    <w:rsid w:val="00603C18"/>
    <w:rsid w:val="00603E51"/>
    <w:rsid w:val="006050D3"/>
    <w:rsid w:val="00605314"/>
    <w:rsid w:val="006053F4"/>
    <w:rsid w:val="006061AF"/>
    <w:rsid w:val="00606E1B"/>
    <w:rsid w:val="00606E75"/>
    <w:rsid w:val="0060787C"/>
    <w:rsid w:val="006110D8"/>
    <w:rsid w:val="00611263"/>
    <w:rsid w:val="00611715"/>
    <w:rsid w:val="00611ECA"/>
    <w:rsid w:val="006120E3"/>
    <w:rsid w:val="00612B18"/>
    <w:rsid w:val="00612FF8"/>
    <w:rsid w:val="00613057"/>
    <w:rsid w:val="00613E64"/>
    <w:rsid w:val="00614800"/>
    <w:rsid w:val="00614CBE"/>
    <w:rsid w:val="0061505C"/>
    <w:rsid w:val="00615F54"/>
    <w:rsid w:val="006176F4"/>
    <w:rsid w:val="00617BB2"/>
    <w:rsid w:val="00622417"/>
    <w:rsid w:val="00622633"/>
    <w:rsid w:val="00623956"/>
    <w:rsid w:val="006240AA"/>
    <w:rsid w:val="0062435E"/>
    <w:rsid w:val="006249C1"/>
    <w:rsid w:val="00624A1D"/>
    <w:rsid w:val="00626134"/>
    <w:rsid w:val="0062647F"/>
    <w:rsid w:val="00626727"/>
    <w:rsid w:val="00626B48"/>
    <w:rsid w:val="00626FB3"/>
    <w:rsid w:val="00627CC6"/>
    <w:rsid w:val="00627F63"/>
    <w:rsid w:val="00631E12"/>
    <w:rsid w:val="00632B6F"/>
    <w:rsid w:val="00632CA3"/>
    <w:rsid w:val="00633CAA"/>
    <w:rsid w:val="00633FFC"/>
    <w:rsid w:val="0063419D"/>
    <w:rsid w:val="00636FC4"/>
    <w:rsid w:val="00637353"/>
    <w:rsid w:val="006401CD"/>
    <w:rsid w:val="00642852"/>
    <w:rsid w:val="0064296F"/>
    <w:rsid w:val="00642D3F"/>
    <w:rsid w:val="00644DFC"/>
    <w:rsid w:val="00650369"/>
    <w:rsid w:val="00651A52"/>
    <w:rsid w:val="00651BCD"/>
    <w:rsid w:val="00652382"/>
    <w:rsid w:val="006540C1"/>
    <w:rsid w:val="006544C5"/>
    <w:rsid w:val="00654C68"/>
    <w:rsid w:val="00654F78"/>
    <w:rsid w:val="00654FAA"/>
    <w:rsid w:val="00655176"/>
    <w:rsid w:val="006559A1"/>
    <w:rsid w:val="00657785"/>
    <w:rsid w:val="00660886"/>
    <w:rsid w:val="00661D14"/>
    <w:rsid w:val="00661FB2"/>
    <w:rsid w:val="00662B49"/>
    <w:rsid w:val="00663E56"/>
    <w:rsid w:val="00664D79"/>
    <w:rsid w:val="00665238"/>
    <w:rsid w:val="006654F1"/>
    <w:rsid w:val="00665CF0"/>
    <w:rsid w:val="006666DB"/>
    <w:rsid w:val="0066767F"/>
    <w:rsid w:val="00670A7B"/>
    <w:rsid w:val="00670ED1"/>
    <w:rsid w:val="00671674"/>
    <w:rsid w:val="00671CB7"/>
    <w:rsid w:val="00672313"/>
    <w:rsid w:val="00672AFF"/>
    <w:rsid w:val="006732D2"/>
    <w:rsid w:val="00673307"/>
    <w:rsid w:val="0067387C"/>
    <w:rsid w:val="006758AC"/>
    <w:rsid w:val="00675965"/>
    <w:rsid w:val="00675D87"/>
    <w:rsid w:val="00676238"/>
    <w:rsid w:val="00676486"/>
    <w:rsid w:val="006764E3"/>
    <w:rsid w:val="00676527"/>
    <w:rsid w:val="00676FA5"/>
    <w:rsid w:val="0067766B"/>
    <w:rsid w:val="00680804"/>
    <w:rsid w:val="00680B31"/>
    <w:rsid w:val="00680C24"/>
    <w:rsid w:val="0068329B"/>
    <w:rsid w:val="006845B3"/>
    <w:rsid w:val="00685001"/>
    <w:rsid w:val="006857D5"/>
    <w:rsid w:val="00685A6C"/>
    <w:rsid w:val="0068754C"/>
    <w:rsid w:val="00690D15"/>
    <w:rsid w:val="00691D93"/>
    <w:rsid w:val="00692169"/>
    <w:rsid w:val="006923F8"/>
    <w:rsid w:val="00693CB1"/>
    <w:rsid w:val="00694ABD"/>
    <w:rsid w:val="00694B61"/>
    <w:rsid w:val="00697042"/>
    <w:rsid w:val="00697C3B"/>
    <w:rsid w:val="006A04FC"/>
    <w:rsid w:val="006A04FE"/>
    <w:rsid w:val="006A349A"/>
    <w:rsid w:val="006A37D7"/>
    <w:rsid w:val="006A3A00"/>
    <w:rsid w:val="006A419A"/>
    <w:rsid w:val="006A50C9"/>
    <w:rsid w:val="006A56D4"/>
    <w:rsid w:val="006A578C"/>
    <w:rsid w:val="006A5C31"/>
    <w:rsid w:val="006A5D30"/>
    <w:rsid w:val="006A62EF"/>
    <w:rsid w:val="006A6B8F"/>
    <w:rsid w:val="006A74FD"/>
    <w:rsid w:val="006B043E"/>
    <w:rsid w:val="006B1178"/>
    <w:rsid w:val="006B17A9"/>
    <w:rsid w:val="006B2762"/>
    <w:rsid w:val="006B2E15"/>
    <w:rsid w:val="006B3AD4"/>
    <w:rsid w:val="006B40DA"/>
    <w:rsid w:val="006B504C"/>
    <w:rsid w:val="006B5D88"/>
    <w:rsid w:val="006B5FA2"/>
    <w:rsid w:val="006B631E"/>
    <w:rsid w:val="006B63F3"/>
    <w:rsid w:val="006B78C8"/>
    <w:rsid w:val="006B7C83"/>
    <w:rsid w:val="006C0BE3"/>
    <w:rsid w:val="006C0FB3"/>
    <w:rsid w:val="006C13ED"/>
    <w:rsid w:val="006C1C09"/>
    <w:rsid w:val="006C2163"/>
    <w:rsid w:val="006C2B87"/>
    <w:rsid w:val="006C6D0C"/>
    <w:rsid w:val="006C7577"/>
    <w:rsid w:val="006D09F5"/>
    <w:rsid w:val="006D0DC7"/>
    <w:rsid w:val="006D1F2A"/>
    <w:rsid w:val="006D2B48"/>
    <w:rsid w:val="006D2C7A"/>
    <w:rsid w:val="006D3738"/>
    <w:rsid w:val="006D55D6"/>
    <w:rsid w:val="006D5760"/>
    <w:rsid w:val="006D7694"/>
    <w:rsid w:val="006D7961"/>
    <w:rsid w:val="006D7AC3"/>
    <w:rsid w:val="006E1694"/>
    <w:rsid w:val="006E1B90"/>
    <w:rsid w:val="006E285C"/>
    <w:rsid w:val="006E33D3"/>
    <w:rsid w:val="006E3598"/>
    <w:rsid w:val="006E35EA"/>
    <w:rsid w:val="006E3F9A"/>
    <w:rsid w:val="006E4060"/>
    <w:rsid w:val="006E4216"/>
    <w:rsid w:val="006E4EB1"/>
    <w:rsid w:val="006E5704"/>
    <w:rsid w:val="006E5DB0"/>
    <w:rsid w:val="006E6195"/>
    <w:rsid w:val="006E790C"/>
    <w:rsid w:val="006E7A0C"/>
    <w:rsid w:val="006F234A"/>
    <w:rsid w:val="006F24B0"/>
    <w:rsid w:val="006F2600"/>
    <w:rsid w:val="006F2B47"/>
    <w:rsid w:val="006F36B6"/>
    <w:rsid w:val="006F3B32"/>
    <w:rsid w:val="006F44EE"/>
    <w:rsid w:val="006F49B4"/>
    <w:rsid w:val="007013EC"/>
    <w:rsid w:val="00701639"/>
    <w:rsid w:val="00701A2F"/>
    <w:rsid w:val="00701C47"/>
    <w:rsid w:val="00701EF0"/>
    <w:rsid w:val="007024BF"/>
    <w:rsid w:val="007028CD"/>
    <w:rsid w:val="007067F8"/>
    <w:rsid w:val="0070704C"/>
    <w:rsid w:val="00707537"/>
    <w:rsid w:val="00712EBE"/>
    <w:rsid w:val="00714313"/>
    <w:rsid w:val="007144AA"/>
    <w:rsid w:val="0071649C"/>
    <w:rsid w:val="007165BB"/>
    <w:rsid w:val="00716A4D"/>
    <w:rsid w:val="00716B99"/>
    <w:rsid w:val="00717DAC"/>
    <w:rsid w:val="0072052C"/>
    <w:rsid w:val="00720BC7"/>
    <w:rsid w:val="00721BC3"/>
    <w:rsid w:val="00721F1A"/>
    <w:rsid w:val="00722237"/>
    <w:rsid w:val="00722928"/>
    <w:rsid w:val="00722D69"/>
    <w:rsid w:val="00724435"/>
    <w:rsid w:val="0072489A"/>
    <w:rsid w:val="00725D93"/>
    <w:rsid w:val="00726354"/>
    <w:rsid w:val="00727770"/>
    <w:rsid w:val="00727A4C"/>
    <w:rsid w:val="00727A9E"/>
    <w:rsid w:val="00731595"/>
    <w:rsid w:val="00731882"/>
    <w:rsid w:val="00731CEC"/>
    <w:rsid w:val="007347AA"/>
    <w:rsid w:val="007352A2"/>
    <w:rsid w:val="00735B6F"/>
    <w:rsid w:val="00735CAB"/>
    <w:rsid w:val="00736A7A"/>
    <w:rsid w:val="0073783F"/>
    <w:rsid w:val="0074013F"/>
    <w:rsid w:val="007419D4"/>
    <w:rsid w:val="00742D4C"/>
    <w:rsid w:val="00743252"/>
    <w:rsid w:val="00743441"/>
    <w:rsid w:val="00743DC0"/>
    <w:rsid w:val="00744492"/>
    <w:rsid w:val="007458DF"/>
    <w:rsid w:val="00745CAD"/>
    <w:rsid w:val="00745DC6"/>
    <w:rsid w:val="00746D40"/>
    <w:rsid w:val="0074729A"/>
    <w:rsid w:val="0074741E"/>
    <w:rsid w:val="00752A4D"/>
    <w:rsid w:val="00752F6C"/>
    <w:rsid w:val="00753F23"/>
    <w:rsid w:val="00755585"/>
    <w:rsid w:val="007575BF"/>
    <w:rsid w:val="0075783C"/>
    <w:rsid w:val="00760148"/>
    <w:rsid w:val="007607C0"/>
    <w:rsid w:val="00762A82"/>
    <w:rsid w:val="00763089"/>
    <w:rsid w:val="007634B3"/>
    <w:rsid w:val="007657B5"/>
    <w:rsid w:val="00765E1D"/>
    <w:rsid w:val="00766CD9"/>
    <w:rsid w:val="00766D71"/>
    <w:rsid w:val="00766E25"/>
    <w:rsid w:val="0076761E"/>
    <w:rsid w:val="00767BF6"/>
    <w:rsid w:val="00770576"/>
    <w:rsid w:val="007715D0"/>
    <w:rsid w:val="0077240B"/>
    <w:rsid w:val="00772938"/>
    <w:rsid w:val="00772A1B"/>
    <w:rsid w:val="0077446C"/>
    <w:rsid w:val="00774DE3"/>
    <w:rsid w:val="00775B35"/>
    <w:rsid w:val="00775D70"/>
    <w:rsid w:val="00775E30"/>
    <w:rsid w:val="007771B9"/>
    <w:rsid w:val="0077760B"/>
    <w:rsid w:val="00777F5F"/>
    <w:rsid w:val="0078043C"/>
    <w:rsid w:val="00780C42"/>
    <w:rsid w:val="00782DDC"/>
    <w:rsid w:val="007836A0"/>
    <w:rsid w:val="0078399A"/>
    <w:rsid w:val="00783DF7"/>
    <w:rsid w:val="00783E08"/>
    <w:rsid w:val="007842E7"/>
    <w:rsid w:val="00784C77"/>
    <w:rsid w:val="007875F2"/>
    <w:rsid w:val="00790DEF"/>
    <w:rsid w:val="0079102F"/>
    <w:rsid w:val="00791AEE"/>
    <w:rsid w:val="00791E2F"/>
    <w:rsid w:val="00791EC0"/>
    <w:rsid w:val="007927A2"/>
    <w:rsid w:val="007928F1"/>
    <w:rsid w:val="00792C93"/>
    <w:rsid w:val="00793EC8"/>
    <w:rsid w:val="007940A4"/>
    <w:rsid w:val="0079437F"/>
    <w:rsid w:val="00794D26"/>
    <w:rsid w:val="0079571F"/>
    <w:rsid w:val="00796BC9"/>
    <w:rsid w:val="007A0580"/>
    <w:rsid w:val="007A1589"/>
    <w:rsid w:val="007A1DA3"/>
    <w:rsid w:val="007A1FBC"/>
    <w:rsid w:val="007A381C"/>
    <w:rsid w:val="007A4810"/>
    <w:rsid w:val="007A6DD0"/>
    <w:rsid w:val="007B0618"/>
    <w:rsid w:val="007B24C2"/>
    <w:rsid w:val="007B258C"/>
    <w:rsid w:val="007B3D1F"/>
    <w:rsid w:val="007B3D49"/>
    <w:rsid w:val="007B3E51"/>
    <w:rsid w:val="007B4CC9"/>
    <w:rsid w:val="007B68F5"/>
    <w:rsid w:val="007B6A22"/>
    <w:rsid w:val="007B797B"/>
    <w:rsid w:val="007C06DB"/>
    <w:rsid w:val="007C0D20"/>
    <w:rsid w:val="007C1861"/>
    <w:rsid w:val="007C1A49"/>
    <w:rsid w:val="007C279A"/>
    <w:rsid w:val="007C3152"/>
    <w:rsid w:val="007C3240"/>
    <w:rsid w:val="007C3B94"/>
    <w:rsid w:val="007C460F"/>
    <w:rsid w:val="007C495E"/>
    <w:rsid w:val="007C592C"/>
    <w:rsid w:val="007C5B4F"/>
    <w:rsid w:val="007C6CA2"/>
    <w:rsid w:val="007D09C4"/>
    <w:rsid w:val="007D12B6"/>
    <w:rsid w:val="007D17F1"/>
    <w:rsid w:val="007D42CF"/>
    <w:rsid w:val="007D42D2"/>
    <w:rsid w:val="007D4FC7"/>
    <w:rsid w:val="007D53EF"/>
    <w:rsid w:val="007D72C0"/>
    <w:rsid w:val="007D7BD4"/>
    <w:rsid w:val="007E15CC"/>
    <w:rsid w:val="007E2343"/>
    <w:rsid w:val="007E25E0"/>
    <w:rsid w:val="007E267C"/>
    <w:rsid w:val="007E2E8C"/>
    <w:rsid w:val="007E3478"/>
    <w:rsid w:val="007E3A43"/>
    <w:rsid w:val="007E44B0"/>
    <w:rsid w:val="007E4DCA"/>
    <w:rsid w:val="007E55EF"/>
    <w:rsid w:val="007E5CF9"/>
    <w:rsid w:val="007E7025"/>
    <w:rsid w:val="007E70FF"/>
    <w:rsid w:val="007F08C4"/>
    <w:rsid w:val="007F38E8"/>
    <w:rsid w:val="007F458F"/>
    <w:rsid w:val="007F4DB3"/>
    <w:rsid w:val="007F4F68"/>
    <w:rsid w:val="007F50E7"/>
    <w:rsid w:val="007F6A0E"/>
    <w:rsid w:val="007F721D"/>
    <w:rsid w:val="008009D5"/>
    <w:rsid w:val="00801423"/>
    <w:rsid w:val="008020F6"/>
    <w:rsid w:val="00803717"/>
    <w:rsid w:val="00803F7B"/>
    <w:rsid w:val="0080421D"/>
    <w:rsid w:val="0080483C"/>
    <w:rsid w:val="008059A1"/>
    <w:rsid w:val="0080657F"/>
    <w:rsid w:val="00810892"/>
    <w:rsid w:val="00810DF6"/>
    <w:rsid w:val="00810F9C"/>
    <w:rsid w:val="008143DE"/>
    <w:rsid w:val="00814B1F"/>
    <w:rsid w:val="00814D8D"/>
    <w:rsid w:val="00815AAC"/>
    <w:rsid w:val="00815B64"/>
    <w:rsid w:val="00816128"/>
    <w:rsid w:val="008166AB"/>
    <w:rsid w:val="00816D1E"/>
    <w:rsid w:val="00817061"/>
    <w:rsid w:val="00817278"/>
    <w:rsid w:val="00821042"/>
    <w:rsid w:val="008220D8"/>
    <w:rsid w:val="0082255A"/>
    <w:rsid w:val="008238E3"/>
    <w:rsid w:val="00823D2C"/>
    <w:rsid w:val="00824524"/>
    <w:rsid w:val="00825603"/>
    <w:rsid w:val="00825718"/>
    <w:rsid w:val="00825989"/>
    <w:rsid w:val="00825D2E"/>
    <w:rsid w:val="00825F92"/>
    <w:rsid w:val="0082696C"/>
    <w:rsid w:val="00826B7A"/>
    <w:rsid w:val="00827A80"/>
    <w:rsid w:val="0083075C"/>
    <w:rsid w:val="00830ED9"/>
    <w:rsid w:val="00831E82"/>
    <w:rsid w:val="008326F3"/>
    <w:rsid w:val="00832A2B"/>
    <w:rsid w:val="0083690B"/>
    <w:rsid w:val="008405FD"/>
    <w:rsid w:val="00840AE4"/>
    <w:rsid w:val="00841679"/>
    <w:rsid w:val="00842702"/>
    <w:rsid w:val="00843AE0"/>
    <w:rsid w:val="00843F99"/>
    <w:rsid w:val="00846C49"/>
    <w:rsid w:val="00847484"/>
    <w:rsid w:val="00847AF9"/>
    <w:rsid w:val="008508E2"/>
    <w:rsid w:val="00850E08"/>
    <w:rsid w:val="008518F8"/>
    <w:rsid w:val="008519B3"/>
    <w:rsid w:val="00852070"/>
    <w:rsid w:val="00852556"/>
    <w:rsid w:val="00852678"/>
    <w:rsid w:val="00853100"/>
    <w:rsid w:val="008534D4"/>
    <w:rsid w:val="008537D8"/>
    <w:rsid w:val="00853F0A"/>
    <w:rsid w:val="008549CB"/>
    <w:rsid w:val="008549E4"/>
    <w:rsid w:val="00855DBA"/>
    <w:rsid w:val="008566A9"/>
    <w:rsid w:val="0085742C"/>
    <w:rsid w:val="00857659"/>
    <w:rsid w:val="00857B9A"/>
    <w:rsid w:val="00860381"/>
    <w:rsid w:val="00860425"/>
    <w:rsid w:val="00860618"/>
    <w:rsid w:val="00860F26"/>
    <w:rsid w:val="0086185C"/>
    <w:rsid w:val="0086189E"/>
    <w:rsid w:val="008632B6"/>
    <w:rsid w:val="00863B35"/>
    <w:rsid w:val="0086476F"/>
    <w:rsid w:val="00864CE2"/>
    <w:rsid w:val="00865423"/>
    <w:rsid w:val="008664F1"/>
    <w:rsid w:val="00866D47"/>
    <w:rsid w:val="00866F14"/>
    <w:rsid w:val="00867341"/>
    <w:rsid w:val="0087002D"/>
    <w:rsid w:val="008716D0"/>
    <w:rsid w:val="008725FB"/>
    <w:rsid w:val="008731C5"/>
    <w:rsid w:val="00873D8A"/>
    <w:rsid w:val="00873ED3"/>
    <w:rsid w:val="00874387"/>
    <w:rsid w:val="00874D06"/>
    <w:rsid w:val="00874F12"/>
    <w:rsid w:val="008753D2"/>
    <w:rsid w:val="008758E7"/>
    <w:rsid w:val="008759C0"/>
    <w:rsid w:val="00875B8C"/>
    <w:rsid w:val="008763DE"/>
    <w:rsid w:val="008776D9"/>
    <w:rsid w:val="00877834"/>
    <w:rsid w:val="00877A64"/>
    <w:rsid w:val="00877BB8"/>
    <w:rsid w:val="00877D4B"/>
    <w:rsid w:val="00877E6C"/>
    <w:rsid w:val="008813FF"/>
    <w:rsid w:val="008841FD"/>
    <w:rsid w:val="0088423A"/>
    <w:rsid w:val="00884255"/>
    <w:rsid w:val="0088486E"/>
    <w:rsid w:val="0088518C"/>
    <w:rsid w:val="00885303"/>
    <w:rsid w:val="00885309"/>
    <w:rsid w:val="00885705"/>
    <w:rsid w:val="008874A0"/>
    <w:rsid w:val="0089002E"/>
    <w:rsid w:val="00890395"/>
    <w:rsid w:val="00892A6F"/>
    <w:rsid w:val="008930AF"/>
    <w:rsid w:val="008935B6"/>
    <w:rsid w:val="00893EB5"/>
    <w:rsid w:val="00894590"/>
    <w:rsid w:val="008949D1"/>
    <w:rsid w:val="00895839"/>
    <w:rsid w:val="00896A19"/>
    <w:rsid w:val="00896A2A"/>
    <w:rsid w:val="0089707E"/>
    <w:rsid w:val="0089710F"/>
    <w:rsid w:val="00897A1F"/>
    <w:rsid w:val="00897FC2"/>
    <w:rsid w:val="008A0107"/>
    <w:rsid w:val="008A04A3"/>
    <w:rsid w:val="008A05A0"/>
    <w:rsid w:val="008A06C8"/>
    <w:rsid w:val="008A219B"/>
    <w:rsid w:val="008A2259"/>
    <w:rsid w:val="008A2293"/>
    <w:rsid w:val="008A25DB"/>
    <w:rsid w:val="008A2C14"/>
    <w:rsid w:val="008A41EA"/>
    <w:rsid w:val="008A435C"/>
    <w:rsid w:val="008A5138"/>
    <w:rsid w:val="008A59D0"/>
    <w:rsid w:val="008A5D88"/>
    <w:rsid w:val="008A60FF"/>
    <w:rsid w:val="008B133F"/>
    <w:rsid w:val="008B1DCB"/>
    <w:rsid w:val="008B2460"/>
    <w:rsid w:val="008B261B"/>
    <w:rsid w:val="008B26CC"/>
    <w:rsid w:val="008B2E3F"/>
    <w:rsid w:val="008B350B"/>
    <w:rsid w:val="008B4171"/>
    <w:rsid w:val="008B426A"/>
    <w:rsid w:val="008B5B6E"/>
    <w:rsid w:val="008B5CBE"/>
    <w:rsid w:val="008B6246"/>
    <w:rsid w:val="008C111D"/>
    <w:rsid w:val="008C1BD3"/>
    <w:rsid w:val="008C223E"/>
    <w:rsid w:val="008C29F0"/>
    <w:rsid w:val="008C2C02"/>
    <w:rsid w:val="008C2DF8"/>
    <w:rsid w:val="008C314D"/>
    <w:rsid w:val="008C3322"/>
    <w:rsid w:val="008C4357"/>
    <w:rsid w:val="008C45CF"/>
    <w:rsid w:val="008C4A8A"/>
    <w:rsid w:val="008C4BB2"/>
    <w:rsid w:val="008C4E82"/>
    <w:rsid w:val="008C4FD7"/>
    <w:rsid w:val="008C692E"/>
    <w:rsid w:val="008C6D0A"/>
    <w:rsid w:val="008D01ED"/>
    <w:rsid w:val="008D0202"/>
    <w:rsid w:val="008D05EB"/>
    <w:rsid w:val="008D0B6E"/>
    <w:rsid w:val="008D1BEA"/>
    <w:rsid w:val="008D1F86"/>
    <w:rsid w:val="008D2510"/>
    <w:rsid w:val="008D3C2E"/>
    <w:rsid w:val="008D40DE"/>
    <w:rsid w:val="008D4631"/>
    <w:rsid w:val="008D5AAD"/>
    <w:rsid w:val="008D62E6"/>
    <w:rsid w:val="008D62F3"/>
    <w:rsid w:val="008D7329"/>
    <w:rsid w:val="008D7C37"/>
    <w:rsid w:val="008E0F79"/>
    <w:rsid w:val="008E156C"/>
    <w:rsid w:val="008E26C3"/>
    <w:rsid w:val="008E2BAB"/>
    <w:rsid w:val="008E39BC"/>
    <w:rsid w:val="008E3C3D"/>
    <w:rsid w:val="008E45F6"/>
    <w:rsid w:val="008E537A"/>
    <w:rsid w:val="008E53BC"/>
    <w:rsid w:val="008E5C88"/>
    <w:rsid w:val="008E5CF8"/>
    <w:rsid w:val="008E613E"/>
    <w:rsid w:val="008E6409"/>
    <w:rsid w:val="008E6470"/>
    <w:rsid w:val="008E6CD5"/>
    <w:rsid w:val="008E795B"/>
    <w:rsid w:val="008F058F"/>
    <w:rsid w:val="008F063B"/>
    <w:rsid w:val="008F1508"/>
    <w:rsid w:val="008F1D88"/>
    <w:rsid w:val="008F3CB5"/>
    <w:rsid w:val="008F4182"/>
    <w:rsid w:val="008F4371"/>
    <w:rsid w:val="008F5258"/>
    <w:rsid w:val="008F5C56"/>
    <w:rsid w:val="008F61E7"/>
    <w:rsid w:val="008F6B1E"/>
    <w:rsid w:val="008F6B35"/>
    <w:rsid w:val="008F6B64"/>
    <w:rsid w:val="0090089C"/>
    <w:rsid w:val="00901DE7"/>
    <w:rsid w:val="00902197"/>
    <w:rsid w:val="00904590"/>
    <w:rsid w:val="0090558E"/>
    <w:rsid w:val="009056F0"/>
    <w:rsid w:val="00906CA0"/>
    <w:rsid w:val="009076A4"/>
    <w:rsid w:val="00907BC6"/>
    <w:rsid w:val="00910D3D"/>
    <w:rsid w:val="00910E31"/>
    <w:rsid w:val="0091194F"/>
    <w:rsid w:val="00912326"/>
    <w:rsid w:val="009139CF"/>
    <w:rsid w:val="00914415"/>
    <w:rsid w:val="009149AB"/>
    <w:rsid w:val="009158AA"/>
    <w:rsid w:val="00915E23"/>
    <w:rsid w:val="00916404"/>
    <w:rsid w:val="009167DF"/>
    <w:rsid w:val="00917169"/>
    <w:rsid w:val="009174F7"/>
    <w:rsid w:val="00917E75"/>
    <w:rsid w:val="0092024A"/>
    <w:rsid w:val="00921381"/>
    <w:rsid w:val="00921689"/>
    <w:rsid w:val="009217C6"/>
    <w:rsid w:val="009226D1"/>
    <w:rsid w:val="00922888"/>
    <w:rsid w:val="009234EA"/>
    <w:rsid w:val="00923539"/>
    <w:rsid w:val="0092363B"/>
    <w:rsid w:val="00924482"/>
    <w:rsid w:val="00924E22"/>
    <w:rsid w:val="009250C8"/>
    <w:rsid w:val="0092567C"/>
    <w:rsid w:val="009257C5"/>
    <w:rsid w:val="00926C5C"/>
    <w:rsid w:val="00927135"/>
    <w:rsid w:val="009311E6"/>
    <w:rsid w:val="00931EB7"/>
    <w:rsid w:val="00932BE9"/>
    <w:rsid w:val="00932D32"/>
    <w:rsid w:val="009331D1"/>
    <w:rsid w:val="009332C9"/>
    <w:rsid w:val="0093398A"/>
    <w:rsid w:val="00933FC7"/>
    <w:rsid w:val="0093427E"/>
    <w:rsid w:val="00934782"/>
    <w:rsid w:val="009351A8"/>
    <w:rsid w:val="00935E0F"/>
    <w:rsid w:val="00936360"/>
    <w:rsid w:val="00936387"/>
    <w:rsid w:val="00936C46"/>
    <w:rsid w:val="0093789A"/>
    <w:rsid w:val="00940DB9"/>
    <w:rsid w:val="00940ED1"/>
    <w:rsid w:val="0094124F"/>
    <w:rsid w:val="0094204D"/>
    <w:rsid w:val="0094218C"/>
    <w:rsid w:val="00942490"/>
    <w:rsid w:val="0094359C"/>
    <w:rsid w:val="00943665"/>
    <w:rsid w:val="0094368E"/>
    <w:rsid w:val="009440E6"/>
    <w:rsid w:val="0094440D"/>
    <w:rsid w:val="00945EAB"/>
    <w:rsid w:val="00946C09"/>
    <w:rsid w:val="009478DC"/>
    <w:rsid w:val="009505E4"/>
    <w:rsid w:val="00951962"/>
    <w:rsid w:val="00951E1D"/>
    <w:rsid w:val="00952039"/>
    <w:rsid w:val="009522BD"/>
    <w:rsid w:val="00953123"/>
    <w:rsid w:val="0095444A"/>
    <w:rsid w:val="0095486F"/>
    <w:rsid w:val="00954B6A"/>
    <w:rsid w:val="009557BA"/>
    <w:rsid w:val="00957CE2"/>
    <w:rsid w:val="00960451"/>
    <w:rsid w:val="00961725"/>
    <w:rsid w:val="00962E6A"/>
    <w:rsid w:val="009631DC"/>
    <w:rsid w:val="00963446"/>
    <w:rsid w:val="00964135"/>
    <w:rsid w:val="0096585C"/>
    <w:rsid w:val="00965931"/>
    <w:rsid w:val="00966002"/>
    <w:rsid w:val="0096649D"/>
    <w:rsid w:val="009665E4"/>
    <w:rsid w:val="00970B92"/>
    <w:rsid w:val="00973035"/>
    <w:rsid w:val="009732A2"/>
    <w:rsid w:val="0097433E"/>
    <w:rsid w:val="009752C8"/>
    <w:rsid w:val="0097644B"/>
    <w:rsid w:val="00976AD9"/>
    <w:rsid w:val="00977146"/>
    <w:rsid w:val="009776DD"/>
    <w:rsid w:val="009779CF"/>
    <w:rsid w:val="0098075C"/>
    <w:rsid w:val="0098125F"/>
    <w:rsid w:val="0098187E"/>
    <w:rsid w:val="009839E5"/>
    <w:rsid w:val="009845B7"/>
    <w:rsid w:val="00984B34"/>
    <w:rsid w:val="009867C6"/>
    <w:rsid w:val="00986A00"/>
    <w:rsid w:val="00986ADB"/>
    <w:rsid w:val="00986BC6"/>
    <w:rsid w:val="00986C04"/>
    <w:rsid w:val="009873E8"/>
    <w:rsid w:val="0099032D"/>
    <w:rsid w:val="00990732"/>
    <w:rsid w:val="00990954"/>
    <w:rsid w:val="00990AE9"/>
    <w:rsid w:val="0099204A"/>
    <w:rsid w:val="00992352"/>
    <w:rsid w:val="00994C87"/>
    <w:rsid w:val="009952D3"/>
    <w:rsid w:val="0099573D"/>
    <w:rsid w:val="00996E3D"/>
    <w:rsid w:val="00997048"/>
    <w:rsid w:val="009A0071"/>
    <w:rsid w:val="009A009B"/>
    <w:rsid w:val="009A01B1"/>
    <w:rsid w:val="009A0D5E"/>
    <w:rsid w:val="009A1CA6"/>
    <w:rsid w:val="009A22C5"/>
    <w:rsid w:val="009A316B"/>
    <w:rsid w:val="009A3E1F"/>
    <w:rsid w:val="009A4072"/>
    <w:rsid w:val="009A44B0"/>
    <w:rsid w:val="009A63D5"/>
    <w:rsid w:val="009A6E00"/>
    <w:rsid w:val="009A746D"/>
    <w:rsid w:val="009A7653"/>
    <w:rsid w:val="009A7732"/>
    <w:rsid w:val="009B14FF"/>
    <w:rsid w:val="009B2B48"/>
    <w:rsid w:val="009B60D0"/>
    <w:rsid w:val="009C0638"/>
    <w:rsid w:val="009C0A00"/>
    <w:rsid w:val="009C0A9F"/>
    <w:rsid w:val="009C12F7"/>
    <w:rsid w:val="009C14BD"/>
    <w:rsid w:val="009C1590"/>
    <w:rsid w:val="009C2228"/>
    <w:rsid w:val="009C3D94"/>
    <w:rsid w:val="009C6097"/>
    <w:rsid w:val="009C748D"/>
    <w:rsid w:val="009C7C37"/>
    <w:rsid w:val="009D0662"/>
    <w:rsid w:val="009D11EF"/>
    <w:rsid w:val="009D1E30"/>
    <w:rsid w:val="009D3196"/>
    <w:rsid w:val="009D346F"/>
    <w:rsid w:val="009D5270"/>
    <w:rsid w:val="009D67A2"/>
    <w:rsid w:val="009D6B56"/>
    <w:rsid w:val="009D713E"/>
    <w:rsid w:val="009E0421"/>
    <w:rsid w:val="009E13D6"/>
    <w:rsid w:val="009E1998"/>
    <w:rsid w:val="009E1AE2"/>
    <w:rsid w:val="009E283E"/>
    <w:rsid w:val="009E3014"/>
    <w:rsid w:val="009E4091"/>
    <w:rsid w:val="009E40BE"/>
    <w:rsid w:val="009E4159"/>
    <w:rsid w:val="009E45E1"/>
    <w:rsid w:val="009E4904"/>
    <w:rsid w:val="009E5103"/>
    <w:rsid w:val="009E5545"/>
    <w:rsid w:val="009E6429"/>
    <w:rsid w:val="009E65E3"/>
    <w:rsid w:val="009E7270"/>
    <w:rsid w:val="009E7E93"/>
    <w:rsid w:val="009F2141"/>
    <w:rsid w:val="009F2DE2"/>
    <w:rsid w:val="009F3CC5"/>
    <w:rsid w:val="009F3CF1"/>
    <w:rsid w:val="009F497C"/>
    <w:rsid w:val="009F4BB4"/>
    <w:rsid w:val="009F7145"/>
    <w:rsid w:val="009F76A9"/>
    <w:rsid w:val="009F7C0D"/>
    <w:rsid w:val="009F7F4B"/>
    <w:rsid w:val="00A00BEE"/>
    <w:rsid w:val="00A00C49"/>
    <w:rsid w:val="00A00F34"/>
    <w:rsid w:val="00A010CD"/>
    <w:rsid w:val="00A01188"/>
    <w:rsid w:val="00A01653"/>
    <w:rsid w:val="00A01A71"/>
    <w:rsid w:val="00A04508"/>
    <w:rsid w:val="00A04A9A"/>
    <w:rsid w:val="00A05005"/>
    <w:rsid w:val="00A05A8E"/>
    <w:rsid w:val="00A10530"/>
    <w:rsid w:val="00A10B43"/>
    <w:rsid w:val="00A11069"/>
    <w:rsid w:val="00A125CB"/>
    <w:rsid w:val="00A1266A"/>
    <w:rsid w:val="00A127B0"/>
    <w:rsid w:val="00A16260"/>
    <w:rsid w:val="00A174D6"/>
    <w:rsid w:val="00A220A6"/>
    <w:rsid w:val="00A22296"/>
    <w:rsid w:val="00A227D4"/>
    <w:rsid w:val="00A23476"/>
    <w:rsid w:val="00A24978"/>
    <w:rsid w:val="00A25C22"/>
    <w:rsid w:val="00A31711"/>
    <w:rsid w:val="00A31E00"/>
    <w:rsid w:val="00A33E8A"/>
    <w:rsid w:val="00A3478A"/>
    <w:rsid w:val="00A350D9"/>
    <w:rsid w:val="00A36A36"/>
    <w:rsid w:val="00A372A2"/>
    <w:rsid w:val="00A37729"/>
    <w:rsid w:val="00A41347"/>
    <w:rsid w:val="00A416D2"/>
    <w:rsid w:val="00A42231"/>
    <w:rsid w:val="00A4272B"/>
    <w:rsid w:val="00A42D66"/>
    <w:rsid w:val="00A44D88"/>
    <w:rsid w:val="00A44FB3"/>
    <w:rsid w:val="00A4553F"/>
    <w:rsid w:val="00A45CCA"/>
    <w:rsid w:val="00A4642D"/>
    <w:rsid w:val="00A474E3"/>
    <w:rsid w:val="00A4787C"/>
    <w:rsid w:val="00A5046A"/>
    <w:rsid w:val="00A51644"/>
    <w:rsid w:val="00A51B31"/>
    <w:rsid w:val="00A51CBD"/>
    <w:rsid w:val="00A51F0A"/>
    <w:rsid w:val="00A5269C"/>
    <w:rsid w:val="00A535BA"/>
    <w:rsid w:val="00A539E0"/>
    <w:rsid w:val="00A54391"/>
    <w:rsid w:val="00A54769"/>
    <w:rsid w:val="00A56434"/>
    <w:rsid w:val="00A5650A"/>
    <w:rsid w:val="00A56723"/>
    <w:rsid w:val="00A56D35"/>
    <w:rsid w:val="00A60BA1"/>
    <w:rsid w:val="00A611EC"/>
    <w:rsid w:val="00A614C7"/>
    <w:rsid w:val="00A61E22"/>
    <w:rsid w:val="00A6208F"/>
    <w:rsid w:val="00A62B73"/>
    <w:rsid w:val="00A63A34"/>
    <w:rsid w:val="00A6444C"/>
    <w:rsid w:val="00A65D01"/>
    <w:rsid w:val="00A664A7"/>
    <w:rsid w:val="00A66CC2"/>
    <w:rsid w:val="00A66EC5"/>
    <w:rsid w:val="00A709C1"/>
    <w:rsid w:val="00A71F2E"/>
    <w:rsid w:val="00A724BB"/>
    <w:rsid w:val="00A73C51"/>
    <w:rsid w:val="00A75868"/>
    <w:rsid w:val="00A7597D"/>
    <w:rsid w:val="00A771BB"/>
    <w:rsid w:val="00A772A7"/>
    <w:rsid w:val="00A80A5D"/>
    <w:rsid w:val="00A80DDE"/>
    <w:rsid w:val="00A811D7"/>
    <w:rsid w:val="00A81997"/>
    <w:rsid w:val="00A828F5"/>
    <w:rsid w:val="00A82C49"/>
    <w:rsid w:val="00A831E6"/>
    <w:rsid w:val="00A83BF6"/>
    <w:rsid w:val="00A844B9"/>
    <w:rsid w:val="00A84919"/>
    <w:rsid w:val="00A863DA"/>
    <w:rsid w:val="00A87D44"/>
    <w:rsid w:val="00A90583"/>
    <w:rsid w:val="00A90EA6"/>
    <w:rsid w:val="00A918C4"/>
    <w:rsid w:val="00A91A73"/>
    <w:rsid w:val="00A92C8B"/>
    <w:rsid w:val="00A92FD8"/>
    <w:rsid w:val="00A93DA6"/>
    <w:rsid w:val="00A941CA"/>
    <w:rsid w:val="00A96C5D"/>
    <w:rsid w:val="00A97152"/>
    <w:rsid w:val="00A97806"/>
    <w:rsid w:val="00A97C4B"/>
    <w:rsid w:val="00AA09BC"/>
    <w:rsid w:val="00AA3137"/>
    <w:rsid w:val="00AB07D4"/>
    <w:rsid w:val="00AB23A9"/>
    <w:rsid w:val="00AB26E8"/>
    <w:rsid w:val="00AB2AB8"/>
    <w:rsid w:val="00AB2BD1"/>
    <w:rsid w:val="00AB2E98"/>
    <w:rsid w:val="00AB4C45"/>
    <w:rsid w:val="00AB52EE"/>
    <w:rsid w:val="00AB6C13"/>
    <w:rsid w:val="00AB71E1"/>
    <w:rsid w:val="00AB74AD"/>
    <w:rsid w:val="00AB7E76"/>
    <w:rsid w:val="00AC0B7E"/>
    <w:rsid w:val="00AC1F59"/>
    <w:rsid w:val="00AC2722"/>
    <w:rsid w:val="00AC33AB"/>
    <w:rsid w:val="00AC4947"/>
    <w:rsid w:val="00AC62E2"/>
    <w:rsid w:val="00AC6675"/>
    <w:rsid w:val="00AC691E"/>
    <w:rsid w:val="00AD04F5"/>
    <w:rsid w:val="00AD0D72"/>
    <w:rsid w:val="00AD190A"/>
    <w:rsid w:val="00AD209B"/>
    <w:rsid w:val="00AD21B5"/>
    <w:rsid w:val="00AD28BD"/>
    <w:rsid w:val="00AD31F0"/>
    <w:rsid w:val="00AD31F5"/>
    <w:rsid w:val="00AD345C"/>
    <w:rsid w:val="00AD3CAA"/>
    <w:rsid w:val="00AD3E31"/>
    <w:rsid w:val="00AD463F"/>
    <w:rsid w:val="00AD48DD"/>
    <w:rsid w:val="00AD4F09"/>
    <w:rsid w:val="00AD549C"/>
    <w:rsid w:val="00AD5F18"/>
    <w:rsid w:val="00AD74DF"/>
    <w:rsid w:val="00AD7C0E"/>
    <w:rsid w:val="00AD7D82"/>
    <w:rsid w:val="00AE087B"/>
    <w:rsid w:val="00AE14CF"/>
    <w:rsid w:val="00AE2E47"/>
    <w:rsid w:val="00AE328A"/>
    <w:rsid w:val="00AE4FAC"/>
    <w:rsid w:val="00AE6DD3"/>
    <w:rsid w:val="00AE7896"/>
    <w:rsid w:val="00AF04CA"/>
    <w:rsid w:val="00AF3AF2"/>
    <w:rsid w:val="00AF42DB"/>
    <w:rsid w:val="00AF4946"/>
    <w:rsid w:val="00AF5EE5"/>
    <w:rsid w:val="00AF6832"/>
    <w:rsid w:val="00AF7BBA"/>
    <w:rsid w:val="00B0062C"/>
    <w:rsid w:val="00B00937"/>
    <w:rsid w:val="00B00FAF"/>
    <w:rsid w:val="00B01110"/>
    <w:rsid w:val="00B01813"/>
    <w:rsid w:val="00B02791"/>
    <w:rsid w:val="00B0452F"/>
    <w:rsid w:val="00B04782"/>
    <w:rsid w:val="00B04C1D"/>
    <w:rsid w:val="00B05A5A"/>
    <w:rsid w:val="00B069C0"/>
    <w:rsid w:val="00B06F27"/>
    <w:rsid w:val="00B072F0"/>
    <w:rsid w:val="00B0774C"/>
    <w:rsid w:val="00B1008C"/>
    <w:rsid w:val="00B10157"/>
    <w:rsid w:val="00B11270"/>
    <w:rsid w:val="00B118F5"/>
    <w:rsid w:val="00B11A3B"/>
    <w:rsid w:val="00B16ADD"/>
    <w:rsid w:val="00B16F33"/>
    <w:rsid w:val="00B22ACC"/>
    <w:rsid w:val="00B22F03"/>
    <w:rsid w:val="00B22F96"/>
    <w:rsid w:val="00B240D8"/>
    <w:rsid w:val="00B2437C"/>
    <w:rsid w:val="00B2566F"/>
    <w:rsid w:val="00B25B81"/>
    <w:rsid w:val="00B25C89"/>
    <w:rsid w:val="00B260EF"/>
    <w:rsid w:val="00B2641B"/>
    <w:rsid w:val="00B27569"/>
    <w:rsid w:val="00B30005"/>
    <w:rsid w:val="00B302CC"/>
    <w:rsid w:val="00B3083A"/>
    <w:rsid w:val="00B30F6A"/>
    <w:rsid w:val="00B31FC4"/>
    <w:rsid w:val="00B32654"/>
    <w:rsid w:val="00B32907"/>
    <w:rsid w:val="00B341EF"/>
    <w:rsid w:val="00B3498A"/>
    <w:rsid w:val="00B3596D"/>
    <w:rsid w:val="00B3666E"/>
    <w:rsid w:val="00B409F8"/>
    <w:rsid w:val="00B41035"/>
    <w:rsid w:val="00B4303F"/>
    <w:rsid w:val="00B43A38"/>
    <w:rsid w:val="00B4449C"/>
    <w:rsid w:val="00B445E9"/>
    <w:rsid w:val="00B45009"/>
    <w:rsid w:val="00B4548B"/>
    <w:rsid w:val="00B454F4"/>
    <w:rsid w:val="00B504F8"/>
    <w:rsid w:val="00B50EF6"/>
    <w:rsid w:val="00B51276"/>
    <w:rsid w:val="00B525E6"/>
    <w:rsid w:val="00B52C8F"/>
    <w:rsid w:val="00B52DE5"/>
    <w:rsid w:val="00B53498"/>
    <w:rsid w:val="00B54148"/>
    <w:rsid w:val="00B54E5E"/>
    <w:rsid w:val="00B5595F"/>
    <w:rsid w:val="00B55D86"/>
    <w:rsid w:val="00B56871"/>
    <w:rsid w:val="00B5760C"/>
    <w:rsid w:val="00B57991"/>
    <w:rsid w:val="00B60363"/>
    <w:rsid w:val="00B608B2"/>
    <w:rsid w:val="00B613EE"/>
    <w:rsid w:val="00B62C0C"/>
    <w:rsid w:val="00B63136"/>
    <w:rsid w:val="00B64615"/>
    <w:rsid w:val="00B66EE8"/>
    <w:rsid w:val="00B6772B"/>
    <w:rsid w:val="00B67A2A"/>
    <w:rsid w:val="00B67DB8"/>
    <w:rsid w:val="00B701F9"/>
    <w:rsid w:val="00B70407"/>
    <w:rsid w:val="00B707D7"/>
    <w:rsid w:val="00B70CC8"/>
    <w:rsid w:val="00B72185"/>
    <w:rsid w:val="00B724B4"/>
    <w:rsid w:val="00B726CC"/>
    <w:rsid w:val="00B732F4"/>
    <w:rsid w:val="00B73A52"/>
    <w:rsid w:val="00B73E29"/>
    <w:rsid w:val="00B75353"/>
    <w:rsid w:val="00B75DF3"/>
    <w:rsid w:val="00B75F65"/>
    <w:rsid w:val="00B766A1"/>
    <w:rsid w:val="00B77822"/>
    <w:rsid w:val="00B77FDB"/>
    <w:rsid w:val="00B803FD"/>
    <w:rsid w:val="00B811C0"/>
    <w:rsid w:val="00B8353C"/>
    <w:rsid w:val="00B84736"/>
    <w:rsid w:val="00B85AFB"/>
    <w:rsid w:val="00B8697E"/>
    <w:rsid w:val="00B90189"/>
    <w:rsid w:val="00B902B4"/>
    <w:rsid w:val="00B90B1F"/>
    <w:rsid w:val="00B92B30"/>
    <w:rsid w:val="00B93943"/>
    <w:rsid w:val="00B948C2"/>
    <w:rsid w:val="00B94E50"/>
    <w:rsid w:val="00B95673"/>
    <w:rsid w:val="00B95C24"/>
    <w:rsid w:val="00B9699C"/>
    <w:rsid w:val="00B97F8B"/>
    <w:rsid w:val="00BA010D"/>
    <w:rsid w:val="00BA03BA"/>
    <w:rsid w:val="00BA0B16"/>
    <w:rsid w:val="00BA0BF3"/>
    <w:rsid w:val="00BA1F1F"/>
    <w:rsid w:val="00BA2950"/>
    <w:rsid w:val="00BA30EB"/>
    <w:rsid w:val="00BA4599"/>
    <w:rsid w:val="00BA48CC"/>
    <w:rsid w:val="00BA4A89"/>
    <w:rsid w:val="00BA540C"/>
    <w:rsid w:val="00BA5FB5"/>
    <w:rsid w:val="00BA70F4"/>
    <w:rsid w:val="00BA7DD3"/>
    <w:rsid w:val="00BB14AE"/>
    <w:rsid w:val="00BB19E2"/>
    <w:rsid w:val="00BB1D59"/>
    <w:rsid w:val="00BB294A"/>
    <w:rsid w:val="00BB2AE3"/>
    <w:rsid w:val="00BB3678"/>
    <w:rsid w:val="00BB441A"/>
    <w:rsid w:val="00BB4B3C"/>
    <w:rsid w:val="00BB67C3"/>
    <w:rsid w:val="00BB6F41"/>
    <w:rsid w:val="00BB704A"/>
    <w:rsid w:val="00BB71CB"/>
    <w:rsid w:val="00BB76C7"/>
    <w:rsid w:val="00BC1A4C"/>
    <w:rsid w:val="00BC1D2C"/>
    <w:rsid w:val="00BC2730"/>
    <w:rsid w:val="00BC2870"/>
    <w:rsid w:val="00BC2D99"/>
    <w:rsid w:val="00BC364C"/>
    <w:rsid w:val="00BC521A"/>
    <w:rsid w:val="00BC553E"/>
    <w:rsid w:val="00BC5CFD"/>
    <w:rsid w:val="00BC5FF5"/>
    <w:rsid w:val="00BC610C"/>
    <w:rsid w:val="00BC6137"/>
    <w:rsid w:val="00BC6A21"/>
    <w:rsid w:val="00BD0655"/>
    <w:rsid w:val="00BD0BE1"/>
    <w:rsid w:val="00BD1AC3"/>
    <w:rsid w:val="00BD261E"/>
    <w:rsid w:val="00BD32A2"/>
    <w:rsid w:val="00BD35BB"/>
    <w:rsid w:val="00BD45E4"/>
    <w:rsid w:val="00BD4E06"/>
    <w:rsid w:val="00BD5274"/>
    <w:rsid w:val="00BD5D50"/>
    <w:rsid w:val="00BD679F"/>
    <w:rsid w:val="00BD749C"/>
    <w:rsid w:val="00BE04A0"/>
    <w:rsid w:val="00BE0718"/>
    <w:rsid w:val="00BE0B1C"/>
    <w:rsid w:val="00BE1277"/>
    <w:rsid w:val="00BE139B"/>
    <w:rsid w:val="00BE3681"/>
    <w:rsid w:val="00BE3DD5"/>
    <w:rsid w:val="00BE4C53"/>
    <w:rsid w:val="00BE6273"/>
    <w:rsid w:val="00BF1006"/>
    <w:rsid w:val="00BF10CA"/>
    <w:rsid w:val="00BF119D"/>
    <w:rsid w:val="00BF12D4"/>
    <w:rsid w:val="00BF1E6B"/>
    <w:rsid w:val="00BF20DF"/>
    <w:rsid w:val="00BF2250"/>
    <w:rsid w:val="00BF2B41"/>
    <w:rsid w:val="00BF4804"/>
    <w:rsid w:val="00BF52D0"/>
    <w:rsid w:val="00BF5982"/>
    <w:rsid w:val="00C01389"/>
    <w:rsid w:val="00C0258E"/>
    <w:rsid w:val="00C060EA"/>
    <w:rsid w:val="00C062FE"/>
    <w:rsid w:val="00C0708C"/>
    <w:rsid w:val="00C0792F"/>
    <w:rsid w:val="00C100AA"/>
    <w:rsid w:val="00C10A35"/>
    <w:rsid w:val="00C10B12"/>
    <w:rsid w:val="00C11872"/>
    <w:rsid w:val="00C12AF8"/>
    <w:rsid w:val="00C13070"/>
    <w:rsid w:val="00C143E8"/>
    <w:rsid w:val="00C147A5"/>
    <w:rsid w:val="00C15482"/>
    <w:rsid w:val="00C15566"/>
    <w:rsid w:val="00C16FD5"/>
    <w:rsid w:val="00C172AA"/>
    <w:rsid w:val="00C209BA"/>
    <w:rsid w:val="00C21703"/>
    <w:rsid w:val="00C23490"/>
    <w:rsid w:val="00C23661"/>
    <w:rsid w:val="00C23952"/>
    <w:rsid w:val="00C23D82"/>
    <w:rsid w:val="00C248D2"/>
    <w:rsid w:val="00C25406"/>
    <w:rsid w:val="00C25CFD"/>
    <w:rsid w:val="00C27839"/>
    <w:rsid w:val="00C27F7F"/>
    <w:rsid w:val="00C31B7A"/>
    <w:rsid w:val="00C32379"/>
    <w:rsid w:val="00C324BF"/>
    <w:rsid w:val="00C327D6"/>
    <w:rsid w:val="00C32D8C"/>
    <w:rsid w:val="00C33121"/>
    <w:rsid w:val="00C334AF"/>
    <w:rsid w:val="00C339AE"/>
    <w:rsid w:val="00C33B1A"/>
    <w:rsid w:val="00C33E70"/>
    <w:rsid w:val="00C34164"/>
    <w:rsid w:val="00C34442"/>
    <w:rsid w:val="00C34F76"/>
    <w:rsid w:val="00C3582E"/>
    <w:rsid w:val="00C36103"/>
    <w:rsid w:val="00C36742"/>
    <w:rsid w:val="00C36857"/>
    <w:rsid w:val="00C36EF4"/>
    <w:rsid w:val="00C36F4B"/>
    <w:rsid w:val="00C37EDA"/>
    <w:rsid w:val="00C40080"/>
    <w:rsid w:val="00C40CEF"/>
    <w:rsid w:val="00C41313"/>
    <w:rsid w:val="00C433BE"/>
    <w:rsid w:val="00C441AE"/>
    <w:rsid w:val="00C44ADE"/>
    <w:rsid w:val="00C455D1"/>
    <w:rsid w:val="00C46DF8"/>
    <w:rsid w:val="00C50008"/>
    <w:rsid w:val="00C501FD"/>
    <w:rsid w:val="00C51ECF"/>
    <w:rsid w:val="00C535AF"/>
    <w:rsid w:val="00C538AD"/>
    <w:rsid w:val="00C53A22"/>
    <w:rsid w:val="00C53C58"/>
    <w:rsid w:val="00C53F16"/>
    <w:rsid w:val="00C54385"/>
    <w:rsid w:val="00C548B3"/>
    <w:rsid w:val="00C555B6"/>
    <w:rsid w:val="00C55609"/>
    <w:rsid w:val="00C55D37"/>
    <w:rsid w:val="00C56D5B"/>
    <w:rsid w:val="00C56E33"/>
    <w:rsid w:val="00C57F06"/>
    <w:rsid w:val="00C60230"/>
    <w:rsid w:val="00C604D6"/>
    <w:rsid w:val="00C60F76"/>
    <w:rsid w:val="00C6105E"/>
    <w:rsid w:val="00C61863"/>
    <w:rsid w:val="00C61D59"/>
    <w:rsid w:val="00C625B8"/>
    <w:rsid w:val="00C625DA"/>
    <w:rsid w:val="00C6270E"/>
    <w:rsid w:val="00C63601"/>
    <w:rsid w:val="00C63B79"/>
    <w:rsid w:val="00C6440D"/>
    <w:rsid w:val="00C65383"/>
    <w:rsid w:val="00C6547F"/>
    <w:rsid w:val="00C65A6F"/>
    <w:rsid w:val="00C67C98"/>
    <w:rsid w:val="00C72FD2"/>
    <w:rsid w:val="00C73013"/>
    <w:rsid w:val="00C730F3"/>
    <w:rsid w:val="00C7312D"/>
    <w:rsid w:val="00C7314D"/>
    <w:rsid w:val="00C7476A"/>
    <w:rsid w:val="00C753B8"/>
    <w:rsid w:val="00C75B20"/>
    <w:rsid w:val="00C75F2B"/>
    <w:rsid w:val="00C76E00"/>
    <w:rsid w:val="00C778B2"/>
    <w:rsid w:val="00C80230"/>
    <w:rsid w:val="00C80BD1"/>
    <w:rsid w:val="00C80D81"/>
    <w:rsid w:val="00C814C9"/>
    <w:rsid w:val="00C829A3"/>
    <w:rsid w:val="00C83246"/>
    <w:rsid w:val="00C850D6"/>
    <w:rsid w:val="00C852CB"/>
    <w:rsid w:val="00C860E0"/>
    <w:rsid w:val="00C86603"/>
    <w:rsid w:val="00C87F3D"/>
    <w:rsid w:val="00C91A8D"/>
    <w:rsid w:val="00C93608"/>
    <w:rsid w:val="00C93B55"/>
    <w:rsid w:val="00C944CB"/>
    <w:rsid w:val="00C95254"/>
    <w:rsid w:val="00C954C3"/>
    <w:rsid w:val="00C95DEF"/>
    <w:rsid w:val="00C9744A"/>
    <w:rsid w:val="00C97EA6"/>
    <w:rsid w:val="00CA021F"/>
    <w:rsid w:val="00CA0436"/>
    <w:rsid w:val="00CA0B94"/>
    <w:rsid w:val="00CA1859"/>
    <w:rsid w:val="00CA3BAE"/>
    <w:rsid w:val="00CA3E31"/>
    <w:rsid w:val="00CA577F"/>
    <w:rsid w:val="00CA5D8E"/>
    <w:rsid w:val="00CA603A"/>
    <w:rsid w:val="00CA62C6"/>
    <w:rsid w:val="00CA6808"/>
    <w:rsid w:val="00CB068B"/>
    <w:rsid w:val="00CB08C2"/>
    <w:rsid w:val="00CB1499"/>
    <w:rsid w:val="00CB3A24"/>
    <w:rsid w:val="00CB49DE"/>
    <w:rsid w:val="00CB5E81"/>
    <w:rsid w:val="00CB5F0B"/>
    <w:rsid w:val="00CB64C2"/>
    <w:rsid w:val="00CB7E75"/>
    <w:rsid w:val="00CC0050"/>
    <w:rsid w:val="00CC1C8C"/>
    <w:rsid w:val="00CC1D65"/>
    <w:rsid w:val="00CC2C7E"/>
    <w:rsid w:val="00CC3610"/>
    <w:rsid w:val="00CC362D"/>
    <w:rsid w:val="00CC4574"/>
    <w:rsid w:val="00CC4EFF"/>
    <w:rsid w:val="00CC50CF"/>
    <w:rsid w:val="00CC5321"/>
    <w:rsid w:val="00CC6BDA"/>
    <w:rsid w:val="00CC6CCF"/>
    <w:rsid w:val="00CD0A06"/>
    <w:rsid w:val="00CD1603"/>
    <w:rsid w:val="00CD1AFF"/>
    <w:rsid w:val="00CD2A2F"/>
    <w:rsid w:val="00CD3B5E"/>
    <w:rsid w:val="00CD4BAE"/>
    <w:rsid w:val="00CD52A8"/>
    <w:rsid w:val="00CD7035"/>
    <w:rsid w:val="00CD742E"/>
    <w:rsid w:val="00CE0694"/>
    <w:rsid w:val="00CE0EF1"/>
    <w:rsid w:val="00CE11CB"/>
    <w:rsid w:val="00CE1920"/>
    <w:rsid w:val="00CE2B89"/>
    <w:rsid w:val="00CE3458"/>
    <w:rsid w:val="00CE3906"/>
    <w:rsid w:val="00CE51D3"/>
    <w:rsid w:val="00CE5E0D"/>
    <w:rsid w:val="00CE6091"/>
    <w:rsid w:val="00CE70AB"/>
    <w:rsid w:val="00CE7EBC"/>
    <w:rsid w:val="00CF0018"/>
    <w:rsid w:val="00CF04C1"/>
    <w:rsid w:val="00CF0BA6"/>
    <w:rsid w:val="00CF17B5"/>
    <w:rsid w:val="00CF1CEC"/>
    <w:rsid w:val="00CF22C2"/>
    <w:rsid w:val="00CF2980"/>
    <w:rsid w:val="00CF2FE7"/>
    <w:rsid w:val="00CF4255"/>
    <w:rsid w:val="00CF4CF9"/>
    <w:rsid w:val="00CF5886"/>
    <w:rsid w:val="00CF6926"/>
    <w:rsid w:val="00CF6F84"/>
    <w:rsid w:val="00CF7A56"/>
    <w:rsid w:val="00D0052F"/>
    <w:rsid w:val="00D02AAC"/>
    <w:rsid w:val="00D04AD6"/>
    <w:rsid w:val="00D05B3B"/>
    <w:rsid w:val="00D0619E"/>
    <w:rsid w:val="00D0725E"/>
    <w:rsid w:val="00D0735D"/>
    <w:rsid w:val="00D077AA"/>
    <w:rsid w:val="00D10BF0"/>
    <w:rsid w:val="00D1165B"/>
    <w:rsid w:val="00D1167C"/>
    <w:rsid w:val="00D124DB"/>
    <w:rsid w:val="00D1261B"/>
    <w:rsid w:val="00D12855"/>
    <w:rsid w:val="00D128DC"/>
    <w:rsid w:val="00D13253"/>
    <w:rsid w:val="00D13A21"/>
    <w:rsid w:val="00D13E8A"/>
    <w:rsid w:val="00D14484"/>
    <w:rsid w:val="00D14F77"/>
    <w:rsid w:val="00D151BC"/>
    <w:rsid w:val="00D15916"/>
    <w:rsid w:val="00D16843"/>
    <w:rsid w:val="00D16B4E"/>
    <w:rsid w:val="00D175E2"/>
    <w:rsid w:val="00D20188"/>
    <w:rsid w:val="00D21ABD"/>
    <w:rsid w:val="00D2228E"/>
    <w:rsid w:val="00D231DE"/>
    <w:rsid w:val="00D2392B"/>
    <w:rsid w:val="00D23E1D"/>
    <w:rsid w:val="00D24370"/>
    <w:rsid w:val="00D246B7"/>
    <w:rsid w:val="00D258F2"/>
    <w:rsid w:val="00D25A42"/>
    <w:rsid w:val="00D25A5A"/>
    <w:rsid w:val="00D26B43"/>
    <w:rsid w:val="00D2780A"/>
    <w:rsid w:val="00D27C5A"/>
    <w:rsid w:val="00D32543"/>
    <w:rsid w:val="00D3271A"/>
    <w:rsid w:val="00D32AB1"/>
    <w:rsid w:val="00D331C0"/>
    <w:rsid w:val="00D33793"/>
    <w:rsid w:val="00D33F31"/>
    <w:rsid w:val="00D34370"/>
    <w:rsid w:val="00D34E5F"/>
    <w:rsid w:val="00D35124"/>
    <w:rsid w:val="00D35604"/>
    <w:rsid w:val="00D36547"/>
    <w:rsid w:val="00D37576"/>
    <w:rsid w:val="00D37C1A"/>
    <w:rsid w:val="00D41850"/>
    <w:rsid w:val="00D41CE7"/>
    <w:rsid w:val="00D41E1B"/>
    <w:rsid w:val="00D42AFD"/>
    <w:rsid w:val="00D42C22"/>
    <w:rsid w:val="00D43B00"/>
    <w:rsid w:val="00D43F6F"/>
    <w:rsid w:val="00D46064"/>
    <w:rsid w:val="00D46315"/>
    <w:rsid w:val="00D46E31"/>
    <w:rsid w:val="00D47FCD"/>
    <w:rsid w:val="00D51861"/>
    <w:rsid w:val="00D51AA8"/>
    <w:rsid w:val="00D51C1D"/>
    <w:rsid w:val="00D51D84"/>
    <w:rsid w:val="00D52168"/>
    <w:rsid w:val="00D521F9"/>
    <w:rsid w:val="00D52AE8"/>
    <w:rsid w:val="00D534A1"/>
    <w:rsid w:val="00D53E09"/>
    <w:rsid w:val="00D553D5"/>
    <w:rsid w:val="00D55D35"/>
    <w:rsid w:val="00D56512"/>
    <w:rsid w:val="00D610AC"/>
    <w:rsid w:val="00D611D9"/>
    <w:rsid w:val="00D6129C"/>
    <w:rsid w:val="00D64009"/>
    <w:rsid w:val="00D65BE7"/>
    <w:rsid w:val="00D66BEC"/>
    <w:rsid w:val="00D71B4F"/>
    <w:rsid w:val="00D72F6F"/>
    <w:rsid w:val="00D732AB"/>
    <w:rsid w:val="00D7375C"/>
    <w:rsid w:val="00D7381C"/>
    <w:rsid w:val="00D738EF"/>
    <w:rsid w:val="00D73D88"/>
    <w:rsid w:val="00D73E3A"/>
    <w:rsid w:val="00D7425E"/>
    <w:rsid w:val="00D74354"/>
    <w:rsid w:val="00D746DA"/>
    <w:rsid w:val="00D74821"/>
    <w:rsid w:val="00D749ED"/>
    <w:rsid w:val="00D74ED0"/>
    <w:rsid w:val="00D76359"/>
    <w:rsid w:val="00D7675A"/>
    <w:rsid w:val="00D76AB2"/>
    <w:rsid w:val="00D7709C"/>
    <w:rsid w:val="00D774C2"/>
    <w:rsid w:val="00D8072C"/>
    <w:rsid w:val="00D808C9"/>
    <w:rsid w:val="00D80BC0"/>
    <w:rsid w:val="00D81013"/>
    <w:rsid w:val="00D840A2"/>
    <w:rsid w:val="00D848D9"/>
    <w:rsid w:val="00D855E3"/>
    <w:rsid w:val="00D87024"/>
    <w:rsid w:val="00D87486"/>
    <w:rsid w:val="00D876CD"/>
    <w:rsid w:val="00D900E2"/>
    <w:rsid w:val="00D90F51"/>
    <w:rsid w:val="00D91A2E"/>
    <w:rsid w:val="00D92318"/>
    <w:rsid w:val="00D925FA"/>
    <w:rsid w:val="00D92C5B"/>
    <w:rsid w:val="00D92F21"/>
    <w:rsid w:val="00D934D8"/>
    <w:rsid w:val="00D94DD0"/>
    <w:rsid w:val="00D9538C"/>
    <w:rsid w:val="00D956CC"/>
    <w:rsid w:val="00D96608"/>
    <w:rsid w:val="00D973DD"/>
    <w:rsid w:val="00DA12E8"/>
    <w:rsid w:val="00DA1A65"/>
    <w:rsid w:val="00DA1B30"/>
    <w:rsid w:val="00DA2863"/>
    <w:rsid w:val="00DA29F9"/>
    <w:rsid w:val="00DA30BA"/>
    <w:rsid w:val="00DA3A69"/>
    <w:rsid w:val="00DA4634"/>
    <w:rsid w:val="00DA49D1"/>
    <w:rsid w:val="00DA6C6B"/>
    <w:rsid w:val="00DB0B67"/>
    <w:rsid w:val="00DB0E7F"/>
    <w:rsid w:val="00DB233B"/>
    <w:rsid w:val="00DB2F8A"/>
    <w:rsid w:val="00DB400D"/>
    <w:rsid w:val="00DB464D"/>
    <w:rsid w:val="00DB6377"/>
    <w:rsid w:val="00DB7377"/>
    <w:rsid w:val="00DB7853"/>
    <w:rsid w:val="00DB78CE"/>
    <w:rsid w:val="00DC16CF"/>
    <w:rsid w:val="00DC1AAE"/>
    <w:rsid w:val="00DC1B6A"/>
    <w:rsid w:val="00DC2C46"/>
    <w:rsid w:val="00DC35ED"/>
    <w:rsid w:val="00DC4D06"/>
    <w:rsid w:val="00DC511C"/>
    <w:rsid w:val="00DC5EB1"/>
    <w:rsid w:val="00DC6D6C"/>
    <w:rsid w:val="00DC74D4"/>
    <w:rsid w:val="00DC74D7"/>
    <w:rsid w:val="00DD2F32"/>
    <w:rsid w:val="00DD34BE"/>
    <w:rsid w:val="00DD3687"/>
    <w:rsid w:val="00DD45E6"/>
    <w:rsid w:val="00DD49ED"/>
    <w:rsid w:val="00DD4C39"/>
    <w:rsid w:val="00DD523F"/>
    <w:rsid w:val="00DD699D"/>
    <w:rsid w:val="00DD6B76"/>
    <w:rsid w:val="00DD6C9A"/>
    <w:rsid w:val="00DE0436"/>
    <w:rsid w:val="00DE0848"/>
    <w:rsid w:val="00DE0D02"/>
    <w:rsid w:val="00DE1626"/>
    <w:rsid w:val="00DE1E2C"/>
    <w:rsid w:val="00DE2190"/>
    <w:rsid w:val="00DE31BA"/>
    <w:rsid w:val="00DE37AB"/>
    <w:rsid w:val="00DE4488"/>
    <w:rsid w:val="00DE497D"/>
    <w:rsid w:val="00DE62C2"/>
    <w:rsid w:val="00DE6F68"/>
    <w:rsid w:val="00DE7101"/>
    <w:rsid w:val="00DE7452"/>
    <w:rsid w:val="00DF1149"/>
    <w:rsid w:val="00DF2335"/>
    <w:rsid w:val="00DF285C"/>
    <w:rsid w:val="00DF382A"/>
    <w:rsid w:val="00DF3C2B"/>
    <w:rsid w:val="00DF3D4F"/>
    <w:rsid w:val="00DF3F8A"/>
    <w:rsid w:val="00DF43C3"/>
    <w:rsid w:val="00DF6D51"/>
    <w:rsid w:val="00DF6FB7"/>
    <w:rsid w:val="00E00DC8"/>
    <w:rsid w:val="00E00F4A"/>
    <w:rsid w:val="00E0108F"/>
    <w:rsid w:val="00E02A80"/>
    <w:rsid w:val="00E02E99"/>
    <w:rsid w:val="00E02F01"/>
    <w:rsid w:val="00E03E0D"/>
    <w:rsid w:val="00E055C8"/>
    <w:rsid w:val="00E072A0"/>
    <w:rsid w:val="00E07343"/>
    <w:rsid w:val="00E07D9F"/>
    <w:rsid w:val="00E10E50"/>
    <w:rsid w:val="00E10F37"/>
    <w:rsid w:val="00E119A5"/>
    <w:rsid w:val="00E11FAB"/>
    <w:rsid w:val="00E11FE1"/>
    <w:rsid w:val="00E137D4"/>
    <w:rsid w:val="00E155E7"/>
    <w:rsid w:val="00E1764F"/>
    <w:rsid w:val="00E2044A"/>
    <w:rsid w:val="00E207CB"/>
    <w:rsid w:val="00E214E8"/>
    <w:rsid w:val="00E21C51"/>
    <w:rsid w:val="00E22291"/>
    <w:rsid w:val="00E227E1"/>
    <w:rsid w:val="00E22AF2"/>
    <w:rsid w:val="00E232AB"/>
    <w:rsid w:val="00E2389B"/>
    <w:rsid w:val="00E24120"/>
    <w:rsid w:val="00E24AC4"/>
    <w:rsid w:val="00E24D2F"/>
    <w:rsid w:val="00E260F3"/>
    <w:rsid w:val="00E2628A"/>
    <w:rsid w:val="00E26D0E"/>
    <w:rsid w:val="00E26FEA"/>
    <w:rsid w:val="00E273B2"/>
    <w:rsid w:val="00E2793E"/>
    <w:rsid w:val="00E27989"/>
    <w:rsid w:val="00E31194"/>
    <w:rsid w:val="00E31D7D"/>
    <w:rsid w:val="00E32095"/>
    <w:rsid w:val="00E3235E"/>
    <w:rsid w:val="00E342A7"/>
    <w:rsid w:val="00E3445E"/>
    <w:rsid w:val="00E36652"/>
    <w:rsid w:val="00E369B5"/>
    <w:rsid w:val="00E37727"/>
    <w:rsid w:val="00E408B9"/>
    <w:rsid w:val="00E40C10"/>
    <w:rsid w:val="00E41168"/>
    <w:rsid w:val="00E44630"/>
    <w:rsid w:val="00E4511C"/>
    <w:rsid w:val="00E452CD"/>
    <w:rsid w:val="00E45E8C"/>
    <w:rsid w:val="00E46773"/>
    <w:rsid w:val="00E46EF5"/>
    <w:rsid w:val="00E47D4F"/>
    <w:rsid w:val="00E514A7"/>
    <w:rsid w:val="00E51E45"/>
    <w:rsid w:val="00E52145"/>
    <w:rsid w:val="00E52382"/>
    <w:rsid w:val="00E5439B"/>
    <w:rsid w:val="00E55371"/>
    <w:rsid w:val="00E55B23"/>
    <w:rsid w:val="00E55D50"/>
    <w:rsid w:val="00E57126"/>
    <w:rsid w:val="00E57524"/>
    <w:rsid w:val="00E60F36"/>
    <w:rsid w:val="00E61C0A"/>
    <w:rsid w:val="00E62C08"/>
    <w:rsid w:val="00E636F8"/>
    <w:rsid w:val="00E64245"/>
    <w:rsid w:val="00E64629"/>
    <w:rsid w:val="00E6758C"/>
    <w:rsid w:val="00E67DBE"/>
    <w:rsid w:val="00E70212"/>
    <w:rsid w:val="00E7060C"/>
    <w:rsid w:val="00E70A1F"/>
    <w:rsid w:val="00E71C6D"/>
    <w:rsid w:val="00E72B16"/>
    <w:rsid w:val="00E72E54"/>
    <w:rsid w:val="00E74095"/>
    <w:rsid w:val="00E743C9"/>
    <w:rsid w:val="00E74CB3"/>
    <w:rsid w:val="00E755BD"/>
    <w:rsid w:val="00E75676"/>
    <w:rsid w:val="00E75768"/>
    <w:rsid w:val="00E75AA9"/>
    <w:rsid w:val="00E77DD7"/>
    <w:rsid w:val="00E80012"/>
    <w:rsid w:val="00E8328B"/>
    <w:rsid w:val="00E84640"/>
    <w:rsid w:val="00E857A5"/>
    <w:rsid w:val="00E870E2"/>
    <w:rsid w:val="00E90160"/>
    <w:rsid w:val="00E91ED4"/>
    <w:rsid w:val="00E92805"/>
    <w:rsid w:val="00E92D81"/>
    <w:rsid w:val="00E942BD"/>
    <w:rsid w:val="00E95994"/>
    <w:rsid w:val="00E95A14"/>
    <w:rsid w:val="00E96EB5"/>
    <w:rsid w:val="00EA03F4"/>
    <w:rsid w:val="00EA2006"/>
    <w:rsid w:val="00EA2413"/>
    <w:rsid w:val="00EA29BE"/>
    <w:rsid w:val="00EA4C29"/>
    <w:rsid w:val="00EA5ADE"/>
    <w:rsid w:val="00EA66B2"/>
    <w:rsid w:val="00EA6FA2"/>
    <w:rsid w:val="00EA7649"/>
    <w:rsid w:val="00EB096E"/>
    <w:rsid w:val="00EB19F9"/>
    <w:rsid w:val="00EB1DE6"/>
    <w:rsid w:val="00EB2076"/>
    <w:rsid w:val="00EB29D5"/>
    <w:rsid w:val="00EB4907"/>
    <w:rsid w:val="00EB5852"/>
    <w:rsid w:val="00EB5DEF"/>
    <w:rsid w:val="00EB61BF"/>
    <w:rsid w:val="00EB763A"/>
    <w:rsid w:val="00EC0038"/>
    <w:rsid w:val="00EC0BD5"/>
    <w:rsid w:val="00EC129F"/>
    <w:rsid w:val="00EC1371"/>
    <w:rsid w:val="00EC191B"/>
    <w:rsid w:val="00EC1ACA"/>
    <w:rsid w:val="00EC2097"/>
    <w:rsid w:val="00EC2592"/>
    <w:rsid w:val="00EC2987"/>
    <w:rsid w:val="00EC4340"/>
    <w:rsid w:val="00EC4378"/>
    <w:rsid w:val="00EC5315"/>
    <w:rsid w:val="00EC5691"/>
    <w:rsid w:val="00EC5CB2"/>
    <w:rsid w:val="00EC5E06"/>
    <w:rsid w:val="00EC623B"/>
    <w:rsid w:val="00EC6573"/>
    <w:rsid w:val="00EC70FA"/>
    <w:rsid w:val="00EC7CBF"/>
    <w:rsid w:val="00EC7E7E"/>
    <w:rsid w:val="00ED005F"/>
    <w:rsid w:val="00ED007A"/>
    <w:rsid w:val="00ED111D"/>
    <w:rsid w:val="00ED2517"/>
    <w:rsid w:val="00ED33AF"/>
    <w:rsid w:val="00ED4FCB"/>
    <w:rsid w:val="00ED52BB"/>
    <w:rsid w:val="00ED65A9"/>
    <w:rsid w:val="00ED721B"/>
    <w:rsid w:val="00ED7ECA"/>
    <w:rsid w:val="00EE00D5"/>
    <w:rsid w:val="00EE0382"/>
    <w:rsid w:val="00EE055E"/>
    <w:rsid w:val="00EE2562"/>
    <w:rsid w:val="00EE2804"/>
    <w:rsid w:val="00EE4F7C"/>
    <w:rsid w:val="00EE5147"/>
    <w:rsid w:val="00EE57C3"/>
    <w:rsid w:val="00EE5B8C"/>
    <w:rsid w:val="00EE6414"/>
    <w:rsid w:val="00EE695A"/>
    <w:rsid w:val="00EE6DC2"/>
    <w:rsid w:val="00EE730B"/>
    <w:rsid w:val="00EF1A99"/>
    <w:rsid w:val="00EF2231"/>
    <w:rsid w:val="00EF2989"/>
    <w:rsid w:val="00EF3254"/>
    <w:rsid w:val="00EF36AF"/>
    <w:rsid w:val="00EF3C87"/>
    <w:rsid w:val="00EF5003"/>
    <w:rsid w:val="00EF5093"/>
    <w:rsid w:val="00EF5FF0"/>
    <w:rsid w:val="00EF76F3"/>
    <w:rsid w:val="00F00D8C"/>
    <w:rsid w:val="00F0140B"/>
    <w:rsid w:val="00F033A8"/>
    <w:rsid w:val="00F03FBC"/>
    <w:rsid w:val="00F04B13"/>
    <w:rsid w:val="00F05175"/>
    <w:rsid w:val="00F0591C"/>
    <w:rsid w:val="00F05CF2"/>
    <w:rsid w:val="00F06256"/>
    <w:rsid w:val="00F06B03"/>
    <w:rsid w:val="00F079FD"/>
    <w:rsid w:val="00F106BA"/>
    <w:rsid w:val="00F11A2E"/>
    <w:rsid w:val="00F12596"/>
    <w:rsid w:val="00F13233"/>
    <w:rsid w:val="00F144B0"/>
    <w:rsid w:val="00F1465B"/>
    <w:rsid w:val="00F14A05"/>
    <w:rsid w:val="00F14AFC"/>
    <w:rsid w:val="00F16CED"/>
    <w:rsid w:val="00F21964"/>
    <w:rsid w:val="00F22CF5"/>
    <w:rsid w:val="00F22D83"/>
    <w:rsid w:val="00F2375E"/>
    <w:rsid w:val="00F2388B"/>
    <w:rsid w:val="00F23D59"/>
    <w:rsid w:val="00F24614"/>
    <w:rsid w:val="00F25128"/>
    <w:rsid w:val="00F2777A"/>
    <w:rsid w:val="00F30186"/>
    <w:rsid w:val="00F30EB8"/>
    <w:rsid w:val="00F31CD0"/>
    <w:rsid w:val="00F31FD8"/>
    <w:rsid w:val="00F32107"/>
    <w:rsid w:val="00F321A4"/>
    <w:rsid w:val="00F32E5F"/>
    <w:rsid w:val="00F32E9A"/>
    <w:rsid w:val="00F333F4"/>
    <w:rsid w:val="00F337BA"/>
    <w:rsid w:val="00F34885"/>
    <w:rsid w:val="00F34897"/>
    <w:rsid w:val="00F350DB"/>
    <w:rsid w:val="00F35A57"/>
    <w:rsid w:val="00F36194"/>
    <w:rsid w:val="00F36BB8"/>
    <w:rsid w:val="00F36F82"/>
    <w:rsid w:val="00F37E6C"/>
    <w:rsid w:val="00F406F8"/>
    <w:rsid w:val="00F40A52"/>
    <w:rsid w:val="00F4147C"/>
    <w:rsid w:val="00F416F1"/>
    <w:rsid w:val="00F417B2"/>
    <w:rsid w:val="00F419DD"/>
    <w:rsid w:val="00F43B1F"/>
    <w:rsid w:val="00F43CD9"/>
    <w:rsid w:val="00F44822"/>
    <w:rsid w:val="00F4572C"/>
    <w:rsid w:val="00F4607A"/>
    <w:rsid w:val="00F46C77"/>
    <w:rsid w:val="00F47E8D"/>
    <w:rsid w:val="00F51573"/>
    <w:rsid w:val="00F51C91"/>
    <w:rsid w:val="00F52687"/>
    <w:rsid w:val="00F528B6"/>
    <w:rsid w:val="00F52DC9"/>
    <w:rsid w:val="00F53B3A"/>
    <w:rsid w:val="00F55FE6"/>
    <w:rsid w:val="00F563B5"/>
    <w:rsid w:val="00F56C87"/>
    <w:rsid w:val="00F56FCA"/>
    <w:rsid w:val="00F572B9"/>
    <w:rsid w:val="00F60B08"/>
    <w:rsid w:val="00F61F96"/>
    <w:rsid w:val="00F63ECF"/>
    <w:rsid w:val="00F63FB3"/>
    <w:rsid w:val="00F64722"/>
    <w:rsid w:val="00F6655C"/>
    <w:rsid w:val="00F666C8"/>
    <w:rsid w:val="00F66D87"/>
    <w:rsid w:val="00F66DC1"/>
    <w:rsid w:val="00F702EE"/>
    <w:rsid w:val="00F70322"/>
    <w:rsid w:val="00F7200D"/>
    <w:rsid w:val="00F72511"/>
    <w:rsid w:val="00F72674"/>
    <w:rsid w:val="00F72DD2"/>
    <w:rsid w:val="00F731F2"/>
    <w:rsid w:val="00F733D9"/>
    <w:rsid w:val="00F7393C"/>
    <w:rsid w:val="00F73C30"/>
    <w:rsid w:val="00F74207"/>
    <w:rsid w:val="00F7462F"/>
    <w:rsid w:val="00F7500F"/>
    <w:rsid w:val="00F75E81"/>
    <w:rsid w:val="00F77364"/>
    <w:rsid w:val="00F80CFB"/>
    <w:rsid w:val="00F8104E"/>
    <w:rsid w:val="00F815AC"/>
    <w:rsid w:val="00F820DE"/>
    <w:rsid w:val="00F82488"/>
    <w:rsid w:val="00F83271"/>
    <w:rsid w:val="00F8409C"/>
    <w:rsid w:val="00F84857"/>
    <w:rsid w:val="00F8659D"/>
    <w:rsid w:val="00F86DFD"/>
    <w:rsid w:val="00F87A08"/>
    <w:rsid w:val="00F90B20"/>
    <w:rsid w:val="00F90C92"/>
    <w:rsid w:val="00F9224B"/>
    <w:rsid w:val="00F93172"/>
    <w:rsid w:val="00F931C3"/>
    <w:rsid w:val="00F9383A"/>
    <w:rsid w:val="00F93F66"/>
    <w:rsid w:val="00F9408B"/>
    <w:rsid w:val="00F94263"/>
    <w:rsid w:val="00F94AA1"/>
    <w:rsid w:val="00F94B92"/>
    <w:rsid w:val="00F94BB4"/>
    <w:rsid w:val="00F95184"/>
    <w:rsid w:val="00F97716"/>
    <w:rsid w:val="00FA0451"/>
    <w:rsid w:val="00FA0552"/>
    <w:rsid w:val="00FA0850"/>
    <w:rsid w:val="00FA09AF"/>
    <w:rsid w:val="00FA0AA7"/>
    <w:rsid w:val="00FA0CFD"/>
    <w:rsid w:val="00FA1139"/>
    <w:rsid w:val="00FA2648"/>
    <w:rsid w:val="00FA2807"/>
    <w:rsid w:val="00FA2CDF"/>
    <w:rsid w:val="00FA366D"/>
    <w:rsid w:val="00FA5A3C"/>
    <w:rsid w:val="00FA6252"/>
    <w:rsid w:val="00FA6D68"/>
    <w:rsid w:val="00FA7BAE"/>
    <w:rsid w:val="00FA7FB2"/>
    <w:rsid w:val="00FB0397"/>
    <w:rsid w:val="00FB08E5"/>
    <w:rsid w:val="00FB40E9"/>
    <w:rsid w:val="00FB49FD"/>
    <w:rsid w:val="00FB4B87"/>
    <w:rsid w:val="00FB5092"/>
    <w:rsid w:val="00FB556B"/>
    <w:rsid w:val="00FB5DF1"/>
    <w:rsid w:val="00FB69FC"/>
    <w:rsid w:val="00FB6B89"/>
    <w:rsid w:val="00FC0265"/>
    <w:rsid w:val="00FC02BF"/>
    <w:rsid w:val="00FC03CD"/>
    <w:rsid w:val="00FC332B"/>
    <w:rsid w:val="00FC37CD"/>
    <w:rsid w:val="00FC3DE5"/>
    <w:rsid w:val="00FC5A74"/>
    <w:rsid w:val="00FC5F73"/>
    <w:rsid w:val="00FC63A7"/>
    <w:rsid w:val="00FC649E"/>
    <w:rsid w:val="00FC6A46"/>
    <w:rsid w:val="00FC7822"/>
    <w:rsid w:val="00FC7B0D"/>
    <w:rsid w:val="00FD05F7"/>
    <w:rsid w:val="00FD10A5"/>
    <w:rsid w:val="00FD1341"/>
    <w:rsid w:val="00FD1AB6"/>
    <w:rsid w:val="00FD1E36"/>
    <w:rsid w:val="00FD20B7"/>
    <w:rsid w:val="00FD288D"/>
    <w:rsid w:val="00FD3328"/>
    <w:rsid w:val="00FD3A44"/>
    <w:rsid w:val="00FD414A"/>
    <w:rsid w:val="00FD5626"/>
    <w:rsid w:val="00FD671C"/>
    <w:rsid w:val="00FD6E0B"/>
    <w:rsid w:val="00FD7EA0"/>
    <w:rsid w:val="00FE0C64"/>
    <w:rsid w:val="00FE0FED"/>
    <w:rsid w:val="00FE178C"/>
    <w:rsid w:val="00FE4418"/>
    <w:rsid w:val="00FE668B"/>
    <w:rsid w:val="00FE6878"/>
    <w:rsid w:val="00FF025B"/>
    <w:rsid w:val="00FF24AA"/>
    <w:rsid w:val="00FF2E3A"/>
    <w:rsid w:val="00FF4B21"/>
    <w:rsid w:val="00FF62FB"/>
    <w:rsid w:val="00FF7B94"/>
    <w:rsid w:val="010307F3"/>
    <w:rsid w:val="010F3D19"/>
    <w:rsid w:val="011D3624"/>
    <w:rsid w:val="01205304"/>
    <w:rsid w:val="012E5BDD"/>
    <w:rsid w:val="012E7DD1"/>
    <w:rsid w:val="01336359"/>
    <w:rsid w:val="014067DA"/>
    <w:rsid w:val="014632E9"/>
    <w:rsid w:val="015514B2"/>
    <w:rsid w:val="0174550E"/>
    <w:rsid w:val="017B526D"/>
    <w:rsid w:val="01822573"/>
    <w:rsid w:val="01865638"/>
    <w:rsid w:val="01991975"/>
    <w:rsid w:val="01A50265"/>
    <w:rsid w:val="01C37AC6"/>
    <w:rsid w:val="01C4202A"/>
    <w:rsid w:val="01C77937"/>
    <w:rsid w:val="01DA6E1D"/>
    <w:rsid w:val="01E048BA"/>
    <w:rsid w:val="01EA636A"/>
    <w:rsid w:val="01FC02B4"/>
    <w:rsid w:val="01FD4C91"/>
    <w:rsid w:val="02026E30"/>
    <w:rsid w:val="02067E2E"/>
    <w:rsid w:val="021138F7"/>
    <w:rsid w:val="021C5A78"/>
    <w:rsid w:val="023251F7"/>
    <w:rsid w:val="024D295E"/>
    <w:rsid w:val="024D35C2"/>
    <w:rsid w:val="025033FE"/>
    <w:rsid w:val="02531F0A"/>
    <w:rsid w:val="02537B69"/>
    <w:rsid w:val="02704276"/>
    <w:rsid w:val="02751302"/>
    <w:rsid w:val="02764654"/>
    <w:rsid w:val="028B5457"/>
    <w:rsid w:val="0299651B"/>
    <w:rsid w:val="029D502D"/>
    <w:rsid w:val="029D5B72"/>
    <w:rsid w:val="02B64EDF"/>
    <w:rsid w:val="02C04F04"/>
    <w:rsid w:val="02C26874"/>
    <w:rsid w:val="02C50B4A"/>
    <w:rsid w:val="02C77868"/>
    <w:rsid w:val="02C941D1"/>
    <w:rsid w:val="02CF6ABF"/>
    <w:rsid w:val="02DD00D7"/>
    <w:rsid w:val="02F925EB"/>
    <w:rsid w:val="030A693F"/>
    <w:rsid w:val="030B686A"/>
    <w:rsid w:val="03143042"/>
    <w:rsid w:val="031463AC"/>
    <w:rsid w:val="031E66BE"/>
    <w:rsid w:val="03293693"/>
    <w:rsid w:val="03305FFE"/>
    <w:rsid w:val="033C1FAA"/>
    <w:rsid w:val="034571EB"/>
    <w:rsid w:val="035B575C"/>
    <w:rsid w:val="03661A20"/>
    <w:rsid w:val="03724869"/>
    <w:rsid w:val="03924A15"/>
    <w:rsid w:val="03945DFB"/>
    <w:rsid w:val="03A26EF0"/>
    <w:rsid w:val="03B079AA"/>
    <w:rsid w:val="03CB7FC7"/>
    <w:rsid w:val="03D244AC"/>
    <w:rsid w:val="03E93270"/>
    <w:rsid w:val="03F474F8"/>
    <w:rsid w:val="03F91FDF"/>
    <w:rsid w:val="040D50D0"/>
    <w:rsid w:val="042370A7"/>
    <w:rsid w:val="04252C6D"/>
    <w:rsid w:val="043701DB"/>
    <w:rsid w:val="04387860"/>
    <w:rsid w:val="045469B1"/>
    <w:rsid w:val="0458580D"/>
    <w:rsid w:val="047D5573"/>
    <w:rsid w:val="047F5CF0"/>
    <w:rsid w:val="048E015A"/>
    <w:rsid w:val="04D252E4"/>
    <w:rsid w:val="04DF3A0D"/>
    <w:rsid w:val="04ED064B"/>
    <w:rsid w:val="051E57AF"/>
    <w:rsid w:val="05215120"/>
    <w:rsid w:val="052668C1"/>
    <w:rsid w:val="05334D16"/>
    <w:rsid w:val="054E3F52"/>
    <w:rsid w:val="0563090D"/>
    <w:rsid w:val="056379C6"/>
    <w:rsid w:val="058B75FB"/>
    <w:rsid w:val="058C766B"/>
    <w:rsid w:val="059053A1"/>
    <w:rsid w:val="05946D18"/>
    <w:rsid w:val="05B02ABC"/>
    <w:rsid w:val="05B16E97"/>
    <w:rsid w:val="05BD5CEC"/>
    <w:rsid w:val="05C07B0D"/>
    <w:rsid w:val="05DF7EE1"/>
    <w:rsid w:val="06007623"/>
    <w:rsid w:val="062772AE"/>
    <w:rsid w:val="06342239"/>
    <w:rsid w:val="06416FDE"/>
    <w:rsid w:val="069B65C8"/>
    <w:rsid w:val="06AE2DF9"/>
    <w:rsid w:val="06B43B46"/>
    <w:rsid w:val="06BB0913"/>
    <w:rsid w:val="06C448FC"/>
    <w:rsid w:val="06CE41BC"/>
    <w:rsid w:val="06E52F5E"/>
    <w:rsid w:val="06E73A9E"/>
    <w:rsid w:val="070752C8"/>
    <w:rsid w:val="070F7498"/>
    <w:rsid w:val="071619A6"/>
    <w:rsid w:val="071A22CA"/>
    <w:rsid w:val="071B3043"/>
    <w:rsid w:val="071D312D"/>
    <w:rsid w:val="07335FA1"/>
    <w:rsid w:val="07433DE6"/>
    <w:rsid w:val="07615139"/>
    <w:rsid w:val="0768169C"/>
    <w:rsid w:val="076D6F60"/>
    <w:rsid w:val="07753C24"/>
    <w:rsid w:val="077753B0"/>
    <w:rsid w:val="077D0B41"/>
    <w:rsid w:val="07961D30"/>
    <w:rsid w:val="07A4016F"/>
    <w:rsid w:val="07B46D72"/>
    <w:rsid w:val="07BD1A2B"/>
    <w:rsid w:val="07BF2A5A"/>
    <w:rsid w:val="07C06F59"/>
    <w:rsid w:val="07C8237A"/>
    <w:rsid w:val="07CA42EF"/>
    <w:rsid w:val="07CD3E7A"/>
    <w:rsid w:val="07E72C91"/>
    <w:rsid w:val="07F341CA"/>
    <w:rsid w:val="080041F1"/>
    <w:rsid w:val="0802440D"/>
    <w:rsid w:val="082050E6"/>
    <w:rsid w:val="082F4AD6"/>
    <w:rsid w:val="082F6AAF"/>
    <w:rsid w:val="08354C04"/>
    <w:rsid w:val="08445B15"/>
    <w:rsid w:val="08522BD2"/>
    <w:rsid w:val="08617E09"/>
    <w:rsid w:val="0865674A"/>
    <w:rsid w:val="087276EF"/>
    <w:rsid w:val="089B198E"/>
    <w:rsid w:val="08A07D1C"/>
    <w:rsid w:val="08A92ADB"/>
    <w:rsid w:val="08B5322E"/>
    <w:rsid w:val="08B96B4A"/>
    <w:rsid w:val="08BC1FC1"/>
    <w:rsid w:val="08BE7056"/>
    <w:rsid w:val="08C83A20"/>
    <w:rsid w:val="08D226FF"/>
    <w:rsid w:val="08DF5AD4"/>
    <w:rsid w:val="08E24980"/>
    <w:rsid w:val="08ED5C60"/>
    <w:rsid w:val="08F30618"/>
    <w:rsid w:val="08FC6D02"/>
    <w:rsid w:val="08FD4BD5"/>
    <w:rsid w:val="09047D11"/>
    <w:rsid w:val="09097997"/>
    <w:rsid w:val="090A607B"/>
    <w:rsid w:val="090E4C07"/>
    <w:rsid w:val="09131429"/>
    <w:rsid w:val="09173EE8"/>
    <w:rsid w:val="092B5711"/>
    <w:rsid w:val="094401F6"/>
    <w:rsid w:val="094649D2"/>
    <w:rsid w:val="0969226A"/>
    <w:rsid w:val="09891E40"/>
    <w:rsid w:val="09966A8F"/>
    <w:rsid w:val="099B05EB"/>
    <w:rsid w:val="09A94AB1"/>
    <w:rsid w:val="09D37BC5"/>
    <w:rsid w:val="09D914C8"/>
    <w:rsid w:val="09EE30F7"/>
    <w:rsid w:val="09EF44EC"/>
    <w:rsid w:val="09F21F45"/>
    <w:rsid w:val="0A0C3DD6"/>
    <w:rsid w:val="0A1133A8"/>
    <w:rsid w:val="0A123850"/>
    <w:rsid w:val="0A163FD0"/>
    <w:rsid w:val="0A2E766B"/>
    <w:rsid w:val="0A3354DB"/>
    <w:rsid w:val="0A3960E0"/>
    <w:rsid w:val="0A4627BB"/>
    <w:rsid w:val="0A4947FA"/>
    <w:rsid w:val="0A511214"/>
    <w:rsid w:val="0A617E09"/>
    <w:rsid w:val="0A642803"/>
    <w:rsid w:val="0A695FFC"/>
    <w:rsid w:val="0A7048D2"/>
    <w:rsid w:val="0A723B49"/>
    <w:rsid w:val="0A795621"/>
    <w:rsid w:val="0A866E5C"/>
    <w:rsid w:val="0A870935"/>
    <w:rsid w:val="0A967C03"/>
    <w:rsid w:val="0AA37ECF"/>
    <w:rsid w:val="0AC87203"/>
    <w:rsid w:val="0ACE05D7"/>
    <w:rsid w:val="0AD613F1"/>
    <w:rsid w:val="0AD94996"/>
    <w:rsid w:val="0AE133F1"/>
    <w:rsid w:val="0AF63852"/>
    <w:rsid w:val="0AF80D11"/>
    <w:rsid w:val="0B07596A"/>
    <w:rsid w:val="0B0860CB"/>
    <w:rsid w:val="0B0D73C6"/>
    <w:rsid w:val="0B1464DD"/>
    <w:rsid w:val="0B161241"/>
    <w:rsid w:val="0B262785"/>
    <w:rsid w:val="0B4334DC"/>
    <w:rsid w:val="0B526459"/>
    <w:rsid w:val="0B535E0E"/>
    <w:rsid w:val="0B5755D3"/>
    <w:rsid w:val="0B5804EA"/>
    <w:rsid w:val="0B7C46E0"/>
    <w:rsid w:val="0B856258"/>
    <w:rsid w:val="0B8C3FEE"/>
    <w:rsid w:val="0BA37CB5"/>
    <w:rsid w:val="0BA63367"/>
    <w:rsid w:val="0BA9061A"/>
    <w:rsid w:val="0BAE41AF"/>
    <w:rsid w:val="0BAF556C"/>
    <w:rsid w:val="0BB6678C"/>
    <w:rsid w:val="0BBA3280"/>
    <w:rsid w:val="0BBE01F4"/>
    <w:rsid w:val="0BBF4F65"/>
    <w:rsid w:val="0BD460C1"/>
    <w:rsid w:val="0BE1472A"/>
    <w:rsid w:val="0BE91EC1"/>
    <w:rsid w:val="0BF16C73"/>
    <w:rsid w:val="0BFD1124"/>
    <w:rsid w:val="0C0F231C"/>
    <w:rsid w:val="0C1A44E1"/>
    <w:rsid w:val="0C1D16F4"/>
    <w:rsid w:val="0C2A0948"/>
    <w:rsid w:val="0C2B014F"/>
    <w:rsid w:val="0C2B4700"/>
    <w:rsid w:val="0C3455B8"/>
    <w:rsid w:val="0C356FA3"/>
    <w:rsid w:val="0C384DED"/>
    <w:rsid w:val="0C5E2F6F"/>
    <w:rsid w:val="0C624800"/>
    <w:rsid w:val="0C693FB6"/>
    <w:rsid w:val="0C807124"/>
    <w:rsid w:val="0C8F1FE8"/>
    <w:rsid w:val="0C9114F3"/>
    <w:rsid w:val="0C97555B"/>
    <w:rsid w:val="0CA36BD7"/>
    <w:rsid w:val="0CB836DE"/>
    <w:rsid w:val="0CBC5652"/>
    <w:rsid w:val="0CBF58C1"/>
    <w:rsid w:val="0CBF5DD4"/>
    <w:rsid w:val="0CC21B08"/>
    <w:rsid w:val="0CD70F51"/>
    <w:rsid w:val="0CEB1914"/>
    <w:rsid w:val="0CF34325"/>
    <w:rsid w:val="0D1B468F"/>
    <w:rsid w:val="0D2A5193"/>
    <w:rsid w:val="0D2C0E9D"/>
    <w:rsid w:val="0D387B7E"/>
    <w:rsid w:val="0D474670"/>
    <w:rsid w:val="0D4872CE"/>
    <w:rsid w:val="0D4A5F0F"/>
    <w:rsid w:val="0D4F2492"/>
    <w:rsid w:val="0D5E3553"/>
    <w:rsid w:val="0D5F0658"/>
    <w:rsid w:val="0D671EE5"/>
    <w:rsid w:val="0D7B7E36"/>
    <w:rsid w:val="0D943085"/>
    <w:rsid w:val="0D9773A6"/>
    <w:rsid w:val="0D9A29CC"/>
    <w:rsid w:val="0DB22BB6"/>
    <w:rsid w:val="0DE845A7"/>
    <w:rsid w:val="0DED4859"/>
    <w:rsid w:val="0DEF66F8"/>
    <w:rsid w:val="0E0C079A"/>
    <w:rsid w:val="0E0C5F1C"/>
    <w:rsid w:val="0E165CDF"/>
    <w:rsid w:val="0E1E3C50"/>
    <w:rsid w:val="0E1E5FDC"/>
    <w:rsid w:val="0E2F6667"/>
    <w:rsid w:val="0E466034"/>
    <w:rsid w:val="0E502351"/>
    <w:rsid w:val="0E614E63"/>
    <w:rsid w:val="0E62693A"/>
    <w:rsid w:val="0E6409B6"/>
    <w:rsid w:val="0E7A4F21"/>
    <w:rsid w:val="0E8027DC"/>
    <w:rsid w:val="0E996B45"/>
    <w:rsid w:val="0EB70696"/>
    <w:rsid w:val="0EB85F2C"/>
    <w:rsid w:val="0EC537EA"/>
    <w:rsid w:val="0ED14DE6"/>
    <w:rsid w:val="0ED17A44"/>
    <w:rsid w:val="0EE44DDF"/>
    <w:rsid w:val="0EF110A8"/>
    <w:rsid w:val="0F0767D0"/>
    <w:rsid w:val="0F22030A"/>
    <w:rsid w:val="0F276E27"/>
    <w:rsid w:val="0F2C71AD"/>
    <w:rsid w:val="0F341D16"/>
    <w:rsid w:val="0F403FDC"/>
    <w:rsid w:val="0F5C08A7"/>
    <w:rsid w:val="0F8F6145"/>
    <w:rsid w:val="0F960D54"/>
    <w:rsid w:val="0F9C4F98"/>
    <w:rsid w:val="0F9D4E20"/>
    <w:rsid w:val="0FA96F42"/>
    <w:rsid w:val="0FE0493D"/>
    <w:rsid w:val="0FE23CB5"/>
    <w:rsid w:val="0FED53BE"/>
    <w:rsid w:val="0FF57F35"/>
    <w:rsid w:val="0FF65CC4"/>
    <w:rsid w:val="0FFB4C3D"/>
    <w:rsid w:val="100A7516"/>
    <w:rsid w:val="10155DF9"/>
    <w:rsid w:val="102313C5"/>
    <w:rsid w:val="10372845"/>
    <w:rsid w:val="10550681"/>
    <w:rsid w:val="107F5C26"/>
    <w:rsid w:val="1080388A"/>
    <w:rsid w:val="10821DA2"/>
    <w:rsid w:val="10A2679F"/>
    <w:rsid w:val="10A342B4"/>
    <w:rsid w:val="10B538FF"/>
    <w:rsid w:val="10C34238"/>
    <w:rsid w:val="10E21B3A"/>
    <w:rsid w:val="10E9580B"/>
    <w:rsid w:val="10FE773C"/>
    <w:rsid w:val="11027C9D"/>
    <w:rsid w:val="110B3C50"/>
    <w:rsid w:val="11136EC1"/>
    <w:rsid w:val="111D5E14"/>
    <w:rsid w:val="11333B88"/>
    <w:rsid w:val="115E08D7"/>
    <w:rsid w:val="11612681"/>
    <w:rsid w:val="11812847"/>
    <w:rsid w:val="1181390D"/>
    <w:rsid w:val="11866440"/>
    <w:rsid w:val="1189011B"/>
    <w:rsid w:val="11AA45C9"/>
    <w:rsid w:val="11B62393"/>
    <w:rsid w:val="11BA3663"/>
    <w:rsid w:val="11CD617F"/>
    <w:rsid w:val="11D101DA"/>
    <w:rsid w:val="11D62156"/>
    <w:rsid w:val="11E647D9"/>
    <w:rsid w:val="11E73AB9"/>
    <w:rsid w:val="11EE5A02"/>
    <w:rsid w:val="11F5518F"/>
    <w:rsid w:val="11F554B6"/>
    <w:rsid w:val="11F63571"/>
    <w:rsid w:val="12016952"/>
    <w:rsid w:val="12063EF9"/>
    <w:rsid w:val="120C558C"/>
    <w:rsid w:val="122218E3"/>
    <w:rsid w:val="122E3A09"/>
    <w:rsid w:val="12445B3A"/>
    <w:rsid w:val="124A21A9"/>
    <w:rsid w:val="125750B1"/>
    <w:rsid w:val="12763A3F"/>
    <w:rsid w:val="12773092"/>
    <w:rsid w:val="127D5951"/>
    <w:rsid w:val="128F1629"/>
    <w:rsid w:val="12993BC0"/>
    <w:rsid w:val="12A11B9A"/>
    <w:rsid w:val="12AF2FBC"/>
    <w:rsid w:val="12B62DB9"/>
    <w:rsid w:val="12C2010E"/>
    <w:rsid w:val="12CE777F"/>
    <w:rsid w:val="12D34B15"/>
    <w:rsid w:val="12ED7A68"/>
    <w:rsid w:val="12F131AC"/>
    <w:rsid w:val="12F473A6"/>
    <w:rsid w:val="131E12B4"/>
    <w:rsid w:val="131E2581"/>
    <w:rsid w:val="13324823"/>
    <w:rsid w:val="133A0AC3"/>
    <w:rsid w:val="133B4525"/>
    <w:rsid w:val="133D7232"/>
    <w:rsid w:val="13486BAA"/>
    <w:rsid w:val="1360289B"/>
    <w:rsid w:val="136F6921"/>
    <w:rsid w:val="137263C4"/>
    <w:rsid w:val="13845BD2"/>
    <w:rsid w:val="138E4265"/>
    <w:rsid w:val="13967D02"/>
    <w:rsid w:val="13B011C1"/>
    <w:rsid w:val="13BC1B02"/>
    <w:rsid w:val="13C27143"/>
    <w:rsid w:val="13D2674F"/>
    <w:rsid w:val="13D90D3A"/>
    <w:rsid w:val="13D91ADE"/>
    <w:rsid w:val="13DF126B"/>
    <w:rsid w:val="13EB79F5"/>
    <w:rsid w:val="14021527"/>
    <w:rsid w:val="14081F16"/>
    <w:rsid w:val="140E413A"/>
    <w:rsid w:val="140F0FAD"/>
    <w:rsid w:val="14137380"/>
    <w:rsid w:val="141610A3"/>
    <w:rsid w:val="141B4404"/>
    <w:rsid w:val="1429717C"/>
    <w:rsid w:val="14386063"/>
    <w:rsid w:val="143D5C10"/>
    <w:rsid w:val="14552984"/>
    <w:rsid w:val="14763522"/>
    <w:rsid w:val="14985F19"/>
    <w:rsid w:val="149D3B04"/>
    <w:rsid w:val="14A405FA"/>
    <w:rsid w:val="14AA7B06"/>
    <w:rsid w:val="14B77629"/>
    <w:rsid w:val="14BB272A"/>
    <w:rsid w:val="14C00D2F"/>
    <w:rsid w:val="14D61785"/>
    <w:rsid w:val="14E03DAA"/>
    <w:rsid w:val="14F50128"/>
    <w:rsid w:val="151D4729"/>
    <w:rsid w:val="15211D27"/>
    <w:rsid w:val="153C5EC0"/>
    <w:rsid w:val="15473AD5"/>
    <w:rsid w:val="156523D2"/>
    <w:rsid w:val="15654891"/>
    <w:rsid w:val="157F12C4"/>
    <w:rsid w:val="15866E1F"/>
    <w:rsid w:val="15886CDA"/>
    <w:rsid w:val="159409F3"/>
    <w:rsid w:val="15944468"/>
    <w:rsid w:val="15A20FDE"/>
    <w:rsid w:val="15A5325E"/>
    <w:rsid w:val="15B94642"/>
    <w:rsid w:val="15D17658"/>
    <w:rsid w:val="15E46271"/>
    <w:rsid w:val="15FA1C09"/>
    <w:rsid w:val="16071F9D"/>
    <w:rsid w:val="1615355E"/>
    <w:rsid w:val="161B7D4F"/>
    <w:rsid w:val="161F0BFF"/>
    <w:rsid w:val="162B467B"/>
    <w:rsid w:val="164A2C2D"/>
    <w:rsid w:val="16501589"/>
    <w:rsid w:val="1658480F"/>
    <w:rsid w:val="165A1A6D"/>
    <w:rsid w:val="165B5EB2"/>
    <w:rsid w:val="165E2722"/>
    <w:rsid w:val="16610551"/>
    <w:rsid w:val="166D22B8"/>
    <w:rsid w:val="16796C36"/>
    <w:rsid w:val="169F3ACF"/>
    <w:rsid w:val="16A9130C"/>
    <w:rsid w:val="16B54D41"/>
    <w:rsid w:val="16BB254A"/>
    <w:rsid w:val="16CE63CC"/>
    <w:rsid w:val="16E04812"/>
    <w:rsid w:val="16ED1317"/>
    <w:rsid w:val="16EE441D"/>
    <w:rsid w:val="16EF7071"/>
    <w:rsid w:val="16F97D1D"/>
    <w:rsid w:val="17073639"/>
    <w:rsid w:val="17146C21"/>
    <w:rsid w:val="171507D5"/>
    <w:rsid w:val="17177706"/>
    <w:rsid w:val="174D1ECD"/>
    <w:rsid w:val="175031F0"/>
    <w:rsid w:val="17654E21"/>
    <w:rsid w:val="17663DC4"/>
    <w:rsid w:val="1769007A"/>
    <w:rsid w:val="177B477E"/>
    <w:rsid w:val="178E51F7"/>
    <w:rsid w:val="17964357"/>
    <w:rsid w:val="17A3069B"/>
    <w:rsid w:val="17A4294C"/>
    <w:rsid w:val="17A97A83"/>
    <w:rsid w:val="17AD456C"/>
    <w:rsid w:val="17B74A43"/>
    <w:rsid w:val="17D85A62"/>
    <w:rsid w:val="17DF063E"/>
    <w:rsid w:val="17E07DAD"/>
    <w:rsid w:val="17EC4054"/>
    <w:rsid w:val="17F8432A"/>
    <w:rsid w:val="18043880"/>
    <w:rsid w:val="180B3F4E"/>
    <w:rsid w:val="180B5ABD"/>
    <w:rsid w:val="180C5D2B"/>
    <w:rsid w:val="18172976"/>
    <w:rsid w:val="182C24B5"/>
    <w:rsid w:val="18324053"/>
    <w:rsid w:val="18356139"/>
    <w:rsid w:val="184243B2"/>
    <w:rsid w:val="18553EC6"/>
    <w:rsid w:val="187A3B4C"/>
    <w:rsid w:val="18807CCF"/>
    <w:rsid w:val="1884220A"/>
    <w:rsid w:val="18B202ED"/>
    <w:rsid w:val="18D071C7"/>
    <w:rsid w:val="18D152C9"/>
    <w:rsid w:val="18D433A9"/>
    <w:rsid w:val="18D771F0"/>
    <w:rsid w:val="18E134FB"/>
    <w:rsid w:val="18ED3F2E"/>
    <w:rsid w:val="18EE0096"/>
    <w:rsid w:val="18F9358F"/>
    <w:rsid w:val="19091A7D"/>
    <w:rsid w:val="190C1FC5"/>
    <w:rsid w:val="1912647A"/>
    <w:rsid w:val="19263CD4"/>
    <w:rsid w:val="19273F5F"/>
    <w:rsid w:val="1927534B"/>
    <w:rsid w:val="192B3EF2"/>
    <w:rsid w:val="19384C1B"/>
    <w:rsid w:val="1949619A"/>
    <w:rsid w:val="19500AC7"/>
    <w:rsid w:val="19500BD1"/>
    <w:rsid w:val="19550115"/>
    <w:rsid w:val="1977008B"/>
    <w:rsid w:val="19940768"/>
    <w:rsid w:val="19943440"/>
    <w:rsid w:val="199A5258"/>
    <w:rsid w:val="19A31463"/>
    <w:rsid w:val="19AD0674"/>
    <w:rsid w:val="19BD01F0"/>
    <w:rsid w:val="19D460CB"/>
    <w:rsid w:val="19DC4AC8"/>
    <w:rsid w:val="19E750D0"/>
    <w:rsid w:val="1A0E3B10"/>
    <w:rsid w:val="1A1C2F09"/>
    <w:rsid w:val="1A2159CF"/>
    <w:rsid w:val="1A2878C3"/>
    <w:rsid w:val="1A2A469C"/>
    <w:rsid w:val="1A2F04B8"/>
    <w:rsid w:val="1A432151"/>
    <w:rsid w:val="1A5246F2"/>
    <w:rsid w:val="1A5B5915"/>
    <w:rsid w:val="1A6772E7"/>
    <w:rsid w:val="1A694F73"/>
    <w:rsid w:val="1A7B1AB9"/>
    <w:rsid w:val="1A826DBD"/>
    <w:rsid w:val="1A871DB2"/>
    <w:rsid w:val="1A8B5566"/>
    <w:rsid w:val="1AAA7DF8"/>
    <w:rsid w:val="1AB560D7"/>
    <w:rsid w:val="1ABC044C"/>
    <w:rsid w:val="1AD5425D"/>
    <w:rsid w:val="1ADD5B61"/>
    <w:rsid w:val="1AED2863"/>
    <w:rsid w:val="1AEF014E"/>
    <w:rsid w:val="1AF4448C"/>
    <w:rsid w:val="1AFB3F20"/>
    <w:rsid w:val="1B074FDA"/>
    <w:rsid w:val="1B115F6E"/>
    <w:rsid w:val="1B157E99"/>
    <w:rsid w:val="1B1E6602"/>
    <w:rsid w:val="1B26560E"/>
    <w:rsid w:val="1B272899"/>
    <w:rsid w:val="1B3A7392"/>
    <w:rsid w:val="1B3A75C2"/>
    <w:rsid w:val="1B553D75"/>
    <w:rsid w:val="1B7B17D1"/>
    <w:rsid w:val="1B8448B7"/>
    <w:rsid w:val="1B8F5ABD"/>
    <w:rsid w:val="1B915AB2"/>
    <w:rsid w:val="1B933BF8"/>
    <w:rsid w:val="1B9B7C05"/>
    <w:rsid w:val="1B9E47A5"/>
    <w:rsid w:val="1BA61BEF"/>
    <w:rsid w:val="1BC20967"/>
    <w:rsid w:val="1BC32E0B"/>
    <w:rsid w:val="1BC82E20"/>
    <w:rsid w:val="1BD376C4"/>
    <w:rsid w:val="1BD8020C"/>
    <w:rsid w:val="1BEA5591"/>
    <w:rsid w:val="1BEB3C87"/>
    <w:rsid w:val="1C090C95"/>
    <w:rsid w:val="1C0E765E"/>
    <w:rsid w:val="1C327240"/>
    <w:rsid w:val="1C367EC6"/>
    <w:rsid w:val="1C3C0C77"/>
    <w:rsid w:val="1C4448AF"/>
    <w:rsid w:val="1C502276"/>
    <w:rsid w:val="1C574879"/>
    <w:rsid w:val="1C5D7B47"/>
    <w:rsid w:val="1C681408"/>
    <w:rsid w:val="1C6955F7"/>
    <w:rsid w:val="1C7B24E2"/>
    <w:rsid w:val="1C8B717A"/>
    <w:rsid w:val="1C9B5F9A"/>
    <w:rsid w:val="1C9F727F"/>
    <w:rsid w:val="1CAF7473"/>
    <w:rsid w:val="1CB452AE"/>
    <w:rsid w:val="1CCA701D"/>
    <w:rsid w:val="1CCE33C6"/>
    <w:rsid w:val="1CED457C"/>
    <w:rsid w:val="1D12416B"/>
    <w:rsid w:val="1D141272"/>
    <w:rsid w:val="1D180615"/>
    <w:rsid w:val="1D260F5B"/>
    <w:rsid w:val="1D290F49"/>
    <w:rsid w:val="1D482187"/>
    <w:rsid w:val="1D48246B"/>
    <w:rsid w:val="1D547061"/>
    <w:rsid w:val="1D550375"/>
    <w:rsid w:val="1D653434"/>
    <w:rsid w:val="1D761EF6"/>
    <w:rsid w:val="1D831634"/>
    <w:rsid w:val="1D8F2669"/>
    <w:rsid w:val="1D905BC0"/>
    <w:rsid w:val="1DAA4DE5"/>
    <w:rsid w:val="1DB57E58"/>
    <w:rsid w:val="1DE84DF2"/>
    <w:rsid w:val="1DEC7A95"/>
    <w:rsid w:val="1DF149CA"/>
    <w:rsid w:val="1E022B0B"/>
    <w:rsid w:val="1E0237F4"/>
    <w:rsid w:val="1E05475B"/>
    <w:rsid w:val="1E1B1AA4"/>
    <w:rsid w:val="1E1F0132"/>
    <w:rsid w:val="1E3E3FAE"/>
    <w:rsid w:val="1E6000B4"/>
    <w:rsid w:val="1E6D7CDF"/>
    <w:rsid w:val="1E8150D1"/>
    <w:rsid w:val="1E8A35E1"/>
    <w:rsid w:val="1E8E4FD8"/>
    <w:rsid w:val="1E9B0B0E"/>
    <w:rsid w:val="1E9E10D4"/>
    <w:rsid w:val="1EA846AF"/>
    <w:rsid w:val="1EB75FDC"/>
    <w:rsid w:val="1EBF49AE"/>
    <w:rsid w:val="1EDC0404"/>
    <w:rsid w:val="1EE52FDC"/>
    <w:rsid w:val="1EEA6132"/>
    <w:rsid w:val="1EF61AD2"/>
    <w:rsid w:val="1F0754D5"/>
    <w:rsid w:val="1F11736D"/>
    <w:rsid w:val="1F1B08F2"/>
    <w:rsid w:val="1F2F50C1"/>
    <w:rsid w:val="1F4C082F"/>
    <w:rsid w:val="1F4E3EAC"/>
    <w:rsid w:val="1F541C4C"/>
    <w:rsid w:val="1F575934"/>
    <w:rsid w:val="1F641135"/>
    <w:rsid w:val="1F7631EB"/>
    <w:rsid w:val="1F7F6EC1"/>
    <w:rsid w:val="1F80692A"/>
    <w:rsid w:val="1F81051A"/>
    <w:rsid w:val="1F82347A"/>
    <w:rsid w:val="1F892FAD"/>
    <w:rsid w:val="1F8C6832"/>
    <w:rsid w:val="1FAF595C"/>
    <w:rsid w:val="1FCC07FB"/>
    <w:rsid w:val="1FCF30E9"/>
    <w:rsid w:val="1FED3D7E"/>
    <w:rsid w:val="1FF30DF6"/>
    <w:rsid w:val="1FF46E45"/>
    <w:rsid w:val="1FFD243A"/>
    <w:rsid w:val="20016901"/>
    <w:rsid w:val="20036767"/>
    <w:rsid w:val="20036FFE"/>
    <w:rsid w:val="2006008E"/>
    <w:rsid w:val="200620FC"/>
    <w:rsid w:val="2011123A"/>
    <w:rsid w:val="201B0F50"/>
    <w:rsid w:val="20275C9A"/>
    <w:rsid w:val="203E32D9"/>
    <w:rsid w:val="205506FA"/>
    <w:rsid w:val="20664686"/>
    <w:rsid w:val="20781922"/>
    <w:rsid w:val="20895524"/>
    <w:rsid w:val="208F0434"/>
    <w:rsid w:val="20AD6DF8"/>
    <w:rsid w:val="20AE6A88"/>
    <w:rsid w:val="20B873EB"/>
    <w:rsid w:val="20BF54EB"/>
    <w:rsid w:val="20C27542"/>
    <w:rsid w:val="20C73087"/>
    <w:rsid w:val="20C73B62"/>
    <w:rsid w:val="20C911E4"/>
    <w:rsid w:val="20DC447C"/>
    <w:rsid w:val="20E60813"/>
    <w:rsid w:val="20E71F9A"/>
    <w:rsid w:val="20E87EE1"/>
    <w:rsid w:val="21141AB5"/>
    <w:rsid w:val="211F34E2"/>
    <w:rsid w:val="21255A4D"/>
    <w:rsid w:val="21561DE5"/>
    <w:rsid w:val="215D225D"/>
    <w:rsid w:val="21721078"/>
    <w:rsid w:val="21775608"/>
    <w:rsid w:val="218F6F3C"/>
    <w:rsid w:val="219043E0"/>
    <w:rsid w:val="219A1092"/>
    <w:rsid w:val="21AD2F63"/>
    <w:rsid w:val="21C40F13"/>
    <w:rsid w:val="21D7254D"/>
    <w:rsid w:val="21D92FBA"/>
    <w:rsid w:val="21DB240E"/>
    <w:rsid w:val="21DD3EC8"/>
    <w:rsid w:val="21E544FB"/>
    <w:rsid w:val="21EB576C"/>
    <w:rsid w:val="21EC560F"/>
    <w:rsid w:val="21F41307"/>
    <w:rsid w:val="21FE7A8E"/>
    <w:rsid w:val="220B6146"/>
    <w:rsid w:val="22144EBE"/>
    <w:rsid w:val="22367490"/>
    <w:rsid w:val="2245341D"/>
    <w:rsid w:val="22622D2E"/>
    <w:rsid w:val="227B1351"/>
    <w:rsid w:val="22825DBB"/>
    <w:rsid w:val="22847DF8"/>
    <w:rsid w:val="228C4962"/>
    <w:rsid w:val="22934E4F"/>
    <w:rsid w:val="22B75B6A"/>
    <w:rsid w:val="22C36939"/>
    <w:rsid w:val="22D26782"/>
    <w:rsid w:val="22DF18B4"/>
    <w:rsid w:val="22DF73CD"/>
    <w:rsid w:val="22ED71DF"/>
    <w:rsid w:val="23004ECD"/>
    <w:rsid w:val="232600CB"/>
    <w:rsid w:val="232E75A8"/>
    <w:rsid w:val="233B2C77"/>
    <w:rsid w:val="233E2B43"/>
    <w:rsid w:val="233F7E6C"/>
    <w:rsid w:val="23564262"/>
    <w:rsid w:val="23635359"/>
    <w:rsid w:val="239C5315"/>
    <w:rsid w:val="23AB222F"/>
    <w:rsid w:val="23BC0C45"/>
    <w:rsid w:val="23C13C0E"/>
    <w:rsid w:val="23C50AFE"/>
    <w:rsid w:val="23C80D05"/>
    <w:rsid w:val="23CA42DA"/>
    <w:rsid w:val="23D031BA"/>
    <w:rsid w:val="23DB5488"/>
    <w:rsid w:val="23DD5F24"/>
    <w:rsid w:val="23DE53DF"/>
    <w:rsid w:val="23DE7E21"/>
    <w:rsid w:val="23E17227"/>
    <w:rsid w:val="23EE05DA"/>
    <w:rsid w:val="23F94978"/>
    <w:rsid w:val="23FA3E7C"/>
    <w:rsid w:val="2418706C"/>
    <w:rsid w:val="241B0F74"/>
    <w:rsid w:val="2444674F"/>
    <w:rsid w:val="244E79BB"/>
    <w:rsid w:val="24571EB9"/>
    <w:rsid w:val="245F1806"/>
    <w:rsid w:val="24642416"/>
    <w:rsid w:val="247332FB"/>
    <w:rsid w:val="24936748"/>
    <w:rsid w:val="24B1468C"/>
    <w:rsid w:val="24B61418"/>
    <w:rsid w:val="24B957CA"/>
    <w:rsid w:val="24BA2895"/>
    <w:rsid w:val="24CC1BD3"/>
    <w:rsid w:val="24DB394F"/>
    <w:rsid w:val="251B2E81"/>
    <w:rsid w:val="252037D1"/>
    <w:rsid w:val="252208C5"/>
    <w:rsid w:val="252D29A2"/>
    <w:rsid w:val="252E3785"/>
    <w:rsid w:val="25424108"/>
    <w:rsid w:val="25611C99"/>
    <w:rsid w:val="25703E2C"/>
    <w:rsid w:val="257414C5"/>
    <w:rsid w:val="2578449F"/>
    <w:rsid w:val="258055E3"/>
    <w:rsid w:val="258077AA"/>
    <w:rsid w:val="25AC6556"/>
    <w:rsid w:val="25BC2ADC"/>
    <w:rsid w:val="25BD098A"/>
    <w:rsid w:val="25C2334B"/>
    <w:rsid w:val="25C311F0"/>
    <w:rsid w:val="25C468DD"/>
    <w:rsid w:val="25D92B57"/>
    <w:rsid w:val="25DA74AE"/>
    <w:rsid w:val="25EA1F4D"/>
    <w:rsid w:val="25EB6665"/>
    <w:rsid w:val="25FE611E"/>
    <w:rsid w:val="260E0424"/>
    <w:rsid w:val="26151358"/>
    <w:rsid w:val="262B2807"/>
    <w:rsid w:val="262E2017"/>
    <w:rsid w:val="263D6290"/>
    <w:rsid w:val="26410554"/>
    <w:rsid w:val="264B57A2"/>
    <w:rsid w:val="264D7C14"/>
    <w:rsid w:val="264F16C0"/>
    <w:rsid w:val="265A2E8E"/>
    <w:rsid w:val="265F1545"/>
    <w:rsid w:val="265F6142"/>
    <w:rsid w:val="266F35DF"/>
    <w:rsid w:val="267C1FA6"/>
    <w:rsid w:val="267F4B7E"/>
    <w:rsid w:val="269D7349"/>
    <w:rsid w:val="26A84703"/>
    <w:rsid w:val="26AB574B"/>
    <w:rsid w:val="26BC7986"/>
    <w:rsid w:val="26C43D4C"/>
    <w:rsid w:val="26CB23B2"/>
    <w:rsid w:val="26D42A7B"/>
    <w:rsid w:val="26D44D6F"/>
    <w:rsid w:val="26E72CF4"/>
    <w:rsid w:val="26E825C8"/>
    <w:rsid w:val="26ED6C7A"/>
    <w:rsid w:val="27035654"/>
    <w:rsid w:val="2710609F"/>
    <w:rsid w:val="27110C95"/>
    <w:rsid w:val="27525BD6"/>
    <w:rsid w:val="275A34C6"/>
    <w:rsid w:val="275F47D6"/>
    <w:rsid w:val="276308DF"/>
    <w:rsid w:val="27630A8A"/>
    <w:rsid w:val="27705F36"/>
    <w:rsid w:val="277F0350"/>
    <w:rsid w:val="27802801"/>
    <w:rsid w:val="27892580"/>
    <w:rsid w:val="27912C60"/>
    <w:rsid w:val="27A36EA9"/>
    <w:rsid w:val="27A46429"/>
    <w:rsid w:val="27BE06A8"/>
    <w:rsid w:val="27CA3284"/>
    <w:rsid w:val="27CD7558"/>
    <w:rsid w:val="27E965F8"/>
    <w:rsid w:val="27EB29FE"/>
    <w:rsid w:val="28015FA9"/>
    <w:rsid w:val="280C4527"/>
    <w:rsid w:val="28137270"/>
    <w:rsid w:val="281B5041"/>
    <w:rsid w:val="282F3137"/>
    <w:rsid w:val="28302DCC"/>
    <w:rsid w:val="28386767"/>
    <w:rsid w:val="283B5E64"/>
    <w:rsid w:val="2843270B"/>
    <w:rsid w:val="28676F7A"/>
    <w:rsid w:val="2879797C"/>
    <w:rsid w:val="287C52F1"/>
    <w:rsid w:val="287D5272"/>
    <w:rsid w:val="289E3768"/>
    <w:rsid w:val="28A3076F"/>
    <w:rsid w:val="28A41846"/>
    <w:rsid w:val="28A75B4F"/>
    <w:rsid w:val="28AB3A2F"/>
    <w:rsid w:val="28BF7D25"/>
    <w:rsid w:val="28CA24AB"/>
    <w:rsid w:val="28D57BCA"/>
    <w:rsid w:val="28D605D8"/>
    <w:rsid w:val="28E90E49"/>
    <w:rsid w:val="28E955E1"/>
    <w:rsid w:val="28EC45F2"/>
    <w:rsid w:val="28ED3C93"/>
    <w:rsid w:val="28F1227F"/>
    <w:rsid w:val="28F14874"/>
    <w:rsid w:val="28F1615F"/>
    <w:rsid w:val="28F60448"/>
    <w:rsid w:val="2900009D"/>
    <w:rsid w:val="29006B66"/>
    <w:rsid w:val="29055792"/>
    <w:rsid w:val="290A02A4"/>
    <w:rsid w:val="29210E84"/>
    <w:rsid w:val="292335E5"/>
    <w:rsid w:val="293B0C89"/>
    <w:rsid w:val="294256DC"/>
    <w:rsid w:val="2942749F"/>
    <w:rsid w:val="294855A0"/>
    <w:rsid w:val="294F40E1"/>
    <w:rsid w:val="295170DB"/>
    <w:rsid w:val="296077B8"/>
    <w:rsid w:val="2968280F"/>
    <w:rsid w:val="29693BD0"/>
    <w:rsid w:val="297E393E"/>
    <w:rsid w:val="29886183"/>
    <w:rsid w:val="298C7B83"/>
    <w:rsid w:val="29A33418"/>
    <w:rsid w:val="29AC1491"/>
    <w:rsid w:val="29AF20AF"/>
    <w:rsid w:val="29B1624B"/>
    <w:rsid w:val="29B50660"/>
    <w:rsid w:val="29C52BFE"/>
    <w:rsid w:val="29C77287"/>
    <w:rsid w:val="29C86BFB"/>
    <w:rsid w:val="29CE470D"/>
    <w:rsid w:val="29D23752"/>
    <w:rsid w:val="29D83858"/>
    <w:rsid w:val="29DC67C5"/>
    <w:rsid w:val="29EB4B6C"/>
    <w:rsid w:val="29EC18EA"/>
    <w:rsid w:val="2A057CAF"/>
    <w:rsid w:val="2A1306EF"/>
    <w:rsid w:val="2A1F2907"/>
    <w:rsid w:val="2A2009C5"/>
    <w:rsid w:val="2A231454"/>
    <w:rsid w:val="2A2B12CF"/>
    <w:rsid w:val="2A2E7C1A"/>
    <w:rsid w:val="2A351AE7"/>
    <w:rsid w:val="2A381FB3"/>
    <w:rsid w:val="2A3A7DAD"/>
    <w:rsid w:val="2A4B4FF6"/>
    <w:rsid w:val="2A4D723B"/>
    <w:rsid w:val="2A4F2D85"/>
    <w:rsid w:val="2A4F6F0B"/>
    <w:rsid w:val="2A526445"/>
    <w:rsid w:val="2A567388"/>
    <w:rsid w:val="2A853775"/>
    <w:rsid w:val="2A906871"/>
    <w:rsid w:val="2A9A6E2C"/>
    <w:rsid w:val="2AAA5C90"/>
    <w:rsid w:val="2AAB49D9"/>
    <w:rsid w:val="2AB6233B"/>
    <w:rsid w:val="2AC0044B"/>
    <w:rsid w:val="2AD25FFE"/>
    <w:rsid w:val="2AD321A5"/>
    <w:rsid w:val="2AD66D45"/>
    <w:rsid w:val="2AD7765D"/>
    <w:rsid w:val="2ADB5B9F"/>
    <w:rsid w:val="2AE57BB8"/>
    <w:rsid w:val="2AF459E0"/>
    <w:rsid w:val="2B0D2554"/>
    <w:rsid w:val="2B1E22C0"/>
    <w:rsid w:val="2B4A1AA4"/>
    <w:rsid w:val="2B5852ED"/>
    <w:rsid w:val="2B604E23"/>
    <w:rsid w:val="2B743461"/>
    <w:rsid w:val="2B8B00E1"/>
    <w:rsid w:val="2B9259EE"/>
    <w:rsid w:val="2B973B86"/>
    <w:rsid w:val="2BA43649"/>
    <w:rsid w:val="2BA6227F"/>
    <w:rsid w:val="2BA82B64"/>
    <w:rsid w:val="2BBF2B27"/>
    <w:rsid w:val="2BC02215"/>
    <w:rsid w:val="2BD459E1"/>
    <w:rsid w:val="2BF0659B"/>
    <w:rsid w:val="2C042402"/>
    <w:rsid w:val="2C063C80"/>
    <w:rsid w:val="2C167BCD"/>
    <w:rsid w:val="2C1725E3"/>
    <w:rsid w:val="2C214C90"/>
    <w:rsid w:val="2C290B67"/>
    <w:rsid w:val="2C2C4113"/>
    <w:rsid w:val="2C303D5C"/>
    <w:rsid w:val="2C3D7714"/>
    <w:rsid w:val="2C3F165B"/>
    <w:rsid w:val="2C4748F9"/>
    <w:rsid w:val="2C7F45F2"/>
    <w:rsid w:val="2C8156C5"/>
    <w:rsid w:val="2C8A14E3"/>
    <w:rsid w:val="2C8A23E7"/>
    <w:rsid w:val="2C8E59C0"/>
    <w:rsid w:val="2C8F112D"/>
    <w:rsid w:val="2CA02B84"/>
    <w:rsid w:val="2CA637C0"/>
    <w:rsid w:val="2CAC08A7"/>
    <w:rsid w:val="2CAF2821"/>
    <w:rsid w:val="2CB066F4"/>
    <w:rsid w:val="2CBF42DF"/>
    <w:rsid w:val="2CDD5BA2"/>
    <w:rsid w:val="2CE37ABA"/>
    <w:rsid w:val="2CE649EF"/>
    <w:rsid w:val="2D04268C"/>
    <w:rsid w:val="2D052E51"/>
    <w:rsid w:val="2D0A5960"/>
    <w:rsid w:val="2D0C7A15"/>
    <w:rsid w:val="2D177FD2"/>
    <w:rsid w:val="2D20261B"/>
    <w:rsid w:val="2D202ACF"/>
    <w:rsid w:val="2D2943F3"/>
    <w:rsid w:val="2D595FCE"/>
    <w:rsid w:val="2D644EDA"/>
    <w:rsid w:val="2D70512C"/>
    <w:rsid w:val="2D7415F8"/>
    <w:rsid w:val="2D8007AC"/>
    <w:rsid w:val="2D931D82"/>
    <w:rsid w:val="2D9645AA"/>
    <w:rsid w:val="2D96552C"/>
    <w:rsid w:val="2DA32098"/>
    <w:rsid w:val="2DA45F1F"/>
    <w:rsid w:val="2DB52F67"/>
    <w:rsid w:val="2DBA00F8"/>
    <w:rsid w:val="2DCD000B"/>
    <w:rsid w:val="2DCF56EE"/>
    <w:rsid w:val="2DCF6290"/>
    <w:rsid w:val="2DD5193A"/>
    <w:rsid w:val="2DD843A1"/>
    <w:rsid w:val="2DDD6BFF"/>
    <w:rsid w:val="2E197A3D"/>
    <w:rsid w:val="2E333209"/>
    <w:rsid w:val="2E350646"/>
    <w:rsid w:val="2E385741"/>
    <w:rsid w:val="2E394281"/>
    <w:rsid w:val="2E4B6896"/>
    <w:rsid w:val="2E5643AC"/>
    <w:rsid w:val="2E73567F"/>
    <w:rsid w:val="2E7C69AC"/>
    <w:rsid w:val="2E81758A"/>
    <w:rsid w:val="2E8A483E"/>
    <w:rsid w:val="2EA02F00"/>
    <w:rsid w:val="2EAB0483"/>
    <w:rsid w:val="2EAE2349"/>
    <w:rsid w:val="2EAE6B2A"/>
    <w:rsid w:val="2EAF7625"/>
    <w:rsid w:val="2EBC30BB"/>
    <w:rsid w:val="2EBE0501"/>
    <w:rsid w:val="2ECC7C54"/>
    <w:rsid w:val="2ED018DD"/>
    <w:rsid w:val="2ED64009"/>
    <w:rsid w:val="2EEF3AA0"/>
    <w:rsid w:val="2EF20AD5"/>
    <w:rsid w:val="2EF21577"/>
    <w:rsid w:val="2EF94D95"/>
    <w:rsid w:val="2EFA3AD6"/>
    <w:rsid w:val="2F226D3D"/>
    <w:rsid w:val="2F5C329E"/>
    <w:rsid w:val="2F67605F"/>
    <w:rsid w:val="2F6C6278"/>
    <w:rsid w:val="2F762976"/>
    <w:rsid w:val="2F7A3DF6"/>
    <w:rsid w:val="2F8E3EAC"/>
    <w:rsid w:val="2F936C13"/>
    <w:rsid w:val="2FA33B25"/>
    <w:rsid w:val="2FA55A71"/>
    <w:rsid w:val="2FA774C5"/>
    <w:rsid w:val="2FBE65BC"/>
    <w:rsid w:val="2FCA4F61"/>
    <w:rsid w:val="2FD45C3D"/>
    <w:rsid w:val="2FD57F0D"/>
    <w:rsid w:val="30116A61"/>
    <w:rsid w:val="301607A4"/>
    <w:rsid w:val="301A2340"/>
    <w:rsid w:val="301A3277"/>
    <w:rsid w:val="30224760"/>
    <w:rsid w:val="30286718"/>
    <w:rsid w:val="302B3D82"/>
    <w:rsid w:val="304E3653"/>
    <w:rsid w:val="305753A2"/>
    <w:rsid w:val="305F6AC7"/>
    <w:rsid w:val="306626CA"/>
    <w:rsid w:val="306833A9"/>
    <w:rsid w:val="306A1541"/>
    <w:rsid w:val="30985A8F"/>
    <w:rsid w:val="309B5EB0"/>
    <w:rsid w:val="30C60350"/>
    <w:rsid w:val="30CB187F"/>
    <w:rsid w:val="30D131E5"/>
    <w:rsid w:val="30DD55AC"/>
    <w:rsid w:val="30ED5CF7"/>
    <w:rsid w:val="30F50546"/>
    <w:rsid w:val="30FA7B5B"/>
    <w:rsid w:val="30FE7DB5"/>
    <w:rsid w:val="310605AC"/>
    <w:rsid w:val="310B26AB"/>
    <w:rsid w:val="311415DF"/>
    <w:rsid w:val="3115209B"/>
    <w:rsid w:val="31187080"/>
    <w:rsid w:val="311E52C7"/>
    <w:rsid w:val="31247DCD"/>
    <w:rsid w:val="31261BE1"/>
    <w:rsid w:val="313D63DB"/>
    <w:rsid w:val="313E0D04"/>
    <w:rsid w:val="31582E17"/>
    <w:rsid w:val="316A70FC"/>
    <w:rsid w:val="316D2048"/>
    <w:rsid w:val="3177295A"/>
    <w:rsid w:val="318B6972"/>
    <w:rsid w:val="318D326C"/>
    <w:rsid w:val="31932985"/>
    <w:rsid w:val="3195152F"/>
    <w:rsid w:val="31AF7D74"/>
    <w:rsid w:val="31B41C1C"/>
    <w:rsid w:val="31B45EC9"/>
    <w:rsid w:val="322A42A7"/>
    <w:rsid w:val="3240150B"/>
    <w:rsid w:val="326939FB"/>
    <w:rsid w:val="326B068E"/>
    <w:rsid w:val="32736B19"/>
    <w:rsid w:val="327A2C6E"/>
    <w:rsid w:val="32985D7B"/>
    <w:rsid w:val="32A016E2"/>
    <w:rsid w:val="32A70BF6"/>
    <w:rsid w:val="32AF2646"/>
    <w:rsid w:val="32B231A0"/>
    <w:rsid w:val="32B90D3E"/>
    <w:rsid w:val="32C04E80"/>
    <w:rsid w:val="32CA53FC"/>
    <w:rsid w:val="32D409DF"/>
    <w:rsid w:val="32DF6F75"/>
    <w:rsid w:val="32F940CB"/>
    <w:rsid w:val="32FB5E3C"/>
    <w:rsid w:val="32FD5DDF"/>
    <w:rsid w:val="33005691"/>
    <w:rsid w:val="33025685"/>
    <w:rsid w:val="33033244"/>
    <w:rsid w:val="33051188"/>
    <w:rsid w:val="33185FE3"/>
    <w:rsid w:val="33246694"/>
    <w:rsid w:val="333878F1"/>
    <w:rsid w:val="33543AF9"/>
    <w:rsid w:val="335D00EB"/>
    <w:rsid w:val="335D4E5A"/>
    <w:rsid w:val="3364747B"/>
    <w:rsid w:val="336559CD"/>
    <w:rsid w:val="3370483D"/>
    <w:rsid w:val="33820D2D"/>
    <w:rsid w:val="33886F6E"/>
    <w:rsid w:val="339406A5"/>
    <w:rsid w:val="339A0697"/>
    <w:rsid w:val="33A40B97"/>
    <w:rsid w:val="33B745C0"/>
    <w:rsid w:val="33BC6BBE"/>
    <w:rsid w:val="33BE531D"/>
    <w:rsid w:val="33C91A99"/>
    <w:rsid w:val="33CA19D4"/>
    <w:rsid w:val="33D94FA4"/>
    <w:rsid w:val="33E9583B"/>
    <w:rsid w:val="33FA5088"/>
    <w:rsid w:val="340D25AE"/>
    <w:rsid w:val="341B24AF"/>
    <w:rsid w:val="34243BF5"/>
    <w:rsid w:val="34270BD4"/>
    <w:rsid w:val="344A48C2"/>
    <w:rsid w:val="34502FCD"/>
    <w:rsid w:val="34621C0C"/>
    <w:rsid w:val="34835986"/>
    <w:rsid w:val="34873421"/>
    <w:rsid w:val="349F0DCD"/>
    <w:rsid w:val="34A14B78"/>
    <w:rsid w:val="34A33E66"/>
    <w:rsid w:val="34BA37F6"/>
    <w:rsid w:val="34C75F13"/>
    <w:rsid w:val="34CF384E"/>
    <w:rsid w:val="34EE02D1"/>
    <w:rsid w:val="34EE6D34"/>
    <w:rsid w:val="34F712FB"/>
    <w:rsid w:val="34FD4DB8"/>
    <w:rsid w:val="351578D3"/>
    <w:rsid w:val="353F1CCB"/>
    <w:rsid w:val="354C01C6"/>
    <w:rsid w:val="35577ABD"/>
    <w:rsid w:val="35750D0B"/>
    <w:rsid w:val="35776188"/>
    <w:rsid w:val="357F4F5A"/>
    <w:rsid w:val="358076A9"/>
    <w:rsid w:val="358C3D6B"/>
    <w:rsid w:val="359B0FB3"/>
    <w:rsid w:val="35A96F2F"/>
    <w:rsid w:val="35B247C6"/>
    <w:rsid w:val="35CA04DD"/>
    <w:rsid w:val="35D55439"/>
    <w:rsid w:val="35E0375C"/>
    <w:rsid w:val="35E5716E"/>
    <w:rsid w:val="35F46869"/>
    <w:rsid w:val="360F07E9"/>
    <w:rsid w:val="361072B2"/>
    <w:rsid w:val="36187AD6"/>
    <w:rsid w:val="36190A39"/>
    <w:rsid w:val="36272755"/>
    <w:rsid w:val="364A0BAA"/>
    <w:rsid w:val="36556B1F"/>
    <w:rsid w:val="365C4AD4"/>
    <w:rsid w:val="3683504D"/>
    <w:rsid w:val="36864141"/>
    <w:rsid w:val="3692514A"/>
    <w:rsid w:val="36936245"/>
    <w:rsid w:val="369F2B5F"/>
    <w:rsid w:val="36B416D4"/>
    <w:rsid w:val="36C435F7"/>
    <w:rsid w:val="36C86824"/>
    <w:rsid w:val="36CF3B56"/>
    <w:rsid w:val="36D73DAE"/>
    <w:rsid w:val="36E65E63"/>
    <w:rsid w:val="36F42EDC"/>
    <w:rsid w:val="36F47CE2"/>
    <w:rsid w:val="37050830"/>
    <w:rsid w:val="3707043B"/>
    <w:rsid w:val="370A45C3"/>
    <w:rsid w:val="371A3B43"/>
    <w:rsid w:val="371A7946"/>
    <w:rsid w:val="371C1384"/>
    <w:rsid w:val="3747014D"/>
    <w:rsid w:val="374B6987"/>
    <w:rsid w:val="375B6C80"/>
    <w:rsid w:val="377D24EA"/>
    <w:rsid w:val="3790703A"/>
    <w:rsid w:val="37A74E88"/>
    <w:rsid w:val="37AD1D0E"/>
    <w:rsid w:val="37C171C7"/>
    <w:rsid w:val="37CA4D45"/>
    <w:rsid w:val="37EA6A17"/>
    <w:rsid w:val="37FE6BEC"/>
    <w:rsid w:val="380A5A24"/>
    <w:rsid w:val="382D0783"/>
    <w:rsid w:val="383D019E"/>
    <w:rsid w:val="38451104"/>
    <w:rsid w:val="38652678"/>
    <w:rsid w:val="3884097C"/>
    <w:rsid w:val="3892325A"/>
    <w:rsid w:val="389B654A"/>
    <w:rsid w:val="389F7BF8"/>
    <w:rsid w:val="38A94BA3"/>
    <w:rsid w:val="38BC653E"/>
    <w:rsid w:val="38BD2702"/>
    <w:rsid w:val="38D71A53"/>
    <w:rsid w:val="38EC1A3D"/>
    <w:rsid w:val="38EE7F12"/>
    <w:rsid w:val="38F622BF"/>
    <w:rsid w:val="38F74B63"/>
    <w:rsid w:val="38F84269"/>
    <w:rsid w:val="38FA6401"/>
    <w:rsid w:val="3929719C"/>
    <w:rsid w:val="39506AB6"/>
    <w:rsid w:val="3955258A"/>
    <w:rsid w:val="395F1632"/>
    <w:rsid w:val="3968693E"/>
    <w:rsid w:val="396B2D22"/>
    <w:rsid w:val="399A59A4"/>
    <w:rsid w:val="39AD1B7B"/>
    <w:rsid w:val="39B26F3C"/>
    <w:rsid w:val="39B35F0D"/>
    <w:rsid w:val="39B61D4D"/>
    <w:rsid w:val="39BA2930"/>
    <w:rsid w:val="39BA7DF4"/>
    <w:rsid w:val="39C866B8"/>
    <w:rsid w:val="39CF2F72"/>
    <w:rsid w:val="39D94CA2"/>
    <w:rsid w:val="39F63B7A"/>
    <w:rsid w:val="3A0D47D7"/>
    <w:rsid w:val="3A107B48"/>
    <w:rsid w:val="3A1736AC"/>
    <w:rsid w:val="3A3667C1"/>
    <w:rsid w:val="3A42053B"/>
    <w:rsid w:val="3A4A6320"/>
    <w:rsid w:val="3A6414E7"/>
    <w:rsid w:val="3A681706"/>
    <w:rsid w:val="3A6A7EB0"/>
    <w:rsid w:val="3A75030F"/>
    <w:rsid w:val="3A9B5F8A"/>
    <w:rsid w:val="3A9C2BF1"/>
    <w:rsid w:val="3AA77BAC"/>
    <w:rsid w:val="3AAA7C0A"/>
    <w:rsid w:val="3ABD1D00"/>
    <w:rsid w:val="3AC11F2B"/>
    <w:rsid w:val="3ACF473A"/>
    <w:rsid w:val="3AD60CC9"/>
    <w:rsid w:val="3ADA36B6"/>
    <w:rsid w:val="3B103394"/>
    <w:rsid w:val="3B151968"/>
    <w:rsid w:val="3B1A22C1"/>
    <w:rsid w:val="3B231A29"/>
    <w:rsid w:val="3B2321E2"/>
    <w:rsid w:val="3B240DA3"/>
    <w:rsid w:val="3B273268"/>
    <w:rsid w:val="3B334DD7"/>
    <w:rsid w:val="3B3E69D9"/>
    <w:rsid w:val="3B4171C3"/>
    <w:rsid w:val="3B441816"/>
    <w:rsid w:val="3B521682"/>
    <w:rsid w:val="3B584A09"/>
    <w:rsid w:val="3B5A363D"/>
    <w:rsid w:val="3B7B1805"/>
    <w:rsid w:val="3B7B2140"/>
    <w:rsid w:val="3B873C2C"/>
    <w:rsid w:val="3B964647"/>
    <w:rsid w:val="3BBC7A16"/>
    <w:rsid w:val="3BC85A52"/>
    <w:rsid w:val="3BDA652C"/>
    <w:rsid w:val="3BEA7629"/>
    <w:rsid w:val="3C0035C8"/>
    <w:rsid w:val="3C0B294D"/>
    <w:rsid w:val="3C0F2FD7"/>
    <w:rsid w:val="3C265D73"/>
    <w:rsid w:val="3C337D3F"/>
    <w:rsid w:val="3C3B0FB9"/>
    <w:rsid w:val="3C526550"/>
    <w:rsid w:val="3C6A7D30"/>
    <w:rsid w:val="3CA279D5"/>
    <w:rsid w:val="3CAD6F11"/>
    <w:rsid w:val="3CB52AF5"/>
    <w:rsid w:val="3CBA6138"/>
    <w:rsid w:val="3CBE5DC0"/>
    <w:rsid w:val="3CCC1A9D"/>
    <w:rsid w:val="3CD048DB"/>
    <w:rsid w:val="3CD25455"/>
    <w:rsid w:val="3CD84372"/>
    <w:rsid w:val="3CDC45A5"/>
    <w:rsid w:val="3CDE55F6"/>
    <w:rsid w:val="3CE57664"/>
    <w:rsid w:val="3CEF07B0"/>
    <w:rsid w:val="3CF547F0"/>
    <w:rsid w:val="3CF7310E"/>
    <w:rsid w:val="3D0A24EF"/>
    <w:rsid w:val="3D0D46DF"/>
    <w:rsid w:val="3D214534"/>
    <w:rsid w:val="3D4225DB"/>
    <w:rsid w:val="3D5E11F2"/>
    <w:rsid w:val="3D690DAE"/>
    <w:rsid w:val="3D707C5B"/>
    <w:rsid w:val="3D7429A3"/>
    <w:rsid w:val="3DB112A3"/>
    <w:rsid w:val="3DB80235"/>
    <w:rsid w:val="3DB92E3F"/>
    <w:rsid w:val="3DD1395F"/>
    <w:rsid w:val="3DFB31A5"/>
    <w:rsid w:val="3DFB45F9"/>
    <w:rsid w:val="3E4F0A67"/>
    <w:rsid w:val="3E4F28BB"/>
    <w:rsid w:val="3E504C3C"/>
    <w:rsid w:val="3E5A585B"/>
    <w:rsid w:val="3E602576"/>
    <w:rsid w:val="3E6D68AC"/>
    <w:rsid w:val="3E7657B7"/>
    <w:rsid w:val="3E7D2D88"/>
    <w:rsid w:val="3E93764E"/>
    <w:rsid w:val="3EA03A5D"/>
    <w:rsid w:val="3EB956A6"/>
    <w:rsid w:val="3EC45F40"/>
    <w:rsid w:val="3ED47538"/>
    <w:rsid w:val="3EEA7442"/>
    <w:rsid w:val="3F107DA9"/>
    <w:rsid w:val="3F121D47"/>
    <w:rsid w:val="3F237AEB"/>
    <w:rsid w:val="3F255EE2"/>
    <w:rsid w:val="3F4723E0"/>
    <w:rsid w:val="3F5440AB"/>
    <w:rsid w:val="3F567940"/>
    <w:rsid w:val="3F65517D"/>
    <w:rsid w:val="3F713917"/>
    <w:rsid w:val="3F773D0F"/>
    <w:rsid w:val="3F823162"/>
    <w:rsid w:val="3F8D25DD"/>
    <w:rsid w:val="3F960BF7"/>
    <w:rsid w:val="3FAA5C4C"/>
    <w:rsid w:val="3FAF1C5C"/>
    <w:rsid w:val="3FE56D10"/>
    <w:rsid w:val="401B4263"/>
    <w:rsid w:val="40216364"/>
    <w:rsid w:val="402708BE"/>
    <w:rsid w:val="40310B5C"/>
    <w:rsid w:val="40385E01"/>
    <w:rsid w:val="40493C80"/>
    <w:rsid w:val="405E0026"/>
    <w:rsid w:val="4063401F"/>
    <w:rsid w:val="40642868"/>
    <w:rsid w:val="4069760E"/>
    <w:rsid w:val="406F4803"/>
    <w:rsid w:val="40765BC6"/>
    <w:rsid w:val="407C1666"/>
    <w:rsid w:val="408D2352"/>
    <w:rsid w:val="409E0075"/>
    <w:rsid w:val="40A87C5F"/>
    <w:rsid w:val="40A94E20"/>
    <w:rsid w:val="40A960C5"/>
    <w:rsid w:val="40AA6EAA"/>
    <w:rsid w:val="40AA765C"/>
    <w:rsid w:val="40B17B33"/>
    <w:rsid w:val="40B416B7"/>
    <w:rsid w:val="40D21111"/>
    <w:rsid w:val="40DA6082"/>
    <w:rsid w:val="40E439A9"/>
    <w:rsid w:val="40E8138A"/>
    <w:rsid w:val="40E92FF7"/>
    <w:rsid w:val="40F01130"/>
    <w:rsid w:val="40F70196"/>
    <w:rsid w:val="410D693D"/>
    <w:rsid w:val="411F732E"/>
    <w:rsid w:val="41211416"/>
    <w:rsid w:val="41322966"/>
    <w:rsid w:val="413978A2"/>
    <w:rsid w:val="413E50B8"/>
    <w:rsid w:val="41506184"/>
    <w:rsid w:val="41627D75"/>
    <w:rsid w:val="41694F2C"/>
    <w:rsid w:val="416D1FB5"/>
    <w:rsid w:val="4170325B"/>
    <w:rsid w:val="41730D07"/>
    <w:rsid w:val="4173423A"/>
    <w:rsid w:val="41902B92"/>
    <w:rsid w:val="41C64CB8"/>
    <w:rsid w:val="41D028AB"/>
    <w:rsid w:val="41D63F26"/>
    <w:rsid w:val="41E20178"/>
    <w:rsid w:val="41E2022F"/>
    <w:rsid w:val="41E60D0C"/>
    <w:rsid w:val="41E77BCB"/>
    <w:rsid w:val="41FD05AA"/>
    <w:rsid w:val="4212760B"/>
    <w:rsid w:val="421767B3"/>
    <w:rsid w:val="422229DB"/>
    <w:rsid w:val="422A0A83"/>
    <w:rsid w:val="422C3859"/>
    <w:rsid w:val="423F2FD4"/>
    <w:rsid w:val="42505EE4"/>
    <w:rsid w:val="42730D08"/>
    <w:rsid w:val="427B21C3"/>
    <w:rsid w:val="428559D2"/>
    <w:rsid w:val="429119F5"/>
    <w:rsid w:val="42915E41"/>
    <w:rsid w:val="42944722"/>
    <w:rsid w:val="42A10D90"/>
    <w:rsid w:val="42BA0FB3"/>
    <w:rsid w:val="42C11E60"/>
    <w:rsid w:val="42C473F2"/>
    <w:rsid w:val="42D1418B"/>
    <w:rsid w:val="42DC12B4"/>
    <w:rsid w:val="42F87D0B"/>
    <w:rsid w:val="42FA5762"/>
    <w:rsid w:val="42FE2D71"/>
    <w:rsid w:val="430A69DE"/>
    <w:rsid w:val="43134C94"/>
    <w:rsid w:val="43196A08"/>
    <w:rsid w:val="431A68E1"/>
    <w:rsid w:val="431C6BC9"/>
    <w:rsid w:val="43464EC2"/>
    <w:rsid w:val="43490AA8"/>
    <w:rsid w:val="436533AE"/>
    <w:rsid w:val="4368382B"/>
    <w:rsid w:val="437841F8"/>
    <w:rsid w:val="43787781"/>
    <w:rsid w:val="438F0AAE"/>
    <w:rsid w:val="43AF4811"/>
    <w:rsid w:val="43B26A05"/>
    <w:rsid w:val="43BF6DEF"/>
    <w:rsid w:val="43D24C60"/>
    <w:rsid w:val="43EB5A74"/>
    <w:rsid w:val="43F0357B"/>
    <w:rsid w:val="43F321B1"/>
    <w:rsid w:val="43F4091B"/>
    <w:rsid w:val="44001E51"/>
    <w:rsid w:val="44013D6C"/>
    <w:rsid w:val="441328B1"/>
    <w:rsid w:val="44223166"/>
    <w:rsid w:val="442C6925"/>
    <w:rsid w:val="443A2387"/>
    <w:rsid w:val="44415521"/>
    <w:rsid w:val="44461648"/>
    <w:rsid w:val="445C6678"/>
    <w:rsid w:val="446C478E"/>
    <w:rsid w:val="44706E6A"/>
    <w:rsid w:val="44882270"/>
    <w:rsid w:val="449D0F82"/>
    <w:rsid w:val="44A61B69"/>
    <w:rsid w:val="44C2564E"/>
    <w:rsid w:val="44CA5E59"/>
    <w:rsid w:val="44DE15E5"/>
    <w:rsid w:val="44DF452C"/>
    <w:rsid w:val="44F24F9F"/>
    <w:rsid w:val="44F53FBC"/>
    <w:rsid w:val="44FC7513"/>
    <w:rsid w:val="44FE5CC1"/>
    <w:rsid w:val="4508473D"/>
    <w:rsid w:val="45102BCD"/>
    <w:rsid w:val="45164E7F"/>
    <w:rsid w:val="45196317"/>
    <w:rsid w:val="452458BF"/>
    <w:rsid w:val="453859FD"/>
    <w:rsid w:val="455020EC"/>
    <w:rsid w:val="45576901"/>
    <w:rsid w:val="456634AE"/>
    <w:rsid w:val="458620D1"/>
    <w:rsid w:val="45A24A5D"/>
    <w:rsid w:val="45A33BAA"/>
    <w:rsid w:val="45A639E7"/>
    <w:rsid w:val="45A85719"/>
    <w:rsid w:val="45BB117C"/>
    <w:rsid w:val="45D10A9B"/>
    <w:rsid w:val="45E51686"/>
    <w:rsid w:val="45E57A43"/>
    <w:rsid w:val="45F40263"/>
    <w:rsid w:val="45F43796"/>
    <w:rsid w:val="45F76A82"/>
    <w:rsid w:val="460E3B07"/>
    <w:rsid w:val="46111FE3"/>
    <w:rsid w:val="462F12AD"/>
    <w:rsid w:val="46326674"/>
    <w:rsid w:val="463F1D7B"/>
    <w:rsid w:val="46466F79"/>
    <w:rsid w:val="466971B1"/>
    <w:rsid w:val="46727855"/>
    <w:rsid w:val="46A13966"/>
    <w:rsid w:val="46B01975"/>
    <w:rsid w:val="46B15BAC"/>
    <w:rsid w:val="46C90747"/>
    <w:rsid w:val="46E44703"/>
    <w:rsid w:val="46FA2178"/>
    <w:rsid w:val="46FF08E1"/>
    <w:rsid w:val="46FF153C"/>
    <w:rsid w:val="4709009D"/>
    <w:rsid w:val="471850D7"/>
    <w:rsid w:val="471F57C4"/>
    <w:rsid w:val="472167CF"/>
    <w:rsid w:val="47245A31"/>
    <w:rsid w:val="472479E1"/>
    <w:rsid w:val="47285D22"/>
    <w:rsid w:val="472B1A28"/>
    <w:rsid w:val="474F1DD6"/>
    <w:rsid w:val="474F47CF"/>
    <w:rsid w:val="47615DF2"/>
    <w:rsid w:val="478F072E"/>
    <w:rsid w:val="47A64D31"/>
    <w:rsid w:val="47AA1047"/>
    <w:rsid w:val="47AB5220"/>
    <w:rsid w:val="47D047AC"/>
    <w:rsid w:val="47D465D2"/>
    <w:rsid w:val="47F22CA9"/>
    <w:rsid w:val="47F5631F"/>
    <w:rsid w:val="47FA5C10"/>
    <w:rsid w:val="48060444"/>
    <w:rsid w:val="480627C0"/>
    <w:rsid w:val="481417F0"/>
    <w:rsid w:val="48200D08"/>
    <w:rsid w:val="4831001E"/>
    <w:rsid w:val="48375794"/>
    <w:rsid w:val="4847697F"/>
    <w:rsid w:val="48603A96"/>
    <w:rsid w:val="48647524"/>
    <w:rsid w:val="486E66D7"/>
    <w:rsid w:val="486F745F"/>
    <w:rsid w:val="4871442B"/>
    <w:rsid w:val="48807E97"/>
    <w:rsid w:val="48830928"/>
    <w:rsid w:val="488869A5"/>
    <w:rsid w:val="48923E4A"/>
    <w:rsid w:val="48CA7928"/>
    <w:rsid w:val="48D65497"/>
    <w:rsid w:val="48E92A25"/>
    <w:rsid w:val="48F43830"/>
    <w:rsid w:val="49060F7A"/>
    <w:rsid w:val="490A2181"/>
    <w:rsid w:val="491D36A3"/>
    <w:rsid w:val="491F055C"/>
    <w:rsid w:val="492559AC"/>
    <w:rsid w:val="49366D6C"/>
    <w:rsid w:val="4937188E"/>
    <w:rsid w:val="495D1B40"/>
    <w:rsid w:val="49617449"/>
    <w:rsid w:val="496A560A"/>
    <w:rsid w:val="496B3716"/>
    <w:rsid w:val="49867420"/>
    <w:rsid w:val="498C41E6"/>
    <w:rsid w:val="498E4568"/>
    <w:rsid w:val="49971434"/>
    <w:rsid w:val="49A038A4"/>
    <w:rsid w:val="49AE333E"/>
    <w:rsid w:val="49B138A0"/>
    <w:rsid w:val="49B74350"/>
    <w:rsid w:val="49C34191"/>
    <w:rsid w:val="49D32058"/>
    <w:rsid w:val="49D901F6"/>
    <w:rsid w:val="49DE3CC3"/>
    <w:rsid w:val="4A03679D"/>
    <w:rsid w:val="4A0F6213"/>
    <w:rsid w:val="4A153EDB"/>
    <w:rsid w:val="4A216ECF"/>
    <w:rsid w:val="4A293051"/>
    <w:rsid w:val="4A2C5F37"/>
    <w:rsid w:val="4A2F1FF2"/>
    <w:rsid w:val="4A545A31"/>
    <w:rsid w:val="4A553112"/>
    <w:rsid w:val="4A6A02B3"/>
    <w:rsid w:val="4A6A76A2"/>
    <w:rsid w:val="4A6E2C61"/>
    <w:rsid w:val="4A6E5E1B"/>
    <w:rsid w:val="4A6F7399"/>
    <w:rsid w:val="4A732006"/>
    <w:rsid w:val="4A8D7CE4"/>
    <w:rsid w:val="4A9E1F5E"/>
    <w:rsid w:val="4AA9373A"/>
    <w:rsid w:val="4AAE4780"/>
    <w:rsid w:val="4ABB463C"/>
    <w:rsid w:val="4AC22A7C"/>
    <w:rsid w:val="4AC52797"/>
    <w:rsid w:val="4ADB406F"/>
    <w:rsid w:val="4ADC4A9F"/>
    <w:rsid w:val="4AEA4DAD"/>
    <w:rsid w:val="4AEC658B"/>
    <w:rsid w:val="4AF313B8"/>
    <w:rsid w:val="4B0349FF"/>
    <w:rsid w:val="4B0363CB"/>
    <w:rsid w:val="4B0E7989"/>
    <w:rsid w:val="4B1222F4"/>
    <w:rsid w:val="4B137251"/>
    <w:rsid w:val="4B1E40D8"/>
    <w:rsid w:val="4B271062"/>
    <w:rsid w:val="4B3D72A5"/>
    <w:rsid w:val="4B4660C1"/>
    <w:rsid w:val="4B524B51"/>
    <w:rsid w:val="4B6034DE"/>
    <w:rsid w:val="4B6446F7"/>
    <w:rsid w:val="4B70590C"/>
    <w:rsid w:val="4B8676B9"/>
    <w:rsid w:val="4B873C61"/>
    <w:rsid w:val="4B8E04BA"/>
    <w:rsid w:val="4B9F67C7"/>
    <w:rsid w:val="4BB362B0"/>
    <w:rsid w:val="4BB569FC"/>
    <w:rsid w:val="4BBA3FF0"/>
    <w:rsid w:val="4BC0573E"/>
    <w:rsid w:val="4BCA4138"/>
    <w:rsid w:val="4BD914FD"/>
    <w:rsid w:val="4BD91F1C"/>
    <w:rsid w:val="4BEC5D41"/>
    <w:rsid w:val="4BEF23E7"/>
    <w:rsid w:val="4C092C1C"/>
    <w:rsid w:val="4C226A74"/>
    <w:rsid w:val="4C312543"/>
    <w:rsid w:val="4C3D7453"/>
    <w:rsid w:val="4C543218"/>
    <w:rsid w:val="4C590D85"/>
    <w:rsid w:val="4C5B6DF7"/>
    <w:rsid w:val="4C5C7FA2"/>
    <w:rsid w:val="4C7D6CC5"/>
    <w:rsid w:val="4C8C70B8"/>
    <w:rsid w:val="4C8E7C81"/>
    <w:rsid w:val="4C9515D9"/>
    <w:rsid w:val="4C951975"/>
    <w:rsid w:val="4C9D10F3"/>
    <w:rsid w:val="4CA010CC"/>
    <w:rsid w:val="4CB70EE4"/>
    <w:rsid w:val="4CB93263"/>
    <w:rsid w:val="4CC7549D"/>
    <w:rsid w:val="4CCC3C6F"/>
    <w:rsid w:val="4CCE5A98"/>
    <w:rsid w:val="4CDC785E"/>
    <w:rsid w:val="4D0B7493"/>
    <w:rsid w:val="4D122A21"/>
    <w:rsid w:val="4D152B85"/>
    <w:rsid w:val="4D1C2CCF"/>
    <w:rsid w:val="4D3D0964"/>
    <w:rsid w:val="4D4153CC"/>
    <w:rsid w:val="4D442323"/>
    <w:rsid w:val="4D4730B6"/>
    <w:rsid w:val="4D730A9A"/>
    <w:rsid w:val="4D77691C"/>
    <w:rsid w:val="4D8858EB"/>
    <w:rsid w:val="4D8968F4"/>
    <w:rsid w:val="4D9C6DA9"/>
    <w:rsid w:val="4D9D761C"/>
    <w:rsid w:val="4DC17497"/>
    <w:rsid w:val="4DCB2C6B"/>
    <w:rsid w:val="4DCC5D65"/>
    <w:rsid w:val="4DD54467"/>
    <w:rsid w:val="4DDC4386"/>
    <w:rsid w:val="4DF01146"/>
    <w:rsid w:val="4E046949"/>
    <w:rsid w:val="4E237B90"/>
    <w:rsid w:val="4E487ED9"/>
    <w:rsid w:val="4E496543"/>
    <w:rsid w:val="4E544995"/>
    <w:rsid w:val="4E552989"/>
    <w:rsid w:val="4E772E0D"/>
    <w:rsid w:val="4E774D8F"/>
    <w:rsid w:val="4E842F59"/>
    <w:rsid w:val="4E9A7376"/>
    <w:rsid w:val="4EA114F8"/>
    <w:rsid w:val="4EA56E6D"/>
    <w:rsid w:val="4EA86B20"/>
    <w:rsid w:val="4EC00A71"/>
    <w:rsid w:val="4EC17E9E"/>
    <w:rsid w:val="4ED43005"/>
    <w:rsid w:val="4EE07D3F"/>
    <w:rsid w:val="4EEE7E32"/>
    <w:rsid w:val="4EEF1E97"/>
    <w:rsid w:val="4EF13ACB"/>
    <w:rsid w:val="4F023DAD"/>
    <w:rsid w:val="4F0C738D"/>
    <w:rsid w:val="4F26040A"/>
    <w:rsid w:val="4F30442C"/>
    <w:rsid w:val="4F5E1303"/>
    <w:rsid w:val="4F6051BF"/>
    <w:rsid w:val="4F6603AB"/>
    <w:rsid w:val="4F8776F4"/>
    <w:rsid w:val="4F9A492F"/>
    <w:rsid w:val="4F9C2D79"/>
    <w:rsid w:val="4FAD3D77"/>
    <w:rsid w:val="4FC539CF"/>
    <w:rsid w:val="4FC835DC"/>
    <w:rsid w:val="4FD90B2E"/>
    <w:rsid w:val="4FDA66A3"/>
    <w:rsid w:val="4FDB0887"/>
    <w:rsid w:val="4FEC2D98"/>
    <w:rsid w:val="4FF95BE3"/>
    <w:rsid w:val="50045E59"/>
    <w:rsid w:val="50143102"/>
    <w:rsid w:val="5028191E"/>
    <w:rsid w:val="503029BF"/>
    <w:rsid w:val="50450869"/>
    <w:rsid w:val="50482FF8"/>
    <w:rsid w:val="505E3C8D"/>
    <w:rsid w:val="50605398"/>
    <w:rsid w:val="506B0B34"/>
    <w:rsid w:val="50852AB2"/>
    <w:rsid w:val="50916F64"/>
    <w:rsid w:val="509727E6"/>
    <w:rsid w:val="509E5C09"/>
    <w:rsid w:val="50A62D48"/>
    <w:rsid w:val="50B361EF"/>
    <w:rsid w:val="50DB006F"/>
    <w:rsid w:val="50E27F2F"/>
    <w:rsid w:val="50EE429B"/>
    <w:rsid w:val="50F3504C"/>
    <w:rsid w:val="50F6575E"/>
    <w:rsid w:val="51027285"/>
    <w:rsid w:val="510D0A84"/>
    <w:rsid w:val="512C07EE"/>
    <w:rsid w:val="51454495"/>
    <w:rsid w:val="515661FD"/>
    <w:rsid w:val="51592EBB"/>
    <w:rsid w:val="51597A9B"/>
    <w:rsid w:val="51735F41"/>
    <w:rsid w:val="517830B0"/>
    <w:rsid w:val="51790C79"/>
    <w:rsid w:val="518E3BE9"/>
    <w:rsid w:val="51A36139"/>
    <w:rsid w:val="51D007B9"/>
    <w:rsid w:val="51E02F27"/>
    <w:rsid w:val="51E04182"/>
    <w:rsid w:val="51F93925"/>
    <w:rsid w:val="52073EDA"/>
    <w:rsid w:val="52166259"/>
    <w:rsid w:val="521D44AE"/>
    <w:rsid w:val="524D011C"/>
    <w:rsid w:val="526235EF"/>
    <w:rsid w:val="526801FC"/>
    <w:rsid w:val="52740554"/>
    <w:rsid w:val="527461F8"/>
    <w:rsid w:val="527D2F6B"/>
    <w:rsid w:val="52945240"/>
    <w:rsid w:val="52972F91"/>
    <w:rsid w:val="52AB6302"/>
    <w:rsid w:val="52DA325B"/>
    <w:rsid w:val="52DB6AD9"/>
    <w:rsid w:val="52E5101D"/>
    <w:rsid w:val="52E676A2"/>
    <w:rsid w:val="52EA30A1"/>
    <w:rsid w:val="52F8129E"/>
    <w:rsid w:val="52FB177B"/>
    <w:rsid w:val="530B071F"/>
    <w:rsid w:val="5312149B"/>
    <w:rsid w:val="532748A7"/>
    <w:rsid w:val="532C06C0"/>
    <w:rsid w:val="535B73DE"/>
    <w:rsid w:val="53740BBC"/>
    <w:rsid w:val="537901CE"/>
    <w:rsid w:val="538454F7"/>
    <w:rsid w:val="53894163"/>
    <w:rsid w:val="53963229"/>
    <w:rsid w:val="53A07F12"/>
    <w:rsid w:val="53AD546C"/>
    <w:rsid w:val="53B54F6C"/>
    <w:rsid w:val="53B86CFB"/>
    <w:rsid w:val="53E0348D"/>
    <w:rsid w:val="53E5423D"/>
    <w:rsid w:val="53EA19F0"/>
    <w:rsid w:val="53F908B1"/>
    <w:rsid w:val="54056C36"/>
    <w:rsid w:val="54065CB8"/>
    <w:rsid w:val="540B32CF"/>
    <w:rsid w:val="54200456"/>
    <w:rsid w:val="54221C2B"/>
    <w:rsid w:val="5436341E"/>
    <w:rsid w:val="54492F6D"/>
    <w:rsid w:val="54514734"/>
    <w:rsid w:val="546D5CA2"/>
    <w:rsid w:val="547828B5"/>
    <w:rsid w:val="547938A0"/>
    <w:rsid w:val="54AB1DF4"/>
    <w:rsid w:val="54B13602"/>
    <w:rsid w:val="54B27BEE"/>
    <w:rsid w:val="54B70989"/>
    <w:rsid w:val="54BF1612"/>
    <w:rsid w:val="54D44941"/>
    <w:rsid w:val="54DE6EBF"/>
    <w:rsid w:val="54E16725"/>
    <w:rsid w:val="54F2004E"/>
    <w:rsid w:val="54F7272D"/>
    <w:rsid w:val="54F92AAB"/>
    <w:rsid w:val="552D1A7A"/>
    <w:rsid w:val="55550481"/>
    <w:rsid w:val="55550F5B"/>
    <w:rsid w:val="555D72FC"/>
    <w:rsid w:val="55603E89"/>
    <w:rsid w:val="556174A2"/>
    <w:rsid w:val="55675C14"/>
    <w:rsid w:val="556A1C66"/>
    <w:rsid w:val="556E756B"/>
    <w:rsid w:val="559E0679"/>
    <w:rsid w:val="55AD03B6"/>
    <w:rsid w:val="55B21FE3"/>
    <w:rsid w:val="55C675FB"/>
    <w:rsid w:val="55CA5A69"/>
    <w:rsid w:val="55CE4B64"/>
    <w:rsid w:val="55D048F7"/>
    <w:rsid w:val="55E77713"/>
    <w:rsid w:val="560C1580"/>
    <w:rsid w:val="56175D31"/>
    <w:rsid w:val="5620700A"/>
    <w:rsid w:val="56275C75"/>
    <w:rsid w:val="562B1B57"/>
    <w:rsid w:val="56352D53"/>
    <w:rsid w:val="563E6603"/>
    <w:rsid w:val="565A1CE7"/>
    <w:rsid w:val="56667BCE"/>
    <w:rsid w:val="566969D2"/>
    <w:rsid w:val="568C4C86"/>
    <w:rsid w:val="56960AAB"/>
    <w:rsid w:val="56A812A9"/>
    <w:rsid w:val="56B139A7"/>
    <w:rsid w:val="56C5095D"/>
    <w:rsid w:val="56DD0793"/>
    <w:rsid w:val="56F54F89"/>
    <w:rsid w:val="56F569F9"/>
    <w:rsid w:val="56FC48F7"/>
    <w:rsid w:val="572920D2"/>
    <w:rsid w:val="572D2FE2"/>
    <w:rsid w:val="57376DDA"/>
    <w:rsid w:val="573C7C43"/>
    <w:rsid w:val="57551807"/>
    <w:rsid w:val="57560D05"/>
    <w:rsid w:val="57871726"/>
    <w:rsid w:val="57910049"/>
    <w:rsid w:val="5791393B"/>
    <w:rsid w:val="57963B85"/>
    <w:rsid w:val="57A314E8"/>
    <w:rsid w:val="57A53A3A"/>
    <w:rsid w:val="57AA14AD"/>
    <w:rsid w:val="57AF0EC6"/>
    <w:rsid w:val="57B10CE9"/>
    <w:rsid w:val="57E23B1A"/>
    <w:rsid w:val="57EF77FA"/>
    <w:rsid w:val="57FD5D21"/>
    <w:rsid w:val="5811641E"/>
    <w:rsid w:val="582854DF"/>
    <w:rsid w:val="582901C7"/>
    <w:rsid w:val="58431F89"/>
    <w:rsid w:val="584D6A47"/>
    <w:rsid w:val="58503BD9"/>
    <w:rsid w:val="58524590"/>
    <w:rsid w:val="5870172D"/>
    <w:rsid w:val="587020A4"/>
    <w:rsid w:val="58706DB5"/>
    <w:rsid w:val="58B255B1"/>
    <w:rsid w:val="58BA3515"/>
    <w:rsid w:val="58D0564A"/>
    <w:rsid w:val="58DC68FD"/>
    <w:rsid w:val="58DC7D89"/>
    <w:rsid w:val="58DF1374"/>
    <w:rsid w:val="58E47103"/>
    <w:rsid w:val="58F22021"/>
    <w:rsid w:val="58F508BE"/>
    <w:rsid w:val="59006114"/>
    <w:rsid w:val="59061863"/>
    <w:rsid w:val="59115620"/>
    <w:rsid w:val="59146352"/>
    <w:rsid w:val="591C0817"/>
    <w:rsid w:val="594B0E7C"/>
    <w:rsid w:val="594D25DB"/>
    <w:rsid w:val="59514DAD"/>
    <w:rsid w:val="595C38B0"/>
    <w:rsid w:val="597159AF"/>
    <w:rsid w:val="597F12B6"/>
    <w:rsid w:val="59927801"/>
    <w:rsid w:val="5998730B"/>
    <w:rsid w:val="59A21779"/>
    <w:rsid w:val="59AB21EA"/>
    <w:rsid w:val="59BF71FB"/>
    <w:rsid w:val="59C20139"/>
    <w:rsid w:val="59DA22DC"/>
    <w:rsid w:val="59DB0023"/>
    <w:rsid w:val="59DC278F"/>
    <w:rsid w:val="59E635D1"/>
    <w:rsid w:val="59E72A03"/>
    <w:rsid w:val="59F86C66"/>
    <w:rsid w:val="59F900A2"/>
    <w:rsid w:val="59FA39FC"/>
    <w:rsid w:val="5A02062A"/>
    <w:rsid w:val="5A072C32"/>
    <w:rsid w:val="5A0A778E"/>
    <w:rsid w:val="5A0C7930"/>
    <w:rsid w:val="5A0F4ECA"/>
    <w:rsid w:val="5A137390"/>
    <w:rsid w:val="5A262B98"/>
    <w:rsid w:val="5A2748FD"/>
    <w:rsid w:val="5A427D7C"/>
    <w:rsid w:val="5A457E59"/>
    <w:rsid w:val="5A636653"/>
    <w:rsid w:val="5A644B05"/>
    <w:rsid w:val="5A657AF5"/>
    <w:rsid w:val="5A7003F4"/>
    <w:rsid w:val="5A786548"/>
    <w:rsid w:val="5A843F22"/>
    <w:rsid w:val="5A8B7A02"/>
    <w:rsid w:val="5A961824"/>
    <w:rsid w:val="5A9D2792"/>
    <w:rsid w:val="5A9E4719"/>
    <w:rsid w:val="5AAF1395"/>
    <w:rsid w:val="5AB04D57"/>
    <w:rsid w:val="5AB6201D"/>
    <w:rsid w:val="5AC40647"/>
    <w:rsid w:val="5ADB7FC0"/>
    <w:rsid w:val="5ADC3B08"/>
    <w:rsid w:val="5AE223F3"/>
    <w:rsid w:val="5AF94D35"/>
    <w:rsid w:val="5B064A9C"/>
    <w:rsid w:val="5B2353A2"/>
    <w:rsid w:val="5B3539B0"/>
    <w:rsid w:val="5B383209"/>
    <w:rsid w:val="5B42342D"/>
    <w:rsid w:val="5B423ECD"/>
    <w:rsid w:val="5B446AD6"/>
    <w:rsid w:val="5B476268"/>
    <w:rsid w:val="5B602639"/>
    <w:rsid w:val="5B615ECA"/>
    <w:rsid w:val="5B6D35C8"/>
    <w:rsid w:val="5B7F0145"/>
    <w:rsid w:val="5BA00806"/>
    <w:rsid w:val="5BA37E9E"/>
    <w:rsid w:val="5BB0635C"/>
    <w:rsid w:val="5BE76ED1"/>
    <w:rsid w:val="5BEC71AA"/>
    <w:rsid w:val="5BEF18F6"/>
    <w:rsid w:val="5BF81DF7"/>
    <w:rsid w:val="5C1B251D"/>
    <w:rsid w:val="5C1D5554"/>
    <w:rsid w:val="5C2F4FB1"/>
    <w:rsid w:val="5C401276"/>
    <w:rsid w:val="5C4750C0"/>
    <w:rsid w:val="5C4E755B"/>
    <w:rsid w:val="5C613D58"/>
    <w:rsid w:val="5C695116"/>
    <w:rsid w:val="5C6C6DBD"/>
    <w:rsid w:val="5C704F3D"/>
    <w:rsid w:val="5C7D1D79"/>
    <w:rsid w:val="5C7F5DAA"/>
    <w:rsid w:val="5C9F267F"/>
    <w:rsid w:val="5CC8545E"/>
    <w:rsid w:val="5CCD62E6"/>
    <w:rsid w:val="5CCD7615"/>
    <w:rsid w:val="5CD1207B"/>
    <w:rsid w:val="5CFA2C85"/>
    <w:rsid w:val="5D3A123C"/>
    <w:rsid w:val="5D7A5403"/>
    <w:rsid w:val="5D965A03"/>
    <w:rsid w:val="5DAF357B"/>
    <w:rsid w:val="5DBC4DF8"/>
    <w:rsid w:val="5DBF657E"/>
    <w:rsid w:val="5DC04FC2"/>
    <w:rsid w:val="5DC138DA"/>
    <w:rsid w:val="5DC939B1"/>
    <w:rsid w:val="5DE340A2"/>
    <w:rsid w:val="5DE95B14"/>
    <w:rsid w:val="5DF22D17"/>
    <w:rsid w:val="5DFD77B7"/>
    <w:rsid w:val="5E0912BB"/>
    <w:rsid w:val="5E0A45F7"/>
    <w:rsid w:val="5E0E3977"/>
    <w:rsid w:val="5E303744"/>
    <w:rsid w:val="5E4F4460"/>
    <w:rsid w:val="5E523DA9"/>
    <w:rsid w:val="5E646C96"/>
    <w:rsid w:val="5E75582F"/>
    <w:rsid w:val="5E952A3E"/>
    <w:rsid w:val="5E977DDD"/>
    <w:rsid w:val="5E99006F"/>
    <w:rsid w:val="5E9D402F"/>
    <w:rsid w:val="5EB42F3B"/>
    <w:rsid w:val="5ED16293"/>
    <w:rsid w:val="5ED86BCA"/>
    <w:rsid w:val="5ED94731"/>
    <w:rsid w:val="5EE23CFB"/>
    <w:rsid w:val="5EE66DF5"/>
    <w:rsid w:val="5EEC1A2F"/>
    <w:rsid w:val="5EED73BA"/>
    <w:rsid w:val="5EF57055"/>
    <w:rsid w:val="5F2362F4"/>
    <w:rsid w:val="5F3C6B9F"/>
    <w:rsid w:val="5F5561D5"/>
    <w:rsid w:val="5F5C7562"/>
    <w:rsid w:val="5F5F30DF"/>
    <w:rsid w:val="5F6803A9"/>
    <w:rsid w:val="5F7F1C23"/>
    <w:rsid w:val="5FA4426B"/>
    <w:rsid w:val="5FA83700"/>
    <w:rsid w:val="5FCA6374"/>
    <w:rsid w:val="5FCA6734"/>
    <w:rsid w:val="5FCD1368"/>
    <w:rsid w:val="5FCE502F"/>
    <w:rsid w:val="5FE14455"/>
    <w:rsid w:val="5FF003B5"/>
    <w:rsid w:val="5FF054C7"/>
    <w:rsid w:val="5FFF3C65"/>
    <w:rsid w:val="601B510D"/>
    <w:rsid w:val="603A2CEC"/>
    <w:rsid w:val="603B2BA8"/>
    <w:rsid w:val="60430294"/>
    <w:rsid w:val="60520F0F"/>
    <w:rsid w:val="60572341"/>
    <w:rsid w:val="60594CDA"/>
    <w:rsid w:val="606001E5"/>
    <w:rsid w:val="60630022"/>
    <w:rsid w:val="60AE2B38"/>
    <w:rsid w:val="60CE06CF"/>
    <w:rsid w:val="60D52E50"/>
    <w:rsid w:val="60D61108"/>
    <w:rsid w:val="60E44F8E"/>
    <w:rsid w:val="60E5239E"/>
    <w:rsid w:val="60F6584D"/>
    <w:rsid w:val="60F83273"/>
    <w:rsid w:val="60F943A5"/>
    <w:rsid w:val="610417D1"/>
    <w:rsid w:val="610422CE"/>
    <w:rsid w:val="61176028"/>
    <w:rsid w:val="61254703"/>
    <w:rsid w:val="614D042A"/>
    <w:rsid w:val="6155164E"/>
    <w:rsid w:val="61675870"/>
    <w:rsid w:val="61691D26"/>
    <w:rsid w:val="616C21F1"/>
    <w:rsid w:val="618D6D00"/>
    <w:rsid w:val="61900858"/>
    <w:rsid w:val="619F4124"/>
    <w:rsid w:val="61A11080"/>
    <w:rsid w:val="61B249AE"/>
    <w:rsid w:val="61B74EE7"/>
    <w:rsid w:val="61E21073"/>
    <w:rsid w:val="62024B80"/>
    <w:rsid w:val="620472B0"/>
    <w:rsid w:val="621E6443"/>
    <w:rsid w:val="62332B9A"/>
    <w:rsid w:val="62385460"/>
    <w:rsid w:val="62406C6A"/>
    <w:rsid w:val="62463300"/>
    <w:rsid w:val="624778E4"/>
    <w:rsid w:val="624B3430"/>
    <w:rsid w:val="625F7D31"/>
    <w:rsid w:val="62635B97"/>
    <w:rsid w:val="628724FB"/>
    <w:rsid w:val="62A07592"/>
    <w:rsid w:val="62D705FF"/>
    <w:rsid w:val="62DB1464"/>
    <w:rsid w:val="62E80565"/>
    <w:rsid w:val="62EC10F2"/>
    <w:rsid w:val="62F15D85"/>
    <w:rsid w:val="62F760B7"/>
    <w:rsid w:val="62FD26CF"/>
    <w:rsid w:val="630B2015"/>
    <w:rsid w:val="631D3B96"/>
    <w:rsid w:val="632320F9"/>
    <w:rsid w:val="632C6336"/>
    <w:rsid w:val="63311929"/>
    <w:rsid w:val="63326863"/>
    <w:rsid w:val="633C4B5A"/>
    <w:rsid w:val="63417E60"/>
    <w:rsid w:val="634651F4"/>
    <w:rsid w:val="634B2A2E"/>
    <w:rsid w:val="634C2528"/>
    <w:rsid w:val="63647A76"/>
    <w:rsid w:val="63687889"/>
    <w:rsid w:val="63691CF9"/>
    <w:rsid w:val="636C365E"/>
    <w:rsid w:val="636C5D59"/>
    <w:rsid w:val="63737669"/>
    <w:rsid w:val="63783597"/>
    <w:rsid w:val="63842EA9"/>
    <w:rsid w:val="63892ADC"/>
    <w:rsid w:val="63896F3B"/>
    <w:rsid w:val="63957059"/>
    <w:rsid w:val="639C6030"/>
    <w:rsid w:val="63A85D05"/>
    <w:rsid w:val="63C00AE4"/>
    <w:rsid w:val="63C35974"/>
    <w:rsid w:val="63D37537"/>
    <w:rsid w:val="63E5799A"/>
    <w:rsid w:val="63EB18C6"/>
    <w:rsid w:val="63F92EEA"/>
    <w:rsid w:val="64051A8B"/>
    <w:rsid w:val="640A33E4"/>
    <w:rsid w:val="642C32BB"/>
    <w:rsid w:val="642F4205"/>
    <w:rsid w:val="643072A6"/>
    <w:rsid w:val="643B01BA"/>
    <w:rsid w:val="64430AFA"/>
    <w:rsid w:val="644E7D61"/>
    <w:rsid w:val="646A07CC"/>
    <w:rsid w:val="647342CE"/>
    <w:rsid w:val="6477329E"/>
    <w:rsid w:val="64780AB8"/>
    <w:rsid w:val="649A0E1F"/>
    <w:rsid w:val="64A357A5"/>
    <w:rsid w:val="64A92A42"/>
    <w:rsid w:val="64C100F4"/>
    <w:rsid w:val="64DE4C40"/>
    <w:rsid w:val="65181CEF"/>
    <w:rsid w:val="65473993"/>
    <w:rsid w:val="655647D2"/>
    <w:rsid w:val="655D4AEF"/>
    <w:rsid w:val="65612551"/>
    <w:rsid w:val="65616EB4"/>
    <w:rsid w:val="656C190B"/>
    <w:rsid w:val="656D0182"/>
    <w:rsid w:val="65840A05"/>
    <w:rsid w:val="65D379C4"/>
    <w:rsid w:val="65DE73FE"/>
    <w:rsid w:val="65F81F70"/>
    <w:rsid w:val="660D3C8A"/>
    <w:rsid w:val="66186914"/>
    <w:rsid w:val="662A5730"/>
    <w:rsid w:val="662B6E9F"/>
    <w:rsid w:val="662C133F"/>
    <w:rsid w:val="66502702"/>
    <w:rsid w:val="66680A54"/>
    <w:rsid w:val="667D7A9C"/>
    <w:rsid w:val="66830175"/>
    <w:rsid w:val="6685639F"/>
    <w:rsid w:val="668E58BD"/>
    <w:rsid w:val="66994753"/>
    <w:rsid w:val="66C873B4"/>
    <w:rsid w:val="66CA5C98"/>
    <w:rsid w:val="66E1288D"/>
    <w:rsid w:val="66F0390D"/>
    <w:rsid w:val="67092186"/>
    <w:rsid w:val="6709548E"/>
    <w:rsid w:val="67096B35"/>
    <w:rsid w:val="67145FE6"/>
    <w:rsid w:val="67171522"/>
    <w:rsid w:val="672576DC"/>
    <w:rsid w:val="673D72AB"/>
    <w:rsid w:val="673F7444"/>
    <w:rsid w:val="674658DA"/>
    <w:rsid w:val="67592F1E"/>
    <w:rsid w:val="675D2D9F"/>
    <w:rsid w:val="67633699"/>
    <w:rsid w:val="678D5E82"/>
    <w:rsid w:val="678F3DBF"/>
    <w:rsid w:val="67BC3AC4"/>
    <w:rsid w:val="67CE6B15"/>
    <w:rsid w:val="67E14386"/>
    <w:rsid w:val="67E80D53"/>
    <w:rsid w:val="67F61157"/>
    <w:rsid w:val="67F66B18"/>
    <w:rsid w:val="68277C67"/>
    <w:rsid w:val="68296CCD"/>
    <w:rsid w:val="683A19FB"/>
    <w:rsid w:val="683A1F7D"/>
    <w:rsid w:val="68430352"/>
    <w:rsid w:val="68452ADF"/>
    <w:rsid w:val="68482498"/>
    <w:rsid w:val="6856162A"/>
    <w:rsid w:val="68664B20"/>
    <w:rsid w:val="6882549E"/>
    <w:rsid w:val="68984AF9"/>
    <w:rsid w:val="68984EEA"/>
    <w:rsid w:val="689A27E8"/>
    <w:rsid w:val="689D7970"/>
    <w:rsid w:val="68B751F8"/>
    <w:rsid w:val="68BF247F"/>
    <w:rsid w:val="68C14A1B"/>
    <w:rsid w:val="68C33D20"/>
    <w:rsid w:val="68C85165"/>
    <w:rsid w:val="68CD4762"/>
    <w:rsid w:val="68D03DCD"/>
    <w:rsid w:val="68ED7F96"/>
    <w:rsid w:val="69105AF0"/>
    <w:rsid w:val="692B6B00"/>
    <w:rsid w:val="693E3CEF"/>
    <w:rsid w:val="69433C8E"/>
    <w:rsid w:val="69703190"/>
    <w:rsid w:val="69747710"/>
    <w:rsid w:val="69780874"/>
    <w:rsid w:val="69790883"/>
    <w:rsid w:val="69C85FBC"/>
    <w:rsid w:val="69D75139"/>
    <w:rsid w:val="69E46ABD"/>
    <w:rsid w:val="69E57703"/>
    <w:rsid w:val="69E63F88"/>
    <w:rsid w:val="6A093EE9"/>
    <w:rsid w:val="6A252FEE"/>
    <w:rsid w:val="6A2D34C9"/>
    <w:rsid w:val="6A3A2D49"/>
    <w:rsid w:val="6A3E081A"/>
    <w:rsid w:val="6A454083"/>
    <w:rsid w:val="6A484DBA"/>
    <w:rsid w:val="6A4E2969"/>
    <w:rsid w:val="6A63681F"/>
    <w:rsid w:val="6A6D6FE9"/>
    <w:rsid w:val="6A7A173E"/>
    <w:rsid w:val="6A7D6AB5"/>
    <w:rsid w:val="6A824715"/>
    <w:rsid w:val="6A8521B8"/>
    <w:rsid w:val="6A941E18"/>
    <w:rsid w:val="6A9806C4"/>
    <w:rsid w:val="6A9F6D08"/>
    <w:rsid w:val="6AAA634C"/>
    <w:rsid w:val="6AB15F82"/>
    <w:rsid w:val="6AB267E2"/>
    <w:rsid w:val="6ADE4939"/>
    <w:rsid w:val="6AE14931"/>
    <w:rsid w:val="6AEA1C85"/>
    <w:rsid w:val="6AF64904"/>
    <w:rsid w:val="6B0827A0"/>
    <w:rsid w:val="6B0E029F"/>
    <w:rsid w:val="6B0E684E"/>
    <w:rsid w:val="6B132DED"/>
    <w:rsid w:val="6B1B5777"/>
    <w:rsid w:val="6B224A20"/>
    <w:rsid w:val="6B2447A3"/>
    <w:rsid w:val="6B467B41"/>
    <w:rsid w:val="6B4B0C4E"/>
    <w:rsid w:val="6B4D1C1E"/>
    <w:rsid w:val="6B6B71B5"/>
    <w:rsid w:val="6B756ACD"/>
    <w:rsid w:val="6B842DAA"/>
    <w:rsid w:val="6B973BD8"/>
    <w:rsid w:val="6B9C63ED"/>
    <w:rsid w:val="6BAE5E8B"/>
    <w:rsid w:val="6BB25075"/>
    <w:rsid w:val="6BB8537F"/>
    <w:rsid w:val="6BBA41F0"/>
    <w:rsid w:val="6BC3094D"/>
    <w:rsid w:val="6BDF5356"/>
    <w:rsid w:val="6BE668CD"/>
    <w:rsid w:val="6C287098"/>
    <w:rsid w:val="6C3A5EC1"/>
    <w:rsid w:val="6C3C73B7"/>
    <w:rsid w:val="6C716011"/>
    <w:rsid w:val="6C732069"/>
    <w:rsid w:val="6C9B562B"/>
    <w:rsid w:val="6C9F62BC"/>
    <w:rsid w:val="6CA039A8"/>
    <w:rsid w:val="6CA076EC"/>
    <w:rsid w:val="6CA20743"/>
    <w:rsid w:val="6CB703D1"/>
    <w:rsid w:val="6CB95B66"/>
    <w:rsid w:val="6CBF1591"/>
    <w:rsid w:val="6CC94373"/>
    <w:rsid w:val="6CCA174A"/>
    <w:rsid w:val="6CD767FA"/>
    <w:rsid w:val="6CE246B4"/>
    <w:rsid w:val="6CE32517"/>
    <w:rsid w:val="6CE52D0A"/>
    <w:rsid w:val="6CE87149"/>
    <w:rsid w:val="6CE95B70"/>
    <w:rsid w:val="6CEE0594"/>
    <w:rsid w:val="6CF66305"/>
    <w:rsid w:val="6CFB0AC9"/>
    <w:rsid w:val="6D0D5BC8"/>
    <w:rsid w:val="6D225521"/>
    <w:rsid w:val="6D274150"/>
    <w:rsid w:val="6D2772D4"/>
    <w:rsid w:val="6D2B5ADB"/>
    <w:rsid w:val="6D2C5676"/>
    <w:rsid w:val="6D4573FA"/>
    <w:rsid w:val="6D4C6B28"/>
    <w:rsid w:val="6D4F0753"/>
    <w:rsid w:val="6D5161E4"/>
    <w:rsid w:val="6D625946"/>
    <w:rsid w:val="6D684382"/>
    <w:rsid w:val="6D6C54A1"/>
    <w:rsid w:val="6D714693"/>
    <w:rsid w:val="6D7D3701"/>
    <w:rsid w:val="6D7E278E"/>
    <w:rsid w:val="6D932265"/>
    <w:rsid w:val="6D99642B"/>
    <w:rsid w:val="6DAE5391"/>
    <w:rsid w:val="6DBA09B7"/>
    <w:rsid w:val="6DC17E3E"/>
    <w:rsid w:val="6DC31920"/>
    <w:rsid w:val="6DC33B7F"/>
    <w:rsid w:val="6DD42DF2"/>
    <w:rsid w:val="6DD61A7C"/>
    <w:rsid w:val="6DDA2D50"/>
    <w:rsid w:val="6DE5483F"/>
    <w:rsid w:val="6E3363D6"/>
    <w:rsid w:val="6E3466A6"/>
    <w:rsid w:val="6E3E24A5"/>
    <w:rsid w:val="6E407F6E"/>
    <w:rsid w:val="6E475D56"/>
    <w:rsid w:val="6E475F8B"/>
    <w:rsid w:val="6E6B6B2B"/>
    <w:rsid w:val="6E763327"/>
    <w:rsid w:val="6E914A7C"/>
    <w:rsid w:val="6E951F31"/>
    <w:rsid w:val="6E970D76"/>
    <w:rsid w:val="6E995702"/>
    <w:rsid w:val="6EAC5256"/>
    <w:rsid w:val="6EAD34A8"/>
    <w:rsid w:val="6EBD0248"/>
    <w:rsid w:val="6EC802E2"/>
    <w:rsid w:val="6EDC4042"/>
    <w:rsid w:val="6EEA1F7D"/>
    <w:rsid w:val="6EEE586F"/>
    <w:rsid w:val="6F124BBE"/>
    <w:rsid w:val="6F387F61"/>
    <w:rsid w:val="6F3F189D"/>
    <w:rsid w:val="6F40125B"/>
    <w:rsid w:val="6F4936D7"/>
    <w:rsid w:val="6F4F3D3E"/>
    <w:rsid w:val="6F52128B"/>
    <w:rsid w:val="6F6C1EA0"/>
    <w:rsid w:val="6F9208F0"/>
    <w:rsid w:val="6F994256"/>
    <w:rsid w:val="6F9B0E67"/>
    <w:rsid w:val="6F9E32BD"/>
    <w:rsid w:val="6FA21CCE"/>
    <w:rsid w:val="6FF326D1"/>
    <w:rsid w:val="6FF801F8"/>
    <w:rsid w:val="70020B77"/>
    <w:rsid w:val="701103B6"/>
    <w:rsid w:val="703025E3"/>
    <w:rsid w:val="703A7547"/>
    <w:rsid w:val="703C127D"/>
    <w:rsid w:val="703F2F31"/>
    <w:rsid w:val="7042722E"/>
    <w:rsid w:val="705102FE"/>
    <w:rsid w:val="70550D0E"/>
    <w:rsid w:val="70585414"/>
    <w:rsid w:val="706511F5"/>
    <w:rsid w:val="707E00D7"/>
    <w:rsid w:val="70906967"/>
    <w:rsid w:val="70AD5668"/>
    <w:rsid w:val="70B52AE8"/>
    <w:rsid w:val="70C05B3C"/>
    <w:rsid w:val="70C3242C"/>
    <w:rsid w:val="70C4060A"/>
    <w:rsid w:val="70C66336"/>
    <w:rsid w:val="70CE7706"/>
    <w:rsid w:val="70D01BCA"/>
    <w:rsid w:val="70DA78D9"/>
    <w:rsid w:val="70E42487"/>
    <w:rsid w:val="70EE760A"/>
    <w:rsid w:val="71021257"/>
    <w:rsid w:val="71073D02"/>
    <w:rsid w:val="710D0A82"/>
    <w:rsid w:val="71104D71"/>
    <w:rsid w:val="71136FA4"/>
    <w:rsid w:val="713F638B"/>
    <w:rsid w:val="71443075"/>
    <w:rsid w:val="714567C6"/>
    <w:rsid w:val="7148063F"/>
    <w:rsid w:val="7149257E"/>
    <w:rsid w:val="716A690C"/>
    <w:rsid w:val="71710CB1"/>
    <w:rsid w:val="71714B6E"/>
    <w:rsid w:val="717F1E5E"/>
    <w:rsid w:val="719D5EF5"/>
    <w:rsid w:val="71A202B9"/>
    <w:rsid w:val="71B0539D"/>
    <w:rsid w:val="71CA1032"/>
    <w:rsid w:val="71F25676"/>
    <w:rsid w:val="71F85A3E"/>
    <w:rsid w:val="720430D3"/>
    <w:rsid w:val="7215435C"/>
    <w:rsid w:val="722F67D0"/>
    <w:rsid w:val="72313584"/>
    <w:rsid w:val="72380E0E"/>
    <w:rsid w:val="724275BD"/>
    <w:rsid w:val="725A4E06"/>
    <w:rsid w:val="7266517D"/>
    <w:rsid w:val="726C58D8"/>
    <w:rsid w:val="7278176A"/>
    <w:rsid w:val="72791826"/>
    <w:rsid w:val="72792644"/>
    <w:rsid w:val="727C5B55"/>
    <w:rsid w:val="72833994"/>
    <w:rsid w:val="728D6D67"/>
    <w:rsid w:val="729D42E2"/>
    <w:rsid w:val="72AC291D"/>
    <w:rsid w:val="72B34F40"/>
    <w:rsid w:val="72C07522"/>
    <w:rsid w:val="72D51220"/>
    <w:rsid w:val="72D56FD8"/>
    <w:rsid w:val="730B58C3"/>
    <w:rsid w:val="730B7265"/>
    <w:rsid w:val="73114FD2"/>
    <w:rsid w:val="731A3AE6"/>
    <w:rsid w:val="732C286C"/>
    <w:rsid w:val="73316976"/>
    <w:rsid w:val="73336CF8"/>
    <w:rsid w:val="733646C4"/>
    <w:rsid w:val="73532356"/>
    <w:rsid w:val="735479C1"/>
    <w:rsid w:val="73565E42"/>
    <w:rsid w:val="735829BA"/>
    <w:rsid w:val="736B7B78"/>
    <w:rsid w:val="73727918"/>
    <w:rsid w:val="737427E7"/>
    <w:rsid w:val="738C54DF"/>
    <w:rsid w:val="73916C46"/>
    <w:rsid w:val="73CA0659"/>
    <w:rsid w:val="73D32D21"/>
    <w:rsid w:val="73E159A2"/>
    <w:rsid w:val="73E364A8"/>
    <w:rsid w:val="73E64F3B"/>
    <w:rsid w:val="73EC7CC2"/>
    <w:rsid w:val="73F522F6"/>
    <w:rsid w:val="73F8372D"/>
    <w:rsid w:val="74091FD2"/>
    <w:rsid w:val="740D1AB0"/>
    <w:rsid w:val="74143C2D"/>
    <w:rsid w:val="743263D6"/>
    <w:rsid w:val="74426145"/>
    <w:rsid w:val="744B4D78"/>
    <w:rsid w:val="745247B3"/>
    <w:rsid w:val="74540DF1"/>
    <w:rsid w:val="747B2340"/>
    <w:rsid w:val="748543D2"/>
    <w:rsid w:val="749762E6"/>
    <w:rsid w:val="74985E57"/>
    <w:rsid w:val="74A05A92"/>
    <w:rsid w:val="74B3107C"/>
    <w:rsid w:val="74CC66FD"/>
    <w:rsid w:val="74D0416B"/>
    <w:rsid w:val="74D7368F"/>
    <w:rsid w:val="74FE750B"/>
    <w:rsid w:val="75020BA4"/>
    <w:rsid w:val="750F2D7F"/>
    <w:rsid w:val="751C3400"/>
    <w:rsid w:val="752321D2"/>
    <w:rsid w:val="752452BD"/>
    <w:rsid w:val="75381CFD"/>
    <w:rsid w:val="75387844"/>
    <w:rsid w:val="753D3138"/>
    <w:rsid w:val="75571112"/>
    <w:rsid w:val="75595303"/>
    <w:rsid w:val="756D0068"/>
    <w:rsid w:val="7595310F"/>
    <w:rsid w:val="759F311E"/>
    <w:rsid w:val="75A562EA"/>
    <w:rsid w:val="75C77705"/>
    <w:rsid w:val="75D03DF5"/>
    <w:rsid w:val="75F04A2B"/>
    <w:rsid w:val="75F23E97"/>
    <w:rsid w:val="75FC21F4"/>
    <w:rsid w:val="760771A6"/>
    <w:rsid w:val="763D362F"/>
    <w:rsid w:val="763F51EF"/>
    <w:rsid w:val="76452218"/>
    <w:rsid w:val="766F54E7"/>
    <w:rsid w:val="767D320A"/>
    <w:rsid w:val="767D5CFE"/>
    <w:rsid w:val="7682347B"/>
    <w:rsid w:val="768627CD"/>
    <w:rsid w:val="768F1D79"/>
    <w:rsid w:val="7692280C"/>
    <w:rsid w:val="7699418A"/>
    <w:rsid w:val="76A72B73"/>
    <w:rsid w:val="76A92BE9"/>
    <w:rsid w:val="76CE6D37"/>
    <w:rsid w:val="76E31D4F"/>
    <w:rsid w:val="76F33126"/>
    <w:rsid w:val="76FE0DD6"/>
    <w:rsid w:val="77151CD2"/>
    <w:rsid w:val="771855D3"/>
    <w:rsid w:val="772D5E05"/>
    <w:rsid w:val="772E53A2"/>
    <w:rsid w:val="77360AA6"/>
    <w:rsid w:val="77394800"/>
    <w:rsid w:val="7746478F"/>
    <w:rsid w:val="77597A1C"/>
    <w:rsid w:val="7771513C"/>
    <w:rsid w:val="77766076"/>
    <w:rsid w:val="777A27FC"/>
    <w:rsid w:val="7786465C"/>
    <w:rsid w:val="779613D0"/>
    <w:rsid w:val="77987691"/>
    <w:rsid w:val="779E4DF6"/>
    <w:rsid w:val="77B41A5F"/>
    <w:rsid w:val="77DE5F73"/>
    <w:rsid w:val="77E109EB"/>
    <w:rsid w:val="77E95E0A"/>
    <w:rsid w:val="7805620E"/>
    <w:rsid w:val="780A196C"/>
    <w:rsid w:val="780E0E25"/>
    <w:rsid w:val="7810461F"/>
    <w:rsid w:val="782013CC"/>
    <w:rsid w:val="78266D22"/>
    <w:rsid w:val="78276B74"/>
    <w:rsid w:val="78394C30"/>
    <w:rsid w:val="78414C61"/>
    <w:rsid w:val="784F3822"/>
    <w:rsid w:val="785B0280"/>
    <w:rsid w:val="78634237"/>
    <w:rsid w:val="78872795"/>
    <w:rsid w:val="788A7367"/>
    <w:rsid w:val="788B023B"/>
    <w:rsid w:val="789746E8"/>
    <w:rsid w:val="789D0A06"/>
    <w:rsid w:val="78C76532"/>
    <w:rsid w:val="78C7785D"/>
    <w:rsid w:val="78CC6B79"/>
    <w:rsid w:val="78D22ED9"/>
    <w:rsid w:val="78EB6075"/>
    <w:rsid w:val="79006B69"/>
    <w:rsid w:val="79184CE4"/>
    <w:rsid w:val="791D4EEF"/>
    <w:rsid w:val="792A2BA1"/>
    <w:rsid w:val="792A74CC"/>
    <w:rsid w:val="792B7DEB"/>
    <w:rsid w:val="794402A5"/>
    <w:rsid w:val="794D1059"/>
    <w:rsid w:val="794D5F5D"/>
    <w:rsid w:val="795B5D7A"/>
    <w:rsid w:val="795C7DF9"/>
    <w:rsid w:val="795D55F4"/>
    <w:rsid w:val="798A77A3"/>
    <w:rsid w:val="798D240C"/>
    <w:rsid w:val="798E29BE"/>
    <w:rsid w:val="799524D9"/>
    <w:rsid w:val="79A03AA7"/>
    <w:rsid w:val="79D47614"/>
    <w:rsid w:val="79E34DC6"/>
    <w:rsid w:val="79E7016D"/>
    <w:rsid w:val="79F93A46"/>
    <w:rsid w:val="79FD6043"/>
    <w:rsid w:val="7A052430"/>
    <w:rsid w:val="7A067BF3"/>
    <w:rsid w:val="7A090330"/>
    <w:rsid w:val="7A0D129F"/>
    <w:rsid w:val="7A185A4F"/>
    <w:rsid w:val="7A2E26A9"/>
    <w:rsid w:val="7A2F4CCC"/>
    <w:rsid w:val="7A3E33B9"/>
    <w:rsid w:val="7A4C2D4A"/>
    <w:rsid w:val="7A556E34"/>
    <w:rsid w:val="7A5C4A46"/>
    <w:rsid w:val="7A6E13AB"/>
    <w:rsid w:val="7A905FC5"/>
    <w:rsid w:val="7A920F96"/>
    <w:rsid w:val="7A952B97"/>
    <w:rsid w:val="7A992B33"/>
    <w:rsid w:val="7AA65250"/>
    <w:rsid w:val="7AD15C0E"/>
    <w:rsid w:val="7AD46CA0"/>
    <w:rsid w:val="7AD6644C"/>
    <w:rsid w:val="7AFB04BA"/>
    <w:rsid w:val="7B001B7C"/>
    <w:rsid w:val="7B0E5E71"/>
    <w:rsid w:val="7B1635F5"/>
    <w:rsid w:val="7B1D0E37"/>
    <w:rsid w:val="7B231ADD"/>
    <w:rsid w:val="7B2E611E"/>
    <w:rsid w:val="7B364518"/>
    <w:rsid w:val="7B3F47F3"/>
    <w:rsid w:val="7B44687E"/>
    <w:rsid w:val="7B4B20BC"/>
    <w:rsid w:val="7B51165F"/>
    <w:rsid w:val="7B595B0E"/>
    <w:rsid w:val="7B6D59D8"/>
    <w:rsid w:val="7B733451"/>
    <w:rsid w:val="7B767E7B"/>
    <w:rsid w:val="7B775EE5"/>
    <w:rsid w:val="7B806235"/>
    <w:rsid w:val="7B864625"/>
    <w:rsid w:val="7B9E2353"/>
    <w:rsid w:val="7BB611CC"/>
    <w:rsid w:val="7BC04298"/>
    <w:rsid w:val="7BDD08B6"/>
    <w:rsid w:val="7BF00C11"/>
    <w:rsid w:val="7BF8558F"/>
    <w:rsid w:val="7C085BE7"/>
    <w:rsid w:val="7C12401E"/>
    <w:rsid w:val="7C184FB7"/>
    <w:rsid w:val="7C4A0DEC"/>
    <w:rsid w:val="7C71082F"/>
    <w:rsid w:val="7C7E130D"/>
    <w:rsid w:val="7C886ADB"/>
    <w:rsid w:val="7C896BD7"/>
    <w:rsid w:val="7CB0738F"/>
    <w:rsid w:val="7CCB6131"/>
    <w:rsid w:val="7CDF537A"/>
    <w:rsid w:val="7CE56BC6"/>
    <w:rsid w:val="7CEA1BF4"/>
    <w:rsid w:val="7CEB5017"/>
    <w:rsid w:val="7CF25F57"/>
    <w:rsid w:val="7D0010A8"/>
    <w:rsid w:val="7D012C34"/>
    <w:rsid w:val="7D0C5E2F"/>
    <w:rsid w:val="7D1C2C48"/>
    <w:rsid w:val="7D3648D2"/>
    <w:rsid w:val="7D384885"/>
    <w:rsid w:val="7D494CE4"/>
    <w:rsid w:val="7D4F75C8"/>
    <w:rsid w:val="7D580076"/>
    <w:rsid w:val="7D5875B5"/>
    <w:rsid w:val="7D5B3117"/>
    <w:rsid w:val="7D5E08B4"/>
    <w:rsid w:val="7D796FCB"/>
    <w:rsid w:val="7D7E0379"/>
    <w:rsid w:val="7D8C5EB4"/>
    <w:rsid w:val="7D932AEA"/>
    <w:rsid w:val="7D950362"/>
    <w:rsid w:val="7DA73889"/>
    <w:rsid w:val="7DAB2547"/>
    <w:rsid w:val="7DB324AE"/>
    <w:rsid w:val="7DB400DC"/>
    <w:rsid w:val="7DB948D0"/>
    <w:rsid w:val="7DDD48E4"/>
    <w:rsid w:val="7DE12030"/>
    <w:rsid w:val="7E0A3557"/>
    <w:rsid w:val="7E113917"/>
    <w:rsid w:val="7E220AF2"/>
    <w:rsid w:val="7E244ADA"/>
    <w:rsid w:val="7E300061"/>
    <w:rsid w:val="7E374752"/>
    <w:rsid w:val="7E414079"/>
    <w:rsid w:val="7E49594E"/>
    <w:rsid w:val="7E524263"/>
    <w:rsid w:val="7E634DDC"/>
    <w:rsid w:val="7E684048"/>
    <w:rsid w:val="7E7223E0"/>
    <w:rsid w:val="7E8A534F"/>
    <w:rsid w:val="7E962AE7"/>
    <w:rsid w:val="7EB167A5"/>
    <w:rsid w:val="7ED2423A"/>
    <w:rsid w:val="7ED24865"/>
    <w:rsid w:val="7ED75A14"/>
    <w:rsid w:val="7EE301CB"/>
    <w:rsid w:val="7EE4500E"/>
    <w:rsid w:val="7EEA6053"/>
    <w:rsid w:val="7EFE69A4"/>
    <w:rsid w:val="7F08297D"/>
    <w:rsid w:val="7F0E37B9"/>
    <w:rsid w:val="7F13096B"/>
    <w:rsid w:val="7F2B37BF"/>
    <w:rsid w:val="7F37685D"/>
    <w:rsid w:val="7F5454B3"/>
    <w:rsid w:val="7F875650"/>
    <w:rsid w:val="7FA0317D"/>
    <w:rsid w:val="7FA066D7"/>
    <w:rsid w:val="7FA374BA"/>
    <w:rsid w:val="7FB52726"/>
    <w:rsid w:val="7FC33011"/>
    <w:rsid w:val="7FD824A1"/>
    <w:rsid w:val="7FD86466"/>
    <w:rsid w:val="7FEB7EFA"/>
    <w:rsid w:val="7FF05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nhideWhenUsed="0" w:uiPriority="0"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73"/>
    <w:autoRedefine/>
    <w:qFormat/>
    <w:uiPriority w:val="0"/>
    <w:pPr>
      <w:keepNext/>
      <w:keepLines/>
      <w:spacing w:line="360" w:lineRule="auto"/>
      <w:outlineLvl w:val="0"/>
    </w:pPr>
    <w:rPr>
      <w:rFonts w:ascii="Times New Roman"/>
      <w:b/>
      <w:bCs/>
      <w:kern w:val="44"/>
      <w:sz w:val="32"/>
      <w:szCs w:val="44"/>
    </w:rPr>
  </w:style>
  <w:style w:type="paragraph" w:styleId="4">
    <w:name w:val="heading 2"/>
    <w:basedOn w:val="1"/>
    <w:next w:val="1"/>
    <w:link w:val="74"/>
    <w:autoRedefine/>
    <w:qFormat/>
    <w:uiPriority w:val="0"/>
    <w:pPr>
      <w:keepNext/>
      <w:keepLines/>
      <w:spacing w:before="260" w:after="260" w:line="416" w:lineRule="auto"/>
      <w:outlineLvl w:val="1"/>
    </w:pPr>
    <w:rPr>
      <w:rFonts w:ascii="Cambria" w:hAnsi="Cambria"/>
      <w:b/>
      <w:bCs/>
      <w:kern w:val="2"/>
      <w:sz w:val="32"/>
      <w:szCs w:val="32"/>
    </w:rPr>
  </w:style>
  <w:style w:type="paragraph" w:styleId="2">
    <w:name w:val="heading 3"/>
    <w:basedOn w:val="1"/>
    <w:next w:val="1"/>
    <w:link w:val="72"/>
    <w:autoRedefine/>
    <w:qFormat/>
    <w:uiPriority w:val="9"/>
    <w:pPr>
      <w:keepNext/>
      <w:keepLines/>
      <w:spacing w:before="120" w:after="120" w:line="360" w:lineRule="auto"/>
      <w:jc w:val="left"/>
      <w:outlineLvl w:val="2"/>
    </w:pPr>
    <w:rPr>
      <w:rFonts w:ascii="黑体" w:hAnsi="黑体" w:eastAsia="黑体"/>
      <w:bCs/>
      <w:kern w:val="2"/>
      <w:szCs w:val="24"/>
    </w:rPr>
  </w:style>
  <w:style w:type="paragraph" w:styleId="5">
    <w:name w:val="heading 4"/>
    <w:basedOn w:val="1"/>
    <w:next w:val="1"/>
    <w:link w:val="75"/>
    <w:autoRedefine/>
    <w:qFormat/>
    <w:uiPriority w:val="0"/>
    <w:pPr>
      <w:keepNext/>
      <w:keepLines/>
      <w:spacing w:before="120" w:after="120" w:line="360" w:lineRule="auto"/>
      <w:ind w:firstLine="420" w:firstLineChars="200"/>
      <w:outlineLvl w:val="3"/>
    </w:pPr>
    <w:rPr>
      <w:rFonts w:ascii="Arial" w:hAnsi="Arial" w:eastAsia="黑体"/>
      <w:bCs/>
      <w:kern w:val="2"/>
      <w:sz w:val="21"/>
      <w:szCs w:val="28"/>
    </w:rPr>
  </w:style>
  <w:style w:type="paragraph" w:styleId="6">
    <w:name w:val="heading 5"/>
    <w:basedOn w:val="1"/>
    <w:next w:val="1"/>
    <w:link w:val="76"/>
    <w:autoRedefine/>
    <w:qFormat/>
    <w:uiPriority w:val="0"/>
    <w:pPr>
      <w:keepNext/>
      <w:keepLines/>
      <w:spacing w:before="280" w:after="290" w:line="376" w:lineRule="auto"/>
      <w:outlineLvl w:val="4"/>
    </w:pPr>
    <w:rPr>
      <w:rFonts w:ascii="Calibri" w:hAnsi="Calibri"/>
      <w:b/>
      <w:bCs/>
      <w:kern w:val="2"/>
      <w:sz w:val="28"/>
      <w:szCs w:val="28"/>
    </w:rPr>
  </w:style>
  <w:style w:type="paragraph" w:styleId="7">
    <w:name w:val="heading 6"/>
    <w:basedOn w:val="6"/>
    <w:next w:val="1"/>
    <w:link w:val="77"/>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8"/>
    <w:autoRedefine/>
    <w:qFormat/>
    <w:uiPriority w:val="0"/>
    <w:pPr>
      <w:tabs>
        <w:tab w:val="left" w:pos="1800"/>
        <w:tab w:val="clear" w:pos="1440"/>
      </w:tabs>
      <w:ind w:left="1276" w:hanging="1276"/>
      <w:outlineLvl w:val="6"/>
    </w:pPr>
  </w:style>
  <w:style w:type="paragraph" w:styleId="9">
    <w:name w:val="heading 8"/>
    <w:basedOn w:val="1"/>
    <w:link w:val="79"/>
    <w:autoRedefine/>
    <w:qFormat/>
    <w:uiPriority w:val="0"/>
    <w:pPr>
      <w:keepNext/>
      <w:keepLines/>
      <w:spacing w:line="400" w:lineRule="exact"/>
      <w:jc w:val="center"/>
      <w:outlineLvl w:val="7"/>
    </w:pPr>
    <w:rPr>
      <w:rFonts w:hAnsi="宋体" w:eastAsia="黑体"/>
      <w:kern w:val="2"/>
      <w:sz w:val="32"/>
      <w:szCs w:val="32"/>
    </w:rPr>
  </w:style>
  <w:style w:type="paragraph" w:styleId="10">
    <w:name w:val="heading 9"/>
    <w:basedOn w:val="1"/>
    <w:next w:val="1"/>
    <w:link w:val="80"/>
    <w:autoRedefine/>
    <w:qFormat/>
    <w:uiPriority w:val="0"/>
    <w:pPr>
      <w:keepNext/>
      <w:keepLines/>
      <w:spacing w:before="240" w:after="64" w:line="320" w:lineRule="auto"/>
      <w:outlineLvl w:val="8"/>
    </w:pPr>
    <w:rPr>
      <w:rFonts w:ascii="Cambria" w:hAnsi="Cambria"/>
      <w:kern w:val="2"/>
      <w:sz w:val="21"/>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szCs w:val="22"/>
    </w:rPr>
  </w:style>
  <w:style w:type="paragraph" w:styleId="12">
    <w:name w:val="toc 7"/>
    <w:basedOn w:val="1"/>
    <w:next w:val="1"/>
    <w:autoRedefine/>
    <w:unhideWhenUsed/>
    <w:qFormat/>
    <w:uiPriority w:val="39"/>
    <w:pPr>
      <w:ind w:left="1260"/>
      <w:jc w:val="left"/>
    </w:pPr>
    <w:rPr>
      <w:rFonts w:ascii="Calibri" w:hAnsi="Calibri" w:cs="Calibri"/>
      <w:sz w:val="18"/>
      <w:szCs w:val="18"/>
    </w:rPr>
  </w:style>
  <w:style w:type="paragraph" w:styleId="13">
    <w:name w:val="Normal Indent"/>
    <w:basedOn w:val="1"/>
    <w:autoRedefine/>
    <w:qFormat/>
    <w:uiPriority w:val="0"/>
    <w:pPr>
      <w:ind w:firstLine="420" w:firstLineChars="200"/>
    </w:pPr>
  </w:style>
  <w:style w:type="paragraph" w:styleId="14">
    <w:name w:val="caption"/>
    <w:basedOn w:val="1"/>
    <w:next w:val="1"/>
    <w:autoRedefine/>
    <w:qFormat/>
    <w:uiPriority w:val="0"/>
    <w:pPr>
      <w:spacing w:before="152" w:after="160"/>
    </w:pPr>
    <w:rPr>
      <w:rFonts w:ascii="Arial" w:hAnsi="Arial" w:eastAsia="黑体" w:cs="Arial"/>
      <w:sz w:val="20"/>
    </w:rPr>
  </w:style>
  <w:style w:type="paragraph" w:styleId="15">
    <w:name w:val="Document Map"/>
    <w:basedOn w:val="1"/>
    <w:link w:val="81"/>
    <w:autoRedefine/>
    <w:qFormat/>
    <w:uiPriority w:val="0"/>
    <w:pPr>
      <w:shd w:val="clear" w:color="auto" w:fill="000080"/>
    </w:pPr>
    <w:rPr>
      <w:rFonts w:ascii="Calibri" w:hAnsi="Calibri"/>
      <w:bCs/>
      <w:kern w:val="2"/>
      <w:sz w:val="21"/>
      <w:szCs w:val="32"/>
    </w:rPr>
  </w:style>
  <w:style w:type="paragraph" w:styleId="16">
    <w:name w:val="annotation text"/>
    <w:basedOn w:val="1"/>
    <w:link w:val="82"/>
    <w:autoRedefine/>
    <w:qFormat/>
    <w:uiPriority w:val="0"/>
    <w:pPr>
      <w:adjustRightInd w:val="0"/>
      <w:spacing w:line="360" w:lineRule="atLeast"/>
      <w:jc w:val="left"/>
      <w:textAlignment w:val="baseline"/>
    </w:pPr>
    <w:rPr>
      <w:rFonts w:ascii="Times New Roman"/>
    </w:rPr>
  </w:style>
  <w:style w:type="paragraph" w:styleId="17">
    <w:name w:val="Salutation"/>
    <w:basedOn w:val="1"/>
    <w:next w:val="1"/>
    <w:link w:val="83"/>
    <w:autoRedefine/>
    <w:qFormat/>
    <w:uiPriority w:val="0"/>
    <w:rPr>
      <w:rFonts w:ascii="仿宋_GB2312" w:eastAsia="仿宋_GB2312"/>
      <w:kern w:val="2"/>
      <w:sz w:val="28"/>
    </w:rPr>
  </w:style>
  <w:style w:type="paragraph" w:styleId="18">
    <w:name w:val="Body Text 3"/>
    <w:basedOn w:val="1"/>
    <w:link w:val="84"/>
    <w:autoRedefine/>
    <w:qFormat/>
    <w:uiPriority w:val="0"/>
    <w:pPr>
      <w:adjustRightInd w:val="0"/>
      <w:snapToGrid w:val="0"/>
    </w:pPr>
    <w:rPr>
      <w:rFonts w:ascii="仿宋_GB2312" w:hAnsi="宋体" w:eastAsia="仿宋_GB2312"/>
      <w:bCs/>
      <w:color w:val="000000"/>
      <w:kern w:val="2"/>
      <w:szCs w:val="32"/>
    </w:rPr>
  </w:style>
  <w:style w:type="paragraph" w:styleId="19">
    <w:name w:val="Body Text"/>
    <w:basedOn w:val="1"/>
    <w:next w:val="1"/>
    <w:link w:val="85"/>
    <w:autoRedefine/>
    <w:qFormat/>
    <w:uiPriority w:val="0"/>
    <w:pPr>
      <w:spacing w:after="120"/>
    </w:pPr>
    <w:rPr>
      <w:rFonts w:ascii="Times New Roman"/>
      <w:kern w:val="2"/>
      <w:sz w:val="21"/>
      <w:szCs w:val="24"/>
    </w:rPr>
  </w:style>
  <w:style w:type="paragraph" w:styleId="20">
    <w:name w:val="Body Text Indent"/>
    <w:basedOn w:val="1"/>
    <w:link w:val="86"/>
    <w:autoRedefine/>
    <w:qFormat/>
    <w:uiPriority w:val="0"/>
    <w:pPr>
      <w:ind w:firstLine="560" w:firstLineChars="200"/>
    </w:pPr>
    <w:rPr>
      <w:rFonts w:hAnsi="宋体"/>
      <w:bCs/>
      <w:kern w:val="2"/>
      <w:sz w:val="28"/>
      <w:szCs w:val="32"/>
    </w:rPr>
  </w:style>
  <w:style w:type="paragraph" w:styleId="21">
    <w:name w:val="List 2"/>
    <w:basedOn w:val="1"/>
    <w:autoRedefine/>
    <w:qFormat/>
    <w:uiPriority w:val="0"/>
    <w:pPr>
      <w:ind w:left="100" w:leftChars="200" w:hanging="200" w:hangingChars="200"/>
    </w:pPr>
    <w:rPr>
      <w:rFonts w:ascii="Calibri" w:hAnsi="Calibri"/>
      <w:szCs w:val="22"/>
    </w:rPr>
  </w:style>
  <w:style w:type="paragraph" w:styleId="22">
    <w:name w:val="List Continue"/>
    <w:basedOn w:val="1"/>
    <w:autoRedefine/>
    <w:qFormat/>
    <w:uiPriority w:val="0"/>
    <w:pPr>
      <w:spacing w:after="120"/>
      <w:ind w:left="420" w:leftChars="200"/>
    </w:pPr>
    <w:rPr>
      <w:rFonts w:ascii="Calibri" w:hAnsi="Calibri"/>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sz w:val="72"/>
    </w:rPr>
  </w:style>
  <w:style w:type="paragraph" w:styleId="24">
    <w:name w:val="index 4"/>
    <w:basedOn w:val="1"/>
    <w:next w:val="1"/>
    <w:autoRedefine/>
    <w:qFormat/>
    <w:uiPriority w:val="0"/>
    <w:pPr>
      <w:ind w:left="600" w:leftChars="600"/>
    </w:pPr>
  </w:style>
  <w:style w:type="paragraph" w:styleId="25">
    <w:name w:val="toc 5"/>
    <w:basedOn w:val="1"/>
    <w:next w:val="1"/>
    <w:autoRedefine/>
    <w:unhideWhenUsed/>
    <w:qFormat/>
    <w:uiPriority w:val="39"/>
    <w:pPr>
      <w:ind w:left="840"/>
      <w:jc w:val="left"/>
    </w:pPr>
    <w:rPr>
      <w:rFonts w:ascii="Calibri" w:hAnsi="Calibri" w:cs="Calibri"/>
      <w:sz w:val="18"/>
      <w:szCs w:val="18"/>
    </w:rPr>
  </w:style>
  <w:style w:type="paragraph" w:styleId="26">
    <w:name w:val="toc 3"/>
    <w:basedOn w:val="1"/>
    <w:next w:val="1"/>
    <w:autoRedefine/>
    <w:qFormat/>
    <w:uiPriority w:val="39"/>
    <w:pPr>
      <w:ind w:left="420"/>
      <w:jc w:val="left"/>
    </w:pPr>
    <w:rPr>
      <w:rFonts w:ascii="Calibri" w:hAnsi="Calibri" w:cs="Calibri"/>
      <w:i/>
      <w:iCs/>
      <w:sz w:val="20"/>
    </w:rPr>
  </w:style>
  <w:style w:type="paragraph" w:styleId="27">
    <w:name w:val="Plain Text"/>
    <w:basedOn w:val="1"/>
    <w:link w:val="87"/>
    <w:autoRedefine/>
    <w:qFormat/>
    <w:uiPriority w:val="0"/>
    <w:rPr>
      <w:rFonts w:ascii="Courier New" w:hAnsi="Courier New"/>
      <w:kern w:val="2"/>
      <w:sz w:val="21"/>
    </w:rPr>
  </w:style>
  <w:style w:type="paragraph" w:styleId="28">
    <w:name w:val="toc 8"/>
    <w:basedOn w:val="1"/>
    <w:next w:val="1"/>
    <w:autoRedefine/>
    <w:unhideWhenUsed/>
    <w:qFormat/>
    <w:uiPriority w:val="39"/>
    <w:pPr>
      <w:ind w:left="1470"/>
      <w:jc w:val="left"/>
    </w:pPr>
    <w:rPr>
      <w:rFonts w:ascii="Calibri" w:hAnsi="Calibri" w:cs="Calibri"/>
      <w:sz w:val="18"/>
      <w:szCs w:val="18"/>
    </w:rPr>
  </w:style>
  <w:style w:type="paragraph" w:styleId="29">
    <w:name w:val="Date"/>
    <w:basedOn w:val="1"/>
    <w:next w:val="1"/>
    <w:link w:val="88"/>
    <w:autoRedefine/>
    <w:unhideWhenUsed/>
    <w:qFormat/>
    <w:uiPriority w:val="0"/>
    <w:pPr>
      <w:ind w:left="100" w:leftChars="2500"/>
    </w:pPr>
    <w:rPr>
      <w:rFonts w:ascii="Times New Roman"/>
      <w:kern w:val="2"/>
      <w:sz w:val="21"/>
      <w:szCs w:val="24"/>
    </w:rPr>
  </w:style>
  <w:style w:type="paragraph" w:styleId="30">
    <w:name w:val="Body Text Indent 2"/>
    <w:basedOn w:val="1"/>
    <w:link w:val="89"/>
    <w:autoRedefine/>
    <w:qFormat/>
    <w:uiPriority w:val="0"/>
    <w:pPr>
      <w:widowControl/>
      <w:overflowPunct w:val="0"/>
      <w:autoSpaceDE w:val="0"/>
      <w:autoSpaceDN w:val="0"/>
      <w:adjustRightInd w:val="0"/>
      <w:spacing w:line="360" w:lineRule="auto"/>
      <w:ind w:firstLine="555"/>
      <w:textAlignment w:val="baseline"/>
    </w:pPr>
    <w:rPr>
      <w:rFonts w:hAnsi="MS Sans Serif"/>
      <w:bCs/>
      <w:spacing w:val="12"/>
    </w:rPr>
  </w:style>
  <w:style w:type="paragraph" w:styleId="31">
    <w:name w:val="Balloon Text"/>
    <w:basedOn w:val="1"/>
    <w:link w:val="90"/>
    <w:autoRedefine/>
    <w:qFormat/>
    <w:uiPriority w:val="0"/>
    <w:rPr>
      <w:rFonts w:ascii="Times New Roman"/>
      <w:kern w:val="2"/>
      <w:sz w:val="18"/>
    </w:rPr>
  </w:style>
  <w:style w:type="paragraph" w:styleId="32">
    <w:name w:val="footer"/>
    <w:basedOn w:val="1"/>
    <w:link w:val="91"/>
    <w:autoRedefine/>
    <w:qFormat/>
    <w:uiPriority w:val="99"/>
    <w:pPr>
      <w:tabs>
        <w:tab w:val="center" w:pos="4153"/>
        <w:tab w:val="right" w:pos="8306"/>
      </w:tabs>
      <w:snapToGrid w:val="0"/>
      <w:jc w:val="left"/>
    </w:pPr>
    <w:rPr>
      <w:rFonts w:ascii="Times New Roman"/>
      <w:kern w:val="2"/>
      <w:sz w:val="18"/>
      <w:szCs w:val="18"/>
    </w:rPr>
  </w:style>
  <w:style w:type="paragraph" w:styleId="33">
    <w:name w:val="header"/>
    <w:basedOn w:val="1"/>
    <w:link w:val="92"/>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34">
    <w:name w:val="toc 1"/>
    <w:basedOn w:val="1"/>
    <w:next w:val="1"/>
    <w:autoRedefine/>
    <w:qFormat/>
    <w:uiPriority w:val="39"/>
    <w:pPr>
      <w:spacing w:before="120" w:after="120"/>
      <w:jc w:val="left"/>
    </w:pPr>
    <w:rPr>
      <w:rFonts w:ascii="Calibri" w:hAnsi="Calibri" w:cs="Calibri"/>
      <w:b/>
      <w:bCs/>
      <w:caps/>
      <w:sz w:val="20"/>
    </w:rPr>
  </w:style>
  <w:style w:type="paragraph" w:styleId="35">
    <w:name w:val="List Continue 4"/>
    <w:basedOn w:val="1"/>
    <w:autoRedefine/>
    <w:qFormat/>
    <w:uiPriority w:val="0"/>
    <w:pPr>
      <w:spacing w:after="120"/>
      <w:ind w:left="1680" w:leftChars="800"/>
    </w:pPr>
    <w:rPr>
      <w:rFonts w:ascii="Calibri" w:hAnsi="Calibri"/>
      <w:szCs w:val="22"/>
    </w:rPr>
  </w:style>
  <w:style w:type="paragraph" w:styleId="36">
    <w:name w:val="toc 4"/>
    <w:basedOn w:val="1"/>
    <w:next w:val="1"/>
    <w:autoRedefine/>
    <w:unhideWhenUsed/>
    <w:qFormat/>
    <w:uiPriority w:val="39"/>
    <w:pPr>
      <w:ind w:left="630"/>
      <w:jc w:val="left"/>
    </w:pPr>
    <w:rPr>
      <w:rFonts w:ascii="Calibri" w:hAnsi="Calibri" w:cs="Calibri"/>
      <w:sz w:val="18"/>
      <w:szCs w:val="18"/>
    </w:rPr>
  </w:style>
  <w:style w:type="paragraph" w:styleId="37">
    <w:name w:val="index heading"/>
    <w:basedOn w:val="1"/>
    <w:next w:val="38"/>
    <w:autoRedefine/>
    <w:semiHidden/>
    <w:qFormat/>
    <w:uiPriority w:val="0"/>
  </w:style>
  <w:style w:type="paragraph" w:styleId="38">
    <w:name w:val="index 1"/>
    <w:basedOn w:val="1"/>
    <w:next w:val="1"/>
    <w:autoRedefine/>
    <w:semiHidden/>
    <w:qFormat/>
    <w:uiPriority w:val="0"/>
  </w:style>
  <w:style w:type="paragraph" w:styleId="39">
    <w:name w:val="Subtitle"/>
    <w:basedOn w:val="1"/>
    <w:link w:val="93"/>
    <w:autoRedefine/>
    <w:qFormat/>
    <w:uiPriority w:val="0"/>
    <w:pPr>
      <w:spacing w:before="240" w:after="60" w:line="312" w:lineRule="auto"/>
      <w:jc w:val="center"/>
      <w:outlineLvl w:val="1"/>
    </w:pPr>
    <w:rPr>
      <w:rFonts w:ascii="Arial" w:hAnsi="Arial"/>
      <w:b/>
      <w:bCs/>
      <w:kern w:val="28"/>
      <w:sz w:val="32"/>
      <w:szCs w:val="32"/>
    </w:rPr>
  </w:style>
  <w:style w:type="paragraph" w:styleId="40">
    <w:name w:val="List"/>
    <w:basedOn w:val="1"/>
    <w:autoRedefine/>
    <w:qFormat/>
    <w:uiPriority w:val="0"/>
    <w:pPr>
      <w:ind w:left="200" w:hanging="200" w:hangingChars="200"/>
    </w:pPr>
    <w:rPr>
      <w:rFonts w:ascii="Calibri" w:hAnsi="Calibri"/>
      <w:szCs w:val="22"/>
    </w:rPr>
  </w:style>
  <w:style w:type="paragraph" w:styleId="41">
    <w:name w:val="footnote text"/>
    <w:basedOn w:val="1"/>
    <w:link w:val="94"/>
    <w:autoRedefine/>
    <w:unhideWhenUsed/>
    <w:qFormat/>
    <w:uiPriority w:val="0"/>
    <w:pPr>
      <w:snapToGrid w:val="0"/>
      <w:jc w:val="left"/>
    </w:pPr>
    <w:rPr>
      <w:rFonts w:ascii="Times New Roman"/>
      <w:kern w:val="2"/>
      <w:sz w:val="18"/>
      <w:szCs w:val="18"/>
    </w:rPr>
  </w:style>
  <w:style w:type="paragraph" w:styleId="42">
    <w:name w:val="toc 6"/>
    <w:basedOn w:val="1"/>
    <w:next w:val="1"/>
    <w:autoRedefine/>
    <w:unhideWhenUsed/>
    <w:qFormat/>
    <w:uiPriority w:val="39"/>
    <w:pPr>
      <w:ind w:left="1050"/>
      <w:jc w:val="left"/>
    </w:pPr>
    <w:rPr>
      <w:rFonts w:ascii="Calibri" w:hAnsi="Calibri" w:cs="Calibri"/>
      <w:sz w:val="18"/>
      <w:szCs w:val="18"/>
    </w:rPr>
  </w:style>
  <w:style w:type="paragraph" w:styleId="43">
    <w:name w:val="Body Text Indent 3"/>
    <w:basedOn w:val="1"/>
    <w:link w:val="95"/>
    <w:autoRedefine/>
    <w:qFormat/>
    <w:uiPriority w:val="0"/>
    <w:pPr>
      <w:widowControl/>
      <w:overflowPunct w:val="0"/>
      <w:autoSpaceDE w:val="0"/>
      <w:autoSpaceDN w:val="0"/>
      <w:adjustRightInd w:val="0"/>
      <w:spacing w:line="360" w:lineRule="auto"/>
      <w:ind w:firstLine="540"/>
      <w:textAlignment w:val="baseline"/>
    </w:pPr>
    <w:rPr>
      <w:rFonts w:hAnsi="MS Sans Serif"/>
      <w:bCs/>
      <w:color w:val="000000"/>
    </w:rPr>
  </w:style>
  <w:style w:type="paragraph" w:styleId="44">
    <w:name w:val="toc 2"/>
    <w:basedOn w:val="1"/>
    <w:next w:val="1"/>
    <w:autoRedefine/>
    <w:qFormat/>
    <w:uiPriority w:val="39"/>
    <w:pPr>
      <w:ind w:left="210"/>
      <w:jc w:val="left"/>
    </w:pPr>
    <w:rPr>
      <w:rFonts w:ascii="Calibri" w:hAnsi="Calibri" w:cs="Calibri"/>
      <w:smallCaps/>
      <w:sz w:val="20"/>
    </w:rPr>
  </w:style>
  <w:style w:type="paragraph" w:styleId="45">
    <w:name w:val="toc 9"/>
    <w:basedOn w:val="1"/>
    <w:next w:val="1"/>
    <w:autoRedefine/>
    <w:unhideWhenUsed/>
    <w:qFormat/>
    <w:uiPriority w:val="39"/>
    <w:pPr>
      <w:ind w:left="1680"/>
      <w:jc w:val="left"/>
    </w:pPr>
    <w:rPr>
      <w:rFonts w:ascii="Calibri" w:hAnsi="Calibri" w:cs="Calibri"/>
      <w:sz w:val="18"/>
      <w:szCs w:val="18"/>
    </w:rPr>
  </w:style>
  <w:style w:type="paragraph" w:styleId="46">
    <w:name w:val="Body Text 2"/>
    <w:basedOn w:val="1"/>
    <w:link w:val="96"/>
    <w:autoRedefine/>
    <w:qFormat/>
    <w:uiPriority w:val="0"/>
    <w:pPr>
      <w:spacing w:line="360" w:lineRule="auto"/>
    </w:pPr>
    <w:rPr>
      <w:spacing w:val="-20"/>
      <w:kern w:val="2"/>
      <w:sz w:val="28"/>
    </w:rPr>
  </w:style>
  <w:style w:type="paragraph" w:styleId="47">
    <w:name w:val="List 4"/>
    <w:basedOn w:val="1"/>
    <w:autoRedefine/>
    <w:qFormat/>
    <w:uiPriority w:val="0"/>
    <w:pPr>
      <w:ind w:left="100" w:leftChars="600" w:hanging="200" w:hangingChars="200"/>
    </w:pPr>
    <w:rPr>
      <w:rFonts w:ascii="Calibri" w:hAnsi="Calibri"/>
      <w:szCs w:val="22"/>
    </w:rPr>
  </w:style>
  <w:style w:type="paragraph" w:styleId="48">
    <w:name w:val="List Continue 2"/>
    <w:basedOn w:val="1"/>
    <w:autoRedefine/>
    <w:qFormat/>
    <w:uiPriority w:val="0"/>
    <w:pPr>
      <w:spacing w:after="120"/>
      <w:ind w:left="840" w:leftChars="400"/>
    </w:pPr>
    <w:rPr>
      <w:rFonts w:ascii="Calibri" w:hAnsi="Calibri"/>
      <w:szCs w:val="22"/>
    </w:rPr>
  </w:style>
  <w:style w:type="paragraph" w:styleId="49">
    <w:name w:val="Normal (Web)"/>
    <w:basedOn w:val="1"/>
    <w:autoRedefine/>
    <w:qFormat/>
    <w:uiPriority w:val="0"/>
    <w:pPr>
      <w:widowControl/>
      <w:spacing w:before="100" w:beforeAutospacing="1" w:after="100" w:afterAutospacing="1"/>
      <w:jc w:val="left"/>
    </w:pPr>
    <w:rPr>
      <w:rFonts w:hAnsi="宋体" w:cs="宋体"/>
      <w:color w:val="0066CC"/>
    </w:rPr>
  </w:style>
  <w:style w:type="paragraph" w:styleId="50">
    <w:name w:val="Title"/>
    <w:basedOn w:val="4"/>
    <w:next w:val="1"/>
    <w:link w:val="97"/>
    <w:autoRedefine/>
    <w:qFormat/>
    <w:uiPriority w:val="0"/>
    <w:pPr>
      <w:spacing w:before="0" w:after="0" w:line="360" w:lineRule="auto"/>
      <w:jc w:val="center"/>
    </w:pPr>
    <w:rPr>
      <w:rFonts w:ascii="宋体" w:hAnsi="宋体" w:eastAsia="黑体"/>
      <w:bCs w:val="0"/>
      <w:smallCaps/>
      <w:snapToGrid w:val="0"/>
      <w:sz w:val="44"/>
      <w:szCs w:val="24"/>
    </w:rPr>
  </w:style>
  <w:style w:type="paragraph" w:styleId="51">
    <w:name w:val="annotation subject"/>
    <w:basedOn w:val="16"/>
    <w:next w:val="16"/>
    <w:link w:val="98"/>
    <w:autoRedefine/>
    <w:qFormat/>
    <w:uiPriority w:val="0"/>
    <w:pPr>
      <w:adjustRightInd/>
      <w:spacing w:line="240" w:lineRule="auto"/>
      <w:textAlignment w:val="auto"/>
    </w:pPr>
    <w:rPr>
      <w:b/>
      <w:bCs/>
      <w:kern w:val="2"/>
      <w:sz w:val="21"/>
      <w:szCs w:val="24"/>
    </w:rPr>
  </w:style>
  <w:style w:type="paragraph" w:styleId="52">
    <w:name w:val="Body Text First Indent 2"/>
    <w:basedOn w:val="20"/>
    <w:next w:val="1"/>
    <w:autoRedefine/>
    <w:qFormat/>
    <w:uiPriority w:val="0"/>
    <w:pPr>
      <w:tabs>
        <w:tab w:val="left" w:pos="0"/>
        <w:tab w:val="left" w:pos="993"/>
        <w:tab w:val="left" w:pos="1134"/>
      </w:tabs>
      <w:ind w:firstLine="420"/>
    </w:pPr>
  </w:style>
  <w:style w:type="table" w:styleId="54">
    <w:name w:val="Table Grid"/>
    <w:basedOn w:val="5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autoRedefine/>
    <w:qFormat/>
    <w:uiPriority w:val="0"/>
  </w:style>
  <w:style w:type="character" w:styleId="58">
    <w:name w:val="FollowedHyperlink"/>
    <w:autoRedefine/>
    <w:qFormat/>
    <w:uiPriority w:val="99"/>
    <w:rPr>
      <w:color w:val="800080"/>
      <w:u w:val="none"/>
    </w:rPr>
  </w:style>
  <w:style w:type="character" w:styleId="59">
    <w:name w:val="Emphasis"/>
    <w:autoRedefine/>
    <w:qFormat/>
    <w:uiPriority w:val="0"/>
    <w:rPr>
      <w:i/>
      <w:iCs/>
    </w:rPr>
  </w:style>
  <w:style w:type="character" w:styleId="60">
    <w:name w:val="HTML Definition"/>
    <w:autoRedefine/>
    <w:unhideWhenUsed/>
    <w:qFormat/>
    <w:uiPriority w:val="99"/>
  </w:style>
  <w:style w:type="character" w:styleId="61">
    <w:name w:val="HTML Typewriter"/>
    <w:autoRedefine/>
    <w:unhideWhenUsed/>
    <w:qFormat/>
    <w:uiPriority w:val="99"/>
    <w:rPr>
      <w:rFonts w:ascii="monospace" w:hAnsi="monospace" w:eastAsia="monospace" w:cs="monospace"/>
      <w:sz w:val="20"/>
    </w:rPr>
  </w:style>
  <w:style w:type="character" w:styleId="62">
    <w:name w:val="HTML Acronym"/>
    <w:autoRedefine/>
    <w:unhideWhenUsed/>
    <w:qFormat/>
    <w:uiPriority w:val="99"/>
  </w:style>
  <w:style w:type="character" w:styleId="63">
    <w:name w:val="HTML Variable"/>
    <w:autoRedefine/>
    <w:unhideWhenUsed/>
    <w:qFormat/>
    <w:uiPriority w:val="99"/>
  </w:style>
  <w:style w:type="character" w:styleId="64">
    <w:name w:val="Hyperlink"/>
    <w:autoRedefine/>
    <w:qFormat/>
    <w:uiPriority w:val="99"/>
    <w:rPr>
      <w:color w:val="0000FF"/>
      <w:u w:val="none"/>
    </w:rPr>
  </w:style>
  <w:style w:type="character" w:styleId="65">
    <w:name w:val="HTML Code"/>
    <w:autoRedefine/>
    <w:unhideWhenUsed/>
    <w:qFormat/>
    <w:uiPriority w:val="99"/>
    <w:rPr>
      <w:rFonts w:hint="default" w:ascii="monospace" w:hAnsi="monospace" w:eastAsia="monospace" w:cs="monospace"/>
      <w:sz w:val="20"/>
    </w:rPr>
  </w:style>
  <w:style w:type="character" w:styleId="66">
    <w:name w:val="annotation reference"/>
    <w:autoRedefine/>
    <w:qFormat/>
    <w:uiPriority w:val="0"/>
    <w:rPr>
      <w:sz w:val="21"/>
    </w:rPr>
  </w:style>
  <w:style w:type="character" w:styleId="67">
    <w:name w:val="HTML Cite"/>
    <w:autoRedefine/>
    <w:unhideWhenUsed/>
    <w:qFormat/>
    <w:uiPriority w:val="99"/>
  </w:style>
  <w:style w:type="character" w:styleId="68">
    <w:name w:val="footnote reference"/>
    <w:autoRedefine/>
    <w:unhideWhenUsed/>
    <w:qFormat/>
    <w:uiPriority w:val="0"/>
    <w:rPr>
      <w:vertAlign w:val="superscript"/>
    </w:rPr>
  </w:style>
  <w:style w:type="character" w:styleId="69">
    <w:name w:val="HTML Keyboard"/>
    <w:autoRedefine/>
    <w:unhideWhenUsed/>
    <w:qFormat/>
    <w:uiPriority w:val="99"/>
    <w:rPr>
      <w:rFonts w:hint="default" w:ascii="monospace" w:hAnsi="monospace" w:eastAsia="monospace" w:cs="monospace"/>
      <w:sz w:val="20"/>
    </w:rPr>
  </w:style>
  <w:style w:type="character" w:styleId="70">
    <w:name w:val="HTML Sample"/>
    <w:autoRedefine/>
    <w:qFormat/>
    <w:uiPriority w:val="0"/>
    <w:rPr>
      <w:rFonts w:hint="default" w:ascii="monospace" w:hAnsi="monospace" w:eastAsia="monospace" w:cs="monospace"/>
      <w:sz w:val="21"/>
      <w:szCs w:val="21"/>
    </w:rPr>
  </w:style>
  <w:style w:type="paragraph" w:customStyle="1" w:styleId="7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72">
    <w:name w:val="标题 3 Char"/>
    <w:link w:val="2"/>
    <w:autoRedefine/>
    <w:qFormat/>
    <w:uiPriority w:val="9"/>
    <w:rPr>
      <w:rFonts w:ascii="黑体" w:hAnsi="黑体" w:eastAsia="黑体"/>
      <w:bCs/>
      <w:kern w:val="2"/>
      <w:sz w:val="24"/>
      <w:szCs w:val="24"/>
    </w:rPr>
  </w:style>
  <w:style w:type="character" w:customStyle="1" w:styleId="73">
    <w:name w:val="标题 1 Char"/>
    <w:link w:val="3"/>
    <w:autoRedefine/>
    <w:qFormat/>
    <w:uiPriority w:val="0"/>
    <w:rPr>
      <w:b/>
      <w:bCs/>
      <w:kern w:val="44"/>
      <w:sz w:val="32"/>
      <w:szCs w:val="44"/>
    </w:rPr>
  </w:style>
  <w:style w:type="character" w:customStyle="1" w:styleId="74">
    <w:name w:val="标题 2 Char"/>
    <w:link w:val="4"/>
    <w:autoRedefine/>
    <w:qFormat/>
    <w:uiPriority w:val="0"/>
    <w:rPr>
      <w:rFonts w:ascii="Cambria" w:hAnsi="Cambria" w:eastAsia="宋体" w:cs="Times New Roman"/>
      <w:b/>
      <w:bCs/>
      <w:kern w:val="2"/>
      <w:sz w:val="32"/>
      <w:szCs w:val="32"/>
    </w:rPr>
  </w:style>
  <w:style w:type="character" w:customStyle="1" w:styleId="75">
    <w:name w:val="标题 4 Char"/>
    <w:link w:val="5"/>
    <w:autoRedefine/>
    <w:qFormat/>
    <w:uiPriority w:val="0"/>
    <w:rPr>
      <w:rFonts w:ascii="Arial" w:hAnsi="Arial" w:eastAsia="黑体"/>
      <w:bCs/>
      <w:kern w:val="2"/>
      <w:sz w:val="21"/>
      <w:szCs w:val="28"/>
    </w:rPr>
  </w:style>
  <w:style w:type="character" w:customStyle="1" w:styleId="76">
    <w:name w:val="标题 5 Char"/>
    <w:link w:val="6"/>
    <w:autoRedefine/>
    <w:qFormat/>
    <w:uiPriority w:val="0"/>
    <w:rPr>
      <w:rFonts w:ascii="Calibri" w:hAnsi="Calibri"/>
      <w:b/>
      <w:bCs/>
      <w:kern w:val="2"/>
      <w:sz w:val="28"/>
      <w:szCs w:val="28"/>
    </w:rPr>
  </w:style>
  <w:style w:type="character" w:customStyle="1" w:styleId="77">
    <w:name w:val="标题 6 Char"/>
    <w:link w:val="7"/>
    <w:autoRedefine/>
    <w:qFormat/>
    <w:uiPriority w:val="0"/>
    <w:rPr>
      <w:b/>
      <w:bCs/>
      <w:kern w:val="2"/>
      <w:sz w:val="30"/>
      <w:szCs w:val="18"/>
    </w:rPr>
  </w:style>
  <w:style w:type="character" w:customStyle="1" w:styleId="78">
    <w:name w:val="标题 7 Char"/>
    <w:link w:val="8"/>
    <w:autoRedefine/>
    <w:qFormat/>
    <w:uiPriority w:val="0"/>
    <w:rPr>
      <w:b/>
      <w:bCs/>
      <w:kern w:val="2"/>
      <w:sz w:val="30"/>
      <w:szCs w:val="18"/>
    </w:rPr>
  </w:style>
  <w:style w:type="character" w:customStyle="1" w:styleId="79">
    <w:name w:val="标题 8 Char"/>
    <w:link w:val="9"/>
    <w:autoRedefine/>
    <w:qFormat/>
    <w:uiPriority w:val="0"/>
    <w:rPr>
      <w:rFonts w:ascii="宋体" w:hAnsi="宋体" w:eastAsia="黑体"/>
      <w:kern w:val="2"/>
      <w:sz w:val="32"/>
      <w:szCs w:val="32"/>
    </w:rPr>
  </w:style>
  <w:style w:type="character" w:customStyle="1" w:styleId="80">
    <w:name w:val="标题 9 Char"/>
    <w:link w:val="10"/>
    <w:autoRedefine/>
    <w:qFormat/>
    <w:uiPriority w:val="0"/>
    <w:rPr>
      <w:rFonts w:ascii="Cambria" w:hAnsi="Cambria"/>
      <w:kern w:val="2"/>
      <w:sz w:val="21"/>
      <w:szCs w:val="21"/>
    </w:rPr>
  </w:style>
  <w:style w:type="character" w:customStyle="1" w:styleId="81">
    <w:name w:val="文档结构图 Char"/>
    <w:link w:val="15"/>
    <w:autoRedefine/>
    <w:qFormat/>
    <w:uiPriority w:val="0"/>
    <w:rPr>
      <w:rFonts w:ascii="Calibri" w:hAnsi="Calibri"/>
      <w:bCs/>
      <w:kern w:val="2"/>
      <w:sz w:val="21"/>
      <w:szCs w:val="32"/>
      <w:shd w:val="clear" w:color="auto" w:fill="000080"/>
    </w:rPr>
  </w:style>
  <w:style w:type="character" w:customStyle="1" w:styleId="82">
    <w:name w:val="批注文字 Char"/>
    <w:link w:val="16"/>
    <w:autoRedefine/>
    <w:qFormat/>
    <w:uiPriority w:val="0"/>
    <w:rPr>
      <w:sz w:val="24"/>
    </w:rPr>
  </w:style>
  <w:style w:type="character" w:customStyle="1" w:styleId="83">
    <w:name w:val="称呼 Char"/>
    <w:link w:val="17"/>
    <w:autoRedefine/>
    <w:qFormat/>
    <w:uiPriority w:val="0"/>
    <w:rPr>
      <w:rFonts w:ascii="仿宋_GB2312" w:eastAsia="仿宋_GB2312"/>
      <w:kern w:val="2"/>
      <w:sz w:val="28"/>
    </w:rPr>
  </w:style>
  <w:style w:type="character" w:customStyle="1" w:styleId="84">
    <w:name w:val="正文文本 3 Char"/>
    <w:link w:val="18"/>
    <w:autoRedefine/>
    <w:qFormat/>
    <w:uiPriority w:val="0"/>
    <w:rPr>
      <w:rFonts w:ascii="仿宋_GB2312" w:hAnsi="宋体" w:eastAsia="仿宋_GB2312"/>
      <w:bCs/>
      <w:color w:val="000000"/>
      <w:kern w:val="2"/>
      <w:sz w:val="24"/>
      <w:szCs w:val="32"/>
    </w:rPr>
  </w:style>
  <w:style w:type="character" w:customStyle="1" w:styleId="85">
    <w:name w:val="正文文本 Char"/>
    <w:link w:val="19"/>
    <w:autoRedefine/>
    <w:qFormat/>
    <w:uiPriority w:val="0"/>
    <w:rPr>
      <w:kern w:val="2"/>
      <w:sz w:val="21"/>
      <w:szCs w:val="24"/>
    </w:rPr>
  </w:style>
  <w:style w:type="character" w:customStyle="1" w:styleId="86">
    <w:name w:val="正文文本缩进 Char"/>
    <w:link w:val="20"/>
    <w:autoRedefine/>
    <w:qFormat/>
    <w:uiPriority w:val="0"/>
    <w:rPr>
      <w:rFonts w:ascii="宋体" w:hAnsi="宋体"/>
      <w:bCs/>
      <w:kern w:val="2"/>
      <w:sz w:val="28"/>
      <w:szCs w:val="32"/>
    </w:rPr>
  </w:style>
  <w:style w:type="character" w:customStyle="1" w:styleId="87">
    <w:name w:val="纯文本 Char1"/>
    <w:link w:val="27"/>
    <w:autoRedefine/>
    <w:qFormat/>
    <w:uiPriority w:val="0"/>
    <w:rPr>
      <w:rFonts w:ascii="Courier New" w:hAnsi="Courier New"/>
      <w:kern w:val="2"/>
      <w:sz w:val="21"/>
    </w:rPr>
  </w:style>
  <w:style w:type="character" w:customStyle="1" w:styleId="88">
    <w:name w:val="日期 Char"/>
    <w:link w:val="29"/>
    <w:autoRedefine/>
    <w:qFormat/>
    <w:uiPriority w:val="0"/>
    <w:rPr>
      <w:kern w:val="2"/>
      <w:sz w:val="21"/>
      <w:szCs w:val="24"/>
    </w:rPr>
  </w:style>
  <w:style w:type="character" w:customStyle="1" w:styleId="89">
    <w:name w:val="正文文本缩进 2 Char"/>
    <w:link w:val="30"/>
    <w:autoRedefine/>
    <w:qFormat/>
    <w:uiPriority w:val="0"/>
    <w:rPr>
      <w:rFonts w:ascii="宋体" w:hAnsi="MS Sans Serif"/>
      <w:bCs/>
      <w:spacing w:val="12"/>
      <w:sz w:val="24"/>
    </w:rPr>
  </w:style>
  <w:style w:type="character" w:customStyle="1" w:styleId="90">
    <w:name w:val="批注框文本 Char"/>
    <w:link w:val="31"/>
    <w:autoRedefine/>
    <w:qFormat/>
    <w:uiPriority w:val="0"/>
    <w:rPr>
      <w:kern w:val="2"/>
      <w:sz w:val="18"/>
    </w:rPr>
  </w:style>
  <w:style w:type="character" w:customStyle="1" w:styleId="91">
    <w:name w:val="页脚 Char"/>
    <w:link w:val="32"/>
    <w:autoRedefine/>
    <w:qFormat/>
    <w:uiPriority w:val="99"/>
    <w:rPr>
      <w:kern w:val="2"/>
      <w:sz w:val="18"/>
      <w:szCs w:val="18"/>
    </w:rPr>
  </w:style>
  <w:style w:type="character" w:customStyle="1" w:styleId="92">
    <w:name w:val="页眉 Char"/>
    <w:link w:val="33"/>
    <w:autoRedefine/>
    <w:qFormat/>
    <w:uiPriority w:val="0"/>
    <w:rPr>
      <w:kern w:val="2"/>
      <w:sz w:val="18"/>
      <w:szCs w:val="18"/>
    </w:rPr>
  </w:style>
  <w:style w:type="character" w:customStyle="1" w:styleId="93">
    <w:name w:val="副标题 Char"/>
    <w:link w:val="39"/>
    <w:autoRedefine/>
    <w:qFormat/>
    <w:uiPriority w:val="0"/>
    <w:rPr>
      <w:rFonts w:ascii="Arial" w:hAnsi="Arial"/>
      <w:b/>
      <w:bCs/>
      <w:kern w:val="28"/>
      <w:sz w:val="32"/>
      <w:szCs w:val="32"/>
    </w:rPr>
  </w:style>
  <w:style w:type="character" w:customStyle="1" w:styleId="94">
    <w:name w:val="脚注文本 Char"/>
    <w:link w:val="41"/>
    <w:autoRedefine/>
    <w:qFormat/>
    <w:uiPriority w:val="0"/>
    <w:rPr>
      <w:kern w:val="2"/>
      <w:sz w:val="18"/>
      <w:szCs w:val="18"/>
    </w:rPr>
  </w:style>
  <w:style w:type="character" w:customStyle="1" w:styleId="95">
    <w:name w:val="正文文本缩进 3 Char"/>
    <w:link w:val="43"/>
    <w:autoRedefine/>
    <w:qFormat/>
    <w:uiPriority w:val="0"/>
    <w:rPr>
      <w:rFonts w:ascii="宋体" w:hAnsi="MS Sans Serif"/>
      <w:bCs/>
      <w:color w:val="000000"/>
      <w:sz w:val="24"/>
    </w:rPr>
  </w:style>
  <w:style w:type="character" w:customStyle="1" w:styleId="96">
    <w:name w:val="正文文本 2 Char"/>
    <w:link w:val="46"/>
    <w:autoRedefine/>
    <w:qFormat/>
    <w:uiPriority w:val="0"/>
    <w:rPr>
      <w:rFonts w:ascii="宋体"/>
      <w:spacing w:val="-20"/>
      <w:kern w:val="2"/>
      <w:sz w:val="28"/>
    </w:rPr>
  </w:style>
  <w:style w:type="character" w:customStyle="1" w:styleId="97">
    <w:name w:val="标题 Char"/>
    <w:link w:val="50"/>
    <w:autoRedefine/>
    <w:qFormat/>
    <w:uiPriority w:val="0"/>
    <w:rPr>
      <w:rFonts w:ascii="宋体" w:hAnsi="宋体" w:eastAsia="黑体"/>
      <w:b/>
      <w:smallCaps/>
      <w:snapToGrid w:val="0"/>
      <w:kern w:val="2"/>
      <w:sz w:val="44"/>
      <w:szCs w:val="24"/>
    </w:rPr>
  </w:style>
  <w:style w:type="character" w:customStyle="1" w:styleId="98">
    <w:name w:val="批注主题 Char"/>
    <w:link w:val="51"/>
    <w:autoRedefine/>
    <w:qFormat/>
    <w:uiPriority w:val="0"/>
  </w:style>
  <w:style w:type="paragraph" w:styleId="99">
    <w:name w:val="List Paragraph"/>
    <w:basedOn w:val="1"/>
    <w:autoRedefine/>
    <w:qFormat/>
    <w:uiPriority w:val="34"/>
    <w:pPr>
      <w:ind w:firstLine="420" w:firstLineChars="200"/>
    </w:pPr>
    <w:rPr>
      <w:rFonts w:ascii="Calibri" w:hAnsi="Calibri"/>
      <w:szCs w:val="22"/>
    </w:rPr>
  </w:style>
  <w:style w:type="character" w:customStyle="1" w:styleId="100">
    <w:name w:val="纯文本 Char"/>
    <w:autoRedefine/>
    <w:qFormat/>
    <w:uiPriority w:val="0"/>
    <w:rPr>
      <w:rFonts w:ascii="宋体" w:hAnsi="Courier New" w:cs="Courier New"/>
      <w:kern w:val="2"/>
      <w:sz w:val="21"/>
      <w:szCs w:val="21"/>
    </w:rPr>
  </w:style>
  <w:style w:type="character" w:customStyle="1" w:styleId="101">
    <w:name w:val="书籍标题1"/>
    <w:autoRedefine/>
    <w:qFormat/>
    <w:uiPriority w:val="0"/>
    <w:rPr>
      <w:b/>
      <w:bCs/>
      <w:smallCaps/>
      <w:spacing w:val="5"/>
    </w:rPr>
  </w:style>
  <w:style w:type="character" w:customStyle="1" w:styleId="102">
    <w:name w:val="Blockquote Char"/>
    <w:link w:val="103"/>
    <w:autoRedefine/>
    <w:qFormat/>
    <w:uiPriority w:val="0"/>
    <w:rPr>
      <w:sz w:val="24"/>
    </w:rPr>
  </w:style>
  <w:style w:type="paragraph" w:customStyle="1" w:styleId="103">
    <w:name w:val="Blockquote"/>
    <w:basedOn w:val="1"/>
    <w:link w:val="102"/>
    <w:autoRedefine/>
    <w:qFormat/>
    <w:uiPriority w:val="0"/>
    <w:pPr>
      <w:autoSpaceDE w:val="0"/>
      <w:autoSpaceDN w:val="0"/>
      <w:adjustRightInd w:val="0"/>
      <w:spacing w:before="100" w:after="100"/>
      <w:ind w:left="360" w:right="360"/>
      <w:jc w:val="left"/>
    </w:pPr>
    <w:rPr>
      <w:rFonts w:ascii="Times New Roman"/>
    </w:rPr>
  </w:style>
  <w:style w:type="character" w:customStyle="1" w:styleId="104">
    <w:name w:val="正文文本 Char2"/>
    <w:autoRedefine/>
    <w:semiHidden/>
    <w:qFormat/>
    <w:uiPriority w:val="99"/>
    <w:rPr>
      <w:kern w:val="2"/>
      <w:sz w:val="21"/>
      <w:szCs w:val="22"/>
    </w:rPr>
  </w:style>
  <w:style w:type="character" w:customStyle="1" w:styleId="105">
    <w:name w:val="tdrownotice1"/>
    <w:autoRedefine/>
    <w:qFormat/>
    <w:uiPriority w:val="0"/>
    <w:rPr>
      <w:sz w:val="22"/>
    </w:rPr>
  </w:style>
  <w:style w:type="character" w:customStyle="1" w:styleId="106">
    <w:name w:val="正文文本 (2)_"/>
    <w:link w:val="107"/>
    <w:autoRedefine/>
    <w:qFormat/>
    <w:locked/>
    <w:uiPriority w:val="99"/>
    <w:rPr>
      <w:rFonts w:ascii="MingLiU" w:eastAsia="MingLiU" w:cs="MingLiU"/>
      <w:spacing w:val="20"/>
      <w:sz w:val="22"/>
      <w:shd w:val="clear" w:color="auto" w:fill="FFFFFF"/>
    </w:rPr>
  </w:style>
  <w:style w:type="paragraph" w:customStyle="1" w:styleId="107">
    <w:name w:val="正文文本 (2)1"/>
    <w:basedOn w:val="1"/>
    <w:link w:val="106"/>
    <w:autoRedefine/>
    <w:qFormat/>
    <w:uiPriority w:val="99"/>
    <w:pPr>
      <w:shd w:val="clear" w:color="auto" w:fill="FFFFFF"/>
      <w:spacing w:before="300" w:line="439" w:lineRule="exact"/>
      <w:jc w:val="distribute"/>
    </w:pPr>
    <w:rPr>
      <w:rFonts w:ascii="MingLiU" w:eastAsia="MingLiU"/>
      <w:spacing w:val="20"/>
      <w:sz w:val="22"/>
    </w:rPr>
  </w:style>
  <w:style w:type="character" w:customStyle="1" w:styleId="108">
    <w:name w:val="副标题 Char1"/>
    <w:autoRedefine/>
    <w:qFormat/>
    <w:uiPriority w:val="11"/>
    <w:rPr>
      <w:rFonts w:ascii="Cambria" w:hAnsi="Cambria" w:cs="Times New Roman"/>
      <w:b/>
      <w:bCs/>
      <w:kern w:val="28"/>
      <w:sz w:val="32"/>
      <w:szCs w:val="32"/>
    </w:rPr>
  </w:style>
  <w:style w:type="character" w:customStyle="1" w:styleId="109">
    <w:name w:val="日期 Char2"/>
    <w:autoRedefine/>
    <w:semiHidden/>
    <w:qFormat/>
    <w:uiPriority w:val="99"/>
    <w:rPr>
      <w:kern w:val="2"/>
      <w:sz w:val="21"/>
      <w:szCs w:val="22"/>
    </w:rPr>
  </w:style>
  <w:style w:type="character" w:customStyle="1" w:styleId="110">
    <w:name w:val="t_tag"/>
    <w:autoRedefine/>
    <w:qFormat/>
    <w:uiPriority w:val="0"/>
  </w:style>
  <w:style w:type="character" w:customStyle="1" w:styleId="111">
    <w:name w:val="批注框文本 Char1"/>
    <w:autoRedefine/>
    <w:qFormat/>
    <w:uiPriority w:val="0"/>
    <w:rPr>
      <w:kern w:val="2"/>
      <w:sz w:val="18"/>
      <w:szCs w:val="18"/>
    </w:rPr>
  </w:style>
  <w:style w:type="character" w:customStyle="1" w:styleId="112">
    <w:name w:val="标题 Char1"/>
    <w:autoRedefine/>
    <w:qFormat/>
    <w:uiPriority w:val="10"/>
    <w:rPr>
      <w:rFonts w:ascii="Cambria" w:hAnsi="Cambria" w:cs="Times New Roman"/>
      <w:b/>
      <w:bCs/>
      <w:kern w:val="2"/>
      <w:sz w:val="32"/>
      <w:szCs w:val="32"/>
    </w:rPr>
  </w:style>
  <w:style w:type="character" w:customStyle="1" w:styleId="113">
    <w:name w:val="批注文字 Char1"/>
    <w:autoRedefine/>
    <w:qFormat/>
    <w:uiPriority w:val="99"/>
    <w:rPr>
      <w:kern w:val="2"/>
      <w:sz w:val="21"/>
      <w:szCs w:val="24"/>
    </w:rPr>
  </w:style>
  <w:style w:type="character" w:customStyle="1" w:styleId="114">
    <w:name w:val="批注主题 Char2"/>
    <w:autoRedefine/>
    <w:semiHidden/>
    <w:qFormat/>
    <w:uiPriority w:val="99"/>
    <w:rPr>
      <w:b/>
      <w:bCs/>
      <w:kern w:val="2"/>
      <w:sz w:val="21"/>
      <w:szCs w:val="22"/>
    </w:rPr>
  </w:style>
  <w:style w:type="character" w:customStyle="1" w:styleId="115">
    <w:name w:val="批注主题 Char1"/>
    <w:autoRedefine/>
    <w:qFormat/>
    <w:uiPriority w:val="0"/>
    <w:rPr>
      <w:b/>
      <w:bCs/>
      <w:kern w:val="2"/>
      <w:sz w:val="21"/>
      <w:szCs w:val="24"/>
    </w:rPr>
  </w:style>
  <w:style w:type="character" w:customStyle="1" w:styleId="116">
    <w:name w:val="普通文字1 Char"/>
    <w:autoRedefine/>
    <w:qFormat/>
    <w:uiPriority w:val="99"/>
    <w:rPr>
      <w:rFonts w:ascii="宋体" w:hAnsi="Courier New" w:eastAsia="宋体" w:cs="Courier New"/>
      <w:szCs w:val="21"/>
    </w:rPr>
  </w:style>
  <w:style w:type="character" w:customStyle="1" w:styleId="117">
    <w:name w:val="标题 1 Char1"/>
    <w:autoRedefine/>
    <w:qFormat/>
    <w:uiPriority w:val="0"/>
    <w:rPr>
      <w:rFonts w:ascii="Calibri" w:hAnsi="Calibri" w:eastAsia="宋体"/>
      <w:b/>
      <w:kern w:val="44"/>
      <w:sz w:val="44"/>
      <w:szCs w:val="44"/>
    </w:rPr>
  </w:style>
  <w:style w:type="character" w:customStyle="1" w:styleId="118">
    <w:name w:val="标题 3 Char1"/>
    <w:autoRedefine/>
    <w:semiHidden/>
    <w:qFormat/>
    <w:uiPriority w:val="0"/>
    <w:rPr>
      <w:rFonts w:ascii="Calibri" w:hAnsi="Calibri" w:eastAsia="宋体"/>
      <w:b/>
      <w:kern w:val="2"/>
      <w:sz w:val="32"/>
    </w:rPr>
  </w:style>
  <w:style w:type="character" w:customStyle="1" w:styleId="119">
    <w:name w:val="标题 4 Char1"/>
    <w:autoRedefine/>
    <w:semiHidden/>
    <w:qFormat/>
    <w:uiPriority w:val="0"/>
    <w:rPr>
      <w:rFonts w:ascii="Cambria" w:hAnsi="Cambria" w:eastAsia="宋体"/>
      <w:b/>
      <w:kern w:val="2"/>
      <w:sz w:val="28"/>
      <w:szCs w:val="28"/>
    </w:rPr>
  </w:style>
  <w:style w:type="character" w:customStyle="1" w:styleId="120">
    <w:name w:val="标题 5 Char1"/>
    <w:autoRedefine/>
    <w:semiHidden/>
    <w:qFormat/>
    <w:uiPriority w:val="0"/>
    <w:rPr>
      <w:rFonts w:ascii="Calibri" w:hAnsi="Calibri" w:eastAsia="宋体"/>
      <w:b/>
      <w:kern w:val="2"/>
      <w:sz w:val="28"/>
      <w:szCs w:val="28"/>
    </w:rPr>
  </w:style>
  <w:style w:type="character" w:customStyle="1" w:styleId="121">
    <w:name w:val="标题 6 Char1"/>
    <w:autoRedefine/>
    <w:semiHidden/>
    <w:qFormat/>
    <w:uiPriority w:val="0"/>
    <w:rPr>
      <w:rFonts w:ascii="Cambria" w:hAnsi="Cambria" w:eastAsia="宋体"/>
      <w:b/>
      <w:kern w:val="2"/>
      <w:sz w:val="24"/>
      <w:szCs w:val="24"/>
    </w:rPr>
  </w:style>
  <w:style w:type="character" w:customStyle="1" w:styleId="122">
    <w:name w:val="正文文本 (2) + 间距 0 pt5"/>
    <w:autoRedefine/>
    <w:qFormat/>
    <w:uiPriority w:val="99"/>
    <w:rPr>
      <w:rFonts w:ascii="MingLiU" w:eastAsia="MingLiU" w:cs="MingLiU"/>
      <w:spacing w:val="0"/>
      <w:sz w:val="22"/>
      <w:shd w:val="clear" w:color="auto" w:fill="FFFFFF"/>
    </w:rPr>
  </w:style>
  <w:style w:type="character" w:customStyle="1" w:styleId="123">
    <w:name w:val="标题 7 Char1"/>
    <w:autoRedefine/>
    <w:semiHidden/>
    <w:qFormat/>
    <w:uiPriority w:val="0"/>
    <w:rPr>
      <w:rFonts w:ascii="Calibri" w:hAnsi="Calibri" w:eastAsia="宋体"/>
      <w:b/>
      <w:kern w:val="2"/>
      <w:sz w:val="24"/>
      <w:szCs w:val="24"/>
    </w:rPr>
  </w:style>
  <w:style w:type="character" w:customStyle="1" w:styleId="124">
    <w:name w:val="标题 8 Char1"/>
    <w:autoRedefine/>
    <w:semiHidden/>
    <w:qFormat/>
    <w:uiPriority w:val="0"/>
    <w:rPr>
      <w:rFonts w:ascii="Cambria" w:hAnsi="Cambria" w:eastAsia="宋体"/>
      <w:kern w:val="2"/>
      <w:sz w:val="24"/>
      <w:szCs w:val="24"/>
    </w:rPr>
  </w:style>
  <w:style w:type="character" w:customStyle="1" w:styleId="125">
    <w:name w:val="页眉 Char1"/>
    <w:autoRedefine/>
    <w:semiHidden/>
    <w:qFormat/>
    <w:uiPriority w:val="99"/>
    <w:rPr>
      <w:kern w:val="2"/>
      <w:sz w:val="18"/>
      <w:szCs w:val="18"/>
    </w:rPr>
  </w:style>
  <w:style w:type="character" w:customStyle="1" w:styleId="126">
    <w:name w:val="标题 9 Char1"/>
    <w:autoRedefine/>
    <w:semiHidden/>
    <w:qFormat/>
    <w:uiPriority w:val="0"/>
    <w:rPr>
      <w:rFonts w:ascii="Cambria" w:hAnsi="Cambria" w:eastAsia="宋体"/>
      <w:kern w:val="2"/>
      <w:sz w:val="21"/>
      <w:szCs w:val="21"/>
    </w:rPr>
  </w:style>
  <w:style w:type="character" w:customStyle="1" w:styleId="12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128">
    <w:name w:val="标题 2 Char_0"/>
    <w:link w:val="129"/>
    <w:autoRedefine/>
    <w:qFormat/>
    <w:uiPriority w:val="0"/>
    <w:rPr>
      <w:rFonts w:ascii="黑体" w:hAnsi="宋体" w:eastAsia="黑体"/>
      <w:b/>
      <w:smallCaps/>
      <w:snapToGrid w:val="0"/>
      <w:sz w:val="36"/>
      <w:szCs w:val="24"/>
    </w:rPr>
  </w:style>
  <w:style w:type="paragraph" w:customStyle="1" w:styleId="129">
    <w:name w:val="标题 2_0"/>
    <w:basedOn w:val="130"/>
    <w:next w:val="131"/>
    <w:link w:val="128"/>
    <w:autoRedefine/>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3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Texte Char1"/>
    <w:link w:val="133"/>
    <w:autoRedefine/>
    <w:qFormat/>
    <w:uiPriority w:val="99"/>
    <w:rPr>
      <w:rFonts w:ascii="宋体" w:hAnsi="Courier New"/>
      <w:kern w:val="2"/>
      <w:sz w:val="21"/>
      <w:szCs w:val="21"/>
      <w:lang w:val="en-US" w:eastAsia="zh-CN"/>
    </w:rPr>
  </w:style>
  <w:style w:type="paragraph" w:customStyle="1" w:styleId="133">
    <w:name w:val="纯文本_0"/>
    <w:basedOn w:val="131"/>
    <w:link w:val="132"/>
    <w:autoRedefine/>
    <w:qFormat/>
    <w:uiPriority w:val="99"/>
    <w:rPr>
      <w:rFonts w:ascii="宋体" w:hAnsi="Courier New"/>
      <w:szCs w:val="21"/>
    </w:rPr>
  </w:style>
  <w:style w:type="character" w:customStyle="1" w:styleId="134">
    <w:name w:val="纯文本 Char1_0"/>
    <w:link w:val="135"/>
    <w:autoRedefine/>
    <w:qFormat/>
    <w:uiPriority w:val="0"/>
    <w:rPr>
      <w:rFonts w:ascii="宋体" w:hAnsi="Courier New"/>
      <w:kern w:val="2"/>
      <w:sz w:val="21"/>
      <w:szCs w:val="21"/>
    </w:rPr>
  </w:style>
  <w:style w:type="paragraph" w:customStyle="1" w:styleId="135">
    <w:name w:val="纯文本_1"/>
    <w:basedOn w:val="136"/>
    <w:link w:val="134"/>
    <w:autoRedefine/>
    <w:qFormat/>
    <w:uiPriority w:val="0"/>
    <w:rPr>
      <w:rFonts w:ascii="宋体" w:hAnsi="Courier New"/>
      <w:szCs w:val="21"/>
    </w:rPr>
  </w:style>
  <w:style w:type="paragraph" w:customStyle="1" w:styleId="13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7">
    <w:name w:val="文档结构图 Char2"/>
    <w:autoRedefine/>
    <w:semiHidden/>
    <w:qFormat/>
    <w:uiPriority w:val="99"/>
    <w:rPr>
      <w:rFonts w:ascii="宋体"/>
      <w:kern w:val="2"/>
      <w:sz w:val="18"/>
      <w:szCs w:val="18"/>
    </w:rPr>
  </w:style>
  <w:style w:type="character" w:customStyle="1" w:styleId="138">
    <w:name w:val="标题 1 Char_0"/>
    <w:link w:val="139"/>
    <w:autoRedefine/>
    <w:qFormat/>
    <w:uiPriority w:val="0"/>
    <w:rPr>
      <w:rFonts w:ascii="黑体" w:eastAsia="黑体"/>
      <w:sz w:val="52"/>
    </w:rPr>
  </w:style>
  <w:style w:type="paragraph" w:customStyle="1" w:styleId="139">
    <w:name w:val="标题 1_0"/>
    <w:basedOn w:val="140"/>
    <w:next w:val="140"/>
    <w:link w:val="138"/>
    <w:autoRedefine/>
    <w:qFormat/>
    <w:uiPriority w:val="0"/>
    <w:pPr>
      <w:keepNext/>
      <w:widowControl/>
      <w:numPr>
        <w:ilvl w:val="0"/>
        <w:numId w:val="1"/>
      </w:numPr>
      <w:jc w:val="center"/>
      <w:outlineLvl w:val="0"/>
    </w:pPr>
    <w:rPr>
      <w:rFonts w:ascii="黑体" w:eastAsia="黑体"/>
      <w:kern w:val="0"/>
      <w:sz w:val="52"/>
      <w:szCs w:val="20"/>
    </w:rPr>
  </w:style>
  <w:style w:type="paragraph" w:customStyle="1" w:styleId="14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1">
    <w:name w:val="正文2 Char"/>
    <w:link w:val="142"/>
    <w:autoRedefine/>
    <w:qFormat/>
    <w:uiPriority w:val="0"/>
    <w:rPr>
      <w:rFonts w:ascii="楷体" w:eastAsia="楷体"/>
      <w:b/>
      <w:color w:val="0000FF"/>
      <w:kern w:val="2"/>
      <w:sz w:val="21"/>
      <w:szCs w:val="22"/>
      <w:lang w:val="en-US" w:eastAsia="zh-CN" w:bidi="ar-SA"/>
    </w:rPr>
  </w:style>
  <w:style w:type="paragraph" w:customStyle="1" w:styleId="142">
    <w:name w:val="正文2"/>
    <w:link w:val="141"/>
    <w:autoRedefine/>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43">
    <w:name w:val="标题 6 Char_0"/>
    <w:link w:val="144"/>
    <w:autoRedefine/>
    <w:qFormat/>
    <w:uiPriority w:val="0"/>
    <w:rPr>
      <w:rFonts w:ascii="Arial" w:hAnsi="Arial" w:eastAsia="黑体"/>
      <w:b/>
      <w:bCs/>
      <w:sz w:val="24"/>
      <w:szCs w:val="24"/>
    </w:rPr>
  </w:style>
  <w:style w:type="paragraph" w:customStyle="1" w:styleId="144">
    <w:name w:val="标题 6_0"/>
    <w:basedOn w:val="140"/>
    <w:next w:val="140"/>
    <w:link w:val="14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45">
    <w:name w:val="标题 7 Char_0"/>
    <w:link w:val="146"/>
    <w:autoRedefine/>
    <w:qFormat/>
    <w:uiPriority w:val="0"/>
    <w:rPr>
      <w:b/>
      <w:bCs/>
      <w:sz w:val="24"/>
      <w:szCs w:val="24"/>
    </w:rPr>
  </w:style>
  <w:style w:type="paragraph" w:customStyle="1" w:styleId="146">
    <w:name w:val="标题 7_0"/>
    <w:basedOn w:val="140"/>
    <w:next w:val="140"/>
    <w:link w:val="145"/>
    <w:autoRedefine/>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47">
    <w:name w:val="标题 8 Char_0"/>
    <w:link w:val="148"/>
    <w:autoRedefine/>
    <w:qFormat/>
    <w:uiPriority w:val="0"/>
    <w:rPr>
      <w:rFonts w:ascii="Arial" w:hAnsi="Arial" w:eastAsia="黑体"/>
      <w:sz w:val="24"/>
      <w:szCs w:val="24"/>
    </w:rPr>
  </w:style>
  <w:style w:type="paragraph" w:customStyle="1" w:styleId="148">
    <w:name w:val="标题 8_0"/>
    <w:basedOn w:val="140"/>
    <w:next w:val="140"/>
    <w:link w:val="147"/>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49">
    <w:name w:val="标题 9 Char_0"/>
    <w:link w:val="150"/>
    <w:autoRedefine/>
    <w:qFormat/>
    <w:uiPriority w:val="0"/>
    <w:rPr>
      <w:rFonts w:ascii="Arial" w:hAnsi="Arial" w:eastAsia="黑体"/>
      <w:sz w:val="21"/>
      <w:szCs w:val="21"/>
    </w:rPr>
  </w:style>
  <w:style w:type="paragraph" w:customStyle="1" w:styleId="150">
    <w:name w:val="标题 9_0"/>
    <w:basedOn w:val="140"/>
    <w:next w:val="140"/>
    <w:link w:val="14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51">
    <w:name w:val="标题 3 Char_0"/>
    <w:link w:val="152"/>
    <w:autoRedefine/>
    <w:qFormat/>
    <w:uiPriority w:val="0"/>
    <w:rPr>
      <w:b/>
      <w:sz w:val="32"/>
    </w:rPr>
  </w:style>
  <w:style w:type="paragraph" w:customStyle="1" w:styleId="152">
    <w:name w:val="标题 3_0"/>
    <w:basedOn w:val="140"/>
    <w:next w:val="153"/>
    <w:link w:val="151"/>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53">
    <w:name w:val="正文缩进_0"/>
    <w:basedOn w:val="140"/>
    <w:autoRedefine/>
    <w:unhideWhenUsed/>
    <w:qFormat/>
    <w:uiPriority w:val="0"/>
    <w:pPr>
      <w:ind w:firstLine="420" w:firstLineChars="200"/>
    </w:pPr>
    <w:rPr>
      <w:rFonts w:ascii="Calibri" w:hAnsi="Calibri"/>
      <w:bCs/>
      <w:szCs w:val="32"/>
    </w:rPr>
  </w:style>
  <w:style w:type="character" w:customStyle="1" w:styleId="154">
    <w:name w:val="Blockquote Char_0"/>
    <w:link w:val="155"/>
    <w:autoRedefine/>
    <w:qFormat/>
    <w:locked/>
    <w:uiPriority w:val="0"/>
    <w:rPr>
      <w:sz w:val="24"/>
    </w:rPr>
  </w:style>
  <w:style w:type="paragraph" w:customStyle="1" w:styleId="155">
    <w:name w:val="Blockquote_0"/>
    <w:basedOn w:val="140"/>
    <w:link w:val="154"/>
    <w:autoRedefine/>
    <w:qFormat/>
    <w:uiPriority w:val="0"/>
    <w:pPr>
      <w:autoSpaceDE w:val="0"/>
      <w:autoSpaceDN w:val="0"/>
      <w:adjustRightInd w:val="0"/>
      <w:spacing w:before="100" w:after="100"/>
      <w:ind w:left="360" w:right="360"/>
      <w:jc w:val="left"/>
    </w:pPr>
    <w:rPr>
      <w:kern w:val="0"/>
      <w:sz w:val="24"/>
      <w:szCs w:val="20"/>
    </w:rPr>
  </w:style>
  <w:style w:type="character" w:customStyle="1" w:styleId="156">
    <w:name w:val="标题 4 Char_0"/>
    <w:link w:val="157"/>
    <w:autoRedefine/>
    <w:qFormat/>
    <w:uiPriority w:val="0"/>
    <w:rPr>
      <w:rFonts w:ascii="Arial" w:hAnsi="Arial" w:eastAsia="黑体"/>
      <w:sz w:val="28"/>
    </w:rPr>
  </w:style>
  <w:style w:type="paragraph" w:customStyle="1" w:styleId="157">
    <w:name w:val="标题 4_0"/>
    <w:basedOn w:val="140"/>
    <w:next w:val="140"/>
    <w:link w:val="156"/>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58">
    <w:name w:val="纯文本 Char1_1"/>
    <w:link w:val="159"/>
    <w:autoRedefine/>
    <w:qFormat/>
    <w:uiPriority w:val="0"/>
    <w:rPr>
      <w:rFonts w:ascii="宋体" w:hAnsi="Courier New"/>
      <w:kern w:val="2"/>
      <w:sz w:val="21"/>
      <w:szCs w:val="21"/>
    </w:rPr>
  </w:style>
  <w:style w:type="paragraph" w:customStyle="1" w:styleId="159">
    <w:name w:val="纯文本_2"/>
    <w:basedOn w:val="140"/>
    <w:link w:val="158"/>
    <w:autoRedefine/>
    <w:qFormat/>
    <w:uiPriority w:val="0"/>
    <w:rPr>
      <w:rFonts w:ascii="宋体" w:hAnsi="Courier New"/>
      <w:szCs w:val="21"/>
    </w:rPr>
  </w:style>
  <w:style w:type="character" w:customStyle="1" w:styleId="160">
    <w:name w:val="Blockquote Char_0_1"/>
    <w:link w:val="161"/>
    <w:autoRedefine/>
    <w:qFormat/>
    <w:locked/>
    <w:uiPriority w:val="0"/>
    <w:rPr>
      <w:sz w:val="24"/>
    </w:rPr>
  </w:style>
  <w:style w:type="paragraph" w:customStyle="1" w:styleId="161">
    <w:name w:val="Blockquote_0_1"/>
    <w:basedOn w:val="162"/>
    <w:link w:val="160"/>
    <w:autoRedefine/>
    <w:qFormat/>
    <w:uiPriority w:val="0"/>
    <w:pPr>
      <w:autoSpaceDE w:val="0"/>
      <w:autoSpaceDN w:val="0"/>
      <w:adjustRightInd w:val="0"/>
      <w:spacing w:before="100" w:after="100"/>
      <w:ind w:left="360" w:right="360"/>
      <w:jc w:val="left"/>
    </w:pPr>
    <w:rPr>
      <w:kern w:val="0"/>
      <w:sz w:val="24"/>
      <w:szCs w:val="20"/>
    </w:rPr>
  </w:style>
  <w:style w:type="paragraph" w:customStyle="1" w:styleId="162">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正文文本 Char_0"/>
    <w:link w:val="164"/>
    <w:autoRedefine/>
    <w:qFormat/>
    <w:uiPriority w:val="0"/>
    <w:rPr>
      <w:kern w:val="2"/>
      <w:sz w:val="21"/>
      <w:szCs w:val="24"/>
    </w:rPr>
  </w:style>
  <w:style w:type="paragraph" w:customStyle="1" w:styleId="164">
    <w:name w:val="正文文本_0"/>
    <w:basedOn w:val="140"/>
    <w:link w:val="163"/>
    <w:autoRedefine/>
    <w:qFormat/>
    <w:uiPriority w:val="0"/>
    <w:pPr>
      <w:spacing w:after="120"/>
    </w:pPr>
  </w:style>
  <w:style w:type="character" w:customStyle="1" w:styleId="165">
    <w:name w:val="脚注文本 Char_0"/>
    <w:link w:val="166"/>
    <w:autoRedefine/>
    <w:semiHidden/>
    <w:qFormat/>
    <w:uiPriority w:val="0"/>
    <w:rPr>
      <w:sz w:val="18"/>
    </w:rPr>
  </w:style>
  <w:style w:type="paragraph" w:customStyle="1" w:styleId="166">
    <w:name w:val="脚注文本_0"/>
    <w:basedOn w:val="167"/>
    <w:link w:val="165"/>
    <w:autoRedefine/>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6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Char Char"/>
    <w:autoRedefine/>
    <w:qFormat/>
    <w:uiPriority w:val="0"/>
    <w:rPr>
      <w:rFonts w:ascii="宋体" w:hAnsi="Courier New" w:eastAsia="宋体" w:cs="Courier New"/>
      <w:kern w:val="2"/>
      <w:sz w:val="21"/>
      <w:szCs w:val="21"/>
      <w:lang w:val="en-US" w:eastAsia="zh-CN" w:bidi="ar-SA"/>
    </w:rPr>
  </w:style>
  <w:style w:type="character" w:customStyle="1" w:styleId="169">
    <w:name w:val="标题4 Char Char"/>
    <w:link w:val="170"/>
    <w:autoRedefine/>
    <w:qFormat/>
    <w:uiPriority w:val="0"/>
    <w:rPr>
      <w:rFonts w:ascii="Arial" w:hAnsi="Arial"/>
      <w:b/>
      <w:bCs/>
      <w:sz w:val="24"/>
      <w:szCs w:val="32"/>
    </w:rPr>
  </w:style>
  <w:style w:type="paragraph" w:customStyle="1" w:styleId="170">
    <w:name w:val="标题4"/>
    <w:basedOn w:val="4"/>
    <w:next w:val="24"/>
    <w:link w:val="169"/>
    <w:autoRedefine/>
    <w:qFormat/>
    <w:uiPriority w:val="0"/>
    <w:pPr>
      <w:spacing w:before="0" w:after="0" w:line="413" w:lineRule="auto"/>
    </w:pPr>
    <w:rPr>
      <w:rFonts w:ascii="Arial" w:hAnsi="Arial"/>
      <w:kern w:val="0"/>
      <w:sz w:val="24"/>
    </w:rPr>
  </w:style>
  <w:style w:type="character" w:customStyle="1" w:styleId="171">
    <w:name w:val="明显引用 Char"/>
    <w:link w:val="172"/>
    <w:autoRedefine/>
    <w:qFormat/>
    <w:uiPriority w:val="0"/>
    <w:rPr>
      <w:b/>
      <w:bCs/>
      <w:i/>
      <w:iCs/>
      <w:color w:val="4F81BD"/>
      <w:kern w:val="2"/>
      <w:sz w:val="21"/>
      <w:szCs w:val="22"/>
    </w:rPr>
  </w:style>
  <w:style w:type="paragraph" w:styleId="172">
    <w:name w:val="Intense Quote"/>
    <w:basedOn w:val="1"/>
    <w:next w:val="1"/>
    <w:link w:val="171"/>
    <w:autoRedefine/>
    <w:qFormat/>
    <w:uiPriority w:val="0"/>
    <w:pPr>
      <w:pBdr>
        <w:bottom w:val="single" w:color="4F81BD" w:sz="4" w:space="4"/>
      </w:pBdr>
      <w:spacing w:before="200" w:after="280"/>
      <w:ind w:left="936" w:right="936"/>
    </w:pPr>
    <w:rPr>
      <w:rFonts w:ascii="Times New Roman"/>
      <w:b/>
      <w:bCs/>
      <w:i/>
      <w:iCs/>
      <w:color w:val="4F81BD"/>
      <w:kern w:val="2"/>
      <w:sz w:val="21"/>
      <w:szCs w:val="22"/>
    </w:rPr>
  </w:style>
  <w:style w:type="character" w:customStyle="1" w:styleId="173">
    <w:name w:val="明显引用 Char1"/>
    <w:autoRedefine/>
    <w:qFormat/>
    <w:uiPriority w:val="30"/>
    <w:rPr>
      <w:b/>
      <w:bCs/>
      <w:i/>
      <w:iCs/>
      <w:color w:val="4F81BD"/>
      <w:kern w:val="2"/>
      <w:sz w:val="21"/>
      <w:szCs w:val="24"/>
    </w:rPr>
  </w:style>
  <w:style w:type="character" w:customStyle="1" w:styleId="174">
    <w:name w:val="标题5 Char Char"/>
    <w:link w:val="175"/>
    <w:autoRedefine/>
    <w:qFormat/>
    <w:uiPriority w:val="0"/>
    <w:rPr>
      <w:rFonts w:ascii="Arial" w:hAnsi="Arial"/>
      <w:b/>
      <w:bCs/>
      <w:sz w:val="24"/>
      <w:szCs w:val="32"/>
    </w:rPr>
  </w:style>
  <w:style w:type="paragraph" w:customStyle="1" w:styleId="175">
    <w:name w:val="标题5"/>
    <w:basedOn w:val="2"/>
    <w:link w:val="174"/>
    <w:autoRedefine/>
    <w:qFormat/>
    <w:uiPriority w:val="0"/>
    <w:pPr>
      <w:spacing w:before="260" w:after="260" w:line="413" w:lineRule="auto"/>
    </w:pPr>
    <w:rPr>
      <w:rFonts w:ascii="Arial" w:hAnsi="Arial" w:eastAsia="宋体"/>
      <w:b/>
      <w:kern w:val="0"/>
      <w:szCs w:val="32"/>
    </w:rPr>
  </w:style>
  <w:style w:type="character" w:customStyle="1" w:styleId="176">
    <w:name w:val="引用 Char"/>
    <w:link w:val="177"/>
    <w:autoRedefine/>
    <w:qFormat/>
    <w:uiPriority w:val="0"/>
    <w:rPr>
      <w:i/>
      <w:iCs/>
      <w:color w:val="000000"/>
      <w:kern w:val="2"/>
      <w:sz w:val="21"/>
      <w:szCs w:val="22"/>
    </w:rPr>
  </w:style>
  <w:style w:type="paragraph" w:styleId="177">
    <w:name w:val="Quote"/>
    <w:basedOn w:val="1"/>
    <w:next w:val="1"/>
    <w:link w:val="176"/>
    <w:autoRedefine/>
    <w:qFormat/>
    <w:uiPriority w:val="0"/>
    <w:rPr>
      <w:rFonts w:ascii="Times New Roman"/>
      <w:i/>
      <w:iCs/>
      <w:color w:val="000000"/>
      <w:kern w:val="2"/>
      <w:sz w:val="21"/>
      <w:szCs w:val="22"/>
    </w:rPr>
  </w:style>
  <w:style w:type="character" w:customStyle="1" w:styleId="178">
    <w:name w:val="引用 Char1"/>
    <w:autoRedefine/>
    <w:qFormat/>
    <w:uiPriority w:val="29"/>
    <w:rPr>
      <w:i/>
      <w:iCs/>
      <w:color w:val="000000"/>
      <w:kern w:val="2"/>
      <w:sz w:val="21"/>
      <w:szCs w:val="24"/>
    </w:rPr>
  </w:style>
  <w:style w:type="character" w:customStyle="1" w:styleId="179">
    <w:name w:val="ask-title2"/>
    <w:autoRedefine/>
    <w:qFormat/>
    <w:uiPriority w:val="0"/>
  </w:style>
  <w:style w:type="character" w:customStyle="1" w:styleId="180">
    <w:name w:val="正文文本 Char1"/>
    <w:autoRedefine/>
    <w:qFormat/>
    <w:uiPriority w:val="0"/>
    <w:rPr>
      <w:kern w:val="2"/>
      <w:sz w:val="21"/>
      <w:szCs w:val="22"/>
    </w:rPr>
  </w:style>
  <w:style w:type="character" w:customStyle="1" w:styleId="181">
    <w:name w:val="不明显强调1"/>
    <w:autoRedefine/>
    <w:qFormat/>
    <w:uiPriority w:val="0"/>
    <w:rPr>
      <w:i/>
      <w:iCs/>
      <w:color w:val="808080"/>
    </w:rPr>
  </w:style>
  <w:style w:type="character" w:customStyle="1" w:styleId="182">
    <w:name w:val="明显参考1"/>
    <w:autoRedefine/>
    <w:qFormat/>
    <w:uiPriority w:val="0"/>
    <w:rPr>
      <w:b/>
      <w:bCs/>
      <w:smallCaps/>
      <w:color w:val="C0504D"/>
      <w:spacing w:val="5"/>
      <w:u w:val="single"/>
    </w:rPr>
  </w:style>
  <w:style w:type="character" w:customStyle="1" w:styleId="183">
    <w:name w:val="日期 Char1"/>
    <w:autoRedefine/>
    <w:qFormat/>
    <w:uiPriority w:val="0"/>
    <w:rPr>
      <w:kern w:val="2"/>
      <w:sz w:val="21"/>
      <w:szCs w:val="22"/>
    </w:rPr>
  </w:style>
  <w:style w:type="character" w:customStyle="1" w:styleId="184">
    <w:name w:val="明显强调1"/>
    <w:autoRedefine/>
    <w:qFormat/>
    <w:uiPriority w:val="0"/>
    <w:rPr>
      <w:b/>
      <w:bCs/>
      <w:i/>
      <w:iCs/>
      <w:color w:val="4F81BD"/>
    </w:rPr>
  </w:style>
  <w:style w:type="character" w:customStyle="1" w:styleId="185">
    <w:name w:val="textcontents"/>
    <w:autoRedefine/>
    <w:qFormat/>
    <w:uiPriority w:val="0"/>
    <w:rPr>
      <w:rFonts w:cs="Times New Roman"/>
    </w:rPr>
  </w:style>
  <w:style w:type="character" w:customStyle="1" w:styleId="186">
    <w:name w:val="不明显参考1"/>
    <w:autoRedefine/>
    <w:qFormat/>
    <w:uiPriority w:val="0"/>
    <w:rPr>
      <w:smallCaps/>
      <w:color w:val="C0504D"/>
      <w:u w:val="single"/>
    </w:rPr>
  </w:style>
  <w:style w:type="character" w:customStyle="1" w:styleId="187">
    <w:name w:val="批注文字 Char Char"/>
    <w:autoRedefine/>
    <w:qFormat/>
    <w:uiPriority w:val="0"/>
    <w:rPr>
      <w:rFonts w:ascii="宋体" w:hAnsi="Times New Roman" w:eastAsia="宋体" w:cs="Times New Roman"/>
      <w:sz w:val="28"/>
      <w:szCs w:val="20"/>
    </w:rPr>
  </w:style>
  <w:style w:type="character" w:customStyle="1" w:styleId="188">
    <w:name w:val="文档结构图 Char1"/>
    <w:autoRedefine/>
    <w:qFormat/>
    <w:uiPriority w:val="0"/>
    <w:rPr>
      <w:rFonts w:ascii="宋体"/>
      <w:kern w:val="2"/>
      <w:sz w:val="18"/>
      <w:szCs w:val="18"/>
    </w:rPr>
  </w:style>
  <w:style w:type="character" w:customStyle="1" w:styleId="189">
    <w:name w:val="页脚 Char1"/>
    <w:autoRedefine/>
    <w:semiHidden/>
    <w:qFormat/>
    <w:uiPriority w:val="99"/>
    <w:rPr>
      <w:kern w:val="2"/>
      <w:sz w:val="18"/>
      <w:szCs w:val="18"/>
    </w:rPr>
  </w:style>
  <w:style w:type="character" w:customStyle="1" w:styleId="190">
    <w:name w:val="批注框文本 Char2"/>
    <w:autoRedefine/>
    <w:semiHidden/>
    <w:qFormat/>
    <w:uiPriority w:val="99"/>
    <w:rPr>
      <w:kern w:val="2"/>
      <w:sz w:val="18"/>
      <w:szCs w:val="18"/>
    </w:rPr>
  </w:style>
  <w:style w:type="paragraph" w:customStyle="1" w:styleId="19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rPr>
  </w:style>
  <w:style w:type="paragraph" w:customStyle="1" w:styleId="19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sz w:val="18"/>
      <w:szCs w:val="18"/>
    </w:rPr>
  </w:style>
  <w:style w:type="paragraph" w:customStyle="1" w:styleId="1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195">
    <w:name w:val="Char Char Char Char"/>
    <w:basedOn w:val="1"/>
    <w:autoRedefine/>
    <w:qFormat/>
    <w:uiPriority w:val="0"/>
    <w:pPr>
      <w:snapToGrid w:val="0"/>
      <w:spacing w:line="360" w:lineRule="auto"/>
      <w:ind w:firstLine="200" w:firstLineChars="200"/>
    </w:pPr>
    <w:rPr>
      <w:rFonts w:ascii="Calibri" w:hAnsi="Calibri" w:eastAsia="仿宋_GB2312"/>
      <w:szCs w:val="22"/>
    </w:rPr>
  </w:style>
  <w:style w:type="paragraph" w:customStyle="1" w:styleId="196">
    <w:name w:val="样式 标题 3 + (中文) 黑体 小四 非加粗 段前: 7.8 磅 段后: 0 磅 行距: 固定值 20 磅"/>
    <w:basedOn w:val="2"/>
    <w:autoRedefine/>
    <w:qFormat/>
    <w:uiPriority w:val="0"/>
    <w:pPr>
      <w:spacing w:line="400" w:lineRule="exact"/>
    </w:pPr>
    <w:rPr>
      <w:rFonts w:cs="宋体"/>
      <w:b/>
      <w:bCs w:val="0"/>
      <w:szCs w:val="20"/>
    </w:rPr>
  </w:style>
  <w:style w:type="paragraph" w:customStyle="1" w:styleId="19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198">
    <w:name w:val="Char Char Char Char Char Char"/>
    <w:basedOn w:val="1"/>
    <w:autoRedefine/>
    <w:qFormat/>
    <w:uiPriority w:val="0"/>
    <w:rPr>
      <w:rFonts w:ascii="Tahoma" w:hAnsi="Tahoma"/>
    </w:rPr>
  </w:style>
  <w:style w:type="paragraph" w:customStyle="1" w:styleId="199">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20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rPr>
  </w:style>
  <w:style w:type="paragraph" w:customStyle="1" w:styleId="20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0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203">
    <w:name w:val="样式 标题 2 + Times New Roman 四号 非加粗 段前: 5 磅 段后: 0 磅 行距: 固定值 20..."/>
    <w:basedOn w:val="4"/>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204">
    <w:name w:val="普通 (Web)"/>
    <w:basedOn w:val="1"/>
    <w:autoRedefine/>
    <w:qFormat/>
    <w:uiPriority w:val="0"/>
    <w:pPr>
      <w:widowControl/>
      <w:spacing w:before="100" w:beforeAutospacing="1" w:after="100" w:afterAutospacing="1"/>
      <w:jc w:val="left"/>
    </w:pPr>
    <w:rPr>
      <w:rFonts w:hAnsi="宋体"/>
    </w:rPr>
  </w:style>
  <w:style w:type="paragraph" w:styleId="20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07">
    <w:name w:val="Normal_0"/>
    <w:autoRedefine/>
    <w:qFormat/>
    <w:uiPriority w:val="0"/>
    <w:rPr>
      <w:rFonts w:ascii="Times New Roman" w:hAnsi="Times New Roman" w:eastAsia="宋体" w:cs="Times New Roman"/>
      <w:sz w:val="24"/>
      <w:szCs w:val="24"/>
      <w:lang w:val="en-US" w:eastAsia="zh-CN" w:bidi="ar-SA"/>
    </w:rPr>
  </w:style>
  <w:style w:type="paragraph" w:customStyle="1" w:styleId="20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10">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paragraph" w:customStyle="1" w:styleId="212">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213">
    <w:name w:val="Char"/>
    <w:basedOn w:val="1"/>
    <w:autoRedefine/>
    <w:qFormat/>
    <w:uiPriority w:val="0"/>
    <w:rPr>
      <w:rFonts w:ascii="Calibri" w:hAnsi="Calibri"/>
      <w:szCs w:val="22"/>
    </w:rPr>
  </w:style>
  <w:style w:type="paragraph" w:customStyle="1" w:styleId="214">
    <w:name w:val="Char Char Char Char Char Char1"/>
    <w:basedOn w:val="1"/>
    <w:autoRedefine/>
    <w:qFormat/>
    <w:uiPriority w:val="0"/>
    <w:rPr>
      <w:rFonts w:ascii="Tahoma" w:hAnsi="Tahoma"/>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hAnsi="宋体"/>
      <w:b/>
      <w:bCs/>
      <w:sz w:val="32"/>
      <w:szCs w:val="32"/>
    </w:rPr>
  </w:style>
  <w:style w:type="paragraph" w:customStyle="1" w:styleId="216">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szCs w:val="22"/>
    </w:rPr>
  </w:style>
  <w:style w:type="paragraph" w:customStyle="1" w:styleId="217">
    <w:name w:val="样式1"/>
    <w:basedOn w:val="1"/>
    <w:next w:val="5"/>
    <w:autoRedefine/>
    <w:qFormat/>
    <w:uiPriority w:val="0"/>
    <w:pPr>
      <w:spacing w:line="360" w:lineRule="auto"/>
      <w:ind w:firstLine="420" w:firstLineChars="200"/>
    </w:pPr>
    <w:rPr>
      <w:rFonts w:hAnsi="宋体"/>
      <w:szCs w:val="21"/>
    </w:rPr>
  </w:style>
  <w:style w:type="paragraph" w:customStyle="1" w:styleId="218">
    <w:name w:val="段落2"/>
    <w:basedOn w:val="1"/>
    <w:autoRedefine/>
    <w:qFormat/>
    <w:uiPriority w:val="0"/>
    <w:pPr>
      <w:spacing w:line="360" w:lineRule="auto"/>
      <w:ind w:firstLine="480" w:firstLineChars="200"/>
    </w:pPr>
    <w:rPr>
      <w:rFonts w:ascii="Calibri" w:hAnsi="Calibri" w:cs="Courier New"/>
      <w:szCs w:val="21"/>
    </w:rPr>
  </w:style>
  <w:style w:type="paragraph" w:customStyle="1" w:styleId="219">
    <w:name w:val="目录"/>
    <w:basedOn w:val="1"/>
    <w:autoRedefine/>
    <w:qFormat/>
    <w:uiPriority w:val="0"/>
    <w:pPr>
      <w:widowControl/>
      <w:jc w:val="center"/>
    </w:pPr>
    <w:rPr>
      <w:rFonts w:hAnsi="Calibri"/>
      <w:b/>
      <w:sz w:val="36"/>
    </w:rPr>
  </w:style>
  <w:style w:type="paragraph" w:customStyle="1" w:styleId="220">
    <w:name w:val="目录文字"/>
    <w:basedOn w:val="1"/>
    <w:autoRedefine/>
    <w:qFormat/>
    <w:uiPriority w:val="0"/>
    <w:pPr>
      <w:widowControl/>
      <w:spacing w:line="480" w:lineRule="auto"/>
      <w:jc w:val="left"/>
    </w:pPr>
    <w:rPr>
      <w:rFonts w:hAnsi="宋体"/>
    </w:rPr>
  </w:style>
  <w:style w:type="paragraph" w:customStyle="1" w:styleId="22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22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paragraph" w:customStyle="1" w:styleId="223">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paragraph" w:customStyle="1" w:styleId="224">
    <w:name w:val="段落1 Char"/>
    <w:basedOn w:val="27"/>
    <w:autoRedefine/>
    <w:qFormat/>
    <w:uiPriority w:val="0"/>
    <w:pPr>
      <w:spacing w:line="360" w:lineRule="auto"/>
    </w:pPr>
    <w:rPr>
      <w:rFonts w:ascii="Times New Roman" w:hAnsi="Times New Roman"/>
      <w:sz w:val="24"/>
      <w:szCs w:val="21"/>
    </w:rPr>
  </w:style>
  <w:style w:type="paragraph" w:customStyle="1" w:styleId="225">
    <w:name w:val="样式3"/>
    <w:basedOn w:val="1"/>
    <w:autoRedefine/>
    <w:qFormat/>
    <w:uiPriority w:val="0"/>
    <w:pPr>
      <w:tabs>
        <w:tab w:val="left" w:pos="560"/>
        <w:tab w:val="left" w:pos="1120"/>
      </w:tabs>
      <w:spacing w:line="480" w:lineRule="atLeast"/>
    </w:pPr>
    <w:rPr>
      <w:rFonts w:ascii="Calibri" w:hAnsi="Calibri" w:eastAsia="创艺简黑体"/>
      <w:b/>
      <w:sz w:val="28"/>
    </w:rPr>
  </w:style>
  <w:style w:type="paragraph" w:customStyle="1" w:styleId="226">
    <w:name w:val="简单回函地址"/>
    <w:basedOn w:val="1"/>
    <w:autoRedefine/>
    <w:qFormat/>
    <w:uiPriority w:val="0"/>
    <w:rPr>
      <w:rFonts w:ascii="Calibri" w:hAnsi="Calibri"/>
      <w:szCs w:val="22"/>
    </w:rPr>
  </w:style>
  <w:style w:type="paragraph" w:customStyle="1" w:styleId="227">
    <w:name w:val="xl44"/>
    <w:basedOn w:val="1"/>
    <w:autoRedefine/>
    <w:qFormat/>
    <w:uiPriority w:val="0"/>
    <w:pPr>
      <w:widowControl/>
      <w:spacing w:before="100" w:beforeAutospacing="1" w:after="100" w:afterAutospacing="1"/>
      <w:jc w:val="center"/>
      <w:textAlignment w:val="center"/>
    </w:pPr>
    <w:rPr>
      <w:rFonts w:hAnsi="宋体"/>
      <w:b/>
      <w:bCs/>
      <w:sz w:val="32"/>
      <w:szCs w:val="32"/>
    </w:rPr>
  </w:style>
  <w:style w:type="paragraph" w:customStyle="1" w:styleId="22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rPr>
  </w:style>
  <w:style w:type="paragraph" w:customStyle="1" w:styleId="229">
    <w:name w:val="Default Paragraph Char Char Char Char"/>
    <w:basedOn w:val="1"/>
    <w:next w:val="1"/>
    <w:autoRedefine/>
    <w:qFormat/>
    <w:uiPriority w:val="0"/>
    <w:pPr>
      <w:widowControl/>
      <w:spacing w:line="360" w:lineRule="auto"/>
      <w:jc w:val="left"/>
    </w:pPr>
    <w:rPr>
      <w:rFonts w:ascii="Calibri" w:hAnsi="Calibri"/>
      <w:lang w:eastAsia="en-US"/>
    </w:rPr>
  </w:style>
  <w:style w:type="paragraph" w:customStyle="1" w:styleId="230">
    <w:name w:val="普通(网站)_0"/>
    <w:basedOn w:val="140"/>
    <w:autoRedefine/>
    <w:qFormat/>
    <w:uiPriority w:val="0"/>
    <w:pPr>
      <w:widowControl/>
      <w:spacing w:before="100" w:beforeAutospacing="1" w:after="100" w:afterAutospacing="1"/>
      <w:jc w:val="left"/>
    </w:pPr>
    <w:rPr>
      <w:rFonts w:ascii="宋体" w:hAnsi="宋体"/>
      <w:kern w:val="0"/>
      <w:sz w:val="24"/>
    </w:rPr>
  </w:style>
  <w:style w:type="paragraph" w:customStyle="1" w:styleId="231">
    <w:name w:val="Char1"/>
    <w:basedOn w:val="1"/>
    <w:next w:val="1"/>
    <w:autoRedefine/>
    <w:qFormat/>
    <w:uiPriority w:val="0"/>
    <w:pPr>
      <w:widowControl/>
      <w:spacing w:line="360" w:lineRule="auto"/>
      <w:jc w:val="left"/>
    </w:pPr>
    <w:rPr>
      <w:rFonts w:ascii="Calibri" w:hAnsi="Calibri"/>
      <w:lang w:eastAsia="en-US"/>
    </w:rPr>
  </w:style>
  <w:style w:type="paragraph" w:customStyle="1" w:styleId="232">
    <w:name w:val="Char10 Char Char Char Char Char Char Char Char Char"/>
    <w:basedOn w:val="1"/>
    <w:next w:val="1"/>
    <w:autoRedefine/>
    <w:qFormat/>
    <w:uiPriority w:val="0"/>
    <w:rPr>
      <w:rFonts w:ascii="Calibri" w:hAnsi="Calibri"/>
      <w:szCs w:val="22"/>
    </w:rPr>
  </w:style>
  <w:style w:type="paragraph" w:customStyle="1" w:styleId="233">
    <w:name w:val="TOC 标题1"/>
    <w:basedOn w:val="3"/>
    <w:next w:val="1"/>
    <w:autoRedefine/>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34">
    <w:name w:val="Char Char Char Char1"/>
    <w:basedOn w:val="1"/>
    <w:autoRedefine/>
    <w:qFormat/>
    <w:uiPriority w:val="0"/>
    <w:pPr>
      <w:snapToGrid w:val="0"/>
      <w:spacing w:line="360" w:lineRule="auto"/>
      <w:ind w:firstLine="200" w:firstLineChars="200"/>
    </w:pPr>
    <w:rPr>
      <w:rFonts w:ascii="Calibri" w:hAnsi="Calibri" w:eastAsia="仿宋_GB2312"/>
      <w:szCs w:val="22"/>
    </w:rPr>
  </w:style>
  <w:style w:type="paragraph" w:customStyle="1" w:styleId="235">
    <w:name w:val="Char10 Char Char Char Char Char Char Char Char Char1"/>
    <w:basedOn w:val="1"/>
    <w:next w:val="1"/>
    <w:autoRedefine/>
    <w:qFormat/>
    <w:uiPriority w:val="0"/>
    <w:rPr>
      <w:rFonts w:ascii="Calibri" w:hAnsi="Calibri"/>
      <w:szCs w:val="22"/>
    </w:rPr>
  </w:style>
  <w:style w:type="paragraph" w:customStyle="1" w:styleId="236">
    <w:name w:val="xl45"/>
    <w:basedOn w:val="1"/>
    <w:autoRedefine/>
    <w:qFormat/>
    <w:uiPriority w:val="0"/>
    <w:pPr>
      <w:widowControl/>
      <w:spacing w:before="100" w:beforeAutospacing="1" w:after="100" w:afterAutospacing="1"/>
      <w:jc w:val="left"/>
      <w:textAlignment w:val="top"/>
    </w:pPr>
    <w:rPr>
      <w:rFonts w:hAnsi="宋体"/>
    </w:rPr>
  </w:style>
  <w:style w:type="paragraph" w:customStyle="1" w:styleId="237">
    <w:name w:val="MsoNormal"/>
    <w:basedOn w:val="207"/>
    <w:autoRedefine/>
    <w:qFormat/>
    <w:uiPriority w:val="0"/>
    <w:rPr>
      <w:rFonts w:ascii="Calibri" w:hAnsi="Calibri" w:eastAsia="Calibri"/>
      <w:sz w:val="21"/>
    </w:rPr>
  </w:style>
  <w:style w:type="paragraph" w:customStyle="1" w:styleId="23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3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rPr>
  </w:style>
  <w:style w:type="paragraph" w:customStyle="1" w:styleId="24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242">
    <w:name w:val="flNote"/>
    <w:basedOn w:val="1"/>
    <w:autoRedefine/>
    <w:qFormat/>
    <w:uiPriority w:val="0"/>
    <w:pPr>
      <w:adjustRightInd w:val="0"/>
      <w:spacing w:before="320" w:after="160" w:line="360" w:lineRule="atLeast"/>
      <w:jc w:val="center"/>
      <w:textAlignment w:val="baseline"/>
    </w:pPr>
    <w:rPr>
      <w:rFonts w:ascii="Arial" w:eastAsia="黑体"/>
      <w:sz w:val="30"/>
    </w:rPr>
  </w:style>
  <w:style w:type="paragraph" w:customStyle="1" w:styleId="2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范本目录"/>
    <w:basedOn w:val="1"/>
    <w:autoRedefine/>
    <w:qFormat/>
    <w:uiPriority w:val="0"/>
    <w:pPr>
      <w:adjustRightInd w:val="0"/>
      <w:snapToGrid w:val="0"/>
      <w:spacing w:beforeLines="20" w:afterLines="20" w:line="540" w:lineRule="exact"/>
      <w:jc w:val="center"/>
    </w:pPr>
    <w:rPr>
      <w:rFonts w:hAnsi="宋体"/>
      <w:b/>
      <w:bCs/>
      <w:sz w:val="36"/>
    </w:rPr>
  </w:style>
  <w:style w:type="paragraph" w:customStyle="1" w:styleId="2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font5"/>
    <w:basedOn w:val="1"/>
    <w:autoRedefine/>
    <w:qFormat/>
    <w:uiPriority w:val="0"/>
    <w:pPr>
      <w:widowControl/>
      <w:spacing w:before="100" w:beforeAutospacing="1" w:after="100" w:afterAutospacing="1"/>
      <w:jc w:val="left"/>
    </w:pPr>
    <w:rPr>
      <w:rFonts w:hint="eastAsia" w:hAnsi="宋体"/>
      <w:sz w:val="18"/>
      <w:szCs w:val="18"/>
    </w:rPr>
  </w:style>
  <w:style w:type="paragraph" w:customStyle="1" w:styleId="24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22"/>
      <w:szCs w:val="22"/>
    </w:rPr>
  </w:style>
  <w:style w:type="paragraph" w:customStyle="1" w:styleId="24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rPr>
  </w:style>
  <w:style w:type="paragraph" w:customStyle="1" w:styleId="24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250">
    <w:name w:val="xl43"/>
    <w:basedOn w:val="1"/>
    <w:autoRedefine/>
    <w:qFormat/>
    <w:uiPriority w:val="0"/>
    <w:pPr>
      <w:widowControl/>
      <w:spacing w:before="100" w:beforeAutospacing="1" w:after="100" w:afterAutospacing="1"/>
      <w:jc w:val="left"/>
      <w:textAlignment w:val="top"/>
    </w:pPr>
    <w:rPr>
      <w:rFonts w:hAnsi="宋体"/>
    </w:rPr>
  </w:style>
  <w:style w:type="paragraph" w:customStyle="1" w:styleId="251">
    <w:name w:val="font6"/>
    <w:basedOn w:val="1"/>
    <w:autoRedefine/>
    <w:qFormat/>
    <w:uiPriority w:val="0"/>
    <w:pPr>
      <w:widowControl/>
      <w:spacing w:before="100" w:beforeAutospacing="1" w:after="100" w:afterAutospacing="1"/>
      <w:jc w:val="left"/>
    </w:pPr>
    <w:rPr>
      <w:sz w:val="18"/>
      <w:szCs w:val="18"/>
    </w:rPr>
  </w:style>
  <w:style w:type="paragraph" w:customStyle="1" w:styleId="252">
    <w:name w:val="Char Char Char Char Char"/>
    <w:basedOn w:val="1"/>
    <w:autoRedefine/>
    <w:qFormat/>
    <w:uiPriority w:val="0"/>
    <w:rPr>
      <w:rFonts w:ascii="Tahoma" w:hAnsi="Tahoma"/>
    </w:rPr>
  </w:style>
  <w:style w:type="paragraph" w:customStyle="1" w:styleId="253">
    <w:name w:val="空半行"/>
    <w:basedOn w:val="1"/>
    <w:autoRedefine/>
    <w:qFormat/>
    <w:uiPriority w:val="0"/>
    <w:pPr>
      <w:adjustRightInd w:val="0"/>
      <w:spacing w:line="120" w:lineRule="exact"/>
      <w:textAlignment w:val="baseline"/>
    </w:pPr>
    <w:rPr>
      <w:rFonts w:eastAsia="仿宋_GB2312"/>
      <w:color w:val="FFFFFF"/>
      <w:sz w:val="30"/>
    </w:rPr>
  </w:style>
  <w:style w:type="paragraph" w:customStyle="1" w:styleId="254">
    <w:name w:val="p0"/>
    <w:basedOn w:val="1"/>
    <w:autoRedefine/>
    <w:qFormat/>
    <w:uiPriority w:val="0"/>
    <w:pPr>
      <w:widowControl/>
      <w:spacing w:before="100" w:beforeAutospacing="1" w:after="100" w:afterAutospacing="1"/>
      <w:jc w:val="left"/>
    </w:pPr>
    <w:rPr>
      <w:rFonts w:hAnsi="宋体" w:cs="宋体"/>
    </w:rPr>
  </w:style>
  <w:style w:type="character" w:customStyle="1" w:styleId="255">
    <w:name w:val="fontstyle01"/>
    <w:autoRedefine/>
    <w:qFormat/>
    <w:uiPriority w:val="0"/>
    <w:rPr>
      <w:rFonts w:hint="eastAsia" w:ascii="宋体" w:hAnsi="宋体" w:eastAsia="宋体"/>
      <w:color w:val="000000"/>
      <w:sz w:val="22"/>
      <w:szCs w:val="22"/>
    </w:rPr>
  </w:style>
  <w:style w:type="character" w:customStyle="1" w:styleId="256">
    <w:name w:val="datetime"/>
    <w:autoRedefine/>
    <w:qFormat/>
    <w:uiPriority w:val="0"/>
    <w:rPr>
      <w:rFonts w:ascii="Arial" w:hAnsi="Arial" w:cs="Arial"/>
      <w:color w:val="999999"/>
      <w:sz w:val="21"/>
      <w:szCs w:val="21"/>
    </w:rPr>
  </w:style>
  <w:style w:type="character" w:customStyle="1" w:styleId="257">
    <w:name w:val="c2"/>
    <w:autoRedefine/>
    <w:qFormat/>
    <w:uiPriority w:val="0"/>
  </w:style>
  <w:style w:type="character" w:customStyle="1" w:styleId="258">
    <w:name w:val="msg-box10"/>
    <w:autoRedefine/>
    <w:qFormat/>
    <w:uiPriority w:val="0"/>
  </w:style>
  <w:style w:type="character" w:customStyle="1" w:styleId="259">
    <w:name w:val="c1"/>
    <w:autoRedefine/>
    <w:qFormat/>
    <w:uiPriority w:val="0"/>
  </w:style>
  <w:style w:type="character" w:customStyle="1" w:styleId="260">
    <w:name w:val="tit2"/>
    <w:autoRedefine/>
    <w:qFormat/>
    <w:uiPriority w:val="0"/>
    <w:rPr>
      <w:b/>
      <w:bCs/>
      <w:color w:val="333333"/>
      <w:sz w:val="24"/>
      <w:szCs w:val="24"/>
    </w:rPr>
  </w:style>
  <w:style w:type="character" w:customStyle="1" w:styleId="261">
    <w:name w:val="c3"/>
    <w:autoRedefine/>
    <w:qFormat/>
    <w:uiPriority w:val="0"/>
  </w:style>
  <w:style w:type="character" w:customStyle="1" w:styleId="262">
    <w:name w:val="buvis"/>
    <w:autoRedefine/>
    <w:qFormat/>
    <w:uiPriority w:val="0"/>
    <w:rPr>
      <w:color w:val="999999"/>
    </w:rPr>
  </w:style>
  <w:style w:type="character" w:customStyle="1" w:styleId="263">
    <w:name w:val="buvis1"/>
    <w:autoRedefine/>
    <w:qFormat/>
    <w:uiPriority w:val="0"/>
    <w:rPr>
      <w:color w:val="CC0000"/>
    </w:rPr>
  </w:style>
  <w:style w:type="character" w:customStyle="1" w:styleId="264">
    <w:name w:val="left2"/>
    <w:autoRedefine/>
    <w:qFormat/>
    <w:uiPriority w:val="0"/>
  </w:style>
  <w:style w:type="paragraph" w:customStyle="1" w:styleId="265">
    <w:name w:val="列表段落111"/>
    <w:basedOn w:val="1"/>
    <w:autoRedefine/>
    <w:qFormat/>
    <w:uiPriority w:val="34"/>
    <w:pPr>
      <w:ind w:firstLine="420" w:firstLineChars="200"/>
    </w:pPr>
  </w:style>
  <w:style w:type="paragraph" w:customStyle="1" w:styleId="266">
    <w:name w:val="列表段落11"/>
    <w:basedOn w:val="1"/>
    <w:autoRedefine/>
    <w:qFormat/>
    <w:uiPriority w:val="34"/>
    <w:pPr>
      <w:ind w:firstLine="420" w:firstLineChars="200"/>
    </w:pPr>
  </w:style>
  <w:style w:type="paragraph" w:customStyle="1" w:styleId="267">
    <w:name w:val="_Style 58"/>
    <w:basedOn w:val="3"/>
    <w:next w:val="1"/>
    <w:autoRedefine/>
    <w:qFormat/>
    <w:uiPriority w:val="39"/>
    <w:pPr>
      <w:widowControl/>
      <w:spacing w:before="240" w:line="259" w:lineRule="auto"/>
      <w:jc w:val="left"/>
      <w:outlineLvl w:val="9"/>
    </w:pPr>
    <w:rPr>
      <w:rFonts w:ascii="Calibri Light" w:hAnsi="Calibri Light"/>
      <w:b w:val="0"/>
      <w:bCs w:val="0"/>
      <w:color w:val="2E74B5"/>
      <w:kern w:val="0"/>
      <w:szCs w:val="32"/>
    </w:rPr>
  </w:style>
  <w:style w:type="paragraph" w:customStyle="1" w:styleId="268">
    <w:name w:val="Table Paragraph"/>
    <w:basedOn w:val="1"/>
    <w:autoRedefine/>
    <w:qFormat/>
    <w:uiPriority w:val="1"/>
    <w:pPr>
      <w:autoSpaceDE w:val="0"/>
      <w:autoSpaceDN w:val="0"/>
      <w:jc w:val="left"/>
    </w:pPr>
    <w:rPr>
      <w:rFonts w:hAnsi="宋体" w:cs="宋体"/>
      <w:sz w:val="22"/>
      <w:szCs w:val="22"/>
      <w:lang w:val="zh-CN" w:bidi="zh-CN"/>
    </w:rPr>
  </w:style>
  <w:style w:type="character" w:customStyle="1" w:styleId="269">
    <w:name w:val="font01"/>
    <w:autoRedefine/>
    <w:qFormat/>
    <w:uiPriority w:val="0"/>
    <w:rPr>
      <w:rFonts w:hint="eastAsia" w:ascii="宋体" w:hAnsi="宋体" w:eastAsia="宋体" w:cs="宋体"/>
      <w:color w:val="000000"/>
      <w:sz w:val="20"/>
      <w:szCs w:val="20"/>
      <w:u w:val="none"/>
    </w:rPr>
  </w:style>
  <w:style w:type="paragraph" w:customStyle="1" w:styleId="270">
    <w:name w:val="msonormal"/>
    <w:basedOn w:val="1"/>
    <w:autoRedefine/>
    <w:qFormat/>
    <w:uiPriority w:val="0"/>
    <w:pPr>
      <w:widowControl/>
      <w:spacing w:before="100" w:beforeAutospacing="1" w:after="100" w:afterAutospacing="1"/>
      <w:jc w:val="left"/>
    </w:pPr>
    <w:rPr>
      <w:rFonts w:hAnsi="宋体" w:cs="宋体"/>
      <w:szCs w:val="24"/>
    </w:rPr>
  </w:style>
  <w:style w:type="paragraph" w:customStyle="1" w:styleId="271">
    <w:name w:val="font7"/>
    <w:basedOn w:val="1"/>
    <w:autoRedefine/>
    <w:qFormat/>
    <w:uiPriority w:val="0"/>
    <w:pPr>
      <w:widowControl/>
      <w:spacing w:before="100" w:beforeAutospacing="1" w:after="100" w:afterAutospacing="1"/>
      <w:jc w:val="left"/>
    </w:pPr>
    <w:rPr>
      <w:rFonts w:hAnsi="宋体" w:cs="宋体"/>
      <w:color w:val="000000"/>
      <w:sz w:val="22"/>
      <w:szCs w:val="22"/>
    </w:rPr>
  </w:style>
  <w:style w:type="paragraph" w:customStyle="1" w:styleId="272">
    <w:name w:val="font8"/>
    <w:basedOn w:val="1"/>
    <w:autoRedefine/>
    <w:qFormat/>
    <w:uiPriority w:val="0"/>
    <w:pPr>
      <w:widowControl/>
      <w:spacing w:before="100" w:beforeAutospacing="1" w:after="100" w:afterAutospacing="1"/>
      <w:jc w:val="left"/>
    </w:pPr>
    <w:rPr>
      <w:rFonts w:hAnsi="宋体" w:cs="宋体"/>
      <w:b/>
      <w:bCs/>
      <w:color w:val="000000"/>
      <w:sz w:val="22"/>
      <w:szCs w:val="22"/>
    </w:rPr>
  </w:style>
  <w:style w:type="paragraph" w:customStyle="1" w:styleId="273">
    <w:name w:val="font9"/>
    <w:basedOn w:val="1"/>
    <w:autoRedefine/>
    <w:qFormat/>
    <w:uiPriority w:val="0"/>
    <w:pPr>
      <w:widowControl/>
      <w:spacing w:before="100" w:beforeAutospacing="1" w:after="100" w:afterAutospacing="1"/>
      <w:jc w:val="left"/>
    </w:pPr>
    <w:rPr>
      <w:rFonts w:ascii="Microsoft YaHei UI" w:hAnsi="Microsoft YaHei UI" w:eastAsia="Microsoft YaHei UI" w:cs="宋体"/>
      <w:sz w:val="22"/>
      <w:szCs w:val="22"/>
    </w:rPr>
  </w:style>
  <w:style w:type="paragraph" w:customStyle="1" w:styleId="274">
    <w:name w:val="font10"/>
    <w:basedOn w:val="1"/>
    <w:autoRedefine/>
    <w:qFormat/>
    <w:uiPriority w:val="0"/>
    <w:pPr>
      <w:widowControl/>
      <w:spacing w:before="100" w:beforeAutospacing="1" w:after="100" w:afterAutospacing="1"/>
      <w:jc w:val="left"/>
    </w:pPr>
    <w:rPr>
      <w:rFonts w:hAnsi="宋体" w:cs="宋体"/>
      <w:color w:val="FF0000"/>
      <w:sz w:val="22"/>
      <w:szCs w:val="22"/>
    </w:rPr>
  </w:style>
  <w:style w:type="paragraph" w:customStyle="1" w:styleId="275">
    <w:name w:val="font11"/>
    <w:basedOn w:val="1"/>
    <w:autoRedefine/>
    <w:qFormat/>
    <w:uiPriority w:val="0"/>
    <w:pPr>
      <w:widowControl/>
      <w:spacing w:before="100" w:beforeAutospacing="1" w:after="100" w:afterAutospacing="1"/>
      <w:jc w:val="left"/>
    </w:pPr>
    <w:rPr>
      <w:rFonts w:hAnsi="宋体" w:cs="宋体"/>
      <w:sz w:val="18"/>
      <w:szCs w:val="18"/>
    </w:rPr>
  </w:style>
  <w:style w:type="paragraph" w:customStyle="1" w:styleId="276">
    <w:name w:val="font12"/>
    <w:basedOn w:val="1"/>
    <w:autoRedefine/>
    <w:qFormat/>
    <w:uiPriority w:val="0"/>
    <w:pPr>
      <w:widowControl/>
      <w:spacing w:before="100" w:beforeAutospacing="1" w:after="100" w:afterAutospacing="1"/>
      <w:jc w:val="left"/>
    </w:pPr>
    <w:rPr>
      <w:rFonts w:ascii="Calibri" w:hAnsi="Calibri" w:cs="Calibri"/>
      <w:sz w:val="22"/>
      <w:szCs w:val="22"/>
    </w:rPr>
  </w:style>
  <w:style w:type="paragraph" w:customStyle="1" w:styleId="277">
    <w:name w:val="xl80"/>
    <w:basedOn w:val="1"/>
    <w:autoRedefine/>
    <w:qFormat/>
    <w:uiPriority w:val="0"/>
    <w:pPr>
      <w:widowControl/>
      <w:spacing w:before="100" w:beforeAutospacing="1" w:after="100" w:afterAutospacing="1"/>
      <w:jc w:val="left"/>
      <w:textAlignment w:val="center"/>
    </w:pPr>
    <w:rPr>
      <w:rFonts w:hAnsi="宋体" w:cs="宋体"/>
      <w:szCs w:val="24"/>
    </w:rPr>
  </w:style>
  <w:style w:type="paragraph" w:customStyle="1" w:styleId="278">
    <w:name w:val="xl81"/>
    <w:basedOn w:val="1"/>
    <w:autoRedefine/>
    <w:qFormat/>
    <w:uiPriority w:val="0"/>
    <w:pPr>
      <w:widowControl/>
      <w:spacing w:before="100" w:beforeAutospacing="1" w:after="100" w:afterAutospacing="1"/>
      <w:jc w:val="left"/>
    </w:pPr>
    <w:rPr>
      <w:rFonts w:hAnsi="宋体" w:cs="宋体"/>
      <w:szCs w:val="24"/>
    </w:rPr>
  </w:style>
  <w:style w:type="paragraph" w:customStyle="1" w:styleId="279">
    <w:name w:val="xl82"/>
    <w:basedOn w:val="1"/>
    <w:autoRedefine/>
    <w:qFormat/>
    <w:uiPriority w:val="0"/>
    <w:pPr>
      <w:widowControl/>
      <w:spacing w:before="100" w:beforeAutospacing="1" w:after="100" w:afterAutospacing="1"/>
      <w:jc w:val="center"/>
    </w:pPr>
    <w:rPr>
      <w:rFonts w:hAnsi="宋体" w:cs="宋体"/>
      <w:szCs w:val="24"/>
    </w:rPr>
  </w:style>
  <w:style w:type="paragraph" w:customStyle="1" w:styleId="280">
    <w:name w:val="xl83"/>
    <w:basedOn w:val="1"/>
    <w:autoRedefine/>
    <w:qFormat/>
    <w:uiPriority w:val="0"/>
    <w:pPr>
      <w:widowControl/>
      <w:spacing w:before="100" w:beforeAutospacing="1" w:after="100" w:afterAutospacing="1"/>
      <w:jc w:val="left"/>
    </w:pPr>
    <w:rPr>
      <w:rFonts w:hAnsi="宋体" w:cs="宋体"/>
      <w:szCs w:val="24"/>
    </w:rPr>
  </w:style>
  <w:style w:type="paragraph" w:customStyle="1" w:styleId="281">
    <w:name w:val="xl84"/>
    <w:basedOn w:val="1"/>
    <w:autoRedefine/>
    <w:qFormat/>
    <w:uiPriority w:val="0"/>
    <w:pPr>
      <w:widowControl/>
      <w:spacing w:before="100" w:beforeAutospacing="1" w:after="100" w:afterAutospacing="1"/>
      <w:jc w:val="center"/>
      <w:textAlignment w:val="center"/>
    </w:pPr>
    <w:rPr>
      <w:rFonts w:hAnsi="宋体" w:cs="宋体"/>
      <w:szCs w:val="24"/>
    </w:rPr>
  </w:style>
  <w:style w:type="paragraph" w:customStyle="1" w:styleId="282">
    <w:name w:val="xl8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3">
    <w:name w:val="xl8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84">
    <w:name w:val="xl8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5">
    <w:name w:val="xl8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6">
    <w:name w:val="xl8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7">
    <w:name w:val="xl9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b/>
      <w:bCs/>
      <w:szCs w:val="24"/>
    </w:rPr>
  </w:style>
  <w:style w:type="paragraph" w:customStyle="1" w:styleId="288">
    <w:name w:val="xl9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89">
    <w:name w:val="xl9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0">
    <w:name w:val="xl9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1">
    <w:name w:val="xl9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2">
    <w:name w:val="xl9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3">
    <w:name w:val="xl9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4">
    <w:name w:val="xl9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5">
    <w:name w:val="xl9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296">
    <w:name w:val="xl9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7">
    <w:name w:val="xl10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8">
    <w:name w:val="xl10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9">
    <w:name w:val="xl10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00">
    <w:name w:val="xl10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1">
    <w:name w:val="xl10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2">
    <w:name w:val="xl10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03">
    <w:name w:val="xl10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4">
    <w:name w:val="xl10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5">
    <w:name w:val="xl10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6">
    <w:name w:val="xl10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7">
    <w:name w:val="xl11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08">
    <w:name w:val="xl11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color w:val="000000"/>
      <w:szCs w:val="24"/>
    </w:rPr>
  </w:style>
  <w:style w:type="paragraph" w:customStyle="1" w:styleId="309">
    <w:name w:val="xl11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0">
    <w:name w:val="xl11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1">
    <w:name w:val="xl11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2">
    <w:name w:val="xl11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3">
    <w:name w:val="xl11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4">
    <w:name w:val="xl11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5">
    <w:name w:val="xl11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6">
    <w:name w:val="xl11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17">
    <w:name w:val="xl12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b/>
      <w:bCs/>
      <w:szCs w:val="24"/>
    </w:rPr>
  </w:style>
  <w:style w:type="paragraph" w:customStyle="1" w:styleId="318">
    <w:name w:val="xl121"/>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hAnsi="宋体" w:cs="宋体"/>
      <w:b/>
      <w:bCs/>
      <w:szCs w:val="24"/>
    </w:rPr>
  </w:style>
  <w:style w:type="paragraph" w:customStyle="1" w:styleId="319">
    <w:name w:val="xl122"/>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0">
    <w:name w:val="xl12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21">
    <w:name w:val="xl124"/>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2">
    <w:name w:val="xl12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3">
    <w:name w:val="xl126"/>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4">
    <w:name w:val="xl127"/>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5">
    <w:name w:val="xl12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26">
    <w:name w:val="xl129"/>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7">
    <w:name w:val="xl130"/>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8">
    <w:name w:val="xl13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29">
    <w:name w:val="xl13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30">
    <w:name w:val="xl133"/>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31">
    <w:name w:val="xl13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32">
    <w:name w:val="xl135"/>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szCs w:val="24"/>
    </w:rPr>
  </w:style>
  <w:style w:type="paragraph" w:customStyle="1" w:styleId="333">
    <w:name w:val="xl136"/>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szCs w:val="24"/>
    </w:rPr>
  </w:style>
  <w:style w:type="paragraph" w:customStyle="1" w:styleId="334">
    <w:name w:val="xl137"/>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35">
    <w:name w:val="04-正文"/>
    <w:basedOn w:val="1"/>
    <w:autoRedefine/>
    <w:qFormat/>
    <w:uiPriority w:val="0"/>
    <w:pPr>
      <w:adjustRightInd w:val="0"/>
      <w:ind w:firstLine="480" w:firstLineChars="200"/>
    </w:pPr>
    <w:rPr>
      <w:rFonts w:ascii="Calibri" w:hAnsi="Calibri" w:eastAsia="宋体"/>
      <w:kern w:val="0"/>
      <w:sz w:val="24"/>
    </w:rPr>
  </w:style>
  <w:style w:type="paragraph" w:customStyle="1" w:styleId="336">
    <w:name w:val="列出段落2"/>
    <w:basedOn w:val="1"/>
    <w:autoRedefine/>
    <w:qFormat/>
    <w:uiPriority w:val="34"/>
    <w:pPr>
      <w:ind w:firstLine="420" w:firstLineChars="200"/>
    </w:pPr>
    <w:rPr>
      <w:rFonts w:eastAsia="宋体"/>
      <w:kern w:val="0"/>
      <w:sz w:val="24"/>
    </w:rPr>
  </w:style>
  <w:style w:type="table" w:customStyle="1" w:styleId="337">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338">
    <w:name w:val="Table Text"/>
    <w:autoRedefine/>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1"/>
      <w:szCs w:val="21"/>
      <w:lang w:val="en-US" w:eastAsia="en-US" w:bidi="ar-SA"/>
    </w:rPr>
  </w:style>
  <w:style w:type="character" w:customStyle="1" w:styleId="339">
    <w:name w:val="font71"/>
    <w:autoRedefine/>
    <w:qFormat/>
    <w:uiPriority w:val="0"/>
    <w:rPr>
      <w:rFonts w:hint="eastAsia" w:ascii="宋体" w:hAnsi="宋体" w:eastAsia="宋体" w:cs="Verdana"/>
      <w:b/>
      <w:color w:val="000000"/>
      <w:sz w:val="21"/>
      <w:szCs w:val="21"/>
      <w:u w:val="none"/>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02F8A-4F22-4D3F-9F95-F2A76DC9F3C6}">
  <ds:schemaRefs/>
</ds:datastoreItem>
</file>

<file path=docProps/app.xml><?xml version="1.0" encoding="utf-8"?>
<Properties xmlns="http://schemas.openxmlformats.org/officeDocument/2006/extended-properties" xmlns:vt="http://schemas.openxmlformats.org/officeDocument/2006/docPropsVTypes">
  <Template>Normal.dotm</Template>
  <Pages>211</Pages>
  <Words>98162</Words>
  <Characters>108691</Characters>
  <Lines>1021</Lines>
  <Paragraphs>287</Paragraphs>
  <TotalTime>25</TotalTime>
  <ScaleCrop>false</ScaleCrop>
  <LinksUpToDate>false</LinksUpToDate>
  <CharactersWithSpaces>111060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2023-10-19T02:35:00Z</dcterms:created>
  <dc:creator>User</dc:creator>
  <cp:lastModifiedBy>茹康</cp:lastModifiedBy>
  <cp:lastPrinted>2023-10-19T06:39:00Z</cp:lastPrinted>
  <dcterms:modified xsi:type="dcterms:W3CDTF">2024-09-30T02:04:05Z</dcterms:modified>
  <dc:title>第二章  投标人须知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BE0477497E16458A966799345498EA43_13</vt:lpwstr>
  </property>
</Properties>
</file>