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  <w:highlight w:val="none"/>
        </w:rPr>
      </w:pPr>
      <w:bookmarkStart w:id="0" w:name="_Toc17883"/>
      <w:bookmarkStart w:id="1" w:name="_Toc63440919"/>
      <w:r>
        <w:rPr>
          <w:rFonts w:hint="eastAsia" w:asciiTheme="minorEastAsia" w:hAnsiTheme="minorEastAsia" w:eastAsiaTheme="minorEastAsia"/>
          <w:b/>
          <w:sz w:val="28"/>
          <w:highlight w:val="none"/>
        </w:rPr>
        <w:t>采购需求</w:t>
      </w:r>
      <w:bookmarkEnd w:id="0"/>
      <w:bookmarkEnd w:id="1"/>
    </w:p>
    <w:p>
      <w:pPr>
        <w:spacing w:line="360" w:lineRule="auto"/>
        <w:jc w:val="center"/>
        <w:outlineLvl w:val="0"/>
        <w:rPr>
          <w:rFonts w:hint="eastAsia" w:ascii="宋体" w:hAnsi="宋体" w:eastAsia="宋体"/>
          <w:b/>
          <w:sz w:val="28"/>
        </w:rPr>
      </w:pPr>
      <w:bookmarkStart w:id="3" w:name="_GoBack"/>
      <w:bookmarkEnd w:id="3"/>
      <w:r>
        <w:rPr>
          <w:rFonts w:hint="eastAsia" w:ascii="宋体" w:hAnsi="宋体" w:eastAsia="宋体"/>
          <w:b/>
          <w:sz w:val="28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sz w:val="28"/>
          <w:highlight w:val="none"/>
          <w:lang w:val="en-US" w:eastAsia="zh-CN"/>
        </w:rPr>
        <w:t>仅供参考、以采购文件为准</w:t>
      </w:r>
      <w:r>
        <w:rPr>
          <w:rFonts w:hint="eastAsia" w:ascii="宋体" w:hAnsi="宋体" w:eastAsia="宋体"/>
          <w:b/>
          <w:sz w:val="28"/>
          <w:highlight w:val="none"/>
          <w:lang w:eastAsia="zh-CN"/>
        </w:rPr>
        <w:t>）</w:t>
      </w:r>
    </w:p>
    <w:p>
      <w:pPr>
        <w:spacing w:line="360" w:lineRule="auto"/>
        <w:jc w:val="center"/>
        <w:outlineLvl w:val="0"/>
        <w:rPr>
          <w:rFonts w:asciiTheme="minorEastAsia" w:hAnsiTheme="minorEastAsia" w:eastAsiaTheme="minorEastAsia"/>
          <w:b/>
          <w:sz w:val="28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前注：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  <w:highlight w:val="none"/>
        </w:rPr>
        <w:t>本采购需求中提出的服务方案仅为参考，如无明确限制，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可以进行优化，提供满足采购人实际需要的更优（或者性能实质上不低于的）服务方案，且此方案须经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磋商小组</w:t>
      </w:r>
      <w:r>
        <w:rPr>
          <w:rFonts w:ascii="宋体" w:hAnsi="宋体" w:eastAsia="宋体" w:cs="宋体"/>
          <w:sz w:val="24"/>
          <w:szCs w:val="24"/>
          <w:highlight w:val="none"/>
        </w:rPr>
        <w:t>评审认可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2.下列采购需求中：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所投产品须具有市场监管总局公布的《参与实施政府采购节能产品认证机构目录》中的认证机构出具的、处于有效期内的节能产品认证证书。</w:t>
      </w:r>
      <w:r>
        <w:rPr>
          <w:rFonts w:ascii="宋体" w:hAnsi="宋体" w:eastAsia="宋体" w:cs="宋体"/>
          <w:sz w:val="24"/>
          <w:szCs w:val="24"/>
          <w:highlight w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</w:t>
      </w:r>
      <w:r>
        <w:rPr>
          <w:rFonts w:ascii="宋体" w:hAnsi="宋体" w:eastAsia="宋体" w:cs="宋体"/>
          <w:sz w:val="24"/>
          <w:szCs w:val="24"/>
          <w:highlight w:val="none"/>
        </w:rPr>
        <w:t>（2）如涉及商品包装和快递包装，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</w:t>
      </w:r>
      <w:r>
        <w:rPr>
          <w:rFonts w:ascii="宋体" w:hAnsi="宋体" w:eastAsia="宋体" w:cs="宋体"/>
          <w:sz w:val="24"/>
          <w:szCs w:val="24"/>
          <w:highlight w:val="none"/>
        </w:rPr>
        <w:t>应当执行《关于印发〈商品包装政府采购需求标准（试行）〉、〈快递包装政府采购需求标准（试行）〉的通知》（财办库〔2020〕123 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  <w:highlight w:val="none"/>
        </w:rPr>
      </w:pPr>
      <w:r>
        <w:rPr>
          <w:rFonts w:hint="eastAsia" w:ascii="宋体" w:hAnsi="宋体" w:eastAsia="宋体"/>
          <w:sz w:val="24"/>
          <w:szCs w:val="18"/>
          <w:highlight w:val="none"/>
        </w:rPr>
        <w:t>3.如采购人允许采用分包方式履行合同的，应当明确可以分包履行的相关内容。</w:t>
      </w: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sz w:val="24"/>
          <w:szCs w:val="18"/>
          <w:highlight w:val="none"/>
        </w:rPr>
        <w:t>一、采购需求前附表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/>
                <w:kern w:val="2"/>
                <w:highlight w:val="none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条款名称</w:t>
            </w:r>
          </w:p>
        </w:tc>
        <w:tc>
          <w:tcPr>
            <w:tcW w:w="3217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Cs w:val="0"/>
                <w:sz w:val="24"/>
                <w:highlight w:val="none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付款方式</w:t>
            </w:r>
          </w:p>
        </w:tc>
        <w:tc>
          <w:tcPr>
            <w:tcW w:w="3217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/>
                <w:b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  <w:lang w:val="en-US" w:eastAsia="zh-CN"/>
              </w:rPr>
              <w:t>按月支付，每月支付年度合同款的1/12。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服务地点</w:t>
            </w:r>
          </w:p>
        </w:tc>
        <w:tc>
          <w:tcPr>
            <w:tcW w:w="3217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val="en-US" w:eastAsia="zh-CN"/>
              </w:rPr>
              <w:t>境内，具体以采购人指定地点为准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  <w:highlight w:val="none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服务期限</w:t>
            </w:r>
          </w:p>
        </w:tc>
        <w:tc>
          <w:tcPr>
            <w:tcW w:w="3217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首次服务期限为一年，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可续签合同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续签不得超过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val="en-US" w:eastAsia="zh-CN"/>
              </w:rPr>
              <w:t>两次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，总服务期限不超过三年（合同一年一签）。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kern w:val="2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highlight w:val="none"/>
                <w:lang w:val="en-US" w:eastAsia="zh-CN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8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sz w:val="24"/>
                <w:highlight w:val="none"/>
              </w:rPr>
              <w:t>本项目采购标的名称及所属行业</w:t>
            </w:r>
          </w:p>
        </w:tc>
        <w:tc>
          <w:tcPr>
            <w:tcW w:w="3217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标的名称：</w:t>
            </w:r>
            <w:r>
              <w:rPr>
                <w:rFonts w:hint="eastAsia" w:asciiTheme="minorEastAsia" w:hAnsiTheme="minorEastAsia" w:eastAsiaTheme="minorEastAsia"/>
                <w:sz w:val="24"/>
                <w:highlight w:val="none"/>
                <w:lang w:eastAsia="zh-CN"/>
              </w:rPr>
              <w:t>响导乡人民政府养老服务中心社会化运营</w:t>
            </w:r>
          </w:p>
          <w:p>
            <w:pPr>
              <w:rPr>
                <w:rFonts w:ascii="宋体" w:hAnsi="宋体" w:eastAsia="宋体"/>
                <w:sz w:val="24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none"/>
              </w:rPr>
              <w:t>所属行业：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其他未列明行业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bookmarkStart w:id="2" w:name="_Hlk16461016"/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二、项目概况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响导乡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养老服务中心拥有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幢两层住宅楼共1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间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2200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平米老年公寓，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230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平米食堂，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430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平米办公场所，床位200张，可容纳200位老人居住。老人宿舍为标准间，配备衣橱、床、床头柜、电视机、空调等基本生活用具。院内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沥青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路面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  <w:lang w:val="en-US" w:eastAsia="zh-CN"/>
        </w:rPr>
        <w:t>回廊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与宿舍楼、食堂等建筑相连。另外设有健身广场、棋牌室等功能区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三、服务需求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1、成交供应商为入院特困供养人员及养老对象提供健康教育、健康管理、疾病诊治、康复护理、生活照料、心理关爱、临终关怀等服务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按入院特困供养人员数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不分失能、半失能、全自理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，统一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服务费及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每人每年400元水电费补贴支付成交供应商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。成交供应商负责入院每位特困供养人员的生活费不低于500元/月(适时根据市场物价标准提高)、衣被添置40元/月（各类标准动态调整时，不得低于县民政局当年规定的标准）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 w:bidi="ar-SA"/>
        </w:rPr>
        <w:t>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以现金方式发放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给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入院特困供养人员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零花钱100元/月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/人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 w:bidi="ar-SA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成交供应商负责承担保证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响导乡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养老服务中心正常运营产生的水电费用、管理服务人员工资及职工社保费用，院内日常生活设施维护等其他费用；合法经营、自负盈亏。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3、老人生病就医，根据病人病情，成交供应商安排就诊医院，一般是肥东县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响导乡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卫生院、肥东县中医院、肥东县人民医院、合肥市三甲正规医院，就医接送车辆由成交供应商支付费用，看病医保报销范围内剩下的费用平票据到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响导乡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人民政府报销；老人看病护理由成交供应商负责护理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4、院内现有200张床位，成交供应商须确保有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张床位提供给采购人安排特困供养人员,成交供应商不得以任何借口拒收符合条件的特困供养人员。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5、现有固定资产登记造册，双方核对后交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供应商使用，期满后须如数交回，损坏的按价赔偿(合理使用导致损坏的除外)。成交供应商自行添置的资产，所需费用由成交供应商自行承担。原房屋用途不得改变，未经许可不得改、扩建，承包期满后，成交供应商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响导乡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养老服务中心院内添置不动资产无偿归养老服务中心所有。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 w:bidi="ar-SA"/>
        </w:rPr>
        <w:t>服务期限内若发生政策变更、政府征迁等原因导致成交供应商无法继续运营的，成交供应商在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响导乡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highlight w:val="none"/>
          <w:lang w:val="en-US" w:eastAsia="zh-CN" w:bidi="ar-SA"/>
        </w:rPr>
        <w:t>内出资添置的不动资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产应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按折旧后价格的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10％，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由采购人予以补偿成交供应商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6、成交供应商在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响导乡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养老服务中心投资种植的树木、花卉、草坪，在种植前，报采购人同意后登记备案，合同期满，可移植的，由成交供应商在期满前移出养老服务中心，但不能影响整体美观。不移植的，无偿归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响导乡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养老服务中心所有。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4" w:firstLineChars="200"/>
        <w:textAlignment w:val="auto"/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1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pacing w:val="1"/>
          <w:sz w:val="24"/>
          <w:szCs w:val="24"/>
          <w:highlight w:val="none"/>
        </w:rPr>
        <w:t>、成交供应商仅可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以将房屋及配套户外活动场地用于老人生活、健身、娱</w:t>
      </w:r>
      <w:r>
        <w:rPr>
          <w:rFonts w:hint="eastAsia" w:ascii="宋体" w:hAnsi="宋体" w:eastAsia="宋体" w:cs="宋体"/>
          <w:spacing w:val="-12"/>
          <w:sz w:val="24"/>
          <w:szCs w:val="24"/>
          <w:highlight w:val="none"/>
        </w:rPr>
        <w:t>乐</w:t>
      </w:r>
      <w:r>
        <w:rPr>
          <w:rFonts w:hint="eastAsia" w:ascii="宋体" w:hAnsi="宋体" w:eastAsia="宋体" w:cs="宋体"/>
          <w:spacing w:val="-8"/>
          <w:sz w:val="24"/>
          <w:szCs w:val="24"/>
          <w:highlight w:val="none"/>
        </w:rPr>
        <w:t>之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t>用，不得对外转让、出租出借、抵押等。且不得以养老服务中心名义对外借款，为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他人提供担保等。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8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t>的权力和义务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配合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做好房屋使用等前期各项工作。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2、对属于成交供应商的资产进行登记造册，经双方核实，签字确认后移交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经营管理。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3、遇不可抗拒的原因或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原因中止合同的，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有义务协助妥善安置住养老人。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不得干涉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正常的自主经营活动。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将积极协助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争取政府和社会支持，协助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享受国家对公办民营养老服务机构的相关补贴政策，协助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向上级政府争取运营补助等政策性资金，享受运营过程中的相关补贴。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6、运营期间，上级政府及民政部门对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响导乡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养老服务中心的奖励等资金归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响导乡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人民政府所有，并用于支付入院特困供养人员个人承担的医疗费。除捐赠人指定捐赠对象为运营机构外，社会捐赠实物可由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安排分配，受益对象必须是院内特困供养人员对象。社会捐赠款物应登记造册，接收、发放要做到账目手续完备，有账可查。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7、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提供办理各类经营证照所需房产证、租赁证明、房屋消防验收合格意见书等相关材料。消防设施验收以消防安全为主，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需配合，经费由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承担，验收合格后的日常维护由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负责，消防维保费用、消防设备更换费用由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8、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应按约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及时向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支付其安排入住的特困供养人员的服务费用。特困供养对象合规医疗费用由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先行垫付，所有报销程序结束后剩余费用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票据由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响导乡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人民政府全额承担，每月结算一次。入住特困供养对象住院期间按照相关要求进行护理，护理费由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负责承担，保险公司报销后的护理费归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所有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78" w:firstLineChars="200"/>
        <w:textAlignment w:val="baseline"/>
        <w:outlineLvl w:val="1"/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t>五、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b/>
          <w:bCs/>
          <w:spacing w:val="-1"/>
          <w:sz w:val="24"/>
          <w:szCs w:val="24"/>
          <w:highlight w:val="none"/>
        </w:rPr>
        <w:t>的权利和义务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负责入住特困供养人员及养老对象的日常管理服务工作，合法经营，自负盈亏。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负责支付经营期间所产生的水电费、物业费等费用。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在本项目内不得从事与养老属性无关的生产经营活动，不得利用本项目场地从事生产、销售、经营国家规定的违禁品，不得从事任何违法活动。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不得以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响导乡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养老服务中心的经营权向第三方进行转包、担保、保证、抵押或其他一切损害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权益的行为，由此引起的一切责任由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按照国家有关规定建立健全人身财产安全、消防安全、卫生、食品、财务、档案管理等规章制度，制定服务标准和工作流程，并予以公开。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、在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服务期内，因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原因造成的安全事故，即第三人人身财产损失的责任，由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、运营考核，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自觉接受县、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政府的监督、管理和考核，并按照主管部门要求，进行相关业务指导。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将组织民政、安全、市场管理、公安等相关部门每季度对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运营情况进行考评，每年若连续两次得分低于70分、或在上级民政、安全、消防等部门日常检查中，发现存在严重管理漏洞及重大安全隐患的、不能严格执行合同或发生安全责任事故，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有权终止合同，由此产生的一切后果和责任由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全部承担，同时承担全部经济损失。期间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添置的不动产、动产、林木花草等无偿归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响导乡养老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服务中心所有。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6" w:firstLineChars="200"/>
        <w:textAlignment w:val="baseline"/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t>、因病等正常死亡的特困供养对象丧葬有关事宜应当按现行政策处置。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6" w:firstLineChars="200"/>
        <w:textAlignment w:val="baseline"/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t>、运营期内，因成交供应商运营不当，造成安全事故及其他意外事件由成交供应商负责，其一切后果由运营方自行承担。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56" w:firstLineChars="200"/>
        <w:textAlignment w:val="baseline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</w:rPr>
        <w:t>、成交供应商在履约过程中有违反项目要求的，采购人</w:t>
      </w:r>
      <w:r>
        <w:rPr>
          <w:rFonts w:hint="eastAsia" w:ascii="宋体" w:hAnsi="宋体" w:eastAsia="宋体" w:cs="宋体"/>
          <w:spacing w:val="-11"/>
          <w:sz w:val="24"/>
          <w:szCs w:val="24"/>
          <w:highlight w:val="none"/>
        </w:rPr>
        <w:t>有权单方解除合同，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由此给采购人或第三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人造成损失的还应赔偿由此造成的损失。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52" w:firstLineChars="200"/>
        <w:textAlignment w:val="auto"/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7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、本采购要求与成交供应商与采购人签订的合同具有同等法律效力，合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同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没有约定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的，适用本采购要求。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12、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/>
        </w:rPr>
        <w:t>成交供应商须为本项目配备专职财务管理人员、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医护人员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/>
        </w:rPr>
        <w:t>、消防安全人员、专职管理人员，工作人员须持证上岗，一线服务人员须持健康证上岗。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82" w:firstLineChars="200"/>
        <w:jc w:val="both"/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注：除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评分细则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中要求提供的相关人员证明材料作为评分条件外，供应商在响应文件中无须提供其他人员相关证明材料，由采购人在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成交供应商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进场服务前核查人员配备情况，人员须按照要求配备到位，否则采购人有权解除合同并报监管部门按规定处理。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、报价要求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本项目预算为1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万元/年。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512" w:firstLineChars="200"/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pacing w:val="8"/>
          <w:sz w:val="24"/>
          <w:szCs w:val="24"/>
          <w:highlight w:val="none"/>
        </w:rPr>
        <w:t>本</w:t>
      </w:r>
      <w:r>
        <w:rPr>
          <w:rFonts w:hint="eastAsia" w:ascii="宋体" w:hAnsi="宋体" w:eastAsia="宋体" w:cs="宋体"/>
          <w:spacing w:val="7"/>
          <w:sz w:val="24"/>
          <w:szCs w:val="24"/>
          <w:highlight w:val="none"/>
        </w:rPr>
        <w:t>项</w:t>
      </w:r>
      <w:r>
        <w:rPr>
          <w:rFonts w:hint="eastAsia" w:ascii="宋体" w:hAnsi="宋体" w:eastAsia="宋体" w:cs="宋体"/>
          <w:spacing w:val="4"/>
          <w:sz w:val="24"/>
          <w:szCs w:val="24"/>
          <w:highlight w:val="none"/>
        </w:rPr>
        <w:t>目采用定价采购，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按入院特困供养人员数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不分失能、半失能、全自理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，统一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服务费及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每人每年400元水电费补贴支付成交供应商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/>
          <w:spacing w:val="-2"/>
          <w:sz w:val="24"/>
          <w:szCs w:val="24"/>
          <w:highlight w:val="none"/>
        </w:rPr>
        <w:t>供应商无需报价</w:t>
      </w:r>
      <w:r>
        <w:rPr>
          <w:rFonts w:hint="eastAsia" w:ascii="宋体" w:hAnsi="宋体" w:eastAsia="宋体" w:cs="宋体"/>
          <w:spacing w:val="-2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37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、验收要求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验收时，由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组成验收小组，验收小组应严格依照采购文件、采购合同及相关验收规范进行核对、验收，形成验收结论，并出具书面验收报告。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政府向社会公众提供的公共服务项目，采购文件应写明验收时邀请服务对象参与并出具意见、验收结果应该向社会公告。</w:t>
      </w:r>
    </w:p>
    <w:p>
      <w:pPr>
        <w:spacing w:line="360" w:lineRule="auto"/>
        <w:ind w:firstLine="437"/>
        <w:rPr>
          <w:rFonts w:ascii="宋体" w:hAnsi="宋体" w:eastAsia="宋体"/>
          <w:b/>
          <w:sz w:val="24"/>
          <w:szCs w:val="18"/>
          <w:highlight w:val="none"/>
        </w:rPr>
      </w:pPr>
    </w:p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NjZTZjNTU3NDRjNTJmZDE4NTViNDM1MjA5NGMifQ=="/>
  </w:docVars>
  <w:rsids>
    <w:rsidRoot w:val="00000000"/>
    <w:rsid w:val="448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7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8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2025-03-21T02:15:08Z</dcterms:created>
  <dc:creator>liul</dc:creator>
  <cp:lastModifiedBy>刘骝</cp:lastModifiedBy>
  <dcterms:modified xsi:type="dcterms:W3CDTF">2025-03-21T02:15:44Z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12BD4FF689F24E3DA2E405957C728F0C_12</vt:lpwstr>
  </property>
</Properties>
</file>