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31D5">
      <w:pPr>
        <w:spacing w:line="576" w:lineRule="exact"/>
        <w:jc w:val="center"/>
        <w:rPr>
          <w:rFonts w:ascii="宋体" w:hAnsi="宋体"/>
          <w:b/>
          <w:sz w:val="32"/>
          <w:szCs w:val="36"/>
        </w:rPr>
      </w:pPr>
      <w:r>
        <w:rPr>
          <w:rFonts w:hint="eastAsia" w:ascii="宋体" w:hAnsi="宋体"/>
          <w:b/>
          <w:sz w:val="32"/>
          <w:szCs w:val="36"/>
        </w:rPr>
        <w:t>中标候选人信息表</w:t>
      </w:r>
    </w:p>
    <w:tbl>
      <w:tblPr>
        <w:tblStyle w:val="5"/>
        <w:tblpPr w:leftFromText="180" w:rightFromText="180" w:vertAnchor="text" w:horzAnchor="page" w:tblpX="1856" w:tblpY="592"/>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3261"/>
        <w:gridCol w:w="3402"/>
      </w:tblGrid>
      <w:tr w14:paraId="7A6A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946" w:type="dxa"/>
            <w:gridSpan w:val="3"/>
            <w:vAlign w:val="center"/>
          </w:tcPr>
          <w:p w14:paraId="594D90E2">
            <w:pPr>
              <w:widowControl/>
              <w:jc w:val="center"/>
              <w:rPr>
                <w:rFonts w:ascii="宋体" w:hAnsi="宋体" w:cs="宋体"/>
                <w:kern w:val="0"/>
                <w:sz w:val="24"/>
                <w:szCs w:val="24"/>
              </w:rPr>
            </w:pPr>
            <w:r>
              <w:rPr>
                <w:rFonts w:hint="eastAsia" w:ascii="宋体" w:hAnsi="宋体" w:cs="宋体"/>
                <w:b/>
                <w:kern w:val="0"/>
                <w:sz w:val="24"/>
                <w:szCs w:val="24"/>
                <w:lang w:val="en-US" w:eastAsia="zh-CN"/>
              </w:rPr>
              <w:t>第一</w:t>
            </w:r>
            <w:r>
              <w:rPr>
                <w:rFonts w:hint="eastAsia" w:ascii="宋体" w:hAnsi="宋体" w:cs="宋体"/>
                <w:b/>
                <w:kern w:val="0"/>
                <w:sz w:val="24"/>
                <w:szCs w:val="24"/>
              </w:rPr>
              <w:t>中标候选人：宁波水表（集团）股份有限公司</w:t>
            </w:r>
          </w:p>
        </w:tc>
      </w:tr>
      <w:tr w14:paraId="63E4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283" w:type="dxa"/>
            <w:vAlign w:val="center"/>
          </w:tcPr>
          <w:p w14:paraId="0B7EE6B0">
            <w:pPr>
              <w:widowControl/>
              <w:jc w:val="center"/>
              <w:rPr>
                <w:rFonts w:ascii="宋体" w:hAnsi="宋体" w:cs="宋体"/>
                <w:kern w:val="0"/>
                <w:sz w:val="24"/>
                <w:szCs w:val="24"/>
              </w:rPr>
            </w:pPr>
            <w:r>
              <w:rPr>
                <w:rFonts w:hint="eastAsia" w:ascii="宋体" w:hAnsi="宋体" w:cs="宋体"/>
                <w:kern w:val="0"/>
                <w:sz w:val="24"/>
                <w:szCs w:val="24"/>
              </w:rPr>
              <w:t>中标候选人响应招标文件要求的资格能力条件</w:t>
            </w:r>
          </w:p>
        </w:tc>
        <w:tc>
          <w:tcPr>
            <w:tcW w:w="6663" w:type="dxa"/>
            <w:gridSpan w:val="2"/>
            <w:vAlign w:val="center"/>
          </w:tcPr>
          <w:p w14:paraId="1DFA61D9">
            <w:pPr>
              <w:widowControl/>
              <w:numPr>
                <w:ilvl w:val="0"/>
                <w:numId w:val="0"/>
              </w:numPr>
              <w:jc w:val="left"/>
              <w:rPr>
                <w:rFonts w:hint="default"/>
                <w:sz w:val="24"/>
                <w:szCs w:val="24"/>
                <w:lang w:val="en-US" w:eastAsia="zh-CN"/>
              </w:rPr>
            </w:pPr>
            <w:r>
              <w:rPr>
                <w:rFonts w:hint="default"/>
                <w:sz w:val="24"/>
                <w:szCs w:val="24"/>
                <w:lang w:val="en-US" w:eastAsia="zh-CN"/>
              </w:rPr>
              <w:t>（1）</w:t>
            </w:r>
            <w:r>
              <w:rPr>
                <w:rFonts w:hint="eastAsia"/>
                <w:sz w:val="24"/>
                <w:szCs w:val="24"/>
                <w:lang w:val="en-US" w:eastAsia="zh-CN"/>
              </w:rPr>
              <w:t>有效的营业执照；</w:t>
            </w:r>
          </w:p>
          <w:p w14:paraId="32BBD29E">
            <w:pPr>
              <w:widowControl/>
              <w:numPr>
                <w:ilvl w:val="0"/>
                <w:numId w:val="0"/>
              </w:numPr>
              <w:jc w:val="left"/>
              <w:rPr>
                <w:rFonts w:hint="default"/>
                <w:sz w:val="24"/>
                <w:szCs w:val="24"/>
                <w:lang w:val="en-US" w:eastAsia="zh-CN"/>
              </w:rPr>
            </w:pPr>
            <w:r>
              <w:rPr>
                <w:rFonts w:hint="default"/>
                <w:sz w:val="24"/>
                <w:szCs w:val="24"/>
                <w:lang w:val="en-US" w:eastAsia="zh-CN"/>
              </w:rPr>
              <w:t>（2）</w:t>
            </w:r>
            <w:r>
              <w:rPr>
                <w:rFonts w:hint="eastAsia"/>
                <w:sz w:val="24"/>
                <w:szCs w:val="24"/>
                <w:lang w:val="en-US" w:eastAsia="zh-CN"/>
              </w:rPr>
              <w:t>所投</w:t>
            </w:r>
            <w:r>
              <w:rPr>
                <w:rFonts w:hint="default"/>
                <w:sz w:val="24"/>
                <w:szCs w:val="24"/>
                <w:lang w:val="en-US" w:eastAsia="zh-CN"/>
              </w:rPr>
              <w:t>机械水表生产厂家；</w:t>
            </w:r>
          </w:p>
          <w:p w14:paraId="788244C2">
            <w:pPr>
              <w:widowControl/>
              <w:numPr>
                <w:ilvl w:val="0"/>
                <w:numId w:val="0"/>
              </w:numPr>
              <w:jc w:val="left"/>
              <w:rPr>
                <w:rFonts w:hint="default"/>
                <w:sz w:val="24"/>
                <w:szCs w:val="24"/>
                <w:lang w:val="en-US" w:eastAsia="zh-CN"/>
              </w:rPr>
            </w:pPr>
            <w:r>
              <w:rPr>
                <w:rFonts w:hint="default"/>
                <w:sz w:val="24"/>
                <w:szCs w:val="24"/>
                <w:lang w:val="en-US" w:eastAsia="zh-CN"/>
              </w:rPr>
              <w:t>（3）《中华人民共和国计量器具型式批准证书》（证书中包含：DN15 和 DN20 和 DN25 和 DN40 和 DN50 口径机械水表，准确度2级）。</w:t>
            </w:r>
          </w:p>
        </w:tc>
      </w:tr>
      <w:tr w14:paraId="15E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restart"/>
            <w:vAlign w:val="center"/>
          </w:tcPr>
          <w:p w14:paraId="19ACBC94">
            <w:pPr>
              <w:widowControl/>
              <w:jc w:val="center"/>
              <w:rPr>
                <w:rFonts w:ascii="宋体" w:hAnsi="宋体" w:cs="宋体"/>
                <w:kern w:val="0"/>
                <w:sz w:val="24"/>
                <w:szCs w:val="24"/>
              </w:rPr>
            </w:pPr>
            <w:r>
              <w:rPr>
                <w:rFonts w:hint="eastAsia" w:ascii="宋体" w:hAnsi="宋体" w:cs="宋体"/>
                <w:kern w:val="0"/>
                <w:sz w:val="24"/>
                <w:szCs w:val="24"/>
              </w:rPr>
              <w:t>项目负责人</w:t>
            </w:r>
          </w:p>
        </w:tc>
        <w:tc>
          <w:tcPr>
            <w:tcW w:w="3261" w:type="dxa"/>
            <w:vAlign w:val="center"/>
          </w:tcPr>
          <w:p w14:paraId="0523ABCD">
            <w:pPr>
              <w:widowControl/>
              <w:jc w:val="center"/>
              <w:rPr>
                <w:rFonts w:ascii="宋体" w:hAnsi="宋体" w:cs="宋体"/>
                <w:kern w:val="0"/>
                <w:sz w:val="24"/>
                <w:szCs w:val="24"/>
              </w:rPr>
            </w:pPr>
            <w:r>
              <w:rPr>
                <w:rFonts w:hint="eastAsia" w:ascii="宋体" w:hAnsi="宋体" w:cs="宋体"/>
                <w:kern w:val="0"/>
                <w:sz w:val="24"/>
                <w:szCs w:val="24"/>
              </w:rPr>
              <w:t>姓名</w:t>
            </w:r>
          </w:p>
        </w:tc>
        <w:tc>
          <w:tcPr>
            <w:tcW w:w="3402" w:type="dxa"/>
            <w:vAlign w:val="center"/>
          </w:tcPr>
          <w:p w14:paraId="67884B64">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r>
      <w:tr w14:paraId="0098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vAlign w:val="center"/>
          </w:tcPr>
          <w:p w14:paraId="1756876A">
            <w:pPr>
              <w:widowControl/>
              <w:jc w:val="center"/>
              <w:rPr>
                <w:rFonts w:ascii="宋体" w:hAnsi="宋体" w:cs="宋体"/>
                <w:kern w:val="0"/>
                <w:sz w:val="24"/>
                <w:szCs w:val="24"/>
              </w:rPr>
            </w:pPr>
          </w:p>
        </w:tc>
        <w:tc>
          <w:tcPr>
            <w:tcW w:w="3261" w:type="dxa"/>
            <w:vAlign w:val="center"/>
          </w:tcPr>
          <w:p w14:paraId="7BC1DF25">
            <w:pPr>
              <w:widowControl/>
              <w:jc w:val="center"/>
              <w:rPr>
                <w:rFonts w:ascii="宋体" w:hAnsi="宋体" w:cs="宋体"/>
                <w:kern w:val="0"/>
                <w:sz w:val="24"/>
                <w:szCs w:val="24"/>
              </w:rPr>
            </w:pPr>
            <w:r>
              <w:rPr>
                <w:rFonts w:hint="eastAsia" w:ascii="宋体" w:hAnsi="宋体" w:cs="宋体"/>
                <w:kern w:val="0"/>
                <w:sz w:val="24"/>
                <w:szCs w:val="24"/>
              </w:rPr>
              <w:t>证书名称</w:t>
            </w:r>
          </w:p>
        </w:tc>
        <w:tc>
          <w:tcPr>
            <w:tcW w:w="3402" w:type="dxa"/>
            <w:vAlign w:val="center"/>
          </w:tcPr>
          <w:p w14:paraId="32B99A63">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w:t>
            </w:r>
          </w:p>
        </w:tc>
      </w:tr>
      <w:tr w14:paraId="4915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vAlign w:val="center"/>
          </w:tcPr>
          <w:p w14:paraId="7B2CC6CA">
            <w:pPr>
              <w:widowControl/>
              <w:jc w:val="center"/>
              <w:rPr>
                <w:rFonts w:ascii="宋体" w:hAnsi="宋体" w:cs="宋体"/>
                <w:kern w:val="0"/>
                <w:sz w:val="24"/>
                <w:szCs w:val="24"/>
              </w:rPr>
            </w:pPr>
          </w:p>
        </w:tc>
        <w:tc>
          <w:tcPr>
            <w:tcW w:w="3261" w:type="dxa"/>
            <w:vAlign w:val="center"/>
          </w:tcPr>
          <w:p w14:paraId="7CA5D34C">
            <w:pPr>
              <w:widowControl/>
              <w:jc w:val="center"/>
              <w:rPr>
                <w:rFonts w:ascii="宋体" w:hAnsi="宋体" w:cs="宋体"/>
                <w:kern w:val="0"/>
                <w:sz w:val="24"/>
                <w:szCs w:val="24"/>
              </w:rPr>
            </w:pPr>
            <w:r>
              <w:rPr>
                <w:rFonts w:hint="eastAsia" w:ascii="宋体" w:hAnsi="宋体" w:cs="宋体"/>
                <w:kern w:val="0"/>
                <w:sz w:val="24"/>
                <w:szCs w:val="24"/>
              </w:rPr>
              <w:t>证书编号</w:t>
            </w:r>
          </w:p>
        </w:tc>
        <w:tc>
          <w:tcPr>
            <w:tcW w:w="3402" w:type="dxa"/>
            <w:vAlign w:val="center"/>
          </w:tcPr>
          <w:p w14:paraId="7AB07FC7">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w:t>
            </w:r>
          </w:p>
        </w:tc>
      </w:tr>
      <w:tr w14:paraId="6B84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Align w:val="center"/>
          </w:tcPr>
          <w:p w14:paraId="706D90AB">
            <w:pPr>
              <w:widowControl/>
              <w:jc w:val="center"/>
              <w:rPr>
                <w:rFonts w:ascii="宋体" w:hAnsi="宋体"/>
                <w:sz w:val="24"/>
                <w:szCs w:val="24"/>
              </w:rPr>
            </w:pPr>
            <w:r>
              <w:rPr>
                <w:rFonts w:hint="eastAsia" w:ascii="宋体" w:hAnsi="宋体"/>
                <w:sz w:val="24"/>
                <w:szCs w:val="24"/>
              </w:rPr>
              <w:t>交货期</w:t>
            </w:r>
          </w:p>
        </w:tc>
        <w:tc>
          <w:tcPr>
            <w:tcW w:w="6663" w:type="dxa"/>
            <w:gridSpan w:val="2"/>
            <w:vAlign w:val="center"/>
          </w:tcPr>
          <w:p w14:paraId="6E05765D">
            <w:pPr>
              <w:widowControl/>
              <w:jc w:val="left"/>
              <w:rPr>
                <w:rFonts w:hint="eastAsia" w:ascii="宋体" w:hAnsi="宋体" w:eastAsia="宋体"/>
                <w:sz w:val="24"/>
                <w:szCs w:val="24"/>
                <w:lang w:eastAsia="zh-CN"/>
              </w:rPr>
            </w:pPr>
            <w:r>
              <w:rPr>
                <w:rFonts w:hint="eastAsia" w:ascii="宋体" w:hAnsi="宋体" w:eastAsia="宋体"/>
                <w:sz w:val="24"/>
                <w:szCs w:val="24"/>
                <w:lang w:eastAsia="zh-CN"/>
              </w:rPr>
              <w:t>自合同签订之日起，供货金额达到预算价 240 万元时，合同自动终止。 按批次供货， 每批次供货量以招标人要求为准</w:t>
            </w:r>
            <w:bookmarkStart w:id="0" w:name="_GoBack"/>
            <w:bookmarkEnd w:id="0"/>
            <w:r>
              <w:rPr>
                <w:rFonts w:hint="eastAsia" w:ascii="宋体" w:hAnsi="宋体" w:eastAsia="宋体"/>
                <w:sz w:val="24"/>
                <w:szCs w:val="24"/>
                <w:lang w:eastAsia="zh-CN"/>
              </w:rPr>
              <w:t>（中标人不得对各批次的起送量提出任何异议），接到招标人采购订单后，中标人须 5 个日历天内将货物送至招标人指定地点。应急情况下，中标人自接到招标人供货通知后 24 小时内，保质保量的将货物送到招标人指定地点。</w:t>
            </w:r>
          </w:p>
        </w:tc>
      </w:tr>
      <w:tr w14:paraId="66D8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283" w:type="dxa"/>
            <w:vAlign w:val="center"/>
          </w:tcPr>
          <w:p w14:paraId="7D413C61">
            <w:pPr>
              <w:widowControl/>
              <w:jc w:val="center"/>
              <w:rPr>
                <w:rFonts w:ascii="宋体" w:hAnsi="宋体" w:cs="宋体"/>
                <w:kern w:val="0"/>
                <w:sz w:val="24"/>
                <w:szCs w:val="24"/>
              </w:rPr>
            </w:pPr>
            <w:r>
              <w:rPr>
                <w:rFonts w:hint="eastAsia" w:ascii="宋体" w:hAnsi="宋体"/>
                <w:sz w:val="24"/>
                <w:szCs w:val="24"/>
              </w:rPr>
              <w:t>通过初审的业绩</w:t>
            </w:r>
          </w:p>
        </w:tc>
        <w:tc>
          <w:tcPr>
            <w:tcW w:w="6663" w:type="dxa"/>
            <w:gridSpan w:val="2"/>
            <w:vAlign w:val="center"/>
          </w:tcPr>
          <w:p w14:paraId="7A11943D">
            <w:pPr>
              <w:widowControl/>
              <w:rPr>
                <w:rFonts w:hint="eastAsia" w:ascii="宋体" w:hAnsi="宋体" w:eastAsia="宋体" w:cs="宋体"/>
                <w:kern w:val="0"/>
                <w:sz w:val="24"/>
                <w:szCs w:val="24"/>
                <w:lang w:eastAsia="zh-CN"/>
              </w:rPr>
            </w:pPr>
            <w:r>
              <w:rPr>
                <w:rFonts w:hint="eastAsia" w:ascii="宋体" w:hAnsi="宋体" w:cs="宋体"/>
                <w:kern w:val="0"/>
                <w:sz w:val="24"/>
                <w:szCs w:val="24"/>
              </w:rPr>
              <w:t>投标人业绩：</w:t>
            </w:r>
            <w:r>
              <w:rPr>
                <w:rFonts w:hint="eastAsia" w:ascii="宋体" w:hAnsi="宋体" w:cs="宋体"/>
                <w:kern w:val="0"/>
                <w:sz w:val="24"/>
                <w:szCs w:val="24"/>
                <w:lang w:val="en-US" w:eastAsia="zh-CN"/>
              </w:rPr>
              <w:t>/</w:t>
            </w:r>
          </w:p>
        </w:tc>
      </w:tr>
      <w:tr w14:paraId="04A8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83" w:type="dxa"/>
            <w:vMerge w:val="restart"/>
            <w:vAlign w:val="center"/>
          </w:tcPr>
          <w:p w14:paraId="1B0F3DC4">
            <w:pPr>
              <w:widowControl/>
              <w:jc w:val="center"/>
              <w:rPr>
                <w:rFonts w:ascii="宋体" w:hAnsi="宋体" w:cs="宋体"/>
                <w:kern w:val="0"/>
                <w:sz w:val="24"/>
                <w:szCs w:val="24"/>
              </w:rPr>
            </w:pPr>
            <w:r>
              <w:rPr>
                <w:rFonts w:hint="eastAsia" w:ascii="宋体" w:hAnsi="宋体"/>
                <w:sz w:val="24"/>
                <w:szCs w:val="24"/>
              </w:rPr>
              <w:t>通过评审的得分业绩</w:t>
            </w:r>
          </w:p>
        </w:tc>
        <w:tc>
          <w:tcPr>
            <w:tcW w:w="6663" w:type="dxa"/>
            <w:gridSpan w:val="2"/>
            <w:vAlign w:val="center"/>
          </w:tcPr>
          <w:p w14:paraId="0B485618">
            <w:pPr>
              <w:widowControl/>
              <w:numPr>
                <w:ilvl w:val="0"/>
                <w:numId w:val="0"/>
              </w:numPr>
              <w:jc w:val="left"/>
              <w:rPr>
                <w:rFonts w:hint="eastAsia"/>
                <w:sz w:val="24"/>
                <w:szCs w:val="24"/>
                <w:lang w:val="en-US" w:eastAsia="zh-CN"/>
              </w:rPr>
            </w:pPr>
            <w:r>
              <w:rPr>
                <w:rFonts w:hint="eastAsia"/>
                <w:sz w:val="24"/>
                <w:szCs w:val="24"/>
                <w:lang w:val="en-US" w:eastAsia="zh-CN"/>
              </w:rPr>
              <w:t>投标人业绩：</w:t>
            </w:r>
          </w:p>
          <w:p w14:paraId="1876A70F">
            <w:pPr>
              <w:widowControl/>
              <w:numPr>
                <w:ilvl w:val="0"/>
                <w:numId w:val="0"/>
              </w:numPr>
              <w:jc w:val="left"/>
              <w:rPr>
                <w:rFonts w:hint="eastAsia"/>
                <w:sz w:val="24"/>
                <w:szCs w:val="24"/>
                <w:lang w:val="en-US" w:eastAsia="zh-CN"/>
              </w:rPr>
            </w:pPr>
            <w:r>
              <w:rPr>
                <w:rFonts w:hint="eastAsia"/>
                <w:sz w:val="24"/>
                <w:szCs w:val="24"/>
                <w:lang w:val="en-US" w:eastAsia="zh-CN"/>
              </w:rPr>
              <w:t xml:space="preserve">1.无为市水务投资有限公司无为市城乡一体化供水管网延伸工程材料采购项目(水表普表)             </w:t>
            </w:r>
          </w:p>
          <w:p w14:paraId="2A7D52C6">
            <w:pPr>
              <w:widowControl/>
              <w:numPr>
                <w:ilvl w:val="0"/>
                <w:numId w:val="0"/>
              </w:numPr>
              <w:jc w:val="left"/>
              <w:rPr>
                <w:rFonts w:hint="default" w:ascii="宋体" w:hAnsi="宋体" w:eastAsia="宋体" w:cs="宋体"/>
                <w:kern w:val="0"/>
                <w:sz w:val="24"/>
                <w:szCs w:val="24"/>
                <w:lang w:val="en-US" w:eastAsia="zh-CN"/>
              </w:rPr>
            </w:pPr>
            <w:r>
              <w:rPr>
                <w:rFonts w:hint="eastAsia"/>
                <w:sz w:val="24"/>
                <w:szCs w:val="24"/>
                <w:lang w:val="en-US" w:eastAsia="zh-CN"/>
              </w:rPr>
              <w:t>2.绍兴柯桥供水有限公司2023年度大口径水表采购项目   3.2023年重庆中法供水有限公司小口径机械表采购项目（包1：有接小口径机械水表）</w:t>
            </w:r>
          </w:p>
        </w:tc>
      </w:tr>
      <w:tr w14:paraId="311C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83" w:type="dxa"/>
            <w:vMerge w:val="continue"/>
            <w:vAlign w:val="center"/>
          </w:tcPr>
          <w:p w14:paraId="22D1D6A0">
            <w:pPr>
              <w:widowControl/>
              <w:jc w:val="center"/>
              <w:rPr>
                <w:rFonts w:ascii="宋体" w:hAnsi="宋体" w:cs="宋体"/>
                <w:kern w:val="0"/>
                <w:sz w:val="24"/>
                <w:szCs w:val="24"/>
              </w:rPr>
            </w:pPr>
          </w:p>
        </w:tc>
        <w:tc>
          <w:tcPr>
            <w:tcW w:w="6663" w:type="dxa"/>
            <w:gridSpan w:val="2"/>
            <w:vAlign w:val="center"/>
          </w:tcPr>
          <w:p w14:paraId="3697C093">
            <w:pPr>
              <w:widowControl/>
              <w:numPr>
                <w:ilvl w:val="0"/>
                <w:numId w:val="0"/>
              </w:numPr>
              <w:jc w:val="left"/>
              <w:rPr>
                <w:rFonts w:hint="eastAsia"/>
                <w:sz w:val="24"/>
                <w:szCs w:val="24"/>
                <w:lang w:val="en-US" w:eastAsia="zh-CN"/>
              </w:rPr>
            </w:pPr>
            <w:r>
              <w:rPr>
                <w:rFonts w:hint="eastAsia"/>
                <w:sz w:val="24"/>
                <w:szCs w:val="24"/>
                <w:lang w:val="en-US" w:eastAsia="zh-CN"/>
              </w:rPr>
              <w:t>产品业绩：</w:t>
            </w:r>
          </w:p>
          <w:p w14:paraId="4279D50E">
            <w:pPr>
              <w:widowControl/>
              <w:numPr>
                <w:ilvl w:val="0"/>
                <w:numId w:val="0"/>
              </w:numPr>
              <w:jc w:val="left"/>
              <w:rPr>
                <w:rFonts w:hint="default" w:ascii="宋体" w:hAnsi="宋体" w:eastAsia="宋体" w:cs="宋体"/>
                <w:kern w:val="0"/>
                <w:sz w:val="24"/>
                <w:szCs w:val="24"/>
                <w:lang w:val="en-US" w:eastAsia="zh-CN"/>
              </w:rPr>
            </w:pPr>
            <w:r>
              <w:rPr>
                <w:rFonts w:hint="eastAsia"/>
                <w:sz w:val="24"/>
                <w:szCs w:val="24"/>
                <w:lang w:val="en-US" w:eastAsia="zh-CN"/>
              </w:rPr>
              <w:t>1.合肥供水集团2023年度供水工程机械水表合格供应商                                               2.无锡市水务集团有限公司2024年9月1日~2025年8月31日铜壳水表采购及相关服务项目                         3.厦门市政水务集团有限公司2022年7月至2024年6月半液封旋翼式水表采购项目</w:t>
            </w:r>
          </w:p>
        </w:tc>
      </w:tr>
      <w:tr w14:paraId="332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83" w:type="dxa"/>
            <w:vMerge w:val="continue"/>
            <w:vAlign w:val="center"/>
          </w:tcPr>
          <w:p w14:paraId="73EAB119">
            <w:pPr>
              <w:widowControl/>
              <w:jc w:val="center"/>
              <w:rPr>
                <w:rFonts w:ascii="宋体" w:hAnsi="宋体" w:cs="宋体"/>
                <w:kern w:val="0"/>
                <w:sz w:val="24"/>
                <w:szCs w:val="24"/>
              </w:rPr>
            </w:pPr>
          </w:p>
        </w:tc>
        <w:tc>
          <w:tcPr>
            <w:tcW w:w="6663" w:type="dxa"/>
            <w:gridSpan w:val="2"/>
            <w:vAlign w:val="center"/>
          </w:tcPr>
          <w:p w14:paraId="4EDFDFE4">
            <w:pPr>
              <w:widowControl/>
              <w:rPr>
                <w:rFonts w:ascii="宋体" w:hAnsi="宋体" w:cs="宋体"/>
                <w:kern w:val="0"/>
                <w:sz w:val="24"/>
                <w:szCs w:val="24"/>
              </w:rPr>
            </w:pPr>
            <w:r>
              <w:rPr>
                <w:rFonts w:hint="eastAsia" w:ascii="宋体" w:hAnsi="宋体" w:cs="宋体"/>
                <w:kern w:val="0"/>
                <w:sz w:val="24"/>
                <w:szCs w:val="24"/>
              </w:rPr>
              <w:t>项目负责人业绩：/</w:t>
            </w:r>
            <w:r>
              <w:rPr>
                <w:rFonts w:ascii="宋体" w:hAnsi="宋体" w:cs="宋体"/>
                <w:kern w:val="0"/>
                <w:sz w:val="24"/>
                <w:szCs w:val="24"/>
              </w:rPr>
              <w:t xml:space="preserve"> </w:t>
            </w:r>
          </w:p>
        </w:tc>
      </w:tr>
      <w:tr w14:paraId="687B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83" w:type="dxa"/>
            <w:vAlign w:val="center"/>
          </w:tcPr>
          <w:p w14:paraId="5FDD296F">
            <w:pPr>
              <w:widowControl/>
              <w:jc w:val="center"/>
              <w:rPr>
                <w:rFonts w:ascii="宋体" w:hAnsi="宋体" w:cs="宋体"/>
                <w:kern w:val="0"/>
                <w:sz w:val="24"/>
                <w:szCs w:val="24"/>
              </w:rPr>
            </w:pPr>
            <w:r>
              <w:rPr>
                <w:rFonts w:hint="eastAsia" w:ascii="宋体" w:hAnsi="宋体" w:cs="宋体"/>
                <w:kern w:val="0"/>
                <w:sz w:val="24"/>
                <w:szCs w:val="24"/>
              </w:rPr>
              <w:t>其他</w:t>
            </w:r>
          </w:p>
        </w:tc>
        <w:tc>
          <w:tcPr>
            <w:tcW w:w="6663" w:type="dxa"/>
            <w:gridSpan w:val="2"/>
            <w:vAlign w:val="center"/>
          </w:tcPr>
          <w:p w14:paraId="2208C589">
            <w:pPr>
              <w:widowControl/>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w:t>
            </w:r>
          </w:p>
        </w:tc>
      </w:tr>
    </w:tbl>
    <w:p w14:paraId="15FEB553">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06527E"/>
    <w:rsid w:val="4EDA350C"/>
    <w:rsid w:val="6D4F72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Strong"/>
    <w:basedOn w:val="6"/>
    <w:qFormat/>
    <w:uiPriority w:val="0"/>
    <w:rPr>
      <w:b/>
      <w:bCs/>
    </w:rPr>
  </w:style>
  <w:style w:type="character" w:styleId="8">
    <w:name w:val="FollowedHyperlink"/>
    <w:basedOn w:val="6"/>
    <w:uiPriority w:val="0"/>
    <w:rPr>
      <w:color w:val="800080"/>
      <w:u w:val="none"/>
    </w:rPr>
  </w:style>
  <w:style w:type="character" w:styleId="9">
    <w:name w:val="Emphasis"/>
    <w:basedOn w:val="6"/>
    <w:uiPriority w:val="0"/>
    <w:rPr>
      <w:b/>
      <w:bCs/>
    </w:rPr>
  </w:style>
  <w:style w:type="character" w:styleId="10">
    <w:name w:val="Hyperlink"/>
    <w:basedOn w:val="6"/>
    <w:qFormat/>
    <w:uiPriority w:val="0"/>
    <w:rPr>
      <w:color w:val="0000FF"/>
      <w:u w:val="none"/>
    </w:rPr>
  </w:style>
  <w:style w:type="paragraph" w:customStyle="1" w:styleId="11">
    <w:name w:val="批注框文本1"/>
    <w:basedOn w:val="1"/>
    <w:link w:val="12"/>
    <w:qFormat/>
    <w:uiPriority w:val="0"/>
    <w:rPr>
      <w:rFonts w:ascii="Times New Roman" w:hAnsi="Times New Roman" w:eastAsia="宋体" w:cs="Times New Roman"/>
      <w:sz w:val="18"/>
      <w:szCs w:val="18"/>
    </w:rPr>
  </w:style>
  <w:style w:type="character" w:customStyle="1" w:styleId="12">
    <w:name w:val="批注框文本 Char"/>
    <w:basedOn w:val="6"/>
    <w:link w:val="11"/>
    <w:semiHidden/>
    <w:uiPriority w:val="0"/>
    <w:rPr>
      <w:rFonts w:ascii="Times New Roman" w:hAnsi="Times New Roman" w:eastAsia="宋体" w:cs="Times New Roman"/>
      <w:sz w:val="18"/>
      <w:szCs w:val="18"/>
    </w:rPr>
  </w:style>
  <w:style w:type="character" w:customStyle="1" w:styleId="13">
    <w:name w:val="页脚 Char"/>
    <w:basedOn w:val="6"/>
    <w:link w:val="3"/>
    <w:semiHidden/>
    <w:qFormat/>
    <w:uiPriority w:val="0"/>
    <w:rPr>
      <w:rFonts w:ascii="Times New Roman" w:hAnsi="Times New Roman" w:eastAsia="宋体" w:cs="Times New Roman"/>
      <w:sz w:val="18"/>
      <w:szCs w:val="18"/>
    </w:rPr>
  </w:style>
  <w:style w:type="character" w:customStyle="1" w:styleId="14">
    <w:name w:val="页眉 Char"/>
    <w:basedOn w:val="6"/>
    <w:link w:val="4"/>
    <w:semiHidden/>
    <w:uiPriority w:val="0"/>
    <w:rPr>
      <w:rFonts w:ascii="Times New Roman" w:hAnsi="Times New Roman" w:eastAsia="宋体" w:cs="Times New Roman"/>
      <w:sz w:val="18"/>
      <w:szCs w:val="18"/>
    </w:rPr>
  </w:style>
  <w:style w:type="paragraph" w:customStyle="1" w:styleId="1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List Paragraph"/>
    <w:basedOn w:val="1"/>
    <w:qFormat/>
    <w:uiPriority w:val="0"/>
    <w:pPr>
      <w:ind w:firstLine="420" w:firstLineChars="200"/>
    </w:pPr>
  </w:style>
  <w:style w:type="character" w:customStyle="1" w:styleId="17">
    <w:name w:val="HTML Definition"/>
    <w:basedOn w:val="6"/>
    <w:qFormat/>
    <w:uiPriority w:val="0"/>
    <w:rPr>
      <w:bdr w:val="single" w:color="D6D6D6" w:sz="6" w:space="0"/>
      <w:shd w:val="clear" w:color="010000" w:fill="F9F9F9"/>
    </w:rPr>
  </w:style>
  <w:style w:type="character" w:customStyle="1" w:styleId="18">
    <w:name w:val="HTML Typewriter"/>
    <w:basedOn w:val="6"/>
    <w:qFormat/>
    <w:uiPriority w:val="0"/>
    <w:rPr>
      <w:rFonts w:ascii="monospace" w:hAnsi="monospace" w:eastAsia="monospace" w:cs="monospace"/>
      <w:sz w:val="20"/>
    </w:rPr>
  </w:style>
  <w:style w:type="character" w:customStyle="1" w:styleId="19">
    <w:name w:val="HTML Acronym"/>
    <w:basedOn w:val="6"/>
    <w:qFormat/>
    <w:uiPriority w:val="0"/>
  </w:style>
  <w:style w:type="character" w:customStyle="1" w:styleId="20">
    <w:name w:val="HTML Variable"/>
    <w:basedOn w:val="6"/>
    <w:qFormat/>
    <w:uiPriority w:val="0"/>
  </w:style>
  <w:style w:type="character" w:customStyle="1" w:styleId="21">
    <w:name w:val="HTML Code"/>
    <w:basedOn w:val="6"/>
    <w:qFormat/>
    <w:uiPriority w:val="0"/>
    <w:rPr>
      <w:rFonts w:hint="default" w:ascii="monospace" w:hAnsi="monospace" w:eastAsia="monospace" w:cs="monospace"/>
      <w:sz w:val="20"/>
    </w:rPr>
  </w:style>
  <w:style w:type="character" w:customStyle="1" w:styleId="22">
    <w:name w:val="HTML Cite"/>
    <w:basedOn w:val="6"/>
    <w:qFormat/>
    <w:uiPriority w:val="0"/>
  </w:style>
  <w:style w:type="character" w:customStyle="1" w:styleId="23">
    <w:name w:val="HTML Keyboard"/>
    <w:basedOn w:val="6"/>
    <w:uiPriority w:val="0"/>
    <w:rPr>
      <w:rFonts w:hint="default" w:ascii="monospace" w:hAnsi="monospace" w:eastAsia="monospace" w:cs="monospace"/>
      <w:sz w:val="20"/>
    </w:rPr>
  </w:style>
  <w:style w:type="character" w:customStyle="1" w:styleId="24">
    <w:name w:val="HTML Sample"/>
    <w:basedOn w:val="6"/>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534</Words>
  <Characters>582</Characters>
  <Lines>1</Lines>
  <Paragraphs>1</Paragraphs>
  <TotalTime>12</TotalTime>
  <ScaleCrop>false</ScaleCrop>
  <LinksUpToDate>false</LinksUpToDate>
  <CharactersWithSpaces>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2018-01-02T10:24:00Z</dcterms:created>
  <dc:creator>NTKO</dc:creator>
  <cp:lastModifiedBy>FDJY</cp:lastModifiedBy>
  <cp:lastPrinted>2020-04-30T17:27:00Z</cp:lastPrinted>
  <dcterms:modified xsi:type="dcterms:W3CDTF">2026-01-15T07:18:36Z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C09FE6CA47B34CB3B71646F58BE4B649</vt:lpwstr>
  </property>
  <property fmtid="{D5CDD505-2E9C-101B-9397-08002B2CF9AE}" pid="4" name="KSOTemplateDocerSaveRecord">
    <vt:lpwstr>eyJoZGlkIjoiYmI3Nzg3OTFmYmNiMmRlOTJhYzY4YTEzMGMyODI1N2YifQ==</vt:lpwstr>
  </property>
</Properties>
</file>