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46500">
      <w:pPr>
        <w:tabs>
          <w:tab w:val="left" w:pos="2321"/>
        </w:tabs>
        <w:spacing w:before="101" w:line="226" w:lineRule="auto"/>
        <w:jc w:val="center"/>
        <w:rPr>
          <w:rFonts w:hint="eastAsia" w:ascii="宋体" w:hAnsi="宋体" w:eastAsia="宋体" w:cs="宋体"/>
          <w:b/>
          <w:bCs/>
          <w:color w:val="auto"/>
          <w:spacing w:val="-12"/>
          <w:sz w:val="44"/>
          <w:szCs w:val="44"/>
          <w:highlight w:val="none"/>
          <w:lang w:val="en-US" w:eastAsia="zh-CN"/>
        </w:rPr>
      </w:pPr>
    </w:p>
    <w:p w14:paraId="6CAD0BA6">
      <w:pPr>
        <w:tabs>
          <w:tab w:val="left" w:pos="2321"/>
        </w:tabs>
        <w:spacing w:before="101" w:line="226" w:lineRule="auto"/>
        <w:jc w:val="center"/>
        <w:rPr>
          <w:rFonts w:hint="eastAsia" w:ascii="宋体" w:hAnsi="宋体" w:eastAsia="宋体" w:cs="宋体"/>
          <w:b/>
          <w:bCs/>
          <w:color w:val="auto"/>
          <w:spacing w:val="-12"/>
          <w:sz w:val="44"/>
          <w:szCs w:val="44"/>
          <w:highlight w:val="none"/>
          <w:lang w:val="en-US" w:eastAsia="zh-CN"/>
        </w:rPr>
      </w:pPr>
      <w:r>
        <w:rPr>
          <w:rFonts w:hint="eastAsia" w:ascii="宋体" w:hAnsi="宋体" w:eastAsia="宋体" w:cs="宋体"/>
          <w:b/>
          <w:bCs/>
          <w:color w:val="auto"/>
          <w:spacing w:val="-12"/>
          <w:sz w:val="44"/>
          <w:szCs w:val="44"/>
          <w:highlight w:val="none"/>
          <w:lang w:val="en-US" w:eastAsia="zh-CN"/>
        </w:rPr>
        <w:t>肥东县马湖片区农业高质量发展提升项目-马湖乡兴赵社区2025年高标准农田建设项目</w:t>
      </w:r>
    </w:p>
    <w:p w14:paraId="4F075C01">
      <w:pPr>
        <w:spacing w:before="100" w:line="225" w:lineRule="auto"/>
        <w:jc w:val="both"/>
        <w:outlineLvl w:val="9"/>
        <w:rPr>
          <w:rFonts w:ascii="宋体" w:hAnsi="宋体" w:eastAsia="宋体" w:cs="宋体"/>
          <w:b/>
          <w:bCs/>
          <w:color w:val="auto"/>
          <w:spacing w:val="-10"/>
          <w:sz w:val="44"/>
          <w:szCs w:val="44"/>
          <w:highlight w:val="none"/>
        </w:rPr>
      </w:pPr>
      <w:bookmarkStart w:id="0" w:name="_Toc28207"/>
      <w:bookmarkStart w:id="1" w:name="_Toc29407"/>
    </w:p>
    <w:p w14:paraId="21376202">
      <w:pPr>
        <w:spacing w:before="100" w:line="225" w:lineRule="auto"/>
        <w:jc w:val="center"/>
        <w:outlineLvl w:val="9"/>
        <w:rPr>
          <w:rFonts w:ascii="宋体" w:hAnsi="宋体" w:eastAsia="宋体" w:cs="宋体"/>
          <w:color w:val="auto"/>
          <w:sz w:val="44"/>
          <w:szCs w:val="44"/>
          <w:highlight w:val="none"/>
        </w:rPr>
      </w:pPr>
      <w:r>
        <w:rPr>
          <w:rFonts w:ascii="宋体" w:hAnsi="宋体" w:eastAsia="宋体" w:cs="宋体"/>
          <w:b/>
          <w:bCs/>
          <w:color w:val="auto"/>
          <w:spacing w:val="-10"/>
          <w:sz w:val="44"/>
          <w:szCs w:val="44"/>
          <w:highlight w:val="none"/>
        </w:rPr>
        <w:t>（招标项目编号：</w:t>
      </w:r>
      <w:r>
        <w:rPr>
          <w:rFonts w:hint="eastAsia" w:ascii="宋体" w:hAnsi="宋体" w:eastAsia="宋体" w:cs="宋体"/>
          <w:b/>
          <w:bCs/>
          <w:color w:val="auto"/>
          <w:spacing w:val="-10"/>
          <w:sz w:val="44"/>
          <w:szCs w:val="44"/>
          <w:highlight w:val="none"/>
          <w:lang w:val="en-US" w:eastAsia="zh-CN"/>
        </w:rPr>
        <w:t xml:space="preserve">2025ADDGZ00   </w:t>
      </w:r>
      <w:r>
        <w:rPr>
          <w:rFonts w:ascii="宋体" w:hAnsi="宋体" w:eastAsia="宋体" w:cs="宋体"/>
          <w:b/>
          <w:bCs/>
          <w:color w:val="auto"/>
          <w:spacing w:val="-10"/>
          <w:sz w:val="44"/>
          <w:szCs w:val="44"/>
          <w:highlight w:val="none"/>
        </w:rPr>
        <w:t>）</w:t>
      </w:r>
      <w:bookmarkEnd w:id="0"/>
      <w:bookmarkEnd w:id="1"/>
    </w:p>
    <w:p w14:paraId="2D3D5DA0">
      <w:pPr>
        <w:spacing w:line="247" w:lineRule="auto"/>
        <w:rPr>
          <w:rFonts w:ascii="Arial"/>
          <w:color w:val="auto"/>
          <w:sz w:val="21"/>
          <w:highlight w:val="none"/>
        </w:rPr>
      </w:pPr>
    </w:p>
    <w:p w14:paraId="77BD07B0">
      <w:pPr>
        <w:spacing w:line="247" w:lineRule="auto"/>
        <w:rPr>
          <w:rFonts w:ascii="Arial"/>
          <w:color w:val="auto"/>
          <w:sz w:val="21"/>
          <w:highlight w:val="none"/>
        </w:rPr>
      </w:pPr>
    </w:p>
    <w:p w14:paraId="35BEAC52">
      <w:pPr>
        <w:spacing w:line="247" w:lineRule="auto"/>
        <w:rPr>
          <w:rFonts w:ascii="Arial"/>
          <w:color w:val="auto"/>
          <w:sz w:val="21"/>
          <w:highlight w:val="none"/>
        </w:rPr>
      </w:pPr>
    </w:p>
    <w:p w14:paraId="5DEB4262">
      <w:pPr>
        <w:spacing w:line="247" w:lineRule="auto"/>
        <w:rPr>
          <w:rFonts w:ascii="Arial"/>
          <w:color w:val="auto"/>
          <w:sz w:val="21"/>
          <w:highlight w:val="none"/>
        </w:rPr>
      </w:pPr>
    </w:p>
    <w:p w14:paraId="121F2283">
      <w:pPr>
        <w:spacing w:line="247" w:lineRule="auto"/>
        <w:rPr>
          <w:rFonts w:ascii="Arial"/>
          <w:color w:val="auto"/>
          <w:sz w:val="21"/>
          <w:highlight w:val="none"/>
        </w:rPr>
      </w:pPr>
    </w:p>
    <w:p w14:paraId="2C0CC141">
      <w:pPr>
        <w:spacing w:line="247" w:lineRule="auto"/>
        <w:rPr>
          <w:rFonts w:ascii="Arial"/>
          <w:color w:val="auto"/>
          <w:sz w:val="21"/>
          <w:highlight w:val="none"/>
        </w:rPr>
      </w:pPr>
    </w:p>
    <w:p w14:paraId="77EDEE37">
      <w:pPr>
        <w:spacing w:line="247" w:lineRule="auto"/>
        <w:rPr>
          <w:rFonts w:ascii="Arial"/>
          <w:color w:val="auto"/>
          <w:sz w:val="21"/>
          <w:highlight w:val="none"/>
        </w:rPr>
      </w:pPr>
    </w:p>
    <w:p w14:paraId="7F40F69C">
      <w:pPr>
        <w:spacing w:line="247" w:lineRule="auto"/>
        <w:rPr>
          <w:rFonts w:ascii="Arial"/>
          <w:color w:val="auto"/>
          <w:sz w:val="21"/>
          <w:highlight w:val="none"/>
        </w:rPr>
      </w:pPr>
    </w:p>
    <w:p w14:paraId="428548D4">
      <w:pPr>
        <w:spacing w:line="247" w:lineRule="auto"/>
        <w:rPr>
          <w:rFonts w:ascii="Arial"/>
          <w:color w:val="auto"/>
          <w:sz w:val="21"/>
          <w:highlight w:val="none"/>
        </w:rPr>
      </w:pPr>
    </w:p>
    <w:p w14:paraId="0A2A6165">
      <w:pPr>
        <w:spacing w:line="247" w:lineRule="auto"/>
        <w:rPr>
          <w:rFonts w:ascii="Arial"/>
          <w:color w:val="auto"/>
          <w:sz w:val="21"/>
          <w:highlight w:val="none"/>
        </w:rPr>
      </w:pPr>
    </w:p>
    <w:p w14:paraId="56B49F96">
      <w:pPr>
        <w:spacing w:line="247" w:lineRule="auto"/>
        <w:rPr>
          <w:rFonts w:ascii="Arial"/>
          <w:color w:val="auto"/>
          <w:sz w:val="21"/>
          <w:highlight w:val="none"/>
        </w:rPr>
      </w:pPr>
    </w:p>
    <w:p w14:paraId="16C3096D">
      <w:pPr>
        <w:spacing w:line="247" w:lineRule="auto"/>
        <w:rPr>
          <w:rFonts w:ascii="Arial"/>
          <w:color w:val="auto"/>
          <w:sz w:val="21"/>
          <w:highlight w:val="none"/>
        </w:rPr>
      </w:pPr>
    </w:p>
    <w:p w14:paraId="25E44887">
      <w:pPr>
        <w:spacing w:line="247" w:lineRule="auto"/>
        <w:rPr>
          <w:rFonts w:ascii="Arial"/>
          <w:color w:val="auto"/>
          <w:sz w:val="21"/>
          <w:highlight w:val="none"/>
        </w:rPr>
      </w:pPr>
    </w:p>
    <w:p w14:paraId="5584BCDC">
      <w:pPr>
        <w:spacing w:line="247" w:lineRule="auto"/>
        <w:rPr>
          <w:rFonts w:ascii="Arial"/>
          <w:color w:val="auto"/>
          <w:sz w:val="21"/>
          <w:highlight w:val="none"/>
        </w:rPr>
      </w:pPr>
    </w:p>
    <w:p w14:paraId="0679BD2E">
      <w:pPr>
        <w:spacing w:line="247" w:lineRule="auto"/>
        <w:rPr>
          <w:rFonts w:ascii="Arial"/>
          <w:color w:val="auto"/>
          <w:sz w:val="21"/>
          <w:highlight w:val="none"/>
        </w:rPr>
      </w:pPr>
    </w:p>
    <w:p w14:paraId="6E5425AD">
      <w:pPr>
        <w:spacing w:line="247" w:lineRule="auto"/>
        <w:rPr>
          <w:rFonts w:ascii="Arial"/>
          <w:color w:val="auto"/>
          <w:sz w:val="21"/>
          <w:highlight w:val="none"/>
        </w:rPr>
      </w:pPr>
    </w:p>
    <w:p w14:paraId="215028B8">
      <w:pPr>
        <w:spacing w:line="247" w:lineRule="auto"/>
        <w:rPr>
          <w:rFonts w:ascii="Arial"/>
          <w:color w:val="auto"/>
          <w:sz w:val="21"/>
          <w:highlight w:val="none"/>
        </w:rPr>
      </w:pPr>
    </w:p>
    <w:p w14:paraId="5E160B2E">
      <w:pPr>
        <w:spacing w:line="248" w:lineRule="auto"/>
        <w:rPr>
          <w:rFonts w:ascii="Arial"/>
          <w:color w:val="auto"/>
          <w:sz w:val="21"/>
          <w:highlight w:val="none"/>
        </w:rPr>
      </w:pPr>
    </w:p>
    <w:p w14:paraId="6E6C7D5B">
      <w:pPr>
        <w:spacing w:line="248" w:lineRule="auto"/>
        <w:rPr>
          <w:rFonts w:ascii="Arial"/>
          <w:color w:val="auto"/>
          <w:sz w:val="21"/>
          <w:highlight w:val="none"/>
        </w:rPr>
      </w:pPr>
    </w:p>
    <w:p w14:paraId="7E7475C0">
      <w:pPr>
        <w:spacing w:line="248" w:lineRule="auto"/>
        <w:rPr>
          <w:rFonts w:ascii="Arial"/>
          <w:color w:val="auto"/>
          <w:sz w:val="21"/>
          <w:highlight w:val="none"/>
        </w:rPr>
      </w:pPr>
    </w:p>
    <w:p w14:paraId="65BA13DD">
      <w:pPr>
        <w:spacing w:line="248" w:lineRule="auto"/>
        <w:rPr>
          <w:rFonts w:ascii="Arial"/>
          <w:color w:val="auto"/>
          <w:sz w:val="21"/>
          <w:highlight w:val="none"/>
        </w:rPr>
      </w:pPr>
    </w:p>
    <w:p w14:paraId="78B54348">
      <w:pPr>
        <w:spacing w:line="248" w:lineRule="auto"/>
        <w:rPr>
          <w:rFonts w:ascii="Arial"/>
          <w:color w:val="auto"/>
          <w:sz w:val="21"/>
          <w:highlight w:val="none"/>
        </w:rPr>
      </w:pPr>
    </w:p>
    <w:p w14:paraId="31732084">
      <w:pPr>
        <w:spacing w:line="248" w:lineRule="auto"/>
        <w:rPr>
          <w:rFonts w:ascii="Arial"/>
          <w:color w:val="auto"/>
          <w:sz w:val="21"/>
          <w:highlight w:val="none"/>
        </w:rPr>
      </w:pPr>
    </w:p>
    <w:p w14:paraId="64F7582F">
      <w:pPr>
        <w:spacing w:before="100" w:line="224" w:lineRule="auto"/>
        <w:ind w:firstLine="643" w:firstLineChars="200"/>
        <w:jc w:val="left"/>
        <w:rPr>
          <w:rFonts w:hint="eastAsia" w:ascii="黑体" w:hAnsi="黑体" w:eastAsia="黑体" w:cs="黑体"/>
          <w:b/>
          <w:bCs/>
          <w:color w:val="auto"/>
          <w:sz w:val="32"/>
          <w:szCs w:val="32"/>
          <w:highlight w:val="none"/>
        </w:rPr>
      </w:pPr>
    </w:p>
    <w:p w14:paraId="5D99529E">
      <w:pPr>
        <w:spacing w:before="100" w:line="224" w:lineRule="auto"/>
        <w:jc w:val="center"/>
        <w:rPr>
          <w:rFonts w:hint="eastAsia" w:ascii="黑体" w:hAnsi="黑体" w:eastAsia="黑体" w:cs="黑体"/>
          <w:b/>
          <w:bCs/>
          <w:color w:val="auto"/>
          <w:sz w:val="32"/>
          <w:szCs w:val="32"/>
          <w:highlight w:val="none"/>
          <w:lang w:eastAsia="zh-CN"/>
        </w:rPr>
      </w:pPr>
      <w:r>
        <w:rPr>
          <w:rFonts w:hint="eastAsia" w:ascii="黑体" w:hAnsi="黑体" w:eastAsia="黑体" w:cs="黑体"/>
          <w:b/>
          <w:bCs/>
          <w:color w:val="auto"/>
          <w:sz w:val="32"/>
          <w:szCs w:val="32"/>
          <w:highlight w:val="none"/>
        </w:rPr>
        <w:t>招</w:t>
      </w: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bCs/>
          <w:color w:val="auto"/>
          <w:sz w:val="32"/>
          <w:szCs w:val="32"/>
          <w:highlight w:val="none"/>
        </w:rPr>
        <w:t>标</w:t>
      </w: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bCs/>
          <w:color w:val="auto"/>
          <w:sz w:val="32"/>
          <w:szCs w:val="32"/>
          <w:highlight w:val="none"/>
        </w:rPr>
        <w:t>人：</w:t>
      </w:r>
      <w:r>
        <w:rPr>
          <w:rFonts w:hint="eastAsia" w:ascii="黑体" w:hAnsi="黑体" w:eastAsia="黑体" w:cs="黑体"/>
          <w:b/>
          <w:bCs/>
          <w:color w:val="auto"/>
          <w:sz w:val="32"/>
          <w:szCs w:val="32"/>
          <w:highlight w:val="none"/>
          <w:lang w:eastAsia="zh-CN"/>
        </w:rPr>
        <w:t>肥东县马湖乡人民政府</w:t>
      </w:r>
    </w:p>
    <w:p w14:paraId="0355BF1C">
      <w:pPr>
        <w:spacing w:before="100" w:line="224" w:lineRule="auto"/>
        <w:ind w:firstLine="643" w:firstLineChars="200"/>
        <w:jc w:val="left"/>
        <w:rPr>
          <w:rFonts w:hint="eastAsia" w:ascii="黑体" w:hAnsi="黑体" w:eastAsia="黑体" w:cs="黑体"/>
          <w:b/>
          <w:bCs/>
          <w:color w:val="auto"/>
          <w:sz w:val="32"/>
          <w:szCs w:val="32"/>
          <w:highlight w:val="none"/>
        </w:rPr>
      </w:pPr>
    </w:p>
    <w:p w14:paraId="284B7884">
      <w:pPr>
        <w:spacing w:before="100" w:line="224" w:lineRule="auto"/>
        <w:jc w:val="center"/>
        <w:rPr>
          <w:rFonts w:hint="eastAsia" w:ascii="黑体" w:hAnsi="黑体" w:eastAsia="黑体" w:cs="黑体"/>
          <w:color w:val="auto"/>
          <w:sz w:val="32"/>
          <w:szCs w:val="32"/>
          <w:highlight w:val="none"/>
          <w:u w:val="single" w:color="auto"/>
        </w:rPr>
      </w:pPr>
      <w:r>
        <w:rPr>
          <w:rFonts w:hint="eastAsia" w:ascii="黑体" w:hAnsi="黑体" w:eastAsia="黑体" w:cs="黑体"/>
          <w:b/>
          <w:bCs/>
          <w:color w:val="auto"/>
          <w:spacing w:val="2"/>
          <w:sz w:val="32"/>
          <w:szCs w:val="32"/>
          <w:highlight w:val="none"/>
        </w:rPr>
        <w:t>招标代理机构：</w:t>
      </w:r>
      <w:r>
        <w:rPr>
          <w:rFonts w:hint="eastAsia" w:ascii="黑体" w:hAnsi="黑体" w:eastAsia="黑体" w:cs="黑体"/>
          <w:b/>
          <w:bCs/>
          <w:color w:val="auto"/>
          <w:spacing w:val="2"/>
          <w:sz w:val="32"/>
          <w:szCs w:val="32"/>
          <w:highlight w:val="none"/>
          <w:lang w:val="en-US" w:eastAsia="zh-CN"/>
        </w:rPr>
        <w:t>肥东县公共资源交易有限公司</w:t>
      </w:r>
    </w:p>
    <w:p w14:paraId="4F864ABA">
      <w:pPr>
        <w:tabs>
          <w:tab w:val="left" w:pos="3687"/>
        </w:tabs>
        <w:spacing w:before="323" w:line="508" w:lineRule="auto"/>
        <w:ind w:left="2726" w:leftChars="1298" w:right="503" w:firstLine="56" w:firstLineChars="148"/>
        <w:outlineLvl w:val="9"/>
        <w:rPr>
          <w:rFonts w:hint="eastAsia" w:ascii="黑体" w:hAnsi="黑体" w:eastAsia="黑体" w:cs="黑体"/>
          <w:color w:val="auto"/>
          <w:sz w:val="32"/>
          <w:szCs w:val="32"/>
          <w:highlight w:val="none"/>
        </w:rPr>
      </w:pPr>
      <w:r>
        <w:rPr>
          <w:rFonts w:hint="eastAsia" w:ascii="黑体" w:hAnsi="黑体" w:eastAsia="黑体" w:cs="黑体"/>
          <w:color w:val="auto"/>
          <w:spacing w:val="-141"/>
          <w:sz w:val="32"/>
          <w:szCs w:val="32"/>
          <w:highlight w:val="none"/>
        </w:rPr>
        <w:t xml:space="preserve"> </w:t>
      </w:r>
      <w:r>
        <w:rPr>
          <w:rFonts w:hint="eastAsia" w:ascii="黑体" w:hAnsi="黑体" w:eastAsia="黑体" w:cs="黑体"/>
          <w:color w:val="auto"/>
          <w:spacing w:val="-141"/>
          <w:sz w:val="32"/>
          <w:szCs w:val="32"/>
          <w:highlight w:val="none"/>
          <w:lang w:val="en-US" w:eastAsia="zh-CN"/>
        </w:rPr>
        <w:t xml:space="preserve">   </w:t>
      </w:r>
      <w:bookmarkStart w:id="2" w:name="_Toc4459"/>
      <w:bookmarkStart w:id="3" w:name="_Toc2020"/>
      <w:r>
        <w:rPr>
          <w:rFonts w:hint="eastAsia" w:ascii="黑体" w:hAnsi="黑体" w:eastAsia="黑体" w:cs="黑体"/>
          <w:b/>
          <w:bCs/>
          <w:color w:val="auto"/>
          <w:spacing w:val="-9"/>
          <w:sz w:val="32"/>
          <w:szCs w:val="32"/>
          <w:highlight w:val="none"/>
          <w:lang w:val="en-US" w:eastAsia="zh-CN"/>
        </w:rPr>
        <w:t>2025年</w:t>
      </w:r>
      <w:r>
        <w:rPr>
          <w:rFonts w:hint="eastAsia" w:ascii="黑体" w:hAnsi="黑体" w:eastAsia="黑体" w:cs="黑体"/>
          <w:color w:val="auto"/>
          <w:spacing w:val="-155"/>
          <w:sz w:val="32"/>
          <w:szCs w:val="32"/>
          <w:highlight w:val="none"/>
        </w:rPr>
        <w:t xml:space="preserve"> </w:t>
      </w:r>
      <w:r>
        <w:rPr>
          <w:rFonts w:hint="eastAsia" w:ascii="黑体" w:hAnsi="黑体" w:eastAsia="黑体" w:cs="黑体"/>
          <w:color w:val="auto"/>
          <w:spacing w:val="6"/>
          <w:sz w:val="32"/>
          <w:szCs w:val="32"/>
          <w:highlight w:val="none"/>
          <w:u w:val="single" w:color="auto"/>
        </w:rPr>
        <w:t xml:space="preserve">  </w:t>
      </w:r>
      <w:r>
        <w:rPr>
          <w:rFonts w:hint="eastAsia" w:ascii="黑体" w:hAnsi="黑体" w:eastAsia="黑体" w:cs="黑体"/>
          <w:color w:val="auto"/>
          <w:spacing w:val="6"/>
          <w:sz w:val="32"/>
          <w:szCs w:val="32"/>
          <w:highlight w:val="none"/>
          <w:u w:val="single" w:color="auto"/>
          <w:lang w:val="en-US" w:eastAsia="zh-CN"/>
        </w:rPr>
        <w:t xml:space="preserve">  </w:t>
      </w:r>
      <w:r>
        <w:rPr>
          <w:rFonts w:hint="eastAsia" w:ascii="黑体" w:hAnsi="黑体" w:eastAsia="黑体" w:cs="黑体"/>
          <w:color w:val="auto"/>
          <w:spacing w:val="6"/>
          <w:sz w:val="32"/>
          <w:szCs w:val="32"/>
          <w:highlight w:val="none"/>
          <w:u w:val="single" w:color="auto"/>
        </w:rPr>
        <w:t xml:space="preserve">   </w:t>
      </w:r>
      <w:r>
        <w:rPr>
          <w:rFonts w:hint="eastAsia" w:ascii="黑体" w:hAnsi="黑体" w:eastAsia="黑体" w:cs="黑体"/>
          <w:color w:val="auto"/>
          <w:spacing w:val="-133"/>
          <w:sz w:val="32"/>
          <w:szCs w:val="32"/>
          <w:highlight w:val="none"/>
        </w:rPr>
        <w:t xml:space="preserve"> </w:t>
      </w:r>
      <w:r>
        <w:rPr>
          <w:rFonts w:hint="eastAsia" w:ascii="黑体" w:hAnsi="黑体" w:eastAsia="黑体" w:cs="黑体"/>
          <w:b/>
          <w:bCs/>
          <w:color w:val="auto"/>
          <w:spacing w:val="-9"/>
          <w:sz w:val="32"/>
          <w:szCs w:val="32"/>
          <w:highlight w:val="none"/>
        </w:rPr>
        <w:t>月</w:t>
      </w:r>
      <w:r>
        <w:rPr>
          <w:rFonts w:hint="eastAsia" w:ascii="黑体" w:hAnsi="黑体" w:eastAsia="黑体" w:cs="黑体"/>
          <w:color w:val="auto"/>
          <w:spacing w:val="-155"/>
          <w:sz w:val="32"/>
          <w:szCs w:val="32"/>
          <w:highlight w:val="none"/>
        </w:rPr>
        <w:t xml:space="preserve"> </w:t>
      </w:r>
      <w:r>
        <w:rPr>
          <w:rFonts w:hint="eastAsia" w:ascii="黑体" w:hAnsi="黑体" w:eastAsia="黑体" w:cs="黑体"/>
          <w:color w:val="auto"/>
          <w:spacing w:val="6"/>
          <w:sz w:val="32"/>
          <w:szCs w:val="32"/>
          <w:highlight w:val="none"/>
          <w:u w:val="single" w:color="auto"/>
        </w:rPr>
        <w:t xml:space="preserve">  </w:t>
      </w:r>
      <w:r>
        <w:rPr>
          <w:rFonts w:hint="eastAsia" w:ascii="黑体" w:hAnsi="黑体" w:eastAsia="黑体" w:cs="黑体"/>
          <w:color w:val="auto"/>
          <w:spacing w:val="6"/>
          <w:sz w:val="32"/>
          <w:szCs w:val="32"/>
          <w:highlight w:val="none"/>
          <w:u w:val="single" w:color="auto"/>
          <w:lang w:val="en-US" w:eastAsia="zh-CN"/>
        </w:rPr>
        <w:t xml:space="preserve">  </w:t>
      </w:r>
      <w:r>
        <w:rPr>
          <w:rFonts w:hint="eastAsia" w:ascii="黑体" w:hAnsi="黑体" w:eastAsia="黑体" w:cs="黑体"/>
          <w:color w:val="auto"/>
          <w:spacing w:val="6"/>
          <w:sz w:val="32"/>
          <w:szCs w:val="32"/>
          <w:highlight w:val="none"/>
          <w:u w:val="single" w:color="auto"/>
        </w:rPr>
        <w:t xml:space="preserve">  </w:t>
      </w:r>
      <w:r>
        <w:rPr>
          <w:rFonts w:hint="eastAsia" w:ascii="黑体" w:hAnsi="黑体" w:eastAsia="黑体" w:cs="黑体"/>
          <w:color w:val="auto"/>
          <w:spacing w:val="-86"/>
          <w:sz w:val="32"/>
          <w:szCs w:val="32"/>
          <w:highlight w:val="none"/>
        </w:rPr>
        <w:t xml:space="preserve"> </w:t>
      </w:r>
      <w:r>
        <w:rPr>
          <w:rFonts w:hint="eastAsia" w:ascii="黑体" w:hAnsi="黑体" w:eastAsia="黑体" w:cs="黑体"/>
          <w:b/>
          <w:bCs/>
          <w:color w:val="auto"/>
          <w:spacing w:val="-9"/>
          <w:sz w:val="32"/>
          <w:szCs w:val="32"/>
          <w:highlight w:val="none"/>
        </w:rPr>
        <w:t>日</w:t>
      </w:r>
      <w:bookmarkEnd w:id="2"/>
      <w:bookmarkEnd w:id="3"/>
    </w:p>
    <w:sdt>
      <w:sdtPr>
        <w:rPr>
          <w:rFonts w:ascii="宋体" w:hAnsi="宋体" w:eastAsia="宋体" w:cs="Arial"/>
          <w:snapToGrid w:val="0"/>
          <w:color w:val="auto"/>
          <w:kern w:val="0"/>
          <w:sz w:val="21"/>
          <w:szCs w:val="21"/>
          <w:highlight w:val="none"/>
          <w:lang w:val="en-US" w:eastAsia="en-US" w:bidi="ar-SA"/>
        </w:rPr>
        <w:id w:val="147465405"/>
        <w15:color w:val="DBDBDB"/>
        <w:docPartObj>
          <w:docPartGallery w:val="Table of Contents"/>
          <w:docPartUnique/>
        </w:docPartObj>
      </w:sdtPr>
      <w:sdtEndPr>
        <w:rPr>
          <w:rFonts w:ascii="Arial" w:hAnsi="Arial" w:eastAsia="Arial" w:cs="Arial"/>
          <w:snapToGrid w:val="0"/>
          <w:color w:val="auto"/>
          <w:kern w:val="0"/>
          <w:sz w:val="21"/>
          <w:szCs w:val="21"/>
          <w:highlight w:val="none"/>
          <w:lang w:val="en-US" w:eastAsia="en-US" w:bidi="ar-SA"/>
        </w:rPr>
      </w:sdtEndPr>
      <w:sdtContent>
        <w:p w14:paraId="46FEABDB">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highlight w:val="none"/>
              <w:lang w:val="en-US" w:eastAsia="en-US" w:bidi="ar-SA"/>
            </w:rPr>
          </w:pPr>
        </w:p>
        <w:p w14:paraId="2F14B7B3">
          <w:pPr>
            <w:rPr>
              <w:rFonts w:ascii="宋体" w:hAnsi="宋体" w:eastAsia="宋体" w:cs="Arial"/>
              <w:snapToGrid w:val="0"/>
              <w:color w:val="auto"/>
              <w:kern w:val="0"/>
              <w:sz w:val="21"/>
              <w:szCs w:val="21"/>
              <w:highlight w:val="none"/>
              <w:lang w:val="en-US" w:eastAsia="en-US" w:bidi="ar-SA"/>
            </w:rPr>
          </w:pPr>
          <w:r>
            <w:rPr>
              <w:rFonts w:ascii="宋体" w:hAnsi="宋体" w:eastAsia="宋体" w:cs="Arial"/>
              <w:snapToGrid w:val="0"/>
              <w:color w:val="auto"/>
              <w:kern w:val="0"/>
              <w:sz w:val="21"/>
              <w:szCs w:val="21"/>
              <w:highlight w:val="none"/>
              <w:lang w:val="en-US" w:eastAsia="en-US" w:bidi="ar-SA"/>
            </w:rPr>
            <w:br w:type="page"/>
          </w:r>
          <w:bookmarkStart w:id="455" w:name="_GoBack"/>
          <w:bookmarkEnd w:id="455"/>
        </w:p>
        <w:p w14:paraId="5D281A0A">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14:paraId="00D89BD2">
          <w:pPr>
            <w:pStyle w:val="12"/>
            <w:tabs>
              <w:tab w:val="right" w:leader="dot" w:pos="9193"/>
            </w:tabs>
            <w:rPr>
              <w:color w:val="auto"/>
              <w:highlight w:val="none"/>
            </w:rPr>
          </w:pPr>
          <w:r>
            <w:rPr>
              <w:rFonts w:hint="eastAsia" w:ascii="宋体" w:hAnsi="宋体" w:eastAsia="宋体" w:cs="宋体"/>
              <w:snapToGrid w:val="0"/>
              <w:color w:val="auto"/>
              <w:kern w:val="0"/>
              <w:sz w:val="21"/>
              <w:szCs w:val="21"/>
              <w:highlight w:val="none"/>
              <w:lang w:val="en-US" w:eastAsia="en-US" w:bidi="ar-SA"/>
            </w:rPr>
            <w:fldChar w:fldCharType="begin"/>
          </w:r>
          <w:r>
            <w:rPr>
              <w:rFonts w:hint="eastAsia" w:ascii="宋体" w:hAnsi="宋体" w:eastAsia="宋体" w:cs="宋体"/>
              <w:snapToGrid w:val="0"/>
              <w:color w:val="auto"/>
              <w:kern w:val="0"/>
              <w:sz w:val="21"/>
              <w:szCs w:val="21"/>
              <w:highlight w:val="none"/>
              <w:lang w:val="en-US" w:eastAsia="en-US" w:bidi="ar-SA"/>
            </w:rPr>
            <w:instrText xml:space="preserve">TOC \o "1-3" \h \u </w:instrText>
          </w:r>
          <w:r>
            <w:rPr>
              <w:rFonts w:hint="eastAsia" w:ascii="宋体" w:hAnsi="宋体" w:eastAsia="宋体" w:cs="宋体"/>
              <w:snapToGrid w:val="0"/>
              <w:color w:val="auto"/>
              <w:kern w:val="0"/>
              <w:sz w:val="21"/>
              <w:szCs w:val="21"/>
              <w:highlight w:val="none"/>
              <w:lang w:val="en-US" w:eastAsia="en-US" w:bidi="ar-SA"/>
            </w:rPr>
            <w:fldChar w:fldCharType="separate"/>
          </w: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_Toc7440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44"/>
              <w:highlight w:val="none"/>
            </w:rPr>
            <w:t>第一章</w:t>
          </w:r>
          <w:r>
            <w:rPr>
              <w:rFonts w:ascii="宋体" w:hAnsi="宋体" w:eastAsia="宋体" w:cs="宋体"/>
              <w:color w:val="auto"/>
              <w:spacing w:val="4"/>
              <w:szCs w:val="44"/>
              <w:highlight w:val="none"/>
            </w:rPr>
            <w:t xml:space="preserve"> </w:t>
          </w:r>
          <w:r>
            <w:rPr>
              <w:rFonts w:ascii="宋体" w:hAnsi="宋体" w:eastAsia="宋体" w:cs="宋体"/>
              <w:bCs/>
              <w:color w:val="auto"/>
              <w:spacing w:val="4"/>
              <w:szCs w:val="44"/>
              <w:highlight w:val="none"/>
            </w:rPr>
            <w:t>招标公告</w:t>
          </w:r>
          <w:r>
            <w:rPr>
              <w:color w:val="auto"/>
              <w:highlight w:val="none"/>
            </w:rPr>
            <w:tab/>
          </w:r>
          <w:r>
            <w:rPr>
              <w:color w:val="auto"/>
              <w:highlight w:val="none"/>
            </w:rPr>
            <w:fldChar w:fldCharType="begin"/>
          </w:r>
          <w:r>
            <w:rPr>
              <w:color w:val="auto"/>
              <w:highlight w:val="none"/>
            </w:rPr>
            <w:instrText xml:space="preserve"> PAGEREF _Toc7440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4E99F397">
          <w:pPr>
            <w:pStyle w:val="12"/>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_Toc1626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43"/>
              <w:highlight w:val="none"/>
            </w:rPr>
            <w:t>第二章</w:t>
          </w:r>
          <w:r>
            <w:rPr>
              <w:rFonts w:ascii="宋体" w:hAnsi="宋体" w:eastAsia="宋体" w:cs="宋体"/>
              <w:color w:val="auto"/>
              <w:spacing w:val="4"/>
              <w:szCs w:val="43"/>
              <w:highlight w:val="none"/>
            </w:rPr>
            <w:t xml:space="preserve"> </w:t>
          </w:r>
          <w:r>
            <w:rPr>
              <w:rFonts w:ascii="宋体" w:hAnsi="宋体" w:eastAsia="宋体" w:cs="宋体"/>
              <w:bCs/>
              <w:color w:val="auto"/>
              <w:spacing w:val="4"/>
              <w:szCs w:val="43"/>
              <w:highlight w:val="none"/>
            </w:rPr>
            <w:t>投标人须知</w:t>
          </w:r>
          <w:r>
            <w:rPr>
              <w:color w:val="auto"/>
              <w:highlight w:val="none"/>
            </w:rPr>
            <w:tab/>
          </w:r>
          <w:r>
            <w:rPr>
              <w:color w:val="auto"/>
              <w:highlight w:val="none"/>
            </w:rPr>
            <w:fldChar w:fldCharType="begin"/>
          </w:r>
          <w:r>
            <w:rPr>
              <w:color w:val="auto"/>
              <w:highlight w:val="none"/>
            </w:rPr>
            <w:instrText xml:space="preserve"> PAGEREF _Toc1626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630332F8">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_Toc8909 </w:instrText>
          </w:r>
          <w:r>
            <w:rPr>
              <w:rFonts w:hint="eastAsia" w:ascii="宋体" w:hAnsi="宋体" w:eastAsia="宋体" w:cs="宋体"/>
              <w:snapToGrid w:val="0"/>
              <w:color w:val="auto"/>
              <w:kern w:val="0"/>
              <w:szCs w:val="21"/>
              <w:highlight w:val="none"/>
              <w:lang w:val="en-US" w:eastAsia="en-US" w:bidi="ar-SA"/>
            </w:rPr>
            <w:fldChar w:fldCharType="separate"/>
          </w:r>
          <w:r>
            <w:rPr>
              <w:rFonts w:hint="eastAsia" w:asciiTheme="minorEastAsia" w:hAnsiTheme="minorEastAsia" w:eastAsiaTheme="minorEastAsia" w:cstheme="minorEastAsia"/>
              <w:bCs/>
              <w:color w:val="auto"/>
              <w:spacing w:val="5"/>
              <w:szCs w:val="31"/>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_Toc8909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5C492A12">
          <w:pPr>
            <w:pStyle w:val="12"/>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_Toc16912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6"/>
              <w:szCs w:val="43"/>
              <w:highlight w:val="none"/>
            </w:rPr>
            <w:t>第三章</w:t>
          </w:r>
          <w:r>
            <w:rPr>
              <w:rFonts w:ascii="宋体" w:hAnsi="宋体" w:eastAsia="宋体" w:cs="宋体"/>
              <w:color w:val="auto"/>
              <w:spacing w:val="-6"/>
              <w:szCs w:val="43"/>
              <w:highlight w:val="none"/>
            </w:rPr>
            <w:t xml:space="preserve">  </w:t>
          </w:r>
          <w:r>
            <w:rPr>
              <w:rFonts w:ascii="宋体" w:hAnsi="宋体" w:eastAsia="宋体" w:cs="宋体"/>
              <w:bCs/>
              <w:color w:val="auto"/>
              <w:spacing w:val="-6"/>
              <w:szCs w:val="43"/>
              <w:highlight w:val="none"/>
            </w:rPr>
            <w:t>评标办法（综合评估法（合理低价</w:t>
          </w:r>
          <w:r>
            <w:rPr>
              <w:rFonts w:ascii="宋体" w:hAnsi="宋体" w:eastAsia="宋体" w:cs="宋体"/>
              <w:bCs/>
              <w:color w:val="auto"/>
              <w:spacing w:val="-1"/>
              <w:szCs w:val="43"/>
              <w:highlight w:val="none"/>
            </w:rPr>
            <w:t>））</w:t>
          </w:r>
          <w:r>
            <w:rPr>
              <w:color w:val="auto"/>
              <w:highlight w:val="none"/>
            </w:rPr>
            <w:tab/>
          </w:r>
          <w:r>
            <w:rPr>
              <w:color w:val="auto"/>
              <w:highlight w:val="none"/>
            </w:rPr>
            <w:fldChar w:fldCharType="begin"/>
          </w:r>
          <w:r>
            <w:rPr>
              <w:color w:val="auto"/>
              <w:highlight w:val="none"/>
            </w:rPr>
            <w:instrText xml:space="preserve"> PAGEREF _Toc16912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01064B6F">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_Toc15545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color w:val="auto"/>
              <w:spacing w:val="-2"/>
              <w:szCs w:val="36"/>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_Toc15545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35670306">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_Toc612 </w:instrText>
          </w:r>
          <w:r>
            <w:rPr>
              <w:rFonts w:hint="eastAsia" w:ascii="宋体" w:hAnsi="宋体" w:eastAsia="宋体" w:cs="宋体"/>
              <w:snapToGrid w:val="0"/>
              <w:color w:val="auto"/>
              <w:kern w:val="0"/>
              <w:szCs w:val="21"/>
              <w:highlight w:val="none"/>
              <w:lang w:val="en-US" w:eastAsia="en-US" w:bidi="ar-SA"/>
            </w:rPr>
            <w:fldChar w:fldCharType="separate"/>
          </w:r>
          <w:r>
            <w:rPr>
              <w:rFonts w:hint="eastAsia" w:ascii="Times New Roman" w:hAnsi="Times New Roman" w:cs="宋体"/>
              <w:bCs w:val="0"/>
              <w:snapToGrid/>
              <w:color w:val="auto"/>
              <w:highlight w:val="none"/>
              <w:lang w:eastAsia="zh-CN" w:bidi="ar-SA"/>
            </w:rPr>
            <w:t>1. 评标方法</w:t>
          </w:r>
          <w:r>
            <w:rPr>
              <w:color w:val="auto"/>
              <w:highlight w:val="none"/>
            </w:rPr>
            <w:tab/>
          </w:r>
          <w:r>
            <w:rPr>
              <w:color w:val="auto"/>
              <w:highlight w:val="none"/>
            </w:rPr>
            <w:fldChar w:fldCharType="begin"/>
          </w:r>
          <w:r>
            <w:rPr>
              <w:color w:val="auto"/>
              <w:highlight w:val="none"/>
            </w:rPr>
            <w:instrText xml:space="preserve"> PAGEREF _Toc612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49118D42">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_Toc29088 </w:instrText>
          </w:r>
          <w:r>
            <w:rPr>
              <w:rFonts w:hint="eastAsia" w:ascii="宋体" w:hAnsi="宋体" w:eastAsia="宋体" w:cs="宋体"/>
              <w:snapToGrid w:val="0"/>
              <w:color w:val="auto"/>
              <w:kern w:val="0"/>
              <w:szCs w:val="21"/>
              <w:highlight w:val="none"/>
              <w:lang w:val="en-US" w:eastAsia="en-US" w:bidi="ar-SA"/>
            </w:rPr>
            <w:fldChar w:fldCharType="separate"/>
          </w:r>
          <w:r>
            <w:rPr>
              <w:rFonts w:hint="eastAsia" w:ascii="Times New Roman" w:hAnsi="Times New Roman" w:cs="宋体"/>
              <w:bCs w:val="0"/>
              <w:snapToGrid/>
              <w:color w:val="auto"/>
              <w:highlight w:val="none"/>
              <w:lang w:eastAsia="zh-CN" w:bidi="ar-SA"/>
            </w:rPr>
            <w:t>2. 评审标准</w:t>
          </w:r>
          <w:r>
            <w:rPr>
              <w:color w:val="auto"/>
              <w:highlight w:val="none"/>
            </w:rPr>
            <w:tab/>
          </w:r>
          <w:r>
            <w:rPr>
              <w:color w:val="auto"/>
              <w:highlight w:val="none"/>
            </w:rPr>
            <w:fldChar w:fldCharType="begin"/>
          </w:r>
          <w:r>
            <w:rPr>
              <w:color w:val="auto"/>
              <w:highlight w:val="none"/>
            </w:rPr>
            <w:instrText xml:space="preserve"> PAGEREF _Toc29088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042F30E7">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_Toc32679 </w:instrText>
          </w:r>
          <w:r>
            <w:rPr>
              <w:rFonts w:hint="eastAsia" w:ascii="宋体" w:hAnsi="宋体" w:eastAsia="宋体" w:cs="宋体"/>
              <w:snapToGrid w:val="0"/>
              <w:color w:val="auto"/>
              <w:kern w:val="0"/>
              <w:szCs w:val="21"/>
              <w:highlight w:val="none"/>
              <w:lang w:val="en-US" w:eastAsia="en-US" w:bidi="ar-SA"/>
            </w:rPr>
            <w:fldChar w:fldCharType="separate"/>
          </w:r>
          <w:r>
            <w:rPr>
              <w:rFonts w:hint="eastAsia" w:ascii="Times New Roman" w:hAnsi="Times New Roman" w:cs="宋体"/>
              <w:bCs w:val="0"/>
              <w:snapToGrid/>
              <w:color w:val="auto"/>
              <w:highlight w:val="none"/>
              <w:lang w:eastAsia="zh-CN" w:bidi="ar-SA"/>
            </w:rPr>
            <w:t>3. 评标程序</w:t>
          </w:r>
          <w:r>
            <w:rPr>
              <w:color w:val="auto"/>
              <w:highlight w:val="none"/>
            </w:rPr>
            <w:tab/>
          </w:r>
          <w:r>
            <w:rPr>
              <w:color w:val="auto"/>
              <w:highlight w:val="none"/>
            </w:rPr>
            <w:fldChar w:fldCharType="begin"/>
          </w:r>
          <w:r>
            <w:rPr>
              <w:color w:val="auto"/>
              <w:highlight w:val="none"/>
            </w:rPr>
            <w:instrText xml:space="preserve"> PAGEREF _Toc32679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1008EFD2">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_Toc11537 </w:instrText>
          </w:r>
          <w:r>
            <w:rPr>
              <w:rFonts w:hint="eastAsia" w:ascii="宋体" w:hAnsi="宋体" w:eastAsia="宋体" w:cs="宋体"/>
              <w:snapToGrid w:val="0"/>
              <w:color w:val="auto"/>
              <w:kern w:val="0"/>
              <w:szCs w:val="21"/>
              <w:highlight w:val="none"/>
              <w:lang w:val="en-US" w:eastAsia="en-US" w:bidi="ar-SA"/>
            </w:rPr>
            <w:fldChar w:fldCharType="separate"/>
          </w:r>
          <w:r>
            <w:rPr>
              <w:rFonts w:hint="eastAsia" w:ascii="Times New Roman" w:hAnsi="Times New Roman" w:cs="宋体"/>
              <w:bCs w:val="0"/>
              <w:snapToGrid/>
              <w:color w:val="auto"/>
              <w:highlight w:val="none"/>
              <w:lang w:eastAsia="zh-CN" w:bidi="ar-SA"/>
            </w:rPr>
            <w:t>4. 特殊情况的处置</w:t>
          </w:r>
          <w:r>
            <w:rPr>
              <w:color w:val="auto"/>
              <w:highlight w:val="none"/>
            </w:rPr>
            <w:tab/>
          </w:r>
          <w:r>
            <w:rPr>
              <w:color w:val="auto"/>
              <w:highlight w:val="none"/>
            </w:rPr>
            <w:fldChar w:fldCharType="begin"/>
          </w:r>
          <w:r>
            <w:rPr>
              <w:color w:val="auto"/>
              <w:highlight w:val="none"/>
            </w:rPr>
            <w:instrText xml:space="preserve"> PAGEREF _Toc11537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10121C46">
          <w:pPr>
            <w:pStyle w:val="12"/>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_Toc7749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43"/>
              <w:highlight w:val="none"/>
            </w:rPr>
            <w:t>第四章</w:t>
          </w:r>
          <w:r>
            <w:rPr>
              <w:rFonts w:ascii="宋体" w:hAnsi="宋体" w:eastAsia="宋体" w:cs="宋体"/>
              <w:color w:val="auto"/>
              <w:spacing w:val="4"/>
              <w:szCs w:val="43"/>
              <w:highlight w:val="none"/>
            </w:rPr>
            <w:t xml:space="preserve"> </w:t>
          </w:r>
          <w:r>
            <w:rPr>
              <w:rFonts w:ascii="宋体" w:hAnsi="宋体" w:eastAsia="宋体" w:cs="宋体"/>
              <w:bCs/>
              <w:color w:val="auto"/>
              <w:spacing w:val="4"/>
              <w:szCs w:val="43"/>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_Toc7749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7E65E72A">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_Toc7811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6"/>
              <w:szCs w:val="31"/>
              <w:highlight w:val="none"/>
            </w:rPr>
            <w:t>第一节</w:t>
          </w:r>
          <w:r>
            <w:rPr>
              <w:rFonts w:ascii="宋体" w:hAnsi="宋体" w:eastAsia="宋体" w:cs="宋体"/>
              <w:color w:val="auto"/>
              <w:spacing w:val="6"/>
              <w:szCs w:val="31"/>
              <w:highlight w:val="none"/>
            </w:rPr>
            <w:t xml:space="preserve"> </w:t>
          </w:r>
          <w:r>
            <w:rPr>
              <w:rFonts w:ascii="宋体" w:hAnsi="宋体" w:eastAsia="宋体" w:cs="宋体"/>
              <w:bCs/>
              <w:color w:val="auto"/>
              <w:spacing w:val="6"/>
              <w:szCs w:val="31"/>
              <w:highlight w:val="none"/>
            </w:rPr>
            <w:t>通用合同条款</w:t>
          </w:r>
          <w:r>
            <w:rPr>
              <w:color w:val="auto"/>
              <w:highlight w:val="none"/>
            </w:rPr>
            <w:tab/>
          </w:r>
          <w:r>
            <w:rPr>
              <w:color w:val="auto"/>
              <w:highlight w:val="none"/>
            </w:rPr>
            <w:fldChar w:fldCharType="begin"/>
          </w:r>
          <w:r>
            <w:rPr>
              <w:color w:val="auto"/>
              <w:highlight w:val="none"/>
            </w:rPr>
            <w:instrText xml:space="preserve"> PAGEREF _Toc7811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25847CEF">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_Toc11107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6"/>
              <w:szCs w:val="31"/>
              <w:highlight w:val="none"/>
            </w:rPr>
            <w:t>第二节</w:t>
          </w:r>
          <w:r>
            <w:rPr>
              <w:rFonts w:ascii="宋体" w:hAnsi="宋体" w:eastAsia="宋体" w:cs="宋体"/>
              <w:color w:val="auto"/>
              <w:spacing w:val="6"/>
              <w:szCs w:val="31"/>
              <w:highlight w:val="none"/>
            </w:rPr>
            <w:t xml:space="preserve"> </w:t>
          </w:r>
          <w:r>
            <w:rPr>
              <w:rFonts w:ascii="宋体" w:hAnsi="宋体" w:eastAsia="宋体" w:cs="宋体"/>
              <w:bCs/>
              <w:color w:val="auto"/>
              <w:spacing w:val="6"/>
              <w:szCs w:val="31"/>
              <w:highlight w:val="none"/>
            </w:rPr>
            <w:t>专用合同条款</w:t>
          </w:r>
          <w:r>
            <w:rPr>
              <w:color w:val="auto"/>
              <w:highlight w:val="none"/>
            </w:rPr>
            <w:tab/>
          </w:r>
          <w:r>
            <w:rPr>
              <w:color w:val="auto"/>
              <w:highlight w:val="none"/>
            </w:rPr>
            <w:fldChar w:fldCharType="begin"/>
          </w:r>
          <w:r>
            <w:rPr>
              <w:color w:val="auto"/>
              <w:highlight w:val="none"/>
            </w:rPr>
            <w:instrText xml:space="preserve"> PAGEREF _Toc11107 \h </w:instrText>
          </w:r>
          <w:r>
            <w:rPr>
              <w:color w:val="auto"/>
              <w:highlight w:val="none"/>
            </w:rPr>
            <w:fldChar w:fldCharType="separate"/>
          </w:r>
          <w:r>
            <w:rPr>
              <w:color w:val="auto"/>
              <w:highlight w:val="none"/>
            </w:rPr>
            <w:t>102</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5462779E">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_Toc3185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6"/>
              <w:szCs w:val="31"/>
              <w:highlight w:val="none"/>
            </w:rPr>
            <w:t>第三节</w:t>
          </w:r>
          <w:r>
            <w:rPr>
              <w:rFonts w:ascii="宋体" w:hAnsi="宋体" w:eastAsia="宋体" w:cs="宋体"/>
              <w:color w:val="auto"/>
              <w:spacing w:val="6"/>
              <w:szCs w:val="31"/>
              <w:highlight w:val="none"/>
            </w:rPr>
            <w:t xml:space="preserve"> </w:t>
          </w:r>
          <w:r>
            <w:rPr>
              <w:rFonts w:ascii="宋体" w:hAnsi="宋体" w:eastAsia="宋体" w:cs="宋体"/>
              <w:bCs/>
              <w:color w:val="auto"/>
              <w:spacing w:val="6"/>
              <w:szCs w:val="31"/>
              <w:highlight w:val="none"/>
            </w:rPr>
            <w:t>合同附件格式</w:t>
          </w:r>
          <w:r>
            <w:rPr>
              <w:color w:val="auto"/>
              <w:highlight w:val="none"/>
            </w:rPr>
            <w:tab/>
          </w:r>
          <w:r>
            <w:rPr>
              <w:color w:val="auto"/>
              <w:highlight w:val="none"/>
            </w:rPr>
            <w:fldChar w:fldCharType="begin"/>
          </w:r>
          <w:r>
            <w:rPr>
              <w:color w:val="auto"/>
              <w:highlight w:val="none"/>
            </w:rPr>
            <w:instrText xml:space="preserve"> PAGEREF _Toc3185 \h </w:instrText>
          </w:r>
          <w:r>
            <w:rPr>
              <w:color w:val="auto"/>
              <w:highlight w:val="none"/>
            </w:rPr>
            <w:fldChar w:fldCharType="separate"/>
          </w:r>
          <w:r>
            <w:rPr>
              <w:color w:val="auto"/>
              <w:highlight w:val="none"/>
            </w:rPr>
            <w:t>116</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16BEF18D">
          <w:pPr>
            <w:pStyle w:val="12"/>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_Toc395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43"/>
              <w:highlight w:val="none"/>
            </w:rPr>
            <w:t>第五章</w:t>
          </w:r>
          <w:r>
            <w:rPr>
              <w:rFonts w:ascii="宋体" w:hAnsi="宋体" w:eastAsia="宋体" w:cs="宋体"/>
              <w:color w:val="auto"/>
              <w:spacing w:val="4"/>
              <w:szCs w:val="43"/>
              <w:highlight w:val="none"/>
            </w:rPr>
            <w:t xml:space="preserve"> </w:t>
          </w:r>
          <w:r>
            <w:rPr>
              <w:rFonts w:ascii="宋体" w:hAnsi="宋体" w:eastAsia="宋体" w:cs="宋体"/>
              <w:bCs/>
              <w:color w:val="auto"/>
              <w:spacing w:val="4"/>
              <w:szCs w:val="43"/>
              <w:highlight w:val="none"/>
            </w:rPr>
            <w:t>工程量清单</w:t>
          </w:r>
          <w:r>
            <w:rPr>
              <w:color w:val="auto"/>
              <w:highlight w:val="none"/>
            </w:rPr>
            <w:tab/>
          </w:r>
          <w:r>
            <w:rPr>
              <w:color w:val="auto"/>
              <w:highlight w:val="none"/>
            </w:rPr>
            <w:fldChar w:fldCharType="begin"/>
          </w:r>
          <w:r>
            <w:rPr>
              <w:color w:val="auto"/>
              <w:highlight w:val="none"/>
            </w:rPr>
            <w:instrText xml:space="preserve"> PAGEREF _Toc395 \h </w:instrText>
          </w:r>
          <w:r>
            <w:rPr>
              <w:color w:val="auto"/>
              <w:highlight w:val="none"/>
            </w:rPr>
            <w:fldChar w:fldCharType="separate"/>
          </w:r>
          <w:r>
            <w:rPr>
              <w:color w:val="auto"/>
              <w:highlight w:val="none"/>
            </w:rPr>
            <w:t>129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51838C74">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_Toc32430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2"/>
              <w:szCs w:val="31"/>
              <w:highlight w:val="none"/>
            </w:rPr>
            <w:t>1.工程量清单说明</w:t>
          </w:r>
          <w:r>
            <w:rPr>
              <w:color w:val="auto"/>
              <w:highlight w:val="none"/>
            </w:rPr>
            <w:tab/>
          </w:r>
          <w:r>
            <w:rPr>
              <w:color w:val="auto"/>
              <w:highlight w:val="none"/>
            </w:rPr>
            <w:fldChar w:fldCharType="begin"/>
          </w:r>
          <w:r>
            <w:rPr>
              <w:color w:val="auto"/>
              <w:highlight w:val="none"/>
            </w:rPr>
            <w:instrText xml:space="preserve"> PAGEREF _Toc32430 \h </w:instrText>
          </w:r>
          <w:r>
            <w:rPr>
              <w:color w:val="auto"/>
              <w:highlight w:val="none"/>
            </w:rPr>
            <w:fldChar w:fldCharType="separate"/>
          </w:r>
          <w:r>
            <w:rPr>
              <w:color w:val="auto"/>
              <w:highlight w:val="none"/>
            </w:rPr>
            <w:t>129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10034601">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_Toc16671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31"/>
              <w:highlight w:val="none"/>
            </w:rPr>
            <w:t>2.投标报价说明</w:t>
          </w:r>
          <w:r>
            <w:rPr>
              <w:color w:val="auto"/>
              <w:highlight w:val="none"/>
            </w:rPr>
            <w:tab/>
          </w:r>
          <w:r>
            <w:rPr>
              <w:color w:val="auto"/>
              <w:highlight w:val="none"/>
            </w:rPr>
            <w:fldChar w:fldCharType="begin"/>
          </w:r>
          <w:r>
            <w:rPr>
              <w:color w:val="auto"/>
              <w:highlight w:val="none"/>
            </w:rPr>
            <w:instrText xml:space="preserve"> PAGEREF _Toc16671 \h </w:instrText>
          </w:r>
          <w:r>
            <w:rPr>
              <w:color w:val="auto"/>
              <w:highlight w:val="none"/>
            </w:rPr>
            <w:fldChar w:fldCharType="separate"/>
          </w:r>
          <w:r>
            <w:rPr>
              <w:color w:val="auto"/>
              <w:highlight w:val="none"/>
            </w:rPr>
            <w:t>129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2D89EA3D">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_Toc22062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3"/>
              <w:szCs w:val="31"/>
              <w:highlight w:val="none"/>
            </w:rPr>
            <w:t>3.其他说明</w:t>
          </w:r>
          <w:r>
            <w:rPr>
              <w:color w:val="auto"/>
              <w:highlight w:val="none"/>
            </w:rPr>
            <w:tab/>
          </w:r>
          <w:r>
            <w:rPr>
              <w:color w:val="auto"/>
              <w:highlight w:val="none"/>
            </w:rPr>
            <w:fldChar w:fldCharType="begin"/>
          </w:r>
          <w:r>
            <w:rPr>
              <w:color w:val="auto"/>
              <w:highlight w:val="none"/>
            </w:rPr>
            <w:instrText xml:space="preserve"> PAGEREF _Toc22062 \h </w:instrText>
          </w:r>
          <w:r>
            <w:rPr>
              <w:color w:val="auto"/>
              <w:highlight w:val="none"/>
            </w:rPr>
            <w:fldChar w:fldCharType="separate"/>
          </w:r>
          <w:r>
            <w:rPr>
              <w:color w:val="auto"/>
              <w:highlight w:val="none"/>
            </w:rPr>
            <w:t>129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78AF8C52">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_Toc9225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5"/>
              <w:szCs w:val="31"/>
              <w:highlight w:val="none"/>
            </w:rPr>
            <w:t>4.工程量清单</w:t>
          </w:r>
          <w:r>
            <w:rPr>
              <w:color w:val="auto"/>
              <w:highlight w:val="none"/>
            </w:rPr>
            <w:tab/>
          </w:r>
          <w:r>
            <w:rPr>
              <w:color w:val="auto"/>
              <w:highlight w:val="none"/>
            </w:rPr>
            <w:fldChar w:fldCharType="begin"/>
          </w:r>
          <w:r>
            <w:rPr>
              <w:color w:val="auto"/>
              <w:highlight w:val="none"/>
            </w:rPr>
            <w:instrText xml:space="preserve"> PAGEREF _Toc9225 \h </w:instrText>
          </w:r>
          <w:r>
            <w:rPr>
              <w:color w:val="auto"/>
              <w:highlight w:val="none"/>
            </w:rPr>
            <w:fldChar w:fldCharType="separate"/>
          </w:r>
          <w:r>
            <w:rPr>
              <w:color w:val="auto"/>
              <w:highlight w:val="none"/>
            </w:rPr>
            <w:t>129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3E48B26D">
          <w:pPr>
            <w:pStyle w:val="12"/>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_Toc27858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2"/>
              <w:szCs w:val="43"/>
              <w:highlight w:val="none"/>
            </w:rPr>
            <w:t>第六章</w:t>
          </w:r>
          <w:r>
            <w:rPr>
              <w:rFonts w:ascii="宋体" w:hAnsi="宋体" w:eastAsia="宋体" w:cs="宋体"/>
              <w:color w:val="auto"/>
              <w:spacing w:val="70"/>
              <w:szCs w:val="43"/>
              <w:highlight w:val="none"/>
            </w:rPr>
            <w:t xml:space="preserve"> </w:t>
          </w:r>
          <w:r>
            <w:rPr>
              <w:rFonts w:ascii="宋体" w:hAnsi="宋体" w:eastAsia="宋体" w:cs="宋体"/>
              <w:bCs/>
              <w:color w:val="auto"/>
              <w:spacing w:val="-2"/>
              <w:szCs w:val="43"/>
              <w:highlight w:val="none"/>
            </w:rPr>
            <w:t>图纸（招标图纸）</w:t>
          </w:r>
          <w:r>
            <w:rPr>
              <w:color w:val="auto"/>
              <w:highlight w:val="none"/>
            </w:rPr>
            <w:tab/>
          </w:r>
          <w:r>
            <w:rPr>
              <w:color w:val="auto"/>
              <w:highlight w:val="none"/>
            </w:rPr>
            <w:fldChar w:fldCharType="begin"/>
          </w:r>
          <w:r>
            <w:rPr>
              <w:color w:val="auto"/>
              <w:highlight w:val="none"/>
            </w:rPr>
            <w:instrText xml:space="preserve"> PAGEREF _Toc27858 \h </w:instrText>
          </w:r>
          <w:r>
            <w:rPr>
              <w:color w:val="auto"/>
              <w:highlight w:val="none"/>
            </w:rPr>
            <w:fldChar w:fldCharType="separate"/>
          </w:r>
          <w:r>
            <w:rPr>
              <w:color w:val="auto"/>
              <w:highlight w:val="none"/>
            </w:rPr>
            <w:t>131</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2320A692">
          <w:pPr>
            <w:pStyle w:val="12"/>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_Toc12058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43"/>
              <w:highlight w:val="none"/>
            </w:rPr>
            <w:t>第七章</w:t>
          </w:r>
          <w:r>
            <w:rPr>
              <w:rFonts w:ascii="宋体" w:hAnsi="宋体" w:eastAsia="宋体" w:cs="宋体"/>
              <w:color w:val="auto"/>
              <w:spacing w:val="4"/>
              <w:szCs w:val="43"/>
              <w:highlight w:val="none"/>
            </w:rPr>
            <w:t xml:space="preserve"> </w:t>
          </w:r>
          <w:r>
            <w:rPr>
              <w:rFonts w:ascii="宋体" w:hAnsi="宋体" w:eastAsia="宋体" w:cs="宋体"/>
              <w:bCs/>
              <w:color w:val="auto"/>
              <w:spacing w:val="4"/>
              <w:szCs w:val="43"/>
              <w:highlight w:val="none"/>
            </w:rPr>
            <w:t>技术标准和要求</w:t>
          </w:r>
          <w:r>
            <w:rPr>
              <w:color w:val="auto"/>
              <w:highlight w:val="none"/>
            </w:rPr>
            <w:tab/>
          </w:r>
          <w:r>
            <w:rPr>
              <w:color w:val="auto"/>
              <w:highlight w:val="none"/>
            </w:rPr>
            <w:fldChar w:fldCharType="begin"/>
          </w:r>
          <w:r>
            <w:rPr>
              <w:color w:val="auto"/>
              <w:highlight w:val="none"/>
            </w:rPr>
            <w:instrText xml:space="preserve"> PAGEREF _Toc12058 \h </w:instrText>
          </w:r>
          <w:r>
            <w:rPr>
              <w:color w:val="auto"/>
              <w:highlight w:val="none"/>
            </w:rPr>
            <w:fldChar w:fldCharType="separate"/>
          </w:r>
          <w:r>
            <w:rPr>
              <w:color w:val="auto"/>
              <w:highlight w:val="none"/>
            </w:rPr>
            <w:t>133</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00FDFEEA">
          <w:pPr>
            <w:pStyle w:val="12"/>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_Toc749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43"/>
              <w:highlight w:val="none"/>
            </w:rPr>
            <w:t>第八章</w:t>
          </w:r>
          <w:r>
            <w:rPr>
              <w:rFonts w:ascii="宋体" w:hAnsi="宋体" w:eastAsia="宋体" w:cs="宋体"/>
              <w:color w:val="auto"/>
              <w:spacing w:val="4"/>
              <w:szCs w:val="43"/>
              <w:highlight w:val="none"/>
            </w:rPr>
            <w:t xml:space="preserve"> </w:t>
          </w:r>
          <w:r>
            <w:rPr>
              <w:rFonts w:ascii="宋体" w:hAnsi="宋体" w:eastAsia="宋体" w:cs="宋体"/>
              <w:bCs/>
              <w:color w:val="auto"/>
              <w:spacing w:val="4"/>
              <w:szCs w:val="43"/>
              <w:highlight w:val="none"/>
            </w:rPr>
            <w:t>投标文件格式</w:t>
          </w:r>
          <w:r>
            <w:rPr>
              <w:color w:val="auto"/>
              <w:highlight w:val="none"/>
            </w:rPr>
            <w:tab/>
          </w:r>
          <w:r>
            <w:rPr>
              <w:color w:val="auto"/>
              <w:highlight w:val="none"/>
            </w:rPr>
            <w:fldChar w:fldCharType="begin"/>
          </w:r>
          <w:r>
            <w:rPr>
              <w:color w:val="auto"/>
              <w:highlight w:val="none"/>
            </w:rPr>
            <w:instrText xml:space="preserve"> PAGEREF _Toc749 \h </w:instrText>
          </w:r>
          <w:r>
            <w:rPr>
              <w:color w:val="auto"/>
              <w:highlight w:val="none"/>
            </w:rPr>
            <w:fldChar w:fldCharType="separate"/>
          </w:r>
          <w:r>
            <w:rPr>
              <w:color w:val="auto"/>
              <w:highlight w:val="none"/>
            </w:rPr>
            <w:t>135</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060FBEF3">
          <w:pPr>
            <w:rPr>
              <w:rFonts w:ascii="Arial" w:hAnsi="Arial" w:eastAsia="Arial" w:cs="Arial"/>
              <w:snapToGrid w:val="0"/>
              <w:color w:val="auto"/>
              <w:kern w:val="0"/>
              <w:sz w:val="21"/>
              <w:szCs w:val="21"/>
              <w:highlight w:val="none"/>
              <w:lang w:val="en-US" w:eastAsia="en-US" w:bidi="ar-SA"/>
            </w:rPr>
          </w:pPr>
          <w:r>
            <w:rPr>
              <w:rFonts w:hint="eastAsia" w:ascii="宋体" w:hAnsi="宋体" w:eastAsia="宋体" w:cs="宋体"/>
              <w:snapToGrid w:val="0"/>
              <w:color w:val="auto"/>
              <w:kern w:val="0"/>
              <w:szCs w:val="21"/>
              <w:highlight w:val="none"/>
              <w:lang w:val="en-US" w:eastAsia="en-US" w:bidi="ar-SA"/>
            </w:rPr>
            <w:fldChar w:fldCharType="end"/>
          </w:r>
        </w:p>
      </w:sdtContent>
    </w:sdt>
    <w:p w14:paraId="59A9CE19">
      <w:pPr>
        <w:rPr>
          <w:rFonts w:ascii="Arial" w:hAnsi="Arial" w:eastAsia="Arial" w:cs="Arial"/>
          <w:snapToGrid w:val="0"/>
          <w:color w:val="auto"/>
          <w:kern w:val="0"/>
          <w:sz w:val="21"/>
          <w:szCs w:val="21"/>
          <w:highlight w:val="none"/>
          <w:lang w:val="en-US" w:eastAsia="en-US" w:bidi="ar-SA"/>
        </w:rPr>
      </w:pPr>
    </w:p>
    <w:p w14:paraId="20B78549">
      <w:pPr>
        <w:rPr>
          <w:rFonts w:ascii="Arial" w:hAnsi="Arial" w:eastAsia="Arial" w:cs="Arial"/>
          <w:snapToGrid w:val="0"/>
          <w:color w:val="auto"/>
          <w:kern w:val="0"/>
          <w:sz w:val="21"/>
          <w:szCs w:val="21"/>
          <w:highlight w:val="none"/>
          <w:lang w:val="en-US" w:eastAsia="en-US" w:bidi="ar-SA"/>
        </w:rPr>
      </w:pPr>
    </w:p>
    <w:p w14:paraId="2A070223">
      <w:pPr>
        <w:rPr>
          <w:rFonts w:ascii="Arial" w:hAnsi="Arial" w:eastAsia="Arial" w:cs="Arial"/>
          <w:snapToGrid w:val="0"/>
          <w:color w:val="auto"/>
          <w:kern w:val="0"/>
          <w:sz w:val="21"/>
          <w:szCs w:val="21"/>
          <w:highlight w:val="none"/>
          <w:lang w:val="en-US" w:eastAsia="en-US" w:bidi="ar-SA"/>
        </w:rPr>
      </w:pPr>
    </w:p>
    <w:p w14:paraId="0E7D01D5">
      <w:pPr>
        <w:rPr>
          <w:color w:val="auto"/>
          <w:highlight w:val="none"/>
        </w:rPr>
      </w:pPr>
    </w:p>
    <w:p w14:paraId="349B9105">
      <w:pPr>
        <w:rPr>
          <w:rFonts w:ascii="宋体" w:hAnsi="宋体" w:eastAsia="宋体" w:cs="宋体"/>
          <w:b/>
          <w:bCs/>
          <w:color w:val="auto"/>
          <w:spacing w:val="4"/>
          <w:sz w:val="44"/>
          <w:szCs w:val="44"/>
          <w:highlight w:val="none"/>
        </w:rPr>
      </w:pPr>
      <w:r>
        <w:rPr>
          <w:rFonts w:ascii="宋体" w:hAnsi="宋体" w:eastAsia="宋体" w:cs="宋体"/>
          <w:b/>
          <w:bCs/>
          <w:color w:val="auto"/>
          <w:spacing w:val="4"/>
          <w:sz w:val="44"/>
          <w:szCs w:val="44"/>
          <w:highlight w:val="none"/>
        </w:rPr>
        <w:br w:type="page"/>
      </w:r>
    </w:p>
    <w:p w14:paraId="73F7418B">
      <w:pPr>
        <w:keepNext w:val="0"/>
        <w:keepLines w:val="0"/>
        <w:pageBreakBefore w:val="0"/>
        <w:widowControl/>
        <w:kinsoku w:val="0"/>
        <w:wordWrap/>
        <w:overflowPunct/>
        <w:topLinePunct w:val="0"/>
        <w:autoSpaceDE w:val="0"/>
        <w:autoSpaceDN w:val="0"/>
        <w:bidi w:val="0"/>
        <w:adjustRightInd w:val="0"/>
        <w:snapToGrid w:val="0"/>
        <w:spacing w:before="87" w:line="240" w:lineRule="auto"/>
        <w:ind w:left="3202"/>
        <w:textAlignment w:val="baseline"/>
        <w:outlineLvl w:val="0"/>
        <w:rPr>
          <w:rFonts w:ascii="Arial"/>
          <w:color w:val="auto"/>
          <w:sz w:val="21"/>
          <w:highlight w:val="none"/>
        </w:rPr>
      </w:pPr>
      <w:bookmarkStart w:id="4" w:name="_Toc7440"/>
      <w:r>
        <w:rPr>
          <w:rFonts w:ascii="宋体" w:hAnsi="宋体" w:eastAsia="宋体" w:cs="宋体"/>
          <w:b/>
          <w:bCs/>
          <w:color w:val="auto"/>
          <w:spacing w:val="4"/>
          <w:sz w:val="44"/>
          <w:szCs w:val="44"/>
          <w:highlight w:val="none"/>
        </w:rPr>
        <w:t>第一章</w:t>
      </w:r>
      <w:r>
        <w:rPr>
          <w:rFonts w:ascii="宋体" w:hAnsi="宋体" w:eastAsia="宋体" w:cs="宋体"/>
          <w:color w:val="auto"/>
          <w:spacing w:val="4"/>
          <w:sz w:val="44"/>
          <w:szCs w:val="44"/>
          <w:highlight w:val="none"/>
        </w:rPr>
        <w:t xml:space="preserve"> </w:t>
      </w:r>
      <w:r>
        <w:rPr>
          <w:rFonts w:ascii="宋体" w:hAnsi="宋体" w:eastAsia="宋体" w:cs="宋体"/>
          <w:b/>
          <w:bCs/>
          <w:color w:val="auto"/>
          <w:spacing w:val="4"/>
          <w:sz w:val="44"/>
          <w:szCs w:val="44"/>
          <w:highlight w:val="none"/>
        </w:rPr>
        <w:t>招标公告</w:t>
      </w:r>
      <w:bookmarkEnd w:id="4"/>
    </w:p>
    <w:p w14:paraId="218866F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auto"/>
          <w:sz w:val="21"/>
          <w:highlight w:val="none"/>
        </w:rPr>
      </w:pPr>
    </w:p>
    <w:p w14:paraId="6B438316">
      <w:pPr>
        <w:keepNext w:val="0"/>
        <w:keepLines w:val="0"/>
        <w:pageBreakBefore w:val="0"/>
        <w:widowControl/>
        <w:tabs>
          <w:tab w:val="left" w:pos="1220"/>
        </w:tabs>
        <w:kinsoku w:val="0"/>
        <w:wordWrap/>
        <w:overflowPunct/>
        <w:topLinePunct w:val="0"/>
        <w:autoSpaceDE w:val="0"/>
        <w:autoSpaceDN w:val="0"/>
        <w:bidi w:val="0"/>
        <w:adjustRightInd w:val="0"/>
        <w:snapToGrid w:val="0"/>
        <w:spacing w:before="91" w:line="240" w:lineRule="auto"/>
        <w:jc w:val="center"/>
        <w:textAlignment w:val="baseline"/>
        <w:outlineLvl w:val="9"/>
        <w:rPr>
          <w:rFonts w:hint="eastAsia" w:asciiTheme="minorEastAsia" w:hAnsiTheme="minorEastAsia" w:eastAsiaTheme="minorEastAsia" w:cstheme="minorEastAsia"/>
          <w:b/>
          <w:bCs/>
          <w:color w:val="auto"/>
          <w:spacing w:val="-13"/>
          <w:sz w:val="44"/>
          <w:szCs w:val="44"/>
          <w:highlight w:val="none"/>
        </w:rPr>
      </w:pPr>
      <w:bookmarkStart w:id="5" w:name="_Toc29305"/>
      <w:bookmarkStart w:id="6" w:name="_Toc20805"/>
      <w:r>
        <w:rPr>
          <w:rFonts w:hint="eastAsia" w:asciiTheme="minorEastAsia" w:hAnsiTheme="minorEastAsia" w:eastAsiaTheme="minorEastAsia" w:cstheme="minorEastAsia"/>
          <w:b/>
          <w:bCs/>
          <w:color w:val="auto"/>
          <w:spacing w:val="-13"/>
          <w:sz w:val="44"/>
          <w:szCs w:val="44"/>
          <w:highlight w:val="none"/>
          <w:lang w:val="en-US" w:eastAsia="zh-CN"/>
        </w:rPr>
        <w:t>肥东县马湖片区农业高质量发展提升项目-马湖乡兴赵社区2025年高标准农田建设项目</w:t>
      </w:r>
      <w:r>
        <w:rPr>
          <w:rFonts w:hint="eastAsia" w:asciiTheme="minorEastAsia" w:hAnsiTheme="minorEastAsia" w:eastAsiaTheme="minorEastAsia" w:cstheme="minorEastAsia"/>
          <w:b/>
          <w:bCs/>
          <w:color w:val="auto"/>
          <w:spacing w:val="-13"/>
          <w:sz w:val="44"/>
          <w:szCs w:val="44"/>
          <w:highlight w:val="none"/>
        </w:rPr>
        <w:t>施工招标公告（电子招标投标）</w:t>
      </w:r>
      <w:bookmarkEnd w:id="5"/>
      <w:bookmarkEnd w:id="6"/>
    </w:p>
    <w:p w14:paraId="6B15AA2E">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1.招标条件</w:t>
      </w:r>
    </w:p>
    <w:p w14:paraId="743BDF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1.1 项目名称：肥东县马湖片区农业高质量发展提升项目-马湖乡兴赵社区2025年高标准农田建设项目</w:t>
      </w:r>
    </w:p>
    <w:p w14:paraId="789F6E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1.2 项目审批、核准或备案机关名称：肥东县发展和改革委员会</w:t>
      </w:r>
    </w:p>
    <w:p w14:paraId="757D8C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1.3 批文名称及编号：关于同意肥东县马湖片区农业高质量发展提升项目-马湖乡兴赵社区2025年高标准农田建设项目立项的复函，发改投〔2025〕176号</w:t>
      </w:r>
    </w:p>
    <w:p w14:paraId="37FD24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1.4 招标人：肥东县马湖乡人民政府</w:t>
      </w:r>
    </w:p>
    <w:p w14:paraId="0E1CF2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1.5 项目法人：肥东县马湖乡人民政府</w:t>
      </w:r>
    </w:p>
    <w:p w14:paraId="30D831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1.6 招标代理机构：</w:t>
      </w:r>
      <w:r>
        <w:rPr>
          <w:rFonts w:hint="eastAsia" w:ascii="仿宋" w:hAnsi="仿宋" w:eastAsia="仿宋" w:cs="Times New Roman"/>
          <w:color w:val="auto"/>
          <w:sz w:val="28"/>
          <w:szCs w:val="28"/>
          <w:highlight w:val="none"/>
          <w:lang w:val="en-US" w:eastAsia="zh-CN" w:bidi="ar"/>
        </w:rPr>
        <w:t>肥东县公共资源交易有限公司</w:t>
      </w:r>
    </w:p>
    <w:p w14:paraId="34C006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1.7 资金来源：财政</w:t>
      </w:r>
    </w:p>
    <w:p w14:paraId="4E8F87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1.8 项目出资比例：</w:t>
      </w:r>
      <w:r>
        <w:rPr>
          <w:rFonts w:hint="eastAsia" w:ascii="仿宋" w:hAnsi="仿宋" w:eastAsia="仿宋" w:cs="楷体"/>
          <w:bCs/>
          <w:snapToGrid w:val="0"/>
          <w:color w:val="auto"/>
          <w:sz w:val="28"/>
          <w:szCs w:val="28"/>
          <w:highlight w:val="none"/>
        </w:rPr>
        <w:t>1</w:t>
      </w:r>
      <w:r>
        <w:rPr>
          <w:rFonts w:ascii="仿宋" w:hAnsi="仿宋" w:eastAsia="仿宋" w:cs="楷体"/>
          <w:bCs/>
          <w:snapToGrid w:val="0"/>
          <w:color w:val="auto"/>
          <w:sz w:val="28"/>
          <w:szCs w:val="28"/>
          <w:highlight w:val="none"/>
        </w:rPr>
        <w:t>00%</w:t>
      </w:r>
      <w:r>
        <w:rPr>
          <w:rFonts w:ascii="仿宋" w:hAnsi="仿宋" w:eastAsia="仿宋" w:cs="楷体"/>
          <w:bCs/>
          <w:snapToGrid w:val="0"/>
          <w:color w:val="auto"/>
          <w:kern w:val="0"/>
          <w:sz w:val="28"/>
          <w:szCs w:val="28"/>
          <w:highlight w:val="none"/>
        </w:rPr>
        <w:t xml:space="preserve">  </w:t>
      </w:r>
    </w:p>
    <w:p w14:paraId="550459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ascii="仿宋" w:hAnsi="仿宋" w:eastAsia="仿宋" w:cs="楷体"/>
          <w:bCs/>
          <w:snapToGrid w:val="0"/>
          <w:color w:val="auto"/>
          <w:kern w:val="0"/>
          <w:sz w:val="28"/>
          <w:szCs w:val="28"/>
          <w:highlight w:val="none"/>
        </w:rPr>
      </w:pPr>
      <w:r>
        <w:rPr>
          <w:rFonts w:hint="eastAsia" w:ascii="仿宋" w:hAnsi="仿宋" w:eastAsia="仿宋" w:cs="仿宋"/>
          <w:bCs/>
          <w:snapToGrid w:val="0"/>
          <w:color w:val="auto"/>
          <w:kern w:val="0"/>
          <w:sz w:val="28"/>
          <w:szCs w:val="28"/>
          <w:highlight w:val="none"/>
          <w:lang w:val="en-US" w:eastAsia="zh-CN" w:bidi="ar"/>
        </w:rPr>
        <w:t>1.9 资金落实情况：</w:t>
      </w:r>
      <w:r>
        <w:rPr>
          <w:rFonts w:hint="eastAsia" w:ascii="仿宋" w:hAnsi="仿宋" w:eastAsia="仿宋" w:cs="楷体"/>
          <w:bCs/>
          <w:snapToGrid w:val="0"/>
          <w:color w:val="auto"/>
          <w:sz w:val="28"/>
          <w:szCs w:val="28"/>
          <w:highlight w:val="none"/>
        </w:rPr>
        <w:t>已落实</w:t>
      </w:r>
      <w:r>
        <w:rPr>
          <w:rFonts w:ascii="仿宋" w:hAnsi="仿宋" w:eastAsia="仿宋" w:cs="楷体"/>
          <w:bCs/>
          <w:snapToGrid w:val="0"/>
          <w:color w:val="auto"/>
          <w:kern w:val="0"/>
          <w:sz w:val="28"/>
          <w:szCs w:val="28"/>
          <w:highlight w:val="none"/>
        </w:rPr>
        <w:t xml:space="preserve"> </w:t>
      </w:r>
    </w:p>
    <w:p w14:paraId="634A4D24">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2.项目概况与招标范围</w:t>
      </w:r>
    </w:p>
    <w:p w14:paraId="22164B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2.1 招标项目名称：肥东县马湖片区农业高质量发展提升项目-马湖乡兴赵社区2025年高标准农田建设项目</w:t>
      </w:r>
    </w:p>
    <w:p w14:paraId="4BDF89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 xml:space="preserve">2.2 招标项目编号：2025ADDGZ00   </w:t>
      </w:r>
    </w:p>
    <w:p w14:paraId="0BC2A7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2.3 标段划分：本项目共分为1个标段</w:t>
      </w:r>
    </w:p>
    <w:p w14:paraId="6F426F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 xml:space="preserve">2.4 招标项目标段编号：2025ADDGZ00   </w:t>
      </w:r>
    </w:p>
    <w:p w14:paraId="782F0C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2.5 建设地点：安徽省合肥市肥东县马湖乡</w:t>
      </w:r>
    </w:p>
    <w:p w14:paraId="3EF7C9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2.6 建设规模：本项目为马湖乡兴赵社区高标准农田改造提升，约1800亩。</w:t>
      </w:r>
    </w:p>
    <w:p w14:paraId="6BB24A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2.7 合同估算价：756万元</w:t>
      </w:r>
    </w:p>
    <w:p w14:paraId="45BEDD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2.8 计划工期：180日历天</w:t>
      </w:r>
    </w:p>
    <w:p w14:paraId="52CCDB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2.9 招标范围：平整土地、土壤改良、塘坝清淤、沟渠治理、泵站建设、配套田间建筑物、田间道路、科技推广等</w:t>
      </w:r>
      <w:r>
        <w:rPr>
          <w:rFonts w:hint="eastAsia" w:ascii="仿宋" w:hAnsi="仿宋" w:eastAsia="仿宋"/>
          <w:color w:val="auto"/>
          <w:sz w:val="28"/>
          <w:szCs w:val="28"/>
          <w:highlight w:val="none"/>
        </w:rPr>
        <w:t>施工图纸及工程量清单的内容。</w:t>
      </w:r>
    </w:p>
    <w:p w14:paraId="72AA91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2.10 项目类别：</w:t>
      </w:r>
      <w:r>
        <w:rPr>
          <w:rFonts w:hint="eastAsia" w:ascii="仿宋" w:hAnsi="仿宋" w:eastAsia="仿宋"/>
          <w:color w:val="auto"/>
          <w:sz w:val="28"/>
          <w:szCs w:val="28"/>
          <w:highlight w:val="none"/>
        </w:rPr>
        <w:t xml:space="preserve">工程施工 </w:t>
      </w:r>
    </w:p>
    <w:p w14:paraId="3D761E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2.11 其他：无</w:t>
      </w:r>
    </w:p>
    <w:p w14:paraId="430F0061">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3.投标人资格要求</w:t>
      </w:r>
    </w:p>
    <w:p w14:paraId="5A5EC1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outlineLvl w:val="9"/>
        <w:rPr>
          <w:rFonts w:hint="eastAsia" w:ascii="仿宋" w:hAnsi="仿宋" w:eastAsia="仿宋" w:cs="仿宋"/>
          <w:bCs/>
          <w:snapToGrid w:val="0"/>
          <w:color w:val="auto"/>
          <w:kern w:val="0"/>
          <w:sz w:val="28"/>
          <w:szCs w:val="28"/>
          <w:highlight w:val="none"/>
          <w:lang w:val="en-US" w:eastAsia="zh-CN" w:bidi="ar"/>
        </w:rPr>
      </w:pPr>
      <w:bookmarkStart w:id="7" w:name="_Toc29495"/>
      <w:bookmarkStart w:id="8" w:name="_Toc27545"/>
      <w:r>
        <w:rPr>
          <w:rFonts w:hint="eastAsia" w:ascii="仿宋" w:hAnsi="仿宋" w:eastAsia="仿宋" w:cs="仿宋"/>
          <w:bCs/>
          <w:snapToGrid w:val="0"/>
          <w:color w:val="auto"/>
          <w:kern w:val="0"/>
          <w:sz w:val="28"/>
          <w:szCs w:val="28"/>
          <w:highlight w:val="none"/>
          <w:lang w:val="en-US" w:eastAsia="zh-CN" w:bidi="ar"/>
        </w:rPr>
        <w:t>3.1 投标人应依法设立并具备承担本招标项目的如下条件：</w:t>
      </w:r>
      <w:bookmarkEnd w:id="7"/>
      <w:bookmarkEnd w:id="8"/>
    </w:p>
    <w:p w14:paraId="33EACD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3.1.1 投标人资质要求：具备有效的营业执照，具备水利水电工程施工总承包三级及以上资质，具备有效的安全生产许可证；</w:t>
      </w:r>
    </w:p>
    <w:p w14:paraId="515B8A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3.1.2 投标人财务要求：无</w:t>
      </w:r>
    </w:p>
    <w:p w14:paraId="3E523280">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3.1.3 投标人业绩要求：无。</w:t>
      </w:r>
    </w:p>
    <w:p w14:paraId="4AA1C0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3.1.4 投标人信誉要求：投标人未被合肥市及其所辖县（市）、区（开发区）招标投标行政监督部门记不良行为记录的；或被记不良行为记录（以公布日期为准），但同时符合下列情形的：</w:t>
      </w:r>
    </w:p>
    <w:p w14:paraId="6AC3F7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color w:val="auto"/>
          <w:kern w:val="0"/>
          <w:sz w:val="28"/>
          <w:szCs w:val="28"/>
          <w:highlight w:val="none"/>
          <w:lang w:val="en-US"/>
        </w:rPr>
      </w:pPr>
      <w:r>
        <w:rPr>
          <w:rFonts w:hint="eastAsia" w:ascii="仿宋" w:hAnsi="仿宋" w:eastAsia="仿宋" w:cs="仿宋"/>
          <w:bCs/>
          <w:snapToGrid w:val="0"/>
          <w:color w:val="auto"/>
          <w:kern w:val="0"/>
          <w:sz w:val="28"/>
          <w:szCs w:val="28"/>
          <w:highlight w:val="none"/>
          <w:lang w:val="en-US" w:eastAsia="zh-CN" w:bidi="ar"/>
        </w:rPr>
        <w:t>（1）开标日前（含当日）6个月内记分累计未满10分的；</w:t>
      </w:r>
    </w:p>
    <w:p w14:paraId="4FB601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color w:val="auto"/>
          <w:kern w:val="0"/>
          <w:sz w:val="28"/>
          <w:szCs w:val="28"/>
          <w:highlight w:val="none"/>
          <w:lang w:val="en-US"/>
        </w:rPr>
      </w:pPr>
      <w:r>
        <w:rPr>
          <w:rFonts w:hint="eastAsia" w:ascii="仿宋" w:hAnsi="仿宋" w:eastAsia="仿宋" w:cs="仿宋"/>
          <w:bCs/>
          <w:snapToGrid w:val="0"/>
          <w:color w:val="auto"/>
          <w:kern w:val="0"/>
          <w:sz w:val="28"/>
          <w:szCs w:val="28"/>
          <w:highlight w:val="none"/>
          <w:lang w:val="en-US" w:eastAsia="zh-CN" w:bidi="ar"/>
        </w:rPr>
        <w:t>（2）开标日前（含当日）12个月内记分累计未满15分的；</w:t>
      </w:r>
    </w:p>
    <w:p w14:paraId="3858E1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color w:val="auto"/>
          <w:kern w:val="0"/>
          <w:sz w:val="28"/>
          <w:szCs w:val="28"/>
          <w:highlight w:val="none"/>
          <w:lang w:val="en-US"/>
        </w:rPr>
      </w:pPr>
      <w:r>
        <w:rPr>
          <w:rFonts w:hint="eastAsia" w:ascii="仿宋" w:hAnsi="仿宋" w:eastAsia="仿宋" w:cs="仿宋"/>
          <w:bCs/>
          <w:snapToGrid w:val="0"/>
          <w:color w:val="auto"/>
          <w:kern w:val="0"/>
          <w:sz w:val="28"/>
          <w:szCs w:val="28"/>
          <w:highlight w:val="none"/>
          <w:lang w:val="en-US" w:eastAsia="zh-CN" w:bidi="ar"/>
        </w:rPr>
        <w:t>（3）开标日前（含当日）18个月内记分累计未满20分的；</w:t>
      </w:r>
    </w:p>
    <w:p w14:paraId="2261FC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left"/>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（4）开标日前（含当日）24个月内记分累计未满25分的。</w:t>
      </w:r>
    </w:p>
    <w:p w14:paraId="29BFCF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64" w:firstLineChars="100"/>
        <w:jc w:val="both"/>
        <w:textAlignment w:val="baseline"/>
        <w:rPr>
          <w:rFonts w:hint="eastAsia" w:ascii="仿宋" w:hAnsi="仿宋" w:eastAsia="仿宋" w:cs="仿宋"/>
          <w:color w:val="auto"/>
          <w:spacing w:val="-8"/>
          <w:sz w:val="28"/>
          <w:szCs w:val="28"/>
          <w:highlight w:val="none"/>
          <w:u w:val="single" w:color="auto"/>
        </w:rPr>
      </w:pPr>
      <w:r>
        <w:rPr>
          <w:rFonts w:hint="eastAsia" w:ascii="仿宋" w:hAnsi="仿宋" w:eastAsia="仿宋" w:cs="仿宋"/>
          <w:color w:val="auto"/>
          <w:spacing w:val="-8"/>
          <w:sz w:val="28"/>
          <w:szCs w:val="28"/>
          <w:highlight w:val="none"/>
        </w:rPr>
        <w:t>3.1.5 项目经理的资格要求：具有水利水电专业</w:t>
      </w:r>
      <w:r>
        <w:rPr>
          <w:rFonts w:hint="eastAsia" w:ascii="仿宋" w:hAnsi="仿宋" w:eastAsia="仿宋" w:cs="仿宋"/>
          <w:color w:val="auto"/>
          <w:spacing w:val="-8"/>
          <w:sz w:val="28"/>
          <w:szCs w:val="28"/>
          <w:highlight w:val="none"/>
          <w:lang w:val="en-US" w:eastAsia="zh-CN"/>
        </w:rPr>
        <w:t>二</w:t>
      </w:r>
      <w:r>
        <w:rPr>
          <w:rFonts w:hint="eastAsia" w:ascii="仿宋" w:hAnsi="仿宋" w:eastAsia="仿宋" w:cs="仿宋"/>
          <w:color w:val="auto"/>
          <w:spacing w:val="-8"/>
          <w:sz w:val="28"/>
          <w:szCs w:val="28"/>
          <w:highlight w:val="none"/>
        </w:rPr>
        <w:t>级</w:t>
      </w:r>
      <w:r>
        <w:rPr>
          <w:rFonts w:hint="eastAsia" w:ascii="仿宋" w:hAnsi="仿宋" w:eastAsia="仿宋" w:cs="仿宋"/>
          <w:color w:val="auto"/>
          <w:spacing w:val="-8"/>
          <w:sz w:val="28"/>
          <w:szCs w:val="28"/>
          <w:highlight w:val="none"/>
          <w:lang w:val="en-US" w:eastAsia="zh-CN"/>
        </w:rPr>
        <w:t>及以上</w:t>
      </w:r>
      <w:r>
        <w:rPr>
          <w:rFonts w:hint="eastAsia" w:ascii="仿宋" w:hAnsi="仿宋" w:eastAsia="仿宋" w:cs="仿宋"/>
          <w:color w:val="auto"/>
          <w:spacing w:val="-8"/>
          <w:sz w:val="28"/>
          <w:szCs w:val="28"/>
          <w:highlight w:val="none"/>
        </w:rPr>
        <w:t>建造师注册证书，持有水行政主管部门颁发的B类安全生产考核合格证书。担任项目经理的项目曾导致承包人有不良记录，且在公示期内的不得担任本项目的项目经理；</w:t>
      </w:r>
    </w:p>
    <w:p w14:paraId="3B1DF4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62" w:firstLineChars="100"/>
        <w:jc w:val="both"/>
        <w:textAlignment w:val="baseline"/>
        <w:rPr>
          <w:rFonts w:hint="eastAsia" w:ascii="仿宋" w:hAnsi="仿宋" w:eastAsia="仿宋" w:cs="仿宋"/>
          <w:color w:val="auto"/>
          <w:spacing w:val="-9"/>
          <w:sz w:val="28"/>
          <w:szCs w:val="28"/>
          <w:highlight w:val="none"/>
          <w:u w:val="single" w:color="auto"/>
          <w:lang w:val="en-US" w:eastAsia="zh-CN"/>
        </w:rPr>
      </w:pPr>
      <w:r>
        <w:rPr>
          <w:rFonts w:hint="eastAsia" w:ascii="仿宋" w:hAnsi="仿宋" w:eastAsia="仿宋" w:cs="仿宋"/>
          <w:color w:val="auto"/>
          <w:spacing w:val="-9"/>
          <w:sz w:val="28"/>
          <w:szCs w:val="28"/>
          <w:highlight w:val="none"/>
        </w:rPr>
        <w:t>3.1.6 其他主要人员要求：</w:t>
      </w:r>
      <w:r>
        <w:rPr>
          <w:rFonts w:hint="eastAsia" w:ascii="仿宋" w:hAnsi="仿宋" w:eastAsia="仿宋" w:cs="仿宋"/>
          <w:color w:val="auto"/>
          <w:spacing w:val="-9"/>
          <w:sz w:val="28"/>
          <w:szCs w:val="28"/>
          <w:highlight w:val="none"/>
          <w:lang w:val="en-US" w:eastAsia="zh-CN"/>
        </w:rPr>
        <w:t>无</w:t>
      </w:r>
    </w:p>
    <w:p w14:paraId="14F6CF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58" w:firstLineChars="100"/>
        <w:jc w:val="left"/>
        <w:textAlignment w:val="baseline"/>
        <w:rPr>
          <w:rFonts w:hint="eastAsia" w:ascii="仿宋" w:hAnsi="仿宋" w:eastAsia="仿宋" w:cs="仿宋"/>
          <w:color w:val="auto"/>
          <w:spacing w:val="-11"/>
          <w:sz w:val="28"/>
          <w:szCs w:val="28"/>
          <w:highlight w:val="none"/>
        </w:rPr>
      </w:pPr>
      <w:r>
        <w:rPr>
          <w:rFonts w:hint="eastAsia" w:ascii="仿宋" w:hAnsi="仿宋" w:eastAsia="仿宋" w:cs="仿宋"/>
          <w:color w:val="auto"/>
          <w:spacing w:val="-11"/>
          <w:sz w:val="28"/>
          <w:szCs w:val="28"/>
          <w:highlight w:val="none"/>
        </w:rPr>
        <w:t>3.1.7 其他要求：</w:t>
      </w:r>
      <w:r>
        <w:rPr>
          <w:rFonts w:hint="eastAsia" w:ascii="仿宋" w:hAnsi="仿宋" w:eastAsia="仿宋" w:cs="仿宋"/>
          <w:bCs/>
          <w:snapToGrid w:val="0"/>
          <w:color w:val="auto"/>
          <w:kern w:val="0"/>
          <w:sz w:val="28"/>
          <w:szCs w:val="28"/>
          <w:highlight w:val="none"/>
          <w:lang w:val="en-US" w:eastAsia="zh-CN" w:bidi="ar"/>
        </w:rPr>
        <w:t>无</w:t>
      </w:r>
    </w:p>
    <w:p w14:paraId="395ED6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78" w:firstLineChars="100"/>
        <w:jc w:val="left"/>
        <w:textAlignment w:val="baseline"/>
        <w:rPr>
          <w:rFonts w:hint="eastAsia" w:ascii="仿宋" w:hAnsi="仿宋" w:eastAsia="仿宋" w:cs="仿宋"/>
          <w:color w:val="auto"/>
          <w:spacing w:val="-1"/>
          <w:sz w:val="28"/>
          <w:szCs w:val="28"/>
          <w:highlight w:val="none"/>
        </w:rPr>
      </w:pPr>
      <w:r>
        <w:rPr>
          <w:rFonts w:hint="eastAsia" w:ascii="仿宋" w:hAnsi="仿宋" w:eastAsia="仿宋" w:cs="仿宋"/>
          <w:color w:val="auto"/>
          <w:spacing w:val="-1"/>
          <w:sz w:val="28"/>
          <w:szCs w:val="28"/>
          <w:highlight w:val="none"/>
        </w:rPr>
        <w:t>3.2 本次招标</w:t>
      </w:r>
      <w:r>
        <w:rPr>
          <w:rFonts w:hint="eastAsia" w:ascii="仿宋" w:hAnsi="仿宋" w:eastAsia="仿宋" w:cs="仿宋"/>
          <w:color w:val="auto"/>
          <w:spacing w:val="-1"/>
          <w:sz w:val="28"/>
          <w:szCs w:val="28"/>
          <w:highlight w:val="none"/>
          <w:lang w:val="en-US" w:eastAsia="zh-CN"/>
        </w:rPr>
        <w:t>不接受</w:t>
      </w:r>
      <w:r>
        <w:rPr>
          <w:rFonts w:hint="eastAsia" w:ascii="仿宋" w:hAnsi="仿宋" w:eastAsia="仿宋" w:cs="仿宋"/>
          <w:color w:val="auto"/>
          <w:spacing w:val="-1"/>
          <w:sz w:val="28"/>
          <w:szCs w:val="28"/>
          <w:highlight w:val="none"/>
        </w:rPr>
        <w:t>联合体投标。</w:t>
      </w:r>
    </w:p>
    <w:p w14:paraId="01AA74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78" w:firstLineChars="100"/>
        <w:jc w:val="left"/>
        <w:textAlignment w:val="baseline"/>
        <w:rPr>
          <w:rFonts w:hint="eastAsia" w:ascii="仿宋" w:hAnsi="仿宋" w:eastAsia="仿宋" w:cs="仿宋"/>
          <w:color w:val="auto"/>
          <w:spacing w:val="-1"/>
          <w:sz w:val="28"/>
          <w:szCs w:val="28"/>
          <w:highlight w:val="none"/>
          <w:lang w:eastAsia="zh-CN"/>
        </w:rPr>
      </w:pPr>
      <w:r>
        <w:rPr>
          <w:rFonts w:hint="eastAsia" w:ascii="仿宋" w:hAnsi="仿宋" w:eastAsia="仿宋" w:cs="仿宋"/>
          <w:color w:val="auto"/>
          <w:spacing w:val="-1"/>
          <w:sz w:val="28"/>
          <w:szCs w:val="28"/>
          <w:highlight w:val="none"/>
        </w:rPr>
        <w:t>3.</w:t>
      </w:r>
      <w:r>
        <w:rPr>
          <w:rFonts w:hint="eastAsia" w:ascii="仿宋" w:hAnsi="仿宋" w:eastAsia="仿宋" w:cs="仿宋"/>
          <w:color w:val="auto"/>
          <w:spacing w:val="-1"/>
          <w:sz w:val="28"/>
          <w:szCs w:val="28"/>
          <w:highlight w:val="none"/>
          <w:lang w:val="en-US" w:eastAsia="zh-CN"/>
        </w:rPr>
        <w:t>3</w:t>
      </w:r>
      <w:r>
        <w:rPr>
          <w:rFonts w:hint="eastAsia" w:ascii="仿宋" w:hAnsi="仿宋" w:eastAsia="仿宋" w:cs="仿宋"/>
          <w:color w:val="auto"/>
          <w:spacing w:val="-1"/>
          <w:sz w:val="28"/>
          <w:szCs w:val="28"/>
          <w:highlight w:val="none"/>
        </w:rPr>
        <w:t xml:space="preserve"> 投标人不得存在招标文件第二章投标人须知第</w:t>
      </w:r>
      <w:r>
        <w:rPr>
          <w:rFonts w:hint="eastAsia" w:ascii="仿宋" w:hAnsi="仿宋" w:eastAsia="仿宋" w:cs="仿宋"/>
          <w:color w:val="auto"/>
          <w:spacing w:val="-21"/>
          <w:sz w:val="28"/>
          <w:szCs w:val="28"/>
          <w:highlight w:val="none"/>
        </w:rPr>
        <w:t xml:space="preserve"> </w:t>
      </w:r>
      <w:r>
        <w:rPr>
          <w:rFonts w:hint="eastAsia" w:ascii="仿宋" w:hAnsi="仿宋" w:eastAsia="仿宋" w:cs="仿宋"/>
          <w:color w:val="auto"/>
          <w:spacing w:val="-1"/>
          <w:sz w:val="28"/>
          <w:szCs w:val="28"/>
          <w:highlight w:val="none"/>
        </w:rPr>
        <w:t>1.4.3 项规定的情形</w:t>
      </w:r>
      <w:r>
        <w:rPr>
          <w:rFonts w:hint="eastAsia" w:ascii="仿宋" w:hAnsi="仿宋" w:eastAsia="仿宋" w:cs="仿宋"/>
          <w:color w:val="auto"/>
          <w:spacing w:val="-1"/>
          <w:sz w:val="28"/>
          <w:szCs w:val="28"/>
          <w:highlight w:val="none"/>
          <w:lang w:eastAsia="zh-CN"/>
        </w:rPr>
        <w:t>。</w:t>
      </w:r>
    </w:p>
    <w:p w14:paraId="290A92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4" w:firstLineChars="100"/>
        <w:jc w:val="left"/>
        <w:textAlignment w:val="baseline"/>
        <w:rPr>
          <w:rFonts w:hint="eastAsia" w:ascii="仿宋" w:hAnsi="仿宋" w:eastAsia="仿宋" w:cs="仿宋"/>
          <w:color w:val="auto"/>
          <w:spacing w:val="-1"/>
          <w:sz w:val="28"/>
          <w:szCs w:val="28"/>
          <w:highlight w:val="none"/>
        </w:rPr>
      </w:pPr>
      <w:r>
        <w:rPr>
          <w:rFonts w:hint="eastAsia" w:ascii="仿宋" w:hAnsi="仿宋" w:eastAsia="仿宋" w:cs="仿宋"/>
          <w:color w:val="auto"/>
          <w:spacing w:val="2"/>
          <w:sz w:val="28"/>
          <w:szCs w:val="28"/>
          <w:highlight w:val="none"/>
        </w:rPr>
        <w:t>3.</w:t>
      </w:r>
      <w:r>
        <w:rPr>
          <w:rFonts w:hint="eastAsia" w:ascii="仿宋" w:hAnsi="仿宋" w:eastAsia="仿宋" w:cs="仿宋"/>
          <w:color w:val="auto"/>
          <w:spacing w:val="2"/>
          <w:sz w:val="28"/>
          <w:szCs w:val="28"/>
          <w:highlight w:val="none"/>
          <w:lang w:val="en-US" w:eastAsia="zh-CN"/>
        </w:rPr>
        <w:t>4</w:t>
      </w:r>
      <w:r>
        <w:rPr>
          <w:rFonts w:hint="eastAsia" w:ascii="仿宋" w:hAnsi="仿宋" w:eastAsia="仿宋" w:cs="仿宋"/>
          <w:color w:val="auto"/>
          <w:spacing w:val="2"/>
          <w:sz w:val="28"/>
          <w:szCs w:val="28"/>
          <w:highlight w:val="none"/>
        </w:rPr>
        <w:t xml:space="preserve"> 与招标人存在利害关系可能影响招</w:t>
      </w:r>
      <w:r>
        <w:rPr>
          <w:rFonts w:hint="eastAsia" w:ascii="仿宋" w:hAnsi="仿宋" w:eastAsia="仿宋" w:cs="仿宋"/>
          <w:color w:val="auto"/>
          <w:spacing w:val="1"/>
          <w:sz w:val="28"/>
          <w:szCs w:val="28"/>
          <w:highlight w:val="none"/>
        </w:rPr>
        <w:t>标公正性的单位</w:t>
      </w:r>
      <w:r>
        <w:rPr>
          <w:rFonts w:hint="eastAsia" w:ascii="仿宋" w:hAnsi="仿宋" w:eastAsia="仿宋" w:cs="仿宋"/>
          <w:color w:val="auto"/>
          <w:spacing w:val="1"/>
          <w:sz w:val="28"/>
          <w:szCs w:val="28"/>
          <w:highlight w:val="none"/>
          <w:lang w:eastAsia="zh-CN"/>
        </w:rPr>
        <w:t>，</w:t>
      </w:r>
      <w:r>
        <w:rPr>
          <w:rFonts w:hint="eastAsia" w:ascii="仿宋" w:hAnsi="仿宋" w:eastAsia="仿宋" w:cs="仿宋"/>
          <w:color w:val="auto"/>
          <w:spacing w:val="1"/>
          <w:sz w:val="28"/>
          <w:szCs w:val="28"/>
          <w:highlight w:val="none"/>
        </w:rPr>
        <w:t>不得参加投标。单位负责人为同一人</w:t>
      </w:r>
      <w:r>
        <w:rPr>
          <w:rFonts w:hint="eastAsia" w:ascii="仿宋" w:hAnsi="仿宋" w:eastAsia="仿宋" w:cs="仿宋"/>
          <w:color w:val="auto"/>
          <w:sz w:val="28"/>
          <w:szCs w:val="28"/>
          <w:highlight w:val="none"/>
        </w:rPr>
        <w:t>或存在控股、管理关系的不同单位，不得参</w:t>
      </w:r>
      <w:r>
        <w:rPr>
          <w:rFonts w:hint="eastAsia" w:ascii="仿宋" w:hAnsi="仿宋" w:eastAsia="仿宋" w:cs="仿宋"/>
          <w:color w:val="auto"/>
          <w:spacing w:val="-1"/>
          <w:sz w:val="28"/>
          <w:szCs w:val="28"/>
          <w:highlight w:val="none"/>
        </w:rPr>
        <w:t>加同一标段投标，否则，相关投标均无效。</w:t>
      </w:r>
    </w:p>
    <w:p w14:paraId="3B5947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4" w:firstLineChars="100"/>
        <w:jc w:val="left"/>
        <w:textAlignment w:val="baseline"/>
        <w:rPr>
          <w:rFonts w:hint="eastAsia" w:ascii="仿宋" w:hAnsi="仿宋" w:eastAsia="仿宋" w:cs="仿宋"/>
          <w:color w:val="auto"/>
          <w:spacing w:val="2"/>
          <w:sz w:val="28"/>
          <w:szCs w:val="28"/>
          <w:highlight w:val="none"/>
          <w:lang w:val="en-US" w:eastAsia="zh-CN"/>
        </w:rPr>
      </w:pPr>
      <w:bookmarkStart w:id="9" w:name="_Toc1349"/>
      <w:bookmarkStart w:id="10" w:name="_Toc26033"/>
      <w:r>
        <w:rPr>
          <w:rFonts w:hint="eastAsia" w:ascii="仿宋" w:hAnsi="仿宋" w:eastAsia="仿宋" w:cs="仿宋"/>
          <w:color w:val="auto"/>
          <w:spacing w:val="2"/>
          <w:sz w:val="28"/>
          <w:szCs w:val="28"/>
          <w:highlight w:val="none"/>
          <w:lang w:val="en-US" w:eastAsia="zh-CN"/>
        </w:rPr>
        <w:t>3.5 落实政府采购政策需满足的资格要求：无</w:t>
      </w:r>
      <w:bookmarkEnd w:id="9"/>
      <w:bookmarkEnd w:id="10"/>
    </w:p>
    <w:p w14:paraId="6AD55464">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4.招标文件的获取</w:t>
      </w:r>
    </w:p>
    <w:p w14:paraId="726E57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78" w:firstLineChars="100"/>
        <w:jc w:val="left"/>
        <w:textAlignment w:val="baseline"/>
        <w:rPr>
          <w:rFonts w:hint="eastAsia" w:ascii="仿宋" w:hAnsi="仿宋" w:eastAsia="仿宋" w:cs="仿宋"/>
          <w:color w:val="auto"/>
          <w:spacing w:val="-1"/>
          <w:sz w:val="28"/>
          <w:szCs w:val="28"/>
          <w:highlight w:val="none"/>
        </w:rPr>
      </w:pPr>
      <w:r>
        <w:rPr>
          <w:rFonts w:hint="eastAsia" w:ascii="仿宋" w:hAnsi="仿宋" w:eastAsia="仿宋" w:cs="仿宋"/>
          <w:color w:val="auto"/>
          <w:spacing w:val="-1"/>
          <w:sz w:val="28"/>
          <w:szCs w:val="28"/>
          <w:highlight w:val="none"/>
        </w:rPr>
        <w:t>4.1 获取时间：</w:t>
      </w:r>
      <w:r>
        <w:rPr>
          <w:rFonts w:hint="eastAsia" w:ascii="仿宋" w:hAnsi="仿宋" w:eastAsia="仿宋" w:cs="仿宋"/>
          <w:bCs/>
          <w:color w:val="auto"/>
          <w:sz w:val="28"/>
          <w:szCs w:val="28"/>
          <w:highlight w:val="none"/>
          <w:lang w:val="en-US" w:eastAsia="zh-CN" w:bidi="ar"/>
        </w:rPr>
        <w:t>2025</w:t>
      </w:r>
      <w:r>
        <w:rPr>
          <w:rFonts w:hint="eastAsia" w:ascii="仿宋" w:hAnsi="仿宋" w:eastAsia="仿宋" w:cs="仿宋"/>
          <w:bCs/>
          <w:snapToGrid w:val="0"/>
          <w:color w:val="auto"/>
          <w:sz w:val="28"/>
          <w:szCs w:val="28"/>
          <w:highlight w:val="none"/>
          <w:lang w:val="en-US" w:eastAsia="zh-CN" w:bidi="ar"/>
        </w:rPr>
        <w:t>年</w:t>
      </w:r>
      <w:r>
        <w:rPr>
          <w:rFonts w:hint="eastAsia" w:ascii="Times New Roman" w:hAnsi="Times New Roman" w:eastAsia="仿宋" w:cs="Times New Roman"/>
          <w:bCs/>
          <w:snapToGrid w:val="0"/>
          <w:color w:val="auto"/>
          <w:sz w:val="28"/>
          <w:szCs w:val="28"/>
          <w:highlight w:val="none"/>
          <w:lang w:val="en-US" w:eastAsia="zh-CN" w:bidi="ar"/>
        </w:rPr>
        <w:t xml:space="preserve">  </w:t>
      </w:r>
      <w:r>
        <w:rPr>
          <w:rFonts w:hint="eastAsia" w:ascii="仿宋" w:hAnsi="仿宋" w:eastAsia="仿宋" w:cs="仿宋"/>
          <w:bCs/>
          <w:snapToGrid w:val="0"/>
          <w:color w:val="auto"/>
          <w:sz w:val="28"/>
          <w:szCs w:val="28"/>
          <w:highlight w:val="none"/>
          <w:lang w:val="en-US" w:eastAsia="zh-CN" w:bidi="ar"/>
        </w:rPr>
        <w:t>月</w:t>
      </w:r>
      <w:r>
        <w:rPr>
          <w:rFonts w:hint="eastAsia" w:ascii="Times New Roman" w:hAnsi="Times New Roman" w:eastAsia="仿宋" w:cs="Times New Roman"/>
          <w:bCs/>
          <w:snapToGrid w:val="0"/>
          <w:color w:val="auto"/>
          <w:sz w:val="28"/>
          <w:szCs w:val="28"/>
          <w:highlight w:val="none"/>
          <w:lang w:val="en-US" w:eastAsia="zh-CN" w:bidi="ar"/>
        </w:rPr>
        <w:t xml:space="preserve">  </w:t>
      </w:r>
      <w:r>
        <w:rPr>
          <w:rFonts w:hint="eastAsia" w:ascii="仿宋" w:hAnsi="仿宋" w:eastAsia="仿宋" w:cs="仿宋"/>
          <w:bCs/>
          <w:snapToGrid w:val="0"/>
          <w:color w:val="auto"/>
          <w:sz w:val="28"/>
          <w:szCs w:val="28"/>
          <w:highlight w:val="none"/>
          <w:lang w:val="en-US" w:eastAsia="zh-CN" w:bidi="ar"/>
        </w:rPr>
        <w:t>日至投标截止时间。</w:t>
      </w:r>
    </w:p>
    <w:p w14:paraId="70043C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70" w:firstLineChars="100"/>
        <w:jc w:val="left"/>
        <w:textAlignment w:val="baseline"/>
        <w:outlineLvl w:val="9"/>
        <w:rPr>
          <w:rFonts w:hint="eastAsia" w:ascii="仿宋" w:hAnsi="仿宋" w:eastAsia="仿宋" w:cs="仿宋"/>
          <w:color w:val="auto"/>
          <w:spacing w:val="-5"/>
          <w:sz w:val="28"/>
          <w:szCs w:val="28"/>
          <w:highlight w:val="none"/>
        </w:rPr>
      </w:pPr>
      <w:bookmarkStart w:id="11" w:name="_Toc8445"/>
      <w:bookmarkStart w:id="12" w:name="_Toc29613"/>
      <w:r>
        <w:rPr>
          <w:rFonts w:hint="eastAsia" w:ascii="仿宋" w:hAnsi="仿宋" w:eastAsia="仿宋" w:cs="仿宋"/>
          <w:color w:val="auto"/>
          <w:spacing w:val="-5"/>
          <w:sz w:val="28"/>
          <w:szCs w:val="28"/>
          <w:highlight w:val="none"/>
        </w:rPr>
        <w:t>4.2</w:t>
      </w:r>
      <w:r>
        <w:rPr>
          <w:rFonts w:hint="eastAsia" w:ascii="仿宋" w:hAnsi="仿宋" w:eastAsia="仿宋" w:cs="仿宋"/>
          <w:color w:val="auto"/>
          <w:spacing w:val="14"/>
          <w:sz w:val="28"/>
          <w:szCs w:val="28"/>
          <w:highlight w:val="none"/>
        </w:rPr>
        <w:t xml:space="preserve"> </w:t>
      </w:r>
      <w:r>
        <w:rPr>
          <w:rFonts w:hint="eastAsia" w:ascii="仿宋" w:hAnsi="仿宋" w:eastAsia="仿宋" w:cs="仿宋"/>
          <w:color w:val="auto"/>
          <w:spacing w:val="-5"/>
          <w:sz w:val="28"/>
          <w:szCs w:val="28"/>
          <w:highlight w:val="none"/>
        </w:rPr>
        <w:t>获取方式：</w:t>
      </w:r>
      <w:bookmarkEnd w:id="11"/>
      <w:bookmarkEnd w:id="12"/>
    </w:p>
    <w:p w14:paraId="6CE85362">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bCs/>
          <w:snapToGrid/>
          <w:color w:val="auto"/>
          <w:kern w:val="2"/>
          <w:sz w:val="28"/>
          <w:szCs w:val="28"/>
          <w:highlight w:val="none"/>
          <w:lang w:eastAsia="zh-CN"/>
        </w:rPr>
      </w:pPr>
      <w:r>
        <w:rPr>
          <w:rFonts w:hint="eastAsia" w:ascii="仿宋" w:hAnsi="仿宋" w:eastAsia="仿宋" w:cs="Times New Roman"/>
          <w:bCs/>
          <w:snapToGrid/>
          <w:color w:val="auto"/>
          <w:kern w:val="2"/>
          <w:sz w:val="28"/>
          <w:szCs w:val="28"/>
          <w:highlight w:val="none"/>
          <w:lang w:eastAsia="zh-CN"/>
        </w:rPr>
        <w:t>（1）本招标项目实行全流程电子化交易。</w:t>
      </w:r>
    </w:p>
    <w:p w14:paraId="33B9656D">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bCs/>
          <w:snapToGrid/>
          <w:color w:val="auto"/>
          <w:kern w:val="2"/>
          <w:sz w:val="28"/>
          <w:szCs w:val="28"/>
          <w:highlight w:val="none"/>
          <w:lang w:eastAsia="zh-CN"/>
        </w:rPr>
      </w:pPr>
      <w:r>
        <w:rPr>
          <w:rFonts w:hint="eastAsia" w:ascii="仿宋" w:hAnsi="仿宋" w:eastAsia="仿宋" w:cs="Times New Roman"/>
          <w:bCs/>
          <w:snapToGrid/>
          <w:color w:val="auto"/>
          <w:kern w:val="2"/>
          <w:sz w:val="28"/>
          <w:szCs w:val="28"/>
          <w:highlight w:val="none"/>
          <w:lang w:eastAsia="zh-CN"/>
        </w:rPr>
        <w:t>（2）潜在投标人可登录</w:t>
      </w:r>
      <w:r>
        <w:rPr>
          <w:rFonts w:hint="eastAsia" w:ascii="仿宋" w:hAnsi="仿宋" w:eastAsia="仿宋" w:cs="Times New Roman"/>
          <w:bCs/>
          <w:snapToGrid/>
          <w:color w:val="auto"/>
          <w:kern w:val="2"/>
          <w:sz w:val="28"/>
          <w:szCs w:val="28"/>
          <w:highlight w:val="none"/>
          <w:lang w:val="en-US" w:eastAsia="zh-CN"/>
        </w:rPr>
        <w:t>安徽合肥公共资源交易电子服务系统</w:t>
      </w:r>
      <w:r>
        <w:rPr>
          <w:rFonts w:hint="eastAsia" w:ascii="仿宋" w:hAnsi="仿宋" w:eastAsia="仿宋" w:cs="Times New Roman"/>
          <w:bCs/>
          <w:snapToGrid/>
          <w:color w:val="auto"/>
          <w:kern w:val="2"/>
          <w:sz w:val="28"/>
          <w:szCs w:val="28"/>
          <w:highlight w:val="none"/>
          <w:lang w:eastAsia="zh-CN"/>
        </w:rPr>
        <w:t>（以下简称“电子服务系统”）查阅招标文件，如参与投标，则须在本条第4.1款规定的招标文件获取时间内通过</w:t>
      </w:r>
      <w:r>
        <w:rPr>
          <w:rFonts w:hint="eastAsia" w:ascii="仿宋" w:hAnsi="仿宋" w:eastAsia="仿宋" w:cs="Times New Roman"/>
          <w:bCs/>
          <w:snapToGrid/>
          <w:color w:val="auto"/>
          <w:kern w:val="2"/>
          <w:sz w:val="28"/>
          <w:szCs w:val="28"/>
          <w:highlight w:val="none"/>
          <w:lang w:val="en-US" w:eastAsia="zh-CN"/>
        </w:rPr>
        <w:t>安徽合肥公共资源交易中心电子交易系统</w:t>
      </w:r>
      <w:r>
        <w:rPr>
          <w:rFonts w:hint="eastAsia" w:ascii="仿宋" w:hAnsi="仿宋" w:eastAsia="仿宋" w:cs="Times New Roman"/>
          <w:bCs/>
          <w:snapToGrid/>
          <w:color w:val="auto"/>
          <w:kern w:val="2"/>
          <w:sz w:val="28"/>
          <w:szCs w:val="28"/>
          <w:highlight w:val="none"/>
          <w:lang w:eastAsia="zh-CN"/>
        </w:rPr>
        <w:t>获取招标文件。</w:t>
      </w:r>
    </w:p>
    <w:p w14:paraId="67C35FE8">
      <w:pPr>
        <w:widowControl w:val="0"/>
        <w:kinsoku/>
        <w:autoSpaceDE/>
        <w:autoSpaceDN/>
        <w:adjustRightInd/>
        <w:snapToGrid/>
        <w:spacing w:line="5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Times New Roman"/>
          <w:bCs/>
          <w:snapToGrid/>
          <w:color w:val="auto"/>
          <w:kern w:val="2"/>
          <w:sz w:val="28"/>
          <w:szCs w:val="28"/>
          <w:highlight w:val="none"/>
          <w:lang w:eastAsia="zh-CN"/>
        </w:rPr>
        <w:t>（3）招标文件获取过程中有任何疑问，请在工作时间</w:t>
      </w:r>
      <w:r>
        <w:rPr>
          <w:rFonts w:hint="eastAsia" w:ascii="仿宋" w:hAnsi="仿宋" w:eastAsia="仿宋" w:cs="Times New Roman"/>
          <w:bCs/>
          <w:snapToGrid/>
          <w:color w:val="auto"/>
          <w:kern w:val="2"/>
          <w:sz w:val="28"/>
          <w:szCs w:val="28"/>
          <w:highlight w:val="none"/>
          <w:lang w:val="en-US" w:eastAsia="zh-CN"/>
        </w:rPr>
        <w:t>（9：00-17：00，节假日休息）</w:t>
      </w:r>
      <w:r>
        <w:rPr>
          <w:rFonts w:hint="eastAsia" w:ascii="仿宋" w:hAnsi="仿宋" w:eastAsia="仿宋" w:cs="Times New Roman"/>
          <w:bCs/>
          <w:snapToGrid/>
          <w:color w:val="auto"/>
          <w:kern w:val="2"/>
          <w:sz w:val="28"/>
          <w:szCs w:val="28"/>
          <w:highlight w:val="none"/>
          <w:lang w:eastAsia="zh-CN"/>
        </w:rPr>
        <w:t>拨打技术支持热线（非项目咨询）：</w:t>
      </w:r>
      <w:r>
        <w:rPr>
          <w:rFonts w:hint="eastAsia" w:ascii="仿宋" w:hAnsi="仿宋" w:eastAsia="仿宋" w:cs="Times New Roman"/>
          <w:bCs/>
          <w:snapToGrid/>
          <w:color w:val="auto"/>
          <w:kern w:val="2"/>
          <w:sz w:val="28"/>
          <w:szCs w:val="28"/>
          <w:highlight w:val="none"/>
          <w:lang w:val="en-US" w:eastAsia="zh-CN"/>
        </w:rPr>
        <w:t>0512-58188516</w:t>
      </w:r>
      <w:r>
        <w:rPr>
          <w:rFonts w:hint="eastAsia" w:ascii="仿宋" w:hAnsi="仿宋" w:eastAsia="仿宋" w:cs="Times New Roman"/>
          <w:bCs/>
          <w:snapToGrid/>
          <w:color w:val="auto"/>
          <w:kern w:val="2"/>
          <w:sz w:val="28"/>
          <w:szCs w:val="28"/>
          <w:highlight w:val="none"/>
          <w:lang w:eastAsia="zh-CN"/>
        </w:rPr>
        <w:t>。</w:t>
      </w:r>
      <w:r>
        <w:rPr>
          <w:rFonts w:hint="eastAsia" w:ascii="仿宋" w:hAnsi="仿宋" w:eastAsia="仿宋" w:cs="仿宋"/>
          <w:color w:val="auto"/>
          <w:sz w:val="28"/>
          <w:szCs w:val="28"/>
          <w:highlight w:val="none"/>
        </w:rPr>
        <w:t>项目咨询请拨打电话：</w:t>
      </w:r>
      <w:r>
        <w:rPr>
          <w:rFonts w:hint="eastAsia" w:ascii="仿宋" w:hAnsi="仿宋" w:eastAsia="仿宋" w:cs="仿宋"/>
          <w:bCs/>
          <w:snapToGrid w:val="0"/>
          <w:color w:val="auto"/>
          <w:sz w:val="28"/>
          <w:szCs w:val="28"/>
          <w:highlight w:val="none"/>
          <w:lang w:val="en-US" w:eastAsia="zh-CN" w:bidi="ar"/>
        </w:rPr>
        <w:t>0551-67758761</w:t>
      </w:r>
      <w:r>
        <w:rPr>
          <w:rFonts w:hint="eastAsia" w:ascii="仿宋" w:hAnsi="仿宋" w:eastAsia="仿宋" w:cs="仿宋"/>
          <w:color w:val="auto"/>
          <w:spacing w:val="-1"/>
          <w:sz w:val="28"/>
          <w:szCs w:val="28"/>
          <w:highlight w:val="none"/>
        </w:rPr>
        <w:t>。</w:t>
      </w:r>
    </w:p>
    <w:p w14:paraId="1CDB3871">
      <w:pPr>
        <w:keepNext w:val="0"/>
        <w:keepLines w:val="0"/>
        <w:pageBreakBefore w:val="0"/>
        <w:widowControl/>
        <w:kinsoku/>
        <w:wordWrap/>
        <w:overflowPunct/>
        <w:topLinePunct w:val="0"/>
        <w:autoSpaceDE/>
        <w:autoSpaceDN/>
        <w:bidi w:val="0"/>
        <w:adjustRightInd w:val="0"/>
        <w:snapToGrid w:val="0"/>
        <w:spacing w:before="30" w:line="560" w:lineRule="exact"/>
        <w:ind w:firstLine="276" w:firstLineChars="100"/>
        <w:textAlignment w:val="baseline"/>
        <w:outlineLvl w:val="9"/>
        <w:rPr>
          <w:rFonts w:hint="eastAsia" w:ascii="仿宋" w:hAnsi="仿宋" w:eastAsia="仿宋" w:cs="仿宋"/>
          <w:color w:val="auto"/>
          <w:spacing w:val="-2"/>
          <w:sz w:val="28"/>
          <w:szCs w:val="28"/>
          <w:highlight w:val="none"/>
        </w:rPr>
      </w:pPr>
      <w:bookmarkStart w:id="13" w:name="_Toc15364"/>
      <w:bookmarkStart w:id="14" w:name="_Toc15999"/>
      <w:r>
        <w:rPr>
          <w:rFonts w:hint="eastAsia" w:ascii="仿宋" w:hAnsi="仿宋" w:eastAsia="仿宋" w:cs="仿宋"/>
          <w:color w:val="auto"/>
          <w:spacing w:val="-2"/>
          <w:sz w:val="28"/>
          <w:szCs w:val="28"/>
          <w:highlight w:val="none"/>
        </w:rPr>
        <w:t>4.3 招标文件价格：</w:t>
      </w:r>
      <w:r>
        <w:rPr>
          <w:rFonts w:hint="eastAsia" w:ascii="仿宋" w:hAnsi="仿宋" w:eastAsia="仿宋" w:cs="仿宋"/>
          <w:color w:val="auto"/>
          <w:spacing w:val="-2"/>
          <w:sz w:val="28"/>
          <w:szCs w:val="28"/>
          <w:highlight w:val="none"/>
          <w:u w:val="none" w:color="auto"/>
        </w:rPr>
        <w:t>0</w:t>
      </w:r>
      <w:r>
        <w:rPr>
          <w:rFonts w:hint="eastAsia" w:ascii="仿宋" w:hAnsi="仿宋" w:eastAsia="仿宋" w:cs="仿宋"/>
          <w:color w:val="auto"/>
          <w:spacing w:val="-2"/>
          <w:sz w:val="28"/>
          <w:szCs w:val="28"/>
          <w:highlight w:val="none"/>
        </w:rPr>
        <w:t>元。</w:t>
      </w:r>
      <w:bookmarkEnd w:id="13"/>
      <w:bookmarkEnd w:id="14"/>
    </w:p>
    <w:p w14:paraId="1A0BCBEC">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5.投标文件的递交</w:t>
      </w:r>
    </w:p>
    <w:p w14:paraId="3599A639">
      <w:pPr>
        <w:keepNext w:val="0"/>
        <w:keepLines w:val="0"/>
        <w:pageBreakBefore w:val="0"/>
        <w:widowControl/>
        <w:kinsoku/>
        <w:wordWrap/>
        <w:overflowPunct/>
        <w:topLinePunct w:val="0"/>
        <w:autoSpaceDE/>
        <w:autoSpaceDN/>
        <w:bidi w:val="0"/>
        <w:adjustRightInd w:val="0"/>
        <w:snapToGrid w:val="0"/>
        <w:spacing w:before="30" w:line="560" w:lineRule="exact"/>
        <w:ind w:left="279" w:leftChars="133" w:firstLine="0" w:firstLineChars="0"/>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pacing w:val="1"/>
          <w:sz w:val="28"/>
          <w:szCs w:val="28"/>
          <w:highlight w:val="none"/>
        </w:rPr>
        <w:t>5.1 投标文件递交的截止时间（投标截止时</w:t>
      </w:r>
      <w:r>
        <w:rPr>
          <w:rFonts w:hint="eastAsia" w:ascii="仿宋" w:hAnsi="仿宋" w:eastAsia="仿宋" w:cs="仿宋"/>
          <w:color w:val="auto"/>
          <w:sz w:val="28"/>
          <w:szCs w:val="28"/>
          <w:highlight w:val="none"/>
        </w:rPr>
        <w:t>间，下同）：</w:t>
      </w:r>
      <w:r>
        <w:rPr>
          <w:rFonts w:hint="eastAsia" w:ascii="仿宋" w:hAnsi="仿宋" w:eastAsia="仿宋" w:cs="仿宋"/>
          <w:bCs/>
          <w:color w:val="auto"/>
          <w:sz w:val="28"/>
          <w:szCs w:val="28"/>
          <w:highlight w:val="none"/>
          <w:lang w:val="en-US" w:eastAsia="zh-CN" w:bidi="ar"/>
        </w:rPr>
        <w:t>2025</w:t>
      </w:r>
      <w:r>
        <w:rPr>
          <w:rFonts w:hint="eastAsia" w:ascii="仿宋" w:hAnsi="仿宋" w:eastAsia="仿宋" w:cs="仿宋"/>
          <w:bCs/>
          <w:snapToGrid w:val="0"/>
          <w:color w:val="auto"/>
          <w:sz w:val="28"/>
          <w:szCs w:val="28"/>
          <w:highlight w:val="none"/>
          <w:lang w:val="en-US" w:eastAsia="zh-CN" w:bidi="ar"/>
        </w:rPr>
        <w:t>年  月</w:t>
      </w:r>
      <w:r>
        <w:rPr>
          <w:rFonts w:hint="eastAsia" w:ascii="仿宋" w:hAnsi="仿宋" w:eastAsia="仿宋" w:cs="仿宋"/>
          <w:bCs/>
          <w:color w:val="auto"/>
          <w:sz w:val="28"/>
          <w:szCs w:val="28"/>
          <w:highlight w:val="none"/>
          <w:lang w:val="en-US" w:eastAsia="zh-CN" w:bidi="ar"/>
        </w:rPr>
        <w:t xml:space="preserve"> </w:t>
      </w:r>
      <w:r>
        <w:rPr>
          <w:rFonts w:hint="eastAsia" w:ascii="仿宋" w:hAnsi="仿宋" w:eastAsia="仿宋" w:cs="仿宋"/>
          <w:bCs/>
          <w:snapToGrid w:val="0"/>
          <w:color w:val="auto"/>
          <w:sz w:val="28"/>
          <w:szCs w:val="28"/>
          <w:highlight w:val="none"/>
          <w:lang w:val="en-US" w:eastAsia="zh-CN" w:bidi="ar"/>
        </w:rPr>
        <w:t>日</w:t>
      </w:r>
      <w:r>
        <w:rPr>
          <w:rFonts w:hint="eastAsia" w:ascii="仿宋" w:hAnsi="仿宋" w:eastAsia="仿宋" w:cs="仿宋"/>
          <w:bCs/>
          <w:color w:val="auto"/>
          <w:sz w:val="28"/>
          <w:szCs w:val="28"/>
          <w:highlight w:val="none"/>
          <w:lang w:val="en-US" w:eastAsia="zh-CN" w:bidi="ar"/>
        </w:rPr>
        <w:t>10</w:t>
      </w:r>
      <w:r>
        <w:rPr>
          <w:rFonts w:hint="eastAsia" w:ascii="仿宋" w:hAnsi="仿宋" w:eastAsia="仿宋" w:cs="仿宋"/>
          <w:bCs/>
          <w:snapToGrid w:val="0"/>
          <w:color w:val="auto"/>
          <w:sz w:val="28"/>
          <w:szCs w:val="28"/>
          <w:highlight w:val="none"/>
          <w:lang w:val="en-US" w:eastAsia="zh-CN" w:bidi="ar"/>
        </w:rPr>
        <w:t>时</w:t>
      </w:r>
      <w:r>
        <w:rPr>
          <w:rFonts w:hint="eastAsia" w:ascii="仿宋" w:hAnsi="仿宋" w:eastAsia="仿宋" w:cs="仿宋"/>
          <w:bCs/>
          <w:color w:val="auto"/>
          <w:sz w:val="28"/>
          <w:szCs w:val="28"/>
          <w:highlight w:val="none"/>
          <w:lang w:val="en-US" w:eastAsia="zh-CN" w:bidi="ar"/>
        </w:rPr>
        <w:t>00</w:t>
      </w:r>
      <w:r>
        <w:rPr>
          <w:rFonts w:hint="eastAsia" w:ascii="仿宋" w:hAnsi="仿宋" w:eastAsia="仿宋" w:cs="仿宋"/>
          <w:bCs/>
          <w:snapToGrid w:val="0"/>
          <w:color w:val="auto"/>
          <w:sz w:val="28"/>
          <w:szCs w:val="28"/>
          <w:highlight w:val="none"/>
          <w:lang w:val="en-US" w:eastAsia="zh-CN" w:bidi="ar"/>
        </w:rPr>
        <w:t>分</w:t>
      </w:r>
      <w:r>
        <w:rPr>
          <w:rFonts w:hint="eastAsia" w:ascii="仿宋" w:hAnsi="仿宋" w:eastAsia="仿宋" w:cs="仿宋"/>
          <w:color w:val="auto"/>
          <w:sz w:val="28"/>
          <w:szCs w:val="28"/>
          <w:highlight w:val="none"/>
          <w:lang w:val="en-US" w:eastAsia="zh-CN"/>
        </w:rPr>
        <w:t>。</w:t>
      </w:r>
      <w:bookmarkStart w:id="15" w:name="_Toc27638"/>
      <w:bookmarkStart w:id="16" w:name="_Toc18439"/>
    </w:p>
    <w:p w14:paraId="664C8E10">
      <w:pPr>
        <w:keepNext w:val="0"/>
        <w:keepLines w:val="0"/>
        <w:pageBreakBefore w:val="0"/>
        <w:widowControl/>
        <w:kinsoku/>
        <w:wordWrap/>
        <w:overflowPunct/>
        <w:topLinePunct w:val="0"/>
        <w:autoSpaceDE/>
        <w:autoSpaceDN/>
        <w:bidi w:val="0"/>
        <w:adjustRightInd w:val="0"/>
        <w:snapToGrid w:val="0"/>
        <w:spacing w:before="30" w:line="560" w:lineRule="exact"/>
        <w:ind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 投标文件递交方式：投标人应在</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截止时间前通过</w:t>
      </w:r>
      <w:r>
        <w:rPr>
          <w:rFonts w:hint="eastAsia" w:ascii="仿宋" w:hAnsi="仿宋" w:eastAsia="仿宋" w:cs="仿宋"/>
          <w:color w:val="auto"/>
          <w:sz w:val="28"/>
          <w:szCs w:val="28"/>
          <w:highlight w:val="none"/>
          <w:lang w:val="en-US" w:eastAsia="zh-CN"/>
        </w:rPr>
        <w:t>安徽合</w:t>
      </w:r>
      <w:bookmarkEnd w:id="15"/>
      <w:bookmarkEnd w:id="16"/>
      <w:r>
        <w:rPr>
          <w:rFonts w:hint="eastAsia" w:ascii="仿宋" w:hAnsi="仿宋" w:eastAsia="仿宋" w:cs="仿宋"/>
          <w:color w:val="auto"/>
          <w:sz w:val="28"/>
          <w:szCs w:val="28"/>
          <w:highlight w:val="none"/>
          <w:lang w:val="en-US" w:eastAsia="zh-CN"/>
        </w:rPr>
        <w:t>肥公共资源交易中心电子交易系统</w:t>
      </w:r>
      <w:r>
        <w:rPr>
          <w:rFonts w:hint="eastAsia" w:ascii="仿宋" w:hAnsi="仿宋" w:eastAsia="仿宋" w:cs="仿宋"/>
          <w:color w:val="auto"/>
          <w:sz w:val="28"/>
          <w:szCs w:val="28"/>
          <w:highlight w:val="none"/>
        </w:rPr>
        <w:t>递交电子投标文件。</w:t>
      </w:r>
    </w:p>
    <w:p w14:paraId="021AAF1D">
      <w:pPr>
        <w:keepNext w:val="0"/>
        <w:keepLines w:val="0"/>
        <w:pageBreakBefore w:val="0"/>
        <w:widowControl/>
        <w:kinsoku/>
        <w:wordWrap/>
        <w:overflowPunct/>
        <w:topLinePunct w:val="0"/>
        <w:autoSpaceDE/>
        <w:autoSpaceDN/>
        <w:bidi w:val="0"/>
        <w:adjustRightInd w:val="0"/>
        <w:snapToGrid w:val="0"/>
        <w:spacing w:before="30" w:line="560" w:lineRule="exact"/>
        <w:ind w:firstLine="282"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5.3 投标人应充分考</w:t>
      </w:r>
      <w:r>
        <w:rPr>
          <w:rFonts w:hint="eastAsia" w:ascii="仿宋" w:hAnsi="仿宋" w:eastAsia="仿宋" w:cs="仿宋"/>
          <w:color w:val="auto"/>
          <w:sz w:val="28"/>
          <w:szCs w:val="28"/>
          <w:highlight w:val="none"/>
        </w:rPr>
        <w:t>虑网上递交投标文件时的不可预见因素，逾期未完成上传或未按规定加密的投标文件，电子交易平台将拒绝接收并提示</w:t>
      </w:r>
      <w:r>
        <w:rPr>
          <w:rFonts w:hint="eastAsia" w:ascii="仿宋" w:hAnsi="仿宋" w:eastAsia="仿宋" w:cs="仿宋"/>
          <w:color w:val="auto"/>
          <w:sz w:val="28"/>
          <w:szCs w:val="28"/>
          <w:highlight w:val="none"/>
          <w:lang w:eastAsia="zh-CN"/>
        </w:rPr>
        <w:t>。</w:t>
      </w:r>
    </w:p>
    <w:p w14:paraId="51A38755">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6.资格审查方式</w:t>
      </w:r>
    </w:p>
    <w:p w14:paraId="1E06612E">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firstLine="278" w:firstLineChars="100"/>
        <w:textAlignment w:val="baseline"/>
        <w:rPr>
          <w:rFonts w:hint="eastAsia" w:ascii="仿宋" w:hAnsi="仿宋" w:eastAsia="仿宋" w:cs="仿宋"/>
          <w:color w:val="auto"/>
          <w:spacing w:val="-1"/>
          <w:sz w:val="28"/>
          <w:szCs w:val="28"/>
          <w:highlight w:val="none"/>
        </w:rPr>
      </w:pPr>
      <w:r>
        <w:rPr>
          <w:rFonts w:hint="eastAsia" w:ascii="仿宋" w:hAnsi="仿宋" w:eastAsia="仿宋" w:cs="仿宋"/>
          <w:color w:val="auto"/>
          <w:spacing w:val="-1"/>
          <w:sz w:val="28"/>
          <w:szCs w:val="28"/>
          <w:highlight w:val="none"/>
          <w:u w:val="none" w:color="auto"/>
        </w:rPr>
        <w:t>本招标项目采用资格后审方</w:t>
      </w:r>
      <w:r>
        <w:rPr>
          <w:rFonts w:hint="eastAsia" w:ascii="仿宋" w:hAnsi="仿宋" w:eastAsia="仿宋" w:cs="仿宋"/>
          <w:color w:val="auto"/>
          <w:spacing w:val="-1"/>
          <w:sz w:val="28"/>
          <w:szCs w:val="28"/>
          <w:highlight w:val="none"/>
        </w:rPr>
        <w:t>式进行资格审查。</w:t>
      </w:r>
    </w:p>
    <w:p w14:paraId="74227845">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7.评标办法</w:t>
      </w:r>
    </w:p>
    <w:p w14:paraId="387181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78" w:firstLineChars="10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pacing w:val="-1"/>
          <w:sz w:val="28"/>
          <w:szCs w:val="28"/>
          <w:highlight w:val="none"/>
        </w:rPr>
        <w:t>本招标项目评标办法采用</w:t>
      </w:r>
      <w:r>
        <w:rPr>
          <w:rFonts w:hint="eastAsia" w:ascii="仿宋" w:hAnsi="仿宋" w:eastAsia="仿宋" w:cs="仿宋"/>
          <w:snapToGrid w:val="0"/>
          <w:color w:val="auto"/>
          <w:kern w:val="0"/>
          <w:sz w:val="28"/>
          <w:szCs w:val="28"/>
          <w:highlight w:val="none"/>
          <w:lang w:val="en-US" w:eastAsia="zh-CN" w:bidi="ar"/>
        </w:rPr>
        <w:t>综合评估法</w:t>
      </w:r>
      <w:r>
        <w:rPr>
          <w:rFonts w:hint="default" w:ascii="仿宋" w:hAnsi="仿宋" w:eastAsia="仿宋" w:cs="仿宋"/>
          <w:snapToGrid w:val="0"/>
          <w:color w:val="auto"/>
          <w:kern w:val="0"/>
          <w:sz w:val="28"/>
          <w:szCs w:val="28"/>
          <w:highlight w:val="none"/>
          <w:lang w:val="en-US" w:eastAsia="zh-CN" w:bidi="ar"/>
        </w:rPr>
        <w:t>(</w:t>
      </w:r>
      <w:r>
        <w:rPr>
          <w:rFonts w:hint="eastAsia" w:ascii="仿宋" w:hAnsi="仿宋" w:eastAsia="仿宋" w:cs="仿宋"/>
          <w:snapToGrid w:val="0"/>
          <w:color w:val="auto"/>
          <w:kern w:val="0"/>
          <w:sz w:val="28"/>
          <w:szCs w:val="28"/>
          <w:highlight w:val="none"/>
          <w:lang w:val="en-US" w:eastAsia="zh-CN" w:bidi="ar"/>
        </w:rPr>
        <w:t>合理低价</w:t>
      </w:r>
      <w:r>
        <w:rPr>
          <w:rFonts w:hint="default" w:ascii="仿宋" w:hAnsi="仿宋" w:eastAsia="仿宋" w:cs="仿宋"/>
          <w:snapToGrid w:val="0"/>
          <w:color w:val="auto"/>
          <w:kern w:val="0"/>
          <w:sz w:val="28"/>
          <w:szCs w:val="28"/>
          <w:highlight w:val="none"/>
          <w:lang w:val="en-US" w:eastAsia="zh-CN" w:bidi="ar"/>
        </w:rPr>
        <w:t>)</w:t>
      </w:r>
      <w:r>
        <w:rPr>
          <w:rFonts w:hint="eastAsia" w:ascii="仿宋" w:hAnsi="仿宋" w:eastAsia="仿宋" w:cs="仿宋"/>
          <w:color w:val="auto"/>
          <w:spacing w:val="-1"/>
          <w:sz w:val="28"/>
          <w:szCs w:val="28"/>
          <w:highlight w:val="none"/>
          <w:lang w:val="en-US" w:eastAsia="zh-CN"/>
        </w:rPr>
        <w:t>。</w:t>
      </w:r>
    </w:p>
    <w:p w14:paraId="1A22AD1E">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8.开标时间及地点</w:t>
      </w:r>
    </w:p>
    <w:p w14:paraId="0F88703C">
      <w:pPr>
        <w:keepNext w:val="0"/>
        <w:keepLines w:val="0"/>
        <w:pageBreakBefore w:val="0"/>
        <w:widowControl/>
        <w:kinsoku/>
        <w:wordWrap/>
        <w:overflowPunct/>
        <w:topLinePunct w:val="0"/>
        <w:autoSpaceDE/>
        <w:autoSpaceDN/>
        <w:bidi w:val="0"/>
        <w:adjustRightInd w:val="0"/>
        <w:snapToGrid w:val="0"/>
        <w:spacing w:before="30" w:line="560" w:lineRule="exact"/>
        <w:ind w:firstLine="280" w:firstLineChars="100"/>
        <w:textAlignment w:val="baseline"/>
        <w:outlineLvl w:val="9"/>
        <w:rPr>
          <w:rFonts w:hint="eastAsia" w:ascii="仿宋" w:hAnsi="仿宋" w:eastAsia="仿宋" w:cs="仿宋"/>
          <w:bCs/>
          <w:snapToGrid w:val="0"/>
          <w:color w:val="auto"/>
          <w:sz w:val="28"/>
          <w:szCs w:val="28"/>
          <w:highlight w:val="none"/>
          <w:lang w:val="en-US" w:eastAsia="zh-CN" w:bidi="ar"/>
        </w:rPr>
      </w:pPr>
      <w:bookmarkStart w:id="17" w:name="_Toc6419"/>
      <w:bookmarkStart w:id="18" w:name="_Toc22574"/>
      <w:r>
        <w:rPr>
          <w:rFonts w:hint="eastAsia" w:ascii="仿宋" w:hAnsi="仿宋" w:eastAsia="仿宋" w:cs="仿宋"/>
          <w:bCs/>
          <w:snapToGrid w:val="0"/>
          <w:color w:val="auto"/>
          <w:sz w:val="28"/>
          <w:szCs w:val="28"/>
          <w:highlight w:val="none"/>
          <w:lang w:val="en-US" w:eastAsia="zh-CN" w:bidi="ar"/>
        </w:rPr>
        <w:t>8.1 开标时间：</w:t>
      </w:r>
      <w:r>
        <w:rPr>
          <w:rFonts w:hint="eastAsia" w:ascii="仿宋" w:hAnsi="仿宋" w:eastAsia="仿宋" w:cs="宋体"/>
          <w:bCs/>
          <w:color w:val="auto"/>
          <w:sz w:val="28"/>
          <w:szCs w:val="28"/>
          <w:highlight w:val="none"/>
          <w:lang w:val="en-US" w:eastAsia="zh-CN" w:bidi="ar"/>
        </w:rPr>
        <w:t>2025年  月  日10 时00分。</w:t>
      </w:r>
      <w:bookmarkEnd w:id="17"/>
      <w:bookmarkEnd w:id="18"/>
    </w:p>
    <w:p w14:paraId="64A425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sz w:val="28"/>
          <w:szCs w:val="28"/>
          <w:highlight w:val="none"/>
          <w:lang w:val="en-US" w:eastAsia="zh-CN" w:bidi="ar"/>
        </w:rPr>
      </w:pPr>
      <w:r>
        <w:rPr>
          <w:rFonts w:hint="eastAsia" w:ascii="仿宋" w:hAnsi="仿宋" w:eastAsia="仿宋" w:cs="仿宋"/>
          <w:bCs/>
          <w:snapToGrid w:val="0"/>
          <w:color w:val="auto"/>
          <w:sz w:val="28"/>
          <w:szCs w:val="28"/>
          <w:highlight w:val="none"/>
          <w:lang w:val="en-US" w:eastAsia="zh-CN" w:bidi="ar"/>
        </w:rPr>
        <w:t>8.2 开标地点：</w:t>
      </w:r>
      <w:r>
        <w:rPr>
          <w:rFonts w:hint="eastAsia" w:ascii="仿宋" w:hAnsi="仿宋" w:eastAsia="仿宋"/>
          <w:color w:val="auto"/>
          <w:sz w:val="28"/>
          <w:szCs w:val="28"/>
          <w:highlight w:val="none"/>
        </w:rPr>
        <w:t>合肥市肥东县店埠镇深秀路2号肥东县政务服务中心四楼C区4楼</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号开标室</w:t>
      </w:r>
    </w:p>
    <w:p w14:paraId="632EA8EA">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9.发布公告的媒介</w:t>
      </w:r>
    </w:p>
    <w:p w14:paraId="6894F202">
      <w:pPr>
        <w:keepNext w:val="0"/>
        <w:keepLines w:val="0"/>
        <w:pageBreakBefore w:val="0"/>
        <w:widowControl/>
        <w:kinsoku/>
        <w:wordWrap/>
        <w:overflowPunct/>
        <w:topLinePunct w:val="0"/>
        <w:autoSpaceDE/>
        <w:autoSpaceDN/>
        <w:bidi w:val="0"/>
        <w:adjustRightInd w:val="0"/>
        <w:snapToGrid w:val="0"/>
        <w:spacing w:before="30" w:line="560" w:lineRule="exact"/>
        <w:ind w:firstLine="270" w:firstLineChars="100"/>
        <w:textAlignment w:val="baseline"/>
        <w:rPr>
          <w:rFonts w:hint="eastAsia" w:ascii="仿宋" w:hAnsi="仿宋" w:eastAsia="仿宋" w:cs="仿宋"/>
          <w:color w:val="auto"/>
          <w:spacing w:val="-1"/>
          <w:sz w:val="28"/>
          <w:szCs w:val="28"/>
          <w:highlight w:val="none"/>
        </w:rPr>
      </w:pPr>
      <w:r>
        <w:rPr>
          <w:rFonts w:hint="eastAsia" w:ascii="仿宋" w:hAnsi="仿宋" w:eastAsia="仿宋" w:cs="仿宋"/>
          <w:color w:val="auto"/>
          <w:spacing w:val="-5"/>
          <w:sz w:val="28"/>
          <w:szCs w:val="28"/>
          <w:highlight w:val="none"/>
        </w:rPr>
        <w:t>本次招标公告同时在</w:t>
      </w:r>
      <w:r>
        <w:rPr>
          <w:rFonts w:hint="eastAsia" w:ascii="仿宋" w:hAnsi="仿宋" w:eastAsia="仿宋" w:cs="楷体"/>
          <w:bCs/>
          <w:snapToGrid w:val="0"/>
          <w:color w:val="auto"/>
          <w:sz w:val="28"/>
          <w:szCs w:val="28"/>
          <w:highlight w:val="none"/>
          <w:lang w:val="en-US" w:eastAsia="zh-CN" w:bidi="ar"/>
        </w:rPr>
        <w:t>安徽合肥公共资源交易中心网站、安徽省公共资源交易监管网、全国公共资源交易平台上</w:t>
      </w:r>
      <w:r>
        <w:rPr>
          <w:rFonts w:hint="eastAsia" w:ascii="仿宋" w:hAnsi="仿宋" w:eastAsia="仿宋" w:cs="仿宋"/>
          <w:color w:val="auto"/>
          <w:spacing w:val="-1"/>
          <w:sz w:val="28"/>
          <w:szCs w:val="28"/>
          <w:highlight w:val="none"/>
        </w:rPr>
        <w:t>发布。</w:t>
      </w:r>
    </w:p>
    <w:p w14:paraId="79BBB396">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10.联系方式</w:t>
      </w:r>
    </w:p>
    <w:p w14:paraId="5EBD78E0">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outlineLvl w:val="9"/>
        <w:rPr>
          <w:rFonts w:hint="eastAsia" w:ascii="仿宋" w:hAnsi="仿宋" w:eastAsia="仿宋" w:cs="仿宋"/>
          <w:color w:val="auto"/>
          <w:sz w:val="28"/>
          <w:szCs w:val="28"/>
          <w:highlight w:val="none"/>
        </w:rPr>
      </w:pPr>
      <w:bookmarkStart w:id="19" w:name="_Toc10637"/>
      <w:bookmarkStart w:id="20" w:name="_Toc22330"/>
      <w:r>
        <w:rPr>
          <w:rFonts w:hint="eastAsia" w:ascii="仿宋" w:hAnsi="仿宋" w:eastAsia="仿宋" w:cs="仿宋"/>
          <w:color w:val="auto"/>
          <w:spacing w:val="-3"/>
          <w:sz w:val="28"/>
          <w:szCs w:val="28"/>
          <w:highlight w:val="none"/>
          <w:lang w:val="en-US" w:eastAsia="zh-CN"/>
        </w:rPr>
        <w:t xml:space="preserve">10.1 </w:t>
      </w:r>
      <w:r>
        <w:rPr>
          <w:rFonts w:hint="eastAsia" w:ascii="仿宋" w:hAnsi="仿宋" w:eastAsia="仿宋" w:cs="仿宋"/>
          <w:color w:val="auto"/>
          <w:spacing w:val="-3"/>
          <w:sz w:val="28"/>
          <w:szCs w:val="28"/>
          <w:highlight w:val="none"/>
        </w:rPr>
        <w:t>招标人</w:t>
      </w:r>
      <w:bookmarkEnd w:id="19"/>
      <w:bookmarkEnd w:id="20"/>
    </w:p>
    <w:p w14:paraId="123D181C">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pacing w:val="-12"/>
          <w:sz w:val="28"/>
          <w:szCs w:val="28"/>
          <w:highlight w:val="none"/>
          <w:u w:val="single" w:color="auto"/>
          <w:lang w:eastAsia="zh-CN"/>
        </w:rPr>
      </w:pPr>
      <w:r>
        <w:rPr>
          <w:rFonts w:hint="eastAsia" w:ascii="仿宋" w:hAnsi="仿宋" w:eastAsia="仿宋" w:cs="仿宋"/>
          <w:color w:val="auto"/>
          <w:spacing w:val="-12"/>
          <w:sz w:val="28"/>
          <w:szCs w:val="28"/>
          <w:highlight w:val="none"/>
        </w:rPr>
        <w:t>招 标</w:t>
      </w:r>
      <w:r>
        <w:rPr>
          <w:rFonts w:hint="eastAsia" w:ascii="仿宋" w:hAnsi="仿宋" w:eastAsia="仿宋" w:cs="仿宋"/>
          <w:color w:val="auto"/>
          <w:spacing w:val="8"/>
          <w:sz w:val="28"/>
          <w:szCs w:val="28"/>
          <w:highlight w:val="none"/>
        </w:rPr>
        <w:t xml:space="preserve"> </w:t>
      </w:r>
      <w:r>
        <w:rPr>
          <w:rFonts w:hint="eastAsia" w:ascii="仿宋" w:hAnsi="仿宋" w:eastAsia="仿宋" w:cs="仿宋"/>
          <w:color w:val="auto"/>
          <w:spacing w:val="-12"/>
          <w:sz w:val="28"/>
          <w:szCs w:val="28"/>
          <w:highlight w:val="none"/>
        </w:rPr>
        <w:t>人：</w:t>
      </w:r>
      <w:r>
        <w:rPr>
          <w:rFonts w:hint="eastAsia" w:ascii="仿宋" w:hAnsi="仿宋" w:eastAsia="仿宋" w:cs="仿宋"/>
          <w:color w:val="auto"/>
          <w:spacing w:val="-12"/>
          <w:sz w:val="28"/>
          <w:szCs w:val="28"/>
          <w:highlight w:val="none"/>
          <w:lang w:eastAsia="zh-CN"/>
        </w:rPr>
        <w:t>肥东县马湖乡人民政府</w:t>
      </w:r>
    </w:p>
    <w:p w14:paraId="455645F1">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default" w:ascii="仿宋" w:hAnsi="仿宋" w:eastAsia="仿宋" w:cs="仿宋"/>
          <w:color w:val="auto"/>
          <w:spacing w:val="-12"/>
          <w:sz w:val="28"/>
          <w:szCs w:val="28"/>
          <w:highlight w:val="none"/>
          <w:u w:val="single" w:color="auto"/>
          <w:lang w:val="en-US" w:eastAsia="zh-CN"/>
        </w:rPr>
      </w:pPr>
      <w:r>
        <w:rPr>
          <w:rFonts w:hint="eastAsia" w:ascii="仿宋" w:hAnsi="仿宋" w:eastAsia="仿宋" w:cs="仿宋"/>
          <w:color w:val="auto"/>
          <w:spacing w:val="-12"/>
          <w:sz w:val="28"/>
          <w:szCs w:val="28"/>
          <w:highlight w:val="none"/>
        </w:rPr>
        <w:t>地</w:t>
      </w:r>
      <w:r>
        <w:rPr>
          <w:rFonts w:hint="eastAsia" w:ascii="仿宋" w:hAnsi="仿宋" w:eastAsia="仿宋" w:cs="仿宋"/>
          <w:color w:val="auto"/>
          <w:spacing w:val="2"/>
          <w:sz w:val="28"/>
          <w:szCs w:val="28"/>
          <w:highlight w:val="none"/>
        </w:rPr>
        <w:t xml:space="preserve">    </w:t>
      </w:r>
      <w:r>
        <w:rPr>
          <w:rFonts w:hint="eastAsia" w:ascii="仿宋" w:hAnsi="仿宋" w:eastAsia="仿宋" w:cs="仿宋"/>
          <w:color w:val="auto"/>
          <w:spacing w:val="-12"/>
          <w:sz w:val="28"/>
          <w:szCs w:val="28"/>
          <w:highlight w:val="none"/>
        </w:rPr>
        <w:t>址：</w:t>
      </w:r>
      <w:r>
        <w:rPr>
          <w:rFonts w:hint="eastAsia" w:ascii="仿宋" w:hAnsi="仿宋" w:eastAsia="仿宋" w:cs="仿宋"/>
          <w:color w:val="auto"/>
          <w:spacing w:val="-12"/>
          <w:sz w:val="28"/>
          <w:szCs w:val="28"/>
          <w:highlight w:val="none"/>
          <w:lang w:val="en-US" w:eastAsia="zh-CN"/>
        </w:rPr>
        <w:t>安徽省合肥市肥东县马湖乡冯山大街136号</w:t>
      </w:r>
    </w:p>
    <w:p w14:paraId="6CC6E233">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pacing w:val="-10"/>
          <w:sz w:val="28"/>
          <w:szCs w:val="28"/>
          <w:highlight w:val="none"/>
        </w:rPr>
        <w:t>联 系</w:t>
      </w:r>
      <w:r>
        <w:rPr>
          <w:rFonts w:hint="eastAsia" w:ascii="仿宋" w:hAnsi="仿宋" w:eastAsia="仿宋" w:cs="仿宋"/>
          <w:color w:val="auto"/>
          <w:spacing w:val="15"/>
          <w:sz w:val="28"/>
          <w:szCs w:val="28"/>
          <w:highlight w:val="none"/>
        </w:rPr>
        <w:t xml:space="preserve"> </w:t>
      </w:r>
      <w:r>
        <w:rPr>
          <w:rFonts w:hint="eastAsia" w:ascii="仿宋" w:hAnsi="仿宋" w:eastAsia="仿宋" w:cs="仿宋"/>
          <w:color w:val="auto"/>
          <w:spacing w:val="-10"/>
          <w:sz w:val="28"/>
          <w:szCs w:val="28"/>
          <w:highlight w:val="none"/>
        </w:rPr>
        <w:t>人：</w:t>
      </w:r>
      <w:r>
        <w:rPr>
          <w:rFonts w:hint="eastAsia" w:ascii="仿宋" w:hAnsi="仿宋" w:eastAsia="仿宋" w:cs="仿宋"/>
          <w:color w:val="auto"/>
          <w:spacing w:val="-10"/>
          <w:sz w:val="28"/>
          <w:szCs w:val="28"/>
          <w:highlight w:val="none"/>
          <w:lang w:val="en-US" w:eastAsia="zh-CN"/>
        </w:rPr>
        <w:t>刘胜超</w:t>
      </w:r>
    </w:p>
    <w:p w14:paraId="42AD45C1">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default" w:ascii="仿宋" w:hAnsi="仿宋" w:eastAsia="仿宋" w:cs="仿宋"/>
          <w:color w:val="auto"/>
          <w:spacing w:val="-15"/>
          <w:sz w:val="28"/>
          <w:szCs w:val="28"/>
          <w:highlight w:val="none"/>
          <w:lang w:val="en-US"/>
        </w:rPr>
      </w:pPr>
      <w:r>
        <w:rPr>
          <w:rFonts w:hint="eastAsia" w:ascii="仿宋" w:hAnsi="仿宋" w:eastAsia="仿宋" w:cs="仿宋"/>
          <w:color w:val="auto"/>
          <w:spacing w:val="-15"/>
          <w:sz w:val="28"/>
          <w:szCs w:val="28"/>
          <w:highlight w:val="none"/>
        </w:rPr>
        <w:t>电</w:t>
      </w:r>
      <w:r>
        <w:rPr>
          <w:rFonts w:hint="eastAsia" w:ascii="仿宋" w:hAnsi="仿宋" w:eastAsia="仿宋" w:cs="仿宋"/>
          <w:color w:val="auto"/>
          <w:spacing w:val="3"/>
          <w:sz w:val="28"/>
          <w:szCs w:val="28"/>
          <w:highlight w:val="none"/>
        </w:rPr>
        <w:t xml:space="preserve">    </w:t>
      </w:r>
      <w:r>
        <w:rPr>
          <w:rFonts w:hint="eastAsia" w:ascii="仿宋" w:hAnsi="仿宋" w:eastAsia="仿宋" w:cs="仿宋"/>
          <w:color w:val="auto"/>
          <w:spacing w:val="-15"/>
          <w:sz w:val="28"/>
          <w:szCs w:val="28"/>
          <w:highlight w:val="none"/>
        </w:rPr>
        <w:t>话：</w:t>
      </w:r>
      <w:r>
        <w:rPr>
          <w:rFonts w:hint="eastAsia" w:ascii="仿宋" w:hAnsi="仿宋" w:eastAsia="仿宋" w:cs="仿宋"/>
          <w:color w:val="auto"/>
          <w:spacing w:val="-10"/>
          <w:sz w:val="28"/>
          <w:szCs w:val="28"/>
          <w:highlight w:val="none"/>
          <w:lang w:val="en-US" w:eastAsia="zh-CN"/>
        </w:rPr>
        <w:t>0551-62525104</w:t>
      </w:r>
    </w:p>
    <w:p w14:paraId="7D63EE9C">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outlineLvl w:val="9"/>
        <w:rPr>
          <w:rFonts w:hint="eastAsia" w:ascii="仿宋" w:hAnsi="仿宋" w:eastAsia="仿宋" w:cs="仿宋"/>
          <w:color w:val="auto"/>
          <w:spacing w:val="-2"/>
          <w:sz w:val="28"/>
          <w:szCs w:val="28"/>
          <w:highlight w:val="none"/>
        </w:rPr>
      </w:pPr>
      <w:bookmarkStart w:id="21" w:name="_Toc25010"/>
      <w:bookmarkStart w:id="22" w:name="_Toc20225"/>
      <w:r>
        <w:rPr>
          <w:rFonts w:hint="eastAsia" w:ascii="仿宋" w:hAnsi="仿宋" w:eastAsia="仿宋" w:cs="仿宋"/>
          <w:color w:val="auto"/>
          <w:spacing w:val="-2"/>
          <w:sz w:val="28"/>
          <w:szCs w:val="28"/>
          <w:highlight w:val="none"/>
          <w:lang w:val="en-US" w:eastAsia="zh-CN"/>
        </w:rPr>
        <w:t xml:space="preserve">10.2 </w:t>
      </w:r>
      <w:r>
        <w:rPr>
          <w:rFonts w:hint="eastAsia" w:ascii="仿宋" w:hAnsi="仿宋" w:eastAsia="仿宋" w:cs="仿宋"/>
          <w:color w:val="auto"/>
          <w:spacing w:val="-2"/>
          <w:sz w:val="28"/>
          <w:szCs w:val="28"/>
          <w:highlight w:val="none"/>
        </w:rPr>
        <w:t>招标代理机构</w:t>
      </w:r>
      <w:bookmarkEnd w:id="21"/>
      <w:bookmarkEnd w:id="22"/>
    </w:p>
    <w:p w14:paraId="54766222">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pacing w:val="-8"/>
          <w:sz w:val="28"/>
          <w:szCs w:val="28"/>
          <w:highlight w:val="none"/>
          <w:u w:val="single" w:color="auto"/>
        </w:rPr>
      </w:pPr>
      <w:r>
        <w:rPr>
          <w:rFonts w:hint="eastAsia" w:ascii="仿宋" w:hAnsi="仿宋" w:eastAsia="仿宋" w:cs="仿宋"/>
          <w:color w:val="auto"/>
          <w:spacing w:val="-8"/>
          <w:sz w:val="28"/>
          <w:szCs w:val="28"/>
          <w:highlight w:val="none"/>
        </w:rPr>
        <w:t>招标代理机构：</w:t>
      </w:r>
      <w:r>
        <w:rPr>
          <w:rFonts w:hint="eastAsia" w:ascii="仿宋" w:hAnsi="仿宋" w:eastAsia="仿宋" w:cs="Times New Roman"/>
          <w:color w:val="auto"/>
          <w:sz w:val="28"/>
          <w:szCs w:val="28"/>
          <w:highlight w:val="none"/>
          <w:lang w:val="en-US" w:eastAsia="zh-CN" w:bidi="ar"/>
        </w:rPr>
        <w:t>肥东县公共资源交易有限公司</w:t>
      </w:r>
    </w:p>
    <w:p w14:paraId="5A74AA7B">
      <w:pPr>
        <w:spacing w:line="560" w:lineRule="exact"/>
        <w:ind w:firstLine="266" w:firstLineChars="100"/>
        <w:jc w:val="left"/>
        <w:rPr>
          <w:rFonts w:hint="eastAsia" w:ascii="仿宋" w:hAnsi="仿宋" w:eastAsia="仿宋" w:cs="仿宋"/>
          <w:color w:val="auto"/>
          <w:spacing w:val="-7"/>
          <w:sz w:val="28"/>
          <w:szCs w:val="28"/>
          <w:highlight w:val="none"/>
          <w:u w:val="single" w:color="auto"/>
        </w:rPr>
      </w:pPr>
      <w:r>
        <w:rPr>
          <w:rFonts w:hint="eastAsia" w:ascii="仿宋" w:hAnsi="仿宋" w:eastAsia="仿宋" w:cs="仿宋"/>
          <w:color w:val="auto"/>
          <w:spacing w:val="-7"/>
          <w:sz w:val="28"/>
          <w:szCs w:val="28"/>
          <w:highlight w:val="none"/>
        </w:rPr>
        <w:t>地    址：</w:t>
      </w:r>
      <w:r>
        <w:rPr>
          <w:rFonts w:hint="eastAsia" w:ascii="仿宋" w:hAnsi="仿宋" w:eastAsia="仿宋"/>
          <w:color w:val="auto"/>
          <w:sz w:val="28"/>
          <w:szCs w:val="28"/>
          <w:highlight w:val="none"/>
          <w:lang w:val="en-US" w:eastAsia="zh-CN"/>
        </w:rPr>
        <w:t>安徽省</w:t>
      </w:r>
      <w:r>
        <w:rPr>
          <w:rFonts w:hint="eastAsia" w:ascii="仿宋" w:hAnsi="仿宋" w:eastAsia="仿宋"/>
          <w:color w:val="auto"/>
          <w:sz w:val="28"/>
          <w:szCs w:val="28"/>
          <w:highlight w:val="none"/>
        </w:rPr>
        <w:t>合肥市肥东县店埠镇深秀路2号肥东县政务服务中心B区四楼</w:t>
      </w:r>
    </w:p>
    <w:p w14:paraId="49D47AD3">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default" w:ascii="仿宋" w:hAnsi="仿宋" w:eastAsia="仿宋" w:cs="仿宋"/>
          <w:color w:val="auto"/>
          <w:spacing w:val="3"/>
          <w:sz w:val="28"/>
          <w:szCs w:val="28"/>
          <w:highlight w:val="none"/>
          <w:lang w:val="en-US" w:eastAsia="zh-CN"/>
        </w:rPr>
      </w:pPr>
      <w:r>
        <w:rPr>
          <w:rFonts w:hint="eastAsia" w:ascii="仿宋" w:hAnsi="仿宋" w:eastAsia="仿宋" w:cs="仿宋"/>
          <w:color w:val="auto"/>
          <w:spacing w:val="-7"/>
          <w:sz w:val="28"/>
          <w:szCs w:val="28"/>
          <w:highlight w:val="none"/>
        </w:rPr>
        <w:t>联 系 人：</w:t>
      </w:r>
      <w:r>
        <w:rPr>
          <w:rFonts w:hint="eastAsia" w:ascii="仿宋" w:hAnsi="仿宋" w:eastAsia="仿宋" w:cs="仿宋"/>
          <w:color w:val="auto"/>
          <w:spacing w:val="-7"/>
          <w:sz w:val="28"/>
          <w:szCs w:val="28"/>
          <w:highlight w:val="none"/>
          <w:lang w:val="en-US" w:eastAsia="zh-CN"/>
        </w:rPr>
        <w:t>陈工</w:t>
      </w:r>
    </w:p>
    <w:p w14:paraId="1C82B645">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default" w:ascii="仿宋" w:hAnsi="仿宋" w:eastAsia="仿宋" w:cs="仿宋"/>
          <w:color w:val="auto"/>
          <w:spacing w:val="-12"/>
          <w:sz w:val="28"/>
          <w:szCs w:val="28"/>
          <w:highlight w:val="none"/>
          <w:lang w:val="en-US" w:eastAsia="zh-CN"/>
        </w:rPr>
      </w:pPr>
      <w:r>
        <w:rPr>
          <w:rFonts w:hint="eastAsia" w:ascii="仿宋" w:hAnsi="仿宋" w:eastAsia="仿宋" w:cs="仿宋"/>
          <w:color w:val="auto"/>
          <w:spacing w:val="-12"/>
          <w:sz w:val="28"/>
          <w:szCs w:val="28"/>
          <w:highlight w:val="none"/>
        </w:rPr>
        <w:t>电</w:t>
      </w:r>
      <w:r>
        <w:rPr>
          <w:rFonts w:hint="eastAsia" w:ascii="仿宋" w:hAnsi="仿宋" w:eastAsia="仿宋" w:cs="仿宋"/>
          <w:color w:val="auto"/>
          <w:spacing w:val="4"/>
          <w:sz w:val="28"/>
          <w:szCs w:val="28"/>
          <w:highlight w:val="none"/>
        </w:rPr>
        <w:t xml:space="preserve">    </w:t>
      </w:r>
      <w:r>
        <w:rPr>
          <w:rFonts w:hint="eastAsia" w:ascii="仿宋" w:hAnsi="仿宋" w:eastAsia="仿宋" w:cs="仿宋"/>
          <w:color w:val="auto"/>
          <w:spacing w:val="-12"/>
          <w:sz w:val="28"/>
          <w:szCs w:val="28"/>
          <w:highlight w:val="none"/>
        </w:rPr>
        <w:t>话：</w:t>
      </w:r>
      <w:r>
        <w:rPr>
          <w:rFonts w:hint="eastAsia" w:ascii="仿宋" w:hAnsi="仿宋" w:eastAsia="仿宋" w:cs="仿宋"/>
          <w:color w:val="auto"/>
          <w:spacing w:val="-12"/>
          <w:sz w:val="28"/>
          <w:szCs w:val="28"/>
          <w:highlight w:val="none"/>
          <w:lang w:val="en-US" w:eastAsia="zh-CN"/>
        </w:rPr>
        <w:t>0551-67758761</w:t>
      </w:r>
    </w:p>
    <w:p w14:paraId="521AAD25">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outlineLvl w:val="9"/>
        <w:rPr>
          <w:rFonts w:hint="eastAsia" w:ascii="仿宋" w:hAnsi="仿宋" w:eastAsia="仿宋" w:cs="仿宋"/>
          <w:color w:val="auto"/>
          <w:spacing w:val="-6"/>
          <w:sz w:val="28"/>
          <w:szCs w:val="28"/>
          <w:highlight w:val="none"/>
        </w:rPr>
      </w:pPr>
      <w:bookmarkStart w:id="23" w:name="_Toc4925"/>
      <w:bookmarkStart w:id="24" w:name="_Toc21954"/>
      <w:r>
        <w:rPr>
          <w:rFonts w:hint="eastAsia" w:ascii="仿宋" w:hAnsi="仿宋" w:eastAsia="仿宋" w:cs="仿宋"/>
          <w:color w:val="auto"/>
          <w:spacing w:val="-6"/>
          <w:sz w:val="28"/>
          <w:szCs w:val="28"/>
          <w:highlight w:val="none"/>
          <w:lang w:val="en-US" w:eastAsia="zh-CN"/>
        </w:rPr>
        <w:t xml:space="preserve">10.3 </w:t>
      </w:r>
      <w:r>
        <w:rPr>
          <w:rFonts w:hint="eastAsia" w:ascii="仿宋" w:hAnsi="仿宋" w:eastAsia="仿宋" w:cs="仿宋"/>
          <w:color w:val="auto"/>
          <w:spacing w:val="-6"/>
          <w:sz w:val="28"/>
          <w:szCs w:val="28"/>
          <w:highlight w:val="none"/>
        </w:rPr>
        <w:t>电子交易系统</w:t>
      </w:r>
      <w:bookmarkEnd w:id="23"/>
      <w:bookmarkEnd w:id="24"/>
    </w:p>
    <w:p w14:paraId="4C77AF70">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13"/>
          <w:sz w:val="28"/>
          <w:szCs w:val="28"/>
          <w:highlight w:val="none"/>
        </w:rPr>
        <w:t>电子交易系统名称：</w:t>
      </w:r>
      <w:r>
        <w:rPr>
          <w:rFonts w:hint="eastAsia" w:ascii="仿宋" w:hAnsi="仿宋" w:eastAsia="仿宋" w:cs="Times New Roman"/>
          <w:color w:val="auto"/>
          <w:sz w:val="28"/>
          <w:szCs w:val="28"/>
          <w:highlight w:val="none"/>
          <w:lang w:val="en-US" w:eastAsia="zh-CN" w:bidi="ar"/>
        </w:rPr>
        <w:t>安徽合肥公共资源交易中心电子交易系统</w:t>
      </w:r>
    </w:p>
    <w:p w14:paraId="119B9CBC">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楷体"/>
          <w:bCs/>
          <w:snapToGrid w:val="0"/>
          <w:color w:val="auto"/>
          <w:sz w:val="28"/>
          <w:szCs w:val="28"/>
          <w:highlight w:val="none"/>
          <w:lang w:val="en-US" w:eastAsia="zh-CN" w:bidi="ar"/>
        </w:rPr>
      </w:pPr>
      <w:r>
        <w:rPr>
          <w:rFonts w:hint="eastAsia" w:ascii="仿宋" w:hAnsi="仿宋" w:eastAsia="仿宋" w:cs="仿宋"/>
          <w:color w:val="auto"/>
          <w:spacing w:val="-13"/>
          <w:sz w:val="28"/>
          <w:szCs w:val="28"/>
          <w:highlight w:val="none"/>
        </w:rPr>
        <w:t>电子交易系统电话：</w:t>
      </w:r>
      <w:r>
        <w:rPr>
          <w:rFonts w:hint="eastAsia" w:ascii="仿宋" w:hAnsi="仿宋" w:eastAsia="仿宋" w:cs="楷体"/>
          <w:bCs/>
          <w:snapToGrid w:val="0"/>
          <w:color w:val="auto"/>
          <w:sz w:val="28"/>
          <w:szCs w:val="28"/>
          <w:highlight w:val="none"/>
          <w:lang w:val="en-US" w:eastAsia="zh-CN" w:bidi="ar"/>
        </w:rPr>
        <w:t>0512-58188516</w:t>
      </w:r>
    </w:p>
    <w:p w14:paraId="3CA374D6">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outlineLvl w:val="9"/>
        <w:rPr>
          <w:rFonts w:hint="eastAsia" w:ascii="仿宋" w:hAnsi="仿宋" w:eastAsia="仿宋" w:cs="仿宋"/>
          <w:color w:val="auto"/>
          <w:spacing w:val="-6"/>
          <w:sz w:val="28"/>
          <w:szCs w:val="28"/>
          <w:highlight w:val="none"/>
        </w:rPr>
      </w:pPr>
      <w:bookmarkStart w:id="25" w:name="_Toc8608"/>
      <w:bookmarkStart w:id="26" w:name="_Toc16945"/>
      <w:r>
        <w:rPr>
          <w:rFonts w:hint="eastAsia" w:ascii="仿宋" w:hAnsi="仿宋" w:eastAsia="仿宋" w:cs="仿宋"/>
          <w:color w:val="auto"/>
          <w:spacing w:val="-6"/>
          <w:sz w:val="28"/>
          <w:szCs w:val="28"/>
          <w:highlight w:val="none"/>
          <w:lang w:val="en-US" w:eastAsia="zh-CN"/>
        </w:rPr>
        <w:t xml:space="preserve">10.4 </w:t>
      </w:r>
      <w:r>
        <w:rPr>
          <w:rFonts w:hint="eastAsia" w:ascii="仿宋" w:hAnsi="仿宋" w:eastAsia="仿宋" w:cs="仿宋"/>
          <w:color w:val="auto"/>
          <w:spacing w:val="-6"/>
          <w:sz w:val="28"/>
          <w:szCs w:val="28"/>
          <w:highlight w:val="none"/>
        </w:rPr>
        <w:t>电子服务系统</w:t>
      </w:r>
      <w:bookmarkEnd w:id="25"/>
      <w:bookmarkEnd w:id="26"/>
    </w:p>
    <w:p w14:paraId="7371A821">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13"/>
          <w:sz w:val="28"/>
          <w:szCs w:val="28"/>
          <w:highlight w:val="none"/>
        </w:rPr>
        <w:t>电子服务系统名称：</w:t>
      </w:r>
      <w:r>
        <w:rPr>
          <w:rFonts w:hint="eastAsia" w:ascii="仿宋" w:hAnsi="仿宋" w:eastAsia="仿宋" w:cs="Times New Roman"/>
          <w:color w:val="auto"/>
          <w:sz w:val="28"/>
          <w:szCs w:val="28"/>
          <w:highlight w:val="none"/>
          <w:lang w:val="en-US" w:eastAsia="zh-CN" w:bidi="ar"/>
        </w:rPr>
        <w:t>安徽合肥公共资源交易电子服务系统</w:t>
      </w:r>
    </w:p>
    <w:p w14:paraId="0ABB1565">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13"/>
          <w:sz w:val="28"/>
          <w:szCs w:val="28"/>
          <w:highlight w:val="none"/>
        </w:rPr>
        <w:t>电子服务系统电话：</w:t>
      </w:r>
      <w:r>
        <w:rPr>
          <w:rFonts w:hint="eastAsia" w:ascii="仿宋" w:hAnsi="仿宋" w:eastAsia="仿宋"/>
          <w:color w:val="auto"/>
          <w:sz w:val="28"/>
          <w:szCs w:val="28"/>
          <w:highlight w:val="none"/>
          <w:lang w:val="en-US" w:eastAsia="zh-CN"/>
        </w:rPr>
        <w:t>0551-66223830、0512-58188516</w:t>
      </w:r>
      <w:r>
        <w:rPr>
          <w:rFonts w:hint="default" w:ascii="Times New Roman" w:hAnsi="Times New Roman" w:eastAsia="仿宋" w:cs="Times New Roman"/>
          <w:color w:val="auto"/>
          <w:sz w:val="28"/>
          <w:szCs w:val="28"/>
          <w:highlight w:val="none"/>
          <w:lang w:val="en-US" w:eastAsia="zh-CN" w:bidi="ar"/>
        </w:rPr>
        <w:t>          </w:t>
      </w:r>
    </w:p>
    <w:p w14:paraId="05718243">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outlineLvl w:val="9"/>
        <w:rPr>
          <w:rFonts w:hint="eastAsia" w:ascii="仿宋" w:hAnsi="仿宋" w:eastAsia="仿宋" w:cs="仿宋"/>
          <w:color w:val="auto"/>
          <w:spacing w:val="-2"/>
          <w:sz w:val="28"/>
          <w:szCs w:val="28"/>
          <w:highlight w:val="none"/>
        </w:rPr>
      </w:pPr>
      <w:bookmarkStart w:id="27" w:name="_Toc24201"/>
      <w:bookmarkStart w:id="28" w:name="_Toc13835"/>
      <w:r>
        <w:rPr>
          <w:rFonts w:hint="eastAsia" w:ascii="仿宋" w:hAnsi="仿宋" w:eastAsia="仿宋" w:cs="仿宋"/>
          <w:color w:val="auto"/>
          <w:spacing w:val="-2"/>
          <w:sz w:val="28"/>
          <w:szCs w:val="28"/>
          <w:highlight w:val="none"/>
          <w:lang w:val="en-US" w:eastAsia="zh-CN"/>
        </w:rPr>
        <w:t xml:space="preserve">10.5 </w:t>
      </w:r>
      <w:r>
        <w:rPr>
          <w:rFonts w:hint="eastAsia" w:ascii="仿宋" w:hAnsi="仿宋" w:eastAsia="仿宋" w:cs="仿宋"/>
          <w:color w:val="auto"/>
          <w:spacing w:val="-2"/>
          <w:sz w:val="28"/>
          <w:szCs w:val="28"/>
          <w:highlight w:val="none"/>
        </w:rPr>
        <w:t>招标投标行政监督部门</w:t>
      </w:r>
      <w:bookmarkEnd w:id="27"/>
      <w:bookmarkEnd w:id="28"/>
    </w:p>
    <w:p w14:paraId="1F634DB9">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pacing w:val="-5"/>
          <w:sz w:val="28"/>
          <w:szCs w:val="28"/>
          <w:highlight w:val="none"/>
          <w:u w:val="single" w:color="auto"/>
        </w:rPr>
      </w:pPr>
      <w:r>
        <w:rPr>
          <w:rFonts w:hint="eastAsia" w:ascii="仿宋" w:hAnsi="仿宋" w:eastAsia="仿宋" w:cs="仿宋"/>
          <w:color w:val="auto"/>
          <w:spacing w:val="-5"/>
          <w:sz w:val="28"/>
          <w:szCs w:val="28"/>
          <w:highlight w:val="none"/>
        </w:rPr>
        <w:t>招标投标行政监督部门：</w:t>
      </w:r>
      <w:r>
        <w:rPr>
          <w:rFonts w:hint="eastAsia" w:ascii="仿宋" w:hAnsi="仿宋" w:eastAsia="仿宋"/>
          <w:color w:val="auto"/>
          <w:sz w:val="28"/>
          <w:szCs w:val="28"/>
          <w:highlight w:val="none"/>
        </w:rPr>
        <w:t>肥东县发展和改革委员会</w:t>
      </w:r>
      <w:r>
        <w:rPr>
          <w:rFonts w:hint="eastAsia" w:ascii="仿宋" w:hAnsi="仿宋" w:eastAsia="仿宋" w:cs="Times New Roman"/>
          <w:color w:val="auto"/>
          <w:sz w:val="28"/>
          <w:szCs w:val="28"/>
          <w:highlight w:val="none"/>
          <w:lang w:val="en-US" w:eastAsia="zh-CN" w:bidi="ar"/>
        </w:rPr>
        <w:t xml:space="preserve"> </w:t>
      </w:r>
    </w:p>
    <w:p w14:paraId="2E4A63D2">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pacing w:val="12"/>
          <w:sz w:val="28"/>
          <w:szCs w:val="28"/>
          <w:highlight w:val="none"/>
        </w:rPr>
      </w:pPr>
      <w:r>
        <w:rPr>
          <w:rFonts w:hint="eastAsia" w:ascii="仿宋" w:hAnsi="仿宋" w:eastAsia="仿宋" w:cs="仿宋"/>
          <w:color w:val="auto"/>
          <w:spacing w:val="-6"/>
          <w:sz w:val="28"/>
          <w:szCs w:val="28"/>
          <w:highlight w:val="none"/>
        </w:rPr>
        <w:t>地    址：</w:t>
      </w:r>
      <w:bookmarkStart w:id="29" w:name="OLE_LINK4"/>
      <w:r>
        <w:rPr>
          <w:rFonts w:hint="eastAsia" w:ascii="仿宋" w:hAnsi="仿宋" w:eastAsia="仿宋"/>
          <w:color w:val="auto"/>
          <w:sz w:val="28"/>
          <w:szCs w:val="28"/>
          <w:highlight w:val="none"/>
        </w:rPr>
        <w:t>合肥市肥东县店埠镇</w:t>
      </w:r>
      <w:bookmarkEnd w:id="29"/>
      <w:r>
        <w:rPr>
          <w:rFonts w:hint="eastAsia" w:ascii="仿宋" w:hAnsi="仿宋" w:eastAsia="仿宋"/>
          <w:color w:val="auto"/>
          <w:sz w:val="28"/>
          <w:szCs w:val="28"/>
          <w:highlight w:val="none"/>
        </w:rPr>
        <w:t>龙泉路8号</w:t>
      </w:r>
    </w:p>
    <w:p w14:paraId="319E31A2">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Times New Roman"/>
          <w:color w:val="auto"/>
          <w:kern w:val="2"/>
          <w:sz w:val="28"/>
          <w:szCs w:val="28"/>
          <w:highlight w:val="none"/>
          <w:lang w:val="en-US" w:eastAsia="zh-CN" w:bidi="ar"/>
        </w:rPr>
      </w:pPr>
      <w:r>
        <w:rPr>
          <w:rFonts w:hint="eastAsia" w:ascii="仿宋" w:hAnsi="仿宋" w:eastAsia="仿宋" w:cs="仿宋"/>
          <w:color w:val="auto"/>
          <w:spacing w:val="-7"/>
          <w:sz w:val="28"/>
          <w:szCs w:val="28"/>
          <w:highlight w:val="none"/>
        </w:rPr>
        <w:t>电    话：</w:t>
      </w:r>
      <w:bookmarkStart w:id="30" w:name="OLE_LINK5"/>
      <w:r>
        <w:rPr>
          <w:rFonts w:hint="eastAsia" w:ascii="仿宋" w:hAnsi="仿宋" w:eastAsia="仿宋"/>
          <w:color w:val="auto"/>
          <w:sz w:val="28"/>
          <w:szCs w:val="28"/>
          <w:highlight w:val="none"/>
        </w:rPr>
        <w:t>0551-67711296</w:t>
      </w:r>
      <w:bookmarkEnd w:id="30"/>
    </w:p>
    <w:p w14:paraId="7CBEBAE2">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11.招标文件的异议、投诉</w:t>
      </w:r>
    </w:p>
    <w:p w14:paraId="5FFD9583">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val="en-US" w:eastAsia="zh-CN"/>
        </w:rPr>
        <w:t xml:space="preserve">11.1 </w:t>
      </w:r>
      <w:r>
        <w:rPr>
          <w:rFonts w:hint="eastAsia" w:ascii="仿宋" w:hAnsi="仿宋" w:eastAsia="仿宋" w:cs="Times New Roman"/>
          <w:snapToGrid/>
          <w:color w:val="auto"/>
          <w:kern w:val="2"/>
          <w:sz w:val="28"/>
          <w:szCs w:val="28"/>
          <w:highlight w:val="none"/>
          <w:lang w:eastAsia="zh-CN"/>
        </w:rPr>
        <w:t>投标人或者其他利害关系人对招标文件有异议的，应当在规定时间通过电子交易系统在线提出或以其他书面形式提出。</w:t>
      </w:r>
    </w:p>
    <w:p w14:paraId="18D0D6F2">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11.2 投标人或者其他利害关系人对招标人、招标代理机构的答复不满意，或者招标人、招标代理机构未在规定时间内作出答复的，可以在规定时间内通过网上投诉系统或以其他书面形式向招标投标行政监督部门提出投诉。</w:t>
      </w:r>
    </w:p>
    <w:p w14:paraId="686CE6AC">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11.3 受理异议的联系人和联系方式见招标公告第10.1款和第 10.2款。</w:t>
      </w:r>
    </w:p>
    <w:p w14:paraId="0417637D">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12.其他事项说明</w:t>
      </w:r>
    </w:p>
    <w:p w14:paraId="7E5D0463">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12.1 投标人应合理安排招标文件获取时间，特别是网络速度慢的地区防止在系统关闭前网络拥堵无法操作。如果因计算机及网络故障造成无法完成招标文件获取，责任自负。</w:t>
      </w:r>
    </w:p>
    <w:p w14:paraId="7F869C04">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snapToGrid/>
          <w:color w:val="auto"/>
          <w:kern w:val="2"/>
          <w:sz w:val="28"/>
          <w:szCs w:val="28"/>
          <w:highlight w:val="none"/>
          <w:lang w:val="en-US" w:eastAsia="zh-CN"/>
        </w:rPr>
      </w:pPr>
      <w:r>
        <w:rPr>
          <w:rFonts w:hint="eastAsia" w:ascii="仿宋" w:hAnsi="仿宋" w:eastAsia="仿宋" w:cs="Times New Roman"/>
          <w:snapToGrid/>
          <w:color w:val="auto"/>
          <w:kern w:val="2"/>
          <w:sz w:val="28"/>
          <w:szCs w:val="28"/>
          <w:highlight w:val="none"/>
          <w:lang w:eastAsia="zh-CN"/>
        </w:rPr>
        <w:t>12.2</w:t>
      </w:r>
      <w:r>
        <w:rPr>
          <w:rFonts w:hint="eastAsia" w:ascii="仿宋" w:hAnsi="仿宋" w:eastAsia="仿宋" w:cs="Times New Roman"/>
          <w:snapToGrid/>
          <w:color w:val="auto"/>
          <w:kern w:val="2"/>
          <w:sz w:val="28"/>
          <w:szCs w:val="28"/>
          <w:highlight w:val="none"/>
          <w:lang w:val="en-US" w:eastAsia="zh-CN"/>
        </w:rPr>
        <w:t xml:space="preserve"> 本项目实施全流程电子化交易，投标文件实施云上开标大厅解密（咨询电话：0512-58188516），投标人无需前往开标现场。投标人应自行登录“安徽合肥公共资源交易中心云上开标大厅”（bjm.hfztb.cn）完成解密文件等工作。</w:t>
      </w:r>
    </w:p>
    <w:p w14:paraId="091CA511">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13.投标保证金账户</w:t>
      </w:r>
    </w:p>
    <w:p w14:paraId="20861BC6">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民生银行</w:t>
      </w:r>
    </w:p>
    <w:p w14:paraId="5204DCA6">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户名：肥东县公共资源交易中心</w:t>
      </w:r>
    </w:p>
    <w:p w14:paraId="2B0DEABE">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账号：9902001817744160</w:t>
      </w:r>
    </w:p>
    <w:p w14:paraId="31EF36D3">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开户银行：中国民生银行股份有限公司肥东支行</w:t>
      </w:r>
    </w:p>
    <w:p w14:paraId="0F0C3074">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中国银行</w:t>
      </w:r>
    </w:p>
    <w:p w14:paraId="61ECAB2E">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户名：肥东县公共资源交易中心</w:t>
      </w:r>
    </w:p>
    <w:p w14:paraId="689F44D1">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账号：182756135676</w:t>
      </w:r>
    </w:p>
    <w:p w14:paraId="2DFB4FE3">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开户银行：中国银行肥东支行</w:t>
      </w:r>
    </w:p>
    <w:p w14:paraId="0151BA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right"/>
        <w:textAlignment w:val="baseline"/>
        <w:rPr>
          <w:rFonts w:hint="eastAsia" w:ascii="仿宋" w:hAnsi="仿宋" w:eastAsia="仿宋" w:cs="仿宋"/>
          <w:snapToGrid w:val="0"/>
          <w:color w:val="auto"/>
          <w:kern w:val="0"/>
          <w:sz w:val="28"/>
          <w:szCs w:val="28"/>
          <w:highlight w:val="none"/>
          <w:lang w:val="en-US" w:eastAsia="zh-CN" w:bidi="ar"/>
        </w:rPr>
      </w:pPr>
    </w:p>
    <w:p w14:paraId="35577C02">
      <w:pPr>
        <w:pStyle w:val="6"/>
        <w:outlineLvl w:val="9"/>
        <w:rPr>
          <w:rFonts w:hint="eastAsia"/>
          <w:color w:val="auto"/>
          <w:highlight w:val="none"/>
          <w:lang w:val="en-US" w:eastAsia="zh-CN"/>
        </w:rPr>
      </w:pPr>
    </w:p>
    <w:p w14:paraId="662934DE">
      <w:pPr>
        <w:keepNext w:val="0"/>
        <w:keepLines w:val="0"/>
        <w:pageBreakBefore w:val="0"/>
        <w:widowControl/>
        <w:kinsoku w:val="0"/>
        <w:wordWrap/>
        <w:overflowPunct/>
        <w:topLinePunct w:val="0"/>
        <w:autoSpaceDE/>
        <w:autoSpaceDN/>
        <w:bidi w:val="0"/>
        <w:adjustRightInd w:val="0"/>
        <w:snapToGrid w:val="0"/>
        <w:spacing w:line="560" w:lineRule="exact"/>
        <w:textAlignment w:val="baseline"/>
        <w:rPr>
          <w:rFonts w:ascii="宋体" w:hAnsi="宋体" w:eastAsia="宋体" w:cs="宋体"/>
          <w:color w:val="auto"/>
          <w:sz w:val="21"/>
          <w:szCs w:val="21"/>
          <w:highlight w:val="none"/>
        </w:rPr>
      </w:pPr>
    </w:p>
    <w:p w14:paraId="3104F59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color w:val="auto"/>
          <w:sz w:val="21"/>
          <w:szCs w:val="21"/>
          <w:highlight w:val="none"/>
        </w:rPr>
      </w:pPr>
    </w:p>
    <w:p w14:paraId="7BDABBA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color w:val="auto"/>
          <w:sz w:val="21"/>
          <w:szCs w:val="21"/>
          <w:highlight w:val="none"/>
        </w:rPr>
      </w:pPr>
    </w:p>
    <w:p w14:paraId="564D9DE8">
      <w:pPr>
        <w:rPr>
          <w:rFonts w:ascii="宋体" w:hAnsi="宋体" w:eastAsia="宋体" w:cs="宋体"/>
          <w:b/>
          <w:bCs/>
          <w:color w:val="auto"/>
          <w:spacing w:val="4"/>
          <w:sz w:val="43"/>
          <w:szCs w:val="43"/>
          <w:highlight w:val="none"/>
        </w:rPr>
      </w:pPr>
      <w:r>
        <w:rPr>
          <w:rFonts w:ascii="宋体" w:hAnsi="宋体" w:eastAsia="宋体" w:cs="宋体"/>
          <w:b/>
          <w:bCs/>
          <w:color w:val="auto"/>
          <w:spacing w:val="4"/>
          <w:sz w:val="43"/>
          <w:szCs w:val="43"/>
          <w:highlight w:val="none"/>
        </w:rPr>
        <w:br w:type="page"/>
      </w:r>
    </w:p>
    <w:p w14:paraId="47F3CBE6">
      <w:pPr>
        <w:spacing w:before="281" w:line="223" w:lineRule="auto"/>
        <w:ind w:left="2837"/>
        <w:outlineLvl w:val="0"/>
        <w:rPr>
          <w:rFonts w:hint="eastAsia" w:ascii="黑体" w:hAnsi="黑体" w:eastAsia="黑体" w:cs="黑体"/>
          <w:color w:val="auto"/>
          <w:sz w:val="32"/>
          <w:szCs w:val="32"/>
          <w:highlight w:val="none"/>
        </w:rPr>
      </w:pPr>
      <w:bookmarkStart w:id="31" w:name="_Toc1626"/>
      <w:r>
        <w:rPr>
          <w:rFonts w:hint="eastAsia" w:ascii="黑体" w:hAnsi="黑体" w:eastAsia="黑体" w:cs="黑体"/>
          <w:b/>
          <w:bCs/>
          <w:color w:val="auto"/>
          <w:spacing w:val="4"/>
          <w:sz w:val="32"/>
          <w:szCs w:val="32"/>
          <w:highlight w:val="none"/>
        </w:rPr>
        <w:t>第二章</w:t>
      </w:r>
      <w:r>
        <w:rPr>
          <w:rFonts w:hint="eastAsia" w:ascii="黑体" w:hAnsi="黑体" w:eastAsia="黑体" w:cs="黑体"/>
          <w:color w:val="auto"/>
          <w:spacing w:val="4"/>
          <w:sz w:val="32"/>
          <w:szCs w:val="32"/>
          <w:highlight w:val="none"/>
        </w:rPr>
        <w:t xml:space="preserve"> </w:t>
      </w:r>
      <w:r>
        <w:rPr>
          <w:rFonts w:hint="eastAsia" w:ascii="黑体" w:hAnsi="黑体" w:eastAsia="黑体" w:cs="黑体"/>
          <w:b/>
          <w:bCs/>
          <w:color w:val="auto"/>
          <w:spacing w:val="4"/>
          <w:sz w:val="32"/>
          <w:szCs w:val="32"/>
          <w:highlight w:val="none"/>
        </w:rPr>
        <w:t>投标人须知</w:t>
      </w:r>
      <w:bookmarkEnd w:id="31"/>
    </w:p>
    <w:p w14:paraId="2EB24843">
      <w:pPr>
        <w:spacing w:line="310" w:lineRule="auto"/>
        <w:rPr>
          <w:rFonts w:hint="eastAsia" w:ascii="黑体" w:hAnsi="黑体" w:eastAsia="黑体" w:cs="黑体"/>
          <w:color w:val="auto"/>
          <w:sz w:val="32"/>
          <w:szCs w:val="32"/>
          <w:highlight w:val="none"/>
        </w:rPr>
      </w:pPr>
    </w:p>
    <w:p w14:paraId="3DED0E60">
      <w:pPr>
        <w:spacing w:before="100" w:line="224" w:lineRule="auto"/>
        <w:ind w:left="3429"/>
        <w:outlineLvl w:val="1"/>
        <w:rPr>
          <w:rFonts w:hint="eastAsia" w:ascii="黑体" w:hAnsi="黑体" w:eastAsia="黑体" w:cs="黑体"/>
          <w:color w:val="auto"/>
          <w:sz w:val="32"/>
          <w:szCs w:val="32"/>
          <w:highlight w:val="none"/>
        </w:rPr>
      </w:pPr>
      <w:bookmarkStart w:id="32" w:name="_Toc8909"/>
      <w:r>
        <w:rPr>
          <w:rFonts w:hint="eastAsia" w:ascii="黑体" w:hAnsi="黑体" w:eastAsia="黑体" w:cs="黑体"/>
          <w:b/>
          <w:bCs/>
          <w:color w:val="auto"/>
          <w:spacing w:val="5"/>
          <w:sz w:val="32"/>
          <w:szCs w:val="32"/>
          <w:highlight w:val="none"/>
        </w:rPr>
        <w:t>投标人须知前附表</w:t>
      </w:r>
      <w:bookmarkEnd w:id="32"/>
    </w:p>
    <w:p w14:paraId="6E029DCB">
      <w:pPr>
        <w:spacing w:line="137" w:lineRule="exact"/>
        <w:rPr>
          <w:rFonts w:hint="eastAsia" w:asciiTheme="minorEastAsia" w:hAnsiTheme="minorEastAsia" w:eastAsiaTheme="minorEastAsia" w:cstheme="minorEastAsia"/>
          <w:color w:val="auto"/>
          <w:highlight w:val="none"/>
        </w:rPr>
      </w:pPr>
    </w:p>
    <w:tbl>
      <w:tblPr>
        <w:tblStyle w:val="29"/>
        <w:tblW w:w="501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03"/>
        <w:gridCol w:w="1741"/>
        <w:gridCol w:w="6449"/>
        <w:gridCol w:w="35"/>
      </w:tblGrid>
      <w:tr w14:paraId="15080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blHeader/>
        </w:trPr>
        <w:tc>
          <w:tcPr>
            <w:tcW w:w="543" w:type="pct"/>
            <w:vAlign w:val="center"/>
          </w:tcPr>
          <w:p w14:paraId="798D68F5">
            <w:pPr>
              <w:pStyle w:val="30"/>
              <w:spacing w:before="113" w:line="221"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条款号</w:t>
            </w:r>
          </w:p>
        </w:tc>
        <w:tc>
          <w:tcPr>
            <w:tcW w:w="943" w:type="pct"/>
            <w:vAlign w:val="center"/>
          </w:tcPr>
          <w:p w14:paraId="010C1452">
            <w:pPr>
              <w:pStyle w:val="30"/>
              <w:spacing w:before="113" w:line="221"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条</w:t>
            </w:r>
            <w:r>
              <w:rPr>
                <w:rFonts w:hint="eastAsia" w:ascii="宋体" w:hAnsi="宋体" w:eastAsia="宋体" w:cs="宋体"/>
                <w:color w:val="auto"/>
                <w:spacing w:val="9"/>
                <w:sz w:val="24"/>
                <w:szCs w:val="24"/>
                <w:highlight w:val="none"/>
              </w:rPr>
              <w:t xml:space="preserve"> </w:t>
            </w:r>
            <w:r>
              <w:rPr>
                <w:rFonts w:hint="eastAsia" w:ascii="宋体" w:hAnsi="宋体" w:eastAsia="宋体" w:cs="宋体"/>
                <w:b/>
                <w:bCs/>
                <w:color w:val="auto"/>
                <w:spacing w:val="-9"/>
                <w:sz w:val="24"/>
                <w:szCs w:val="24"/>
                <w:highlight w:val="none"/>
              </w:rPr>
              <w:t>款</w:t>
            </w:r>
            <w:r>
              <w:rPr>
                <w:rFonts w:hint="eastAsia" w:ascii="宋体" w:hAnsi="宋体" w:eastAsia="宋体" w:cs="宋体"/>
                <w:color w:val="auto"/>
                <w:spacing w:val="12"/>
                <w:sz w:val="24"/>
                <w:szCs w:val="24"/>
                <w:highlight w:val="none"/>
              </w:rPr>
              <w:t xml:space="preserve"> </w:t>
            </w:r>
            <w:r>
              <w:rPr>
                <w:rFonts w:hint="eastAsia" w:ascii="宋体" w:hAnsi="宋体" w:eastAsia="宋体" w:cs="宋体"/>
                <w:b/>
                <w:bCs/>
                <w:color w:val="auto"/>
                <w:spacing w:val="-9"/>
                <w:sz w:val="24"/>
                <w:szCs w:val="24"/>
                <w:highlight w:val="none"/>
              </w:rPr>
              <w:t>名</w:t>
            </w:r>
            <w:r>
              <w:rPr>
                <w:rFonts w:hint="eastAsia" w:ascii="宋体" w:hAnsi="宋体" w:eastAsia="宋体" w:cs="宋体"/>
                <w:color w:val="auto"/>
                <w:spacing w:val="6"/>
                <w:sz w:val="24"/>
                <w:szCs w:val="24"/>
                <w:highlight w:val="none"/>
              </w:rPr>
              <w:t xml:space="preserve"> </w:t>
            </w:r>
            <w:r>
              <w:rPr>
                <w:rFonts w:hint="eastAsia" w:ascii="宋体" w:hAnsi="宋体" w:eastAsia="宋体" w:cs="宋体"/>
                <w:b/>
                <w:bCs/>
                <w:color w:val="auto"/>
                <w:spacing w:val="-9"/>
                <w:sz w:val="24"/>
                <w:szCs w:val="24"/>
                <w:highlight w:val="none"/>
              </w:rPr>
              <w:t>称</w:t>
            </w:r>
          </w:p>
        </w:tc>
        <w:tc>
          <w:tcPr>
            <w:tcW w:w="3493" w:type="pct"/>
            <w:vAlign w:val="center"/>
          </w:tcPr>
          <w:p w14:paraId="22EAB2CE">
            <w:pPr>
              <w:pStyle w:val="30"/>
              <w:spacing w:before="113" w:line="221"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6"/>
                <w:sz w:val="24"/>
                <w:szCs w:val="24"/>
                <w:highlight w:val="none"/>
              </w:rPr>
              <w:t>编</w:t>
            </w:r>
            <w:r>
              <w:rPr>
                <w:rFonts w:hint="eastAsia" w:ascii="宋体" w:hAnsi="宋体" w:eastAsia="宋体" w:cs="宋体"/>
                <w:color w:val="auto"/>
                <w:spacing w:val="14"/>
                <w:sz w:val="24"/>
                <w:szCs w:val="24"/>
                <w:highlight w:val="none"/>
              </w:rPr>
              <w:t xml:space="preserve"> </w:t>
            </w:r>
            <w:r>
              <w:rPr>
                <w:rFonts w:hint="eastAsia" w:ascii="宋体" w:hAnsi="宋体" w:eastAsia="宋体" w:cs="宋体"/>
                <w:b/>
                <w:bCs/>
                <w:color w:val="auto"/>
                <w:spacing w:val="-16"/>
                <w:sz w:val="24"/>
                <w:szCs w:val="24"/>
                <w:highlight w:val="none"/>
              </w:rPr>
              <w:t>列</w:t>
            </w:r>
            <w:r>
              <w:rPr>
                <w:rFonts w:hint="eastAsia" w:ascii="宋体" w:hAnsi="宋体" w:eastAsia="宋体" w:cs="宋体"/>
                <w:color w:val="auto"/>
                <w:spacing w:val="35"/>
                <w:sz w:val="24"/>
                <w:szCs w:val="24"/>
                <w:highlight w:val="none"/>
              </w:rPr>
              <w:t xml:space="preserve"> </w:t>
            </w:r>
            <w:r>
              <w:rPr>
                <w:rFonts w:hint="eastAsia" w:ascii="宋体" w:hAnsi="宋体" w:eastAsia="宋体" w:cs="宋体"/>
                <w:b/>
                <w:bCs/>
                <w:color w:val="auto"/>
                <w:spacing w:val="-16"/>
                <w:sz w:val="24"/>
                <w:szCs w:val="24"/>
                <w:highlight w:val="none"/>
              </w:rPr>
              <w:t>内</w:t>
            </w:r>
            <w:r>
              <w:rPr>
                <w:rFonts w:hint="eastAsia" w:ascii="宋体" w:hAnsi="宋体" w:eastAsia="宋体" w:cs="宋体"/>
                <w:color w:val="auto"/>
                <w:spacing w:val="9"/>
                <w:sz w:val="24"/>
                <w:szCs w:val="24"/>
                <w:highlight w:val="none"/>
              </w:rPr>
              <w:t xml:space="preserve"> </w:t>
            </w:r>
            <w:r>
              <w:rPr>
                <w:rFonts w:hint="eastAsia" w:ascii="宋体" w:hAnsi="宋体" w:eastAsia="宋体" w:cs="宋体"/>
                <w:b/>
                <w:bCs/>
                <w:color w:val="auto"/>
                <w:spacing w:val="-16"/>
                <w:sz w:val="24"/>
                <w:szCs w:val="24"/>
                <w:highlight w:val="none"/>
              </w:rPr>
              <w:t>容</w:t>
            </w:r>
          </w:p>
        </w:tc>
      </w:tr>
      <w:tr w14:paraId="1A0D8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68" w:hRule="atLeast"/>
        </w:trPr>
        <w:tc>
          <w:tcPr>
            <w:tcW w:w="543" w:type="pct"/>
            <w:vAlign w:val="center"/>
          </w:tcPr>
          <w:p w14:paraId="034C4BBC">
            <w:pPr>
              <w:pStyle w:val="30"/>
              <w:spacing w:before="211" w:line="18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1.1.2</w:t>
            </w:r>
          </w:p>
        </w:tc>
        <w:tc>
          <w:tcPr>
            <w:tcW w:w="943" w:type="pct"/>
            <w:vAlign w:val="center"/>
          </w:tcPr>
          <w:p w14:paraId="42037D1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tc>
        <w:tc>
          <w:tcPr>
            <w:tcW w:w="3493" w:type="pct"/>
            <w:vAlign w:val="center"/>
          </w:tcPr>
          <w:p w14:paraId="28A6125D">
            <w:pPr>
              <w:pStyle w:val="30"/>
              <w:spacing w:before="176"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见招标公告</w:t>
            </w:r>
          </w:p>
        </w:tc>
      </w:tr>
      <w:tr w14:paraId="083EF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1E843DFB">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1.1.3</w:t>
            </w:r>
          </w:p>
        </w:tc>
        <w:tc>
          <w:tcPr>
            <w:tcW w:w="943" w:type="pct"/>
            <w:vAlign w:val="center"/>
          </w:tcPr>
          <w:p w14:paraId="0907A86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tc>
        <w:tc>
          <w:tcPr>
            <w:tcW w:w="3493" w:type="pct"/>
            <w:vAlign w:val="center"/>
          </w:tcPr>
          <w:p w14:paraId="6F8AF02C">
            <w:pPr>
              <w:pStyle w:val="30"/>
              <w:spacing w:before="179"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见招标公告</w:t>
            </w:r>
          </w:p>
        </w:tc>
      </w:tr>
      <w:tr w14:paraId="66224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rPr>
        <w:tc>
          <w:tcPr>
            <w:tcW w:w="543" w:type="pct"/>
            <w:vAlign w:val="center"/>
          </w:tcPr>
          <w:p w14:paraId="2883FF32">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1.1.4</w:t>
            </w:r>
          </w:p>
        </w:tc>
        <w:tc>
          <w:tcPr>
            <w:tcW w:w="943" w:type="pct"/>
            <w:vAlign w:val="center"/>
          </w:tcPr>
          <w:p w14:paraId="087AB7D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招标项目名称</w:t>
            </w:r>
          </w:p>
        </w:tc>
        <w:tc>
          <w:tcPr>
            <w:tcW w:w="3493" w:type="pct"/>
            <w:vAlign w:val="center"/>
          </w:tcPr>
          <w:p w14:paraId="3B2A0B68">
            <w:pPr>
              <w:pStyle w:val="30"/>
              <w:spacing w:before="179"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见招标公告</w:t>
            </w:r>
          </w:p>
        </w:tc>
      </w:tr>
      <w:tr w14:paraId="4215B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28819469">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1.1.5</w:t>
            </w:r>
          </w:p>
        </w:tc>
        <w:tc>
          <w:tcPr>
            <w:tcW w:w="943" w:type="pct"/>
            <w:vAlign w:val="center"/>
          </w:tcPr>
          <w:p w14:paraId="5ABF9A1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建设地点</w:t>
            </w:r>
          </w:p>
        </w:tc>
        <w:tc>
          <w:tcPr>
            <w:tcW w:w="3493" w:type="pct"/>
            <w:vAlign w:val="center"/>
          </w:tcPr>
          <w:p w14:paraId="37CBE8F7">
            <w:pPr>
              <w:pStyle w:val="30"/>
              <w:spacing w:before="178"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见招标公告</w:t>
            </w:r>
          </w:p>
        </w:tc>
      </w:tr>
      <w:tr w14:paraId="1C5DB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rPr>
        <w:tc>
          <w:tcPr>
            <w:tcW w:w="543" w:type="pct"/>
            <w:vAlign w:val="center"/>
          </w:tcPr>
          <w:p w14:paraId="46483C0A">
            <w:pPr>
              <w:pStyle w:val="30"/>
              <w:spacing w:before="215" w:line="18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1.1.6</w:t>
            </w:r>
          </w:p>
        </w:tc>
        <w:tc>
          <w:tcPr>
            <w:tcW w:w="943" w:type="pct"/>
            <w:vAlign w:val="center"/>
          </w:tcPr>
          <w:p w14:paraId="705E666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现场管理机构</w:t>
            </w:r>
          </w:p>
        </w:tc>
        <w:tc>
          <w:tcPr>
            <w:tcW w:w="3493" w:type="pct"/>
            <w:vAlign w:val="center"/>
          </w:tcPr>
          <w:p w14:paraId="375DD446">
            <w:pPr>
              <w:pStyle w:val="30"/>
              <w:tabs>
                <w:tab w:val="left" w:pos="208"/>
              </w:tabs>
              <w:spacing w:before="180" w:line="220" w:lineRule="auto"/>
              <w:ind w:left="105"/>
              <w:jc w:val="both"/>
              <w:rPr>
                <w:rFonts w:hint="eastAsia" w:ascii="宋体" w:hAnsi="宋体" w:eastAsia="宋体" w:cs="宋体"/>
                <w:color w:val="auto"/>
                <w:sz w:val="24"/>
                <w:szCs w:val="24"/>
                <w:highlight w:val="none"/>
                <w:u w:val="none" w:color="auto"/>
              </w:rPr>
            </w:pPr>
            <w:r>
              <w:rPr>
                <w:rFonts w:hint="eastAsia" w:ascii="宋体" w:hAnsi="宋体" w:eastAsia="宋体" w:cs="宋体"/>
                <w:color w:val="auto"/>
                <w:kern w:val="2"/>
                <w:sz w:val="24"/>
                <w:szCs w:val="24"/>
                <w:highlight w:val="none"/>
                <w:u w:val="none" w:color="auto"/>
                <w:lang w:val="en-US" w:eastAsia="zh-CN" w:bidi="ar"/>
              </w:rPr>
              <w:t>/</w:t>
            </w:r>
          </w:p>
        </w:tc>
      </w:tr>
      <w:tr w14:paraId="71C80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357BFD90">
            <w:pPr>
              <w:pStyle w:val="30"/>
              <w:spacing w:before="213" w:line="18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1.1.7</w:t>
            </w:r>
          </w:p>
        </w:tc>
        <w:tc>
          <w:tcPr>
            <w:tcW w:w="943" w:type="pct"/>
            <w:vAlign w:val="center"/>
          </w:tcPr>
          <w:p w14:paraId="3FABADF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设计人</w:t>
            </w:r>
          </w:p>
        </w:tc>
        <w:tc>
          <w:tcPr>
            <w:tcW w:w="3493" w:type="pct"/>
            <w:vAlign w:val="center"/>
          </w:tcPr>
          <w:p w14:paraId="0B45FBF4">
            <w:pPr>
              <w:pStyle w:val="30"/>
              <w:tabs>
                <w:tab w:val="left" w:pos="208"/>
              </w:tabs>
              <w:spacing w:before="178" w:line="222" w:lineRule="auto"/>
              <w:ind w:left="105"/>
              <w:jc w:val="both"/>
              <w:rPr>
                <w:rFonts w:hint="eastAsia" w:ascii="宋体" w:hAnsi="宋体" w:eastAsia="宋体" w:cs="宋体"/>
                <w:color w:val="auto"/>
                <w:sz w:val="24"/>
                <w:szCs w:val="24"/>
                <w:highlight w:val="none"/>
                <w:u w:val="none" w:color="auto"/>
              </w:rPr>
            </w:pPr>
            <w:r>
              <w:rPr>
                <w:rFonts w:hint="eastAsia" w:ascii="宋体" w:hAnsi="宋体" w:eastAsia="宋体" w:cs="宋体"/>
                <w:color w:val="auto"/>
                <w:kern w:val="2"/>
                <w:sz w:val="24"/>
                <w:szCs w:val="24"/>
                <w:highlight w:val="none"/>
                <w:u w:val="none" w:color="auto"/>
                <w:lang w:val="en-US" w:eastAsia="zh-CN" w:bidi="ar"/>
              </w:rPr>
              <w:t>/</w:t>
            </w:r>
          </w:p>
        </w:tc>
      </w:tr>
      <w:tr w14:paraId="48616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rPr>
        <w:tc>
          <w:tcPr>
            <w:tcW w:w="543" w:type="pct"/>
            <w:vAlign w:val="center"/>
          </w:tcPr>
          <w:p w14:paraId="3BC06624">
            <w:pPr>
              <w:pStyle w:val="30"/>
              <w:spacing w:before="215" w:line="18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1.1.8</w:t>
            </w:r>
          </w:p>
        </w:tc>
        <w:tc>
          <w:tcPr>
            <w:tcW w:w="943" w:type="pct"/>
            <w:vAlign w:val="center"/>
          </w:tcPr>
          <w:p w14:paraId="1CE9633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w:t>
            </w:r>
          </w:p>
        </w:tc>
        <w:tc>
          <w:tcPr>
            <w:tcW w:w="3493" w:type="pct"/>
            <w:vAlign w:val="center"/>
          </w:tcPr>
          <w:p w14:paraId="2D85092B">
            <w:pPr>
              <w:pStyle w:val="30"/>
              <w:tabs>
                <w:tab w:val="left" w:pos="208"/>
              </w:tabs>
              <w:spacing w:before="181" w:line="223" w:lineRule="auto"/>
              <w:ind w:left="105"/>
              <w:jc w:val="both"/>
              <w:rPr>
                <w:rFonts w:hint="eastAsia" w:ascii="宋体" w:hAnsi="宋体" w:eastAsia="宋体" w:cs="宋体"/>
                <w:color w:val="auto"/>
                <w:sz w:val="24"/>
                <w:szCs w:val="24"/>
                <w:highlight w:val="none"/>
                <w:u w:val="none" w:color="auto"/>
              </w:rPr>
            </w:pPr>
            <w:r>
              <w:rPr>
                <w:rFonts w:hint="eastAsia" w:ascii="宋体" w:hAnsi="宋体" w:eastAsia="宋体" w:cs="宋体"/>
                <w:color w:val="auto"/>
                <w:kern w:val="2"/>
                <w:sz w:val="24"/>
                <w:szCs w:val="24"/>
                <w:highlight w:val="none"/>
                <w:u w:val="none" w:color="auto"/>
                <w:lang w:val="en-US" w:eastAsia="zh-CN" w:bidi="ar"/>
              </w:rPr>
              <w:t>/</w:t>
            </w:r>
          </w:p>
        </w:tc>
      </w:tr>
      <w:tr w14:paraId="6127E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10437166">
            <w:pPr>
              <w:pStyle w:val="30"/>
              <w:spacing w:before="213" w:line="18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1.1.9</w:t>
            </w:r>
          </w:p>
        </w:tc>
        <w:tc>
          <w:tcPr>
            <w:tcW w:w="943" w:type="pct"/>
            <w:vAlign w:val="center"/>
          </w:tcPr>
          <w:p w14:paraId="1177A57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代建机构</w:t>
            </w:r>
          </w:p>
        </w:tc>
        <w:tc>
          <w:tcPr>
            <w:tcW w:w="3493" w:type="pct"/>
            <w:vAlign w:val="center"/>
          </w:tcPr>
          <w:p w14:paraId="27977D38">
            <w:pPr>
              <w:pStyle w:val="30"/>
              <w:tabs>
                <w:tab w:val="left" w:pos="208"/>
              </w:tabs>
              <w:spacing w:before="179" w:line="220" w:lineRule="auto"/>
              <w:ind w:left="105"/>
              <w:jc w:val="both"/>
              <w:rPr>
                <w:rFonts w:hint="eastAsia" w:ascii="宋体" w:hAnsi="宋体" w:eastAsia="宋体" w:cs="宋体"/>
                <w:color w:val="auto"/>
                <w:sz w:val="24"/>
                <w:szCs w:val="24"/>
                <w:highlight w:val="none"/>
                <w:u w:val="none" w:color="auto"/>
              </w:rPr>
            </w:pPr>
            <w:r>
              <w:rPr>
                <w:rFonts w:hint="eastAsia" w:ascii="宋体" w:hAnsi="宋体" w:eastAsia="宋体" w:cs="宋体"/>
                <w:color w:val="auto"/>
                <w:kern w:val="2"/>
                <w:sz w:val="24"/>
                <w:szCs w:val="24"/>
                <w:highlight w:val="none"/>
                <w:u w:val="none" w:color="auto"/>
                <w:lang w:val="en-US" w:eastAsia="zh-CN" w:bidi="ar"/>
              </w:rPr>
              <w:t>/</w:t>
            </w:r>
          </w:p>
        </w:tc>
      </w:tr>
      <w:tr w14:paraId="46877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59998CA8">
            <w:pPr>
              <w:pStyle w:val="30"/>
              <w:spacing w:before="179" w:line="219" w:lineRule="auto"/>
              <w:ind w:left="116"/>
              <w:jc w:val="center"/>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1.2.1</w:t>
            </w:r>
          </w:p>
        </w:tc>
        <w:tc>
          <w:tcPr>
            <w:tcW w:w="943" w:type="pct"/>
            <w:vAlign w:val="center"/>
          </w:tcPr>
          <w:p w14:paraId="00F9BCE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资金来源和出资</w:t>
            </w:r>
          </w:p>
          <w:p w14:paraId="246D9D0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比例</w:t>
            </w:r>
          </w:p>
        </w:tc>
        <w:tc>
          <w:tcPr>
            <w:tcW w:w="3493" w:type="pct"/>
            <w:vAlign w:val="center"/>
          </w:tcPr>
          <w:p w14:paraId="49A88226">
            <w:pPr>
              <w:pStyle w:val="30"/>
              <w:spacing w:before="179"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见招标公告</w:t>
            </w:r>
          </w:p>
        </w:tc>
      </w:tr>
      <w:tr w14:paraId="597DF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4" w:hRule="atLeast"/>
        </w:trPr>
        <w:tc>
          <w:tcPr>
            <w:tcW w:w="543" w:type="pct"/>
            <w:vAlign w:val="center"/>
          </w:tcPr>
          <w:p w14:paraId="297E347B">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1.2.2</w:t>
            </w:r>
          </w:p>
        </w:tc>
        <w:tc>
          <w:tcPr>
            <w:tcW w:w="943" w:type="pct"/>
            <w:vAlign w:val="center"/>
          </w:tcPr>
          <w:p w14:paraId="4970587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3493" w:type="pct"/>
            <w:vAlign w:val="center"/>
          </w:tcPr>
          <w:p w14:paraId="658E9DAA">
            <w:pPr>
              <w:pStyle w:val="30"/>
              <w:spacing w:before="181" w:line="221" w:lineRule="auto"/>
              <w:ind w:left="136"/>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已落实</w:t>
            </w:r>
          </w:p>
        </w:tc>
      </w:tr>
      <w:tr w14:paraId="09D43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4F7A3779">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1.3.1</w:t>
            </w:r>
          </w:p>
        </w:tc>
        <w:tc>
          <w:tcPr>
            <w:tcW w:w="943" w:type="pct"/>
            <w:vAlign w:val="center"/>
          </w:tcPr>
          <w:p w14:paraId="003EB15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w:t>
            </w:r>
          </w:p>
        </w:tc>
        <w:tc>
          <w:tcPr>
            <w:tcW w:w="3493" w:type="pct"/>
            <w:vAlign w:val="center"/>
          </w:tcPr>
          <w:p w14:paraId="5715CA81">
            <w:pPr>
              <w:pStyle w:val="30"/>
              <w:spacing w:before="179"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见招标公告</w:t>
            </w:r>
          </w:p>
        </w:tc>
      </w:tr>
      <w:tr w14:paraId="5544D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1638" w:hRule="atLeast"/>
        </w:trPr>
        <w:tc>
          <w:tcPr>
            <w:tcW w:w="543" w:type="pct"/>
            <w:vAlign w:val="center"/>
          </w:tcPr>
          <w:p w14:paraId="75DC3914">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1.3.2</w:t>
            </w:r>
          </w:p>
        </w:tc>
        <w:tc>
          <w:tcPr>
            <w:tcW w:w="943" w:type="pct"/>
            <w:vAlign w:val="center"/>
          </w:tcPr>
          <w:p w14:paraId="7F9A9C7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计划工期</w:t>
            </w:r>
          </w:p>
        </w:tc>
        <w:tc>
          <w:tcPr>
            <w:tcW w:w="3493" w:type="pct"/>
            <w:vAlign w:val="bottom"/>
          </w:tcPr>
          <w:p w14:paraId="17652578">
            <w:pPr>
              <w:pStyle w:val="30"/>
              <w:spacing w:before="32" w:line="221"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计划施工工期：</w:t>
            </w:r>
            <w:r>
              <w:rPr>
                <w:rFonts w:hint="eastAsia" w:cs="宋体"/>
                <w:color w:val="auto"/>
                <w:spacing w:val="-4"/>
                <w:sz w:val="24"/>
                <w:szCs w:val="24"/>
                <w:highlight w:val="none"/>
                <w:u w:val="single" w:color="auto"/>
                <w:lang w:val="en-US" w:eastAsia="zh-CN"/>
              </w:rPr>
              <w:t>180</w:t>
            </w:r>
            <w:r>
              <w:rPr>
                <w:rFonts w:hint="eastAsia" w:ascii="宋体" w:hAnsi="宋体" w:eastAsia="宋体" w:cs="宋体"/>
                <w:color w:val="auto"/>
                <w:spacing w:val="-4"/>
                <w:sz w:val="24"/>
                <w:szCs w:val="24"/>
                <w:highlight w:val="none"/>
              </w:rPr>
              <w:t>日历天</w:t>
            </w:r>
          </w:p>
          <w:p w14:paraId="0FD35A11">
            <w:pPr>
              <w:pStyle w:val="30"/>
              <w:spacing w:before="158" w:line="221"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计划开工日期：</w:t>
            </w:r>
            <w:r>
              <w:rPr>
                <w:rFonts w:hint="eastAsia" w:ascii="宋体" w:hAnsi="宋体" w:eastAsia="宋体" w:cs="宋体"/>
                <w:color w:val="auto"/>
                <w:spacing w:val="-2"/>
                <w:sz w:val="24"/>
                <w:szCs w:val="24"/>
                <w:highlight w:val="none"/>
                <w:u w:val="single"/>
                <w:lang w:val="en-US" w:eastAsia="zh-CN"/>
              </w:rPr>
              <w:t>2025</w:t>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2"/>
                <w:sz w:val="24"/>
                <w:szCs w:val="24"/>
                <w:highlight w:val="none"/>
                <w:u w:val="single" w:color="auto"/>
              </w:rPr>
              <w:t xml:space="preserve"> </w:t>
            </w:r>
            <w:r>
              <w:rPr>
                <w:rFonts w:hint="eastAsia" w:cs="宋体"/>
                <w:color w:val="auto"/>
                <w:spacing w:val="-2"/>
                <w:sz w:val="24"/>
                <w:szCs w:val="24"/>
                <w:highlight w:val="none"/>
                <w:u w:val="single" w:color="auto"/>
                <w:lang w:val="en-US" w:eastAsia="zh-CN"/>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91"/>
                <w:sz w:val="24"/>
                <w:szCs w:val="24"/>
                <w:highlight w:val="none"/>
              </w:rPr>
              <w:t xml:space="preserve"> </w:t>
            </w:r>
            <w:r>
              <w:rPr>
                <w:rFonts w:hint="eastAsia" w:ascii="宋体" w:hAnsi="宋体" w:eastAsia="宋体" w:cs="宋体"/>
                <w:color w:val="auto"/>
                <w:spacing w:val="-2"/>
                <w:sz w:val="24"/>
                <w:szCs w:val="24"/>
                <w:highlight w:val="none"/>
              </w:rPr>
              <w:t>月</w:t>
            </w:r>
            <w:r>
              <w:rPr>
                <w:rFonts w:hint="eastAsia" w:ascii="宋体" w:hAnsi="宋体" w:eastAsia="宋体" w:cs="宋体"/>
                <w:color w:val="auto"/>
                <w:spacing w:val="-2"/>
                <w:sz w:val="24"/>
                <w:szCs w:val="24"/>
                <w:highlight w:val="none"/>
                <w:u w:val="single" w:color="auto"/>
              </w:rPr>
              <w:t xml:space="preserve">  </w:t>
            </w:r>
            <w:r>
              <w:rPr>
                <w:rFonts w:hint="eastAsia" w:cs="宋体"/>
                <w:color w:val="auto"/>
                <w:spacing w:val="-2"/>
                <w:sz w:val="24"/>
                <w:szCs w:val="24"/>
                <w:highlight w:val="none"/>
                <w:u w:val="single" w:color="auto"/>
                <w:lang w:val="en-US" w:eastAsia="zh-CN"/>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61"/>
                <w:sz w:val="24"/>
                <w:szCs w:val="24"/>
                <w:highlight w:val="none"/>
              </w:rPr>
              <w:t xml:space="preserve"> </w:t>
            </w:r>
            <w:r>
              <w:rPr>
                <w:rFonts w:hint="eastAsia" w:ascii="宋体" w:hAnsi="宋体" w:eastAsia="宋体" w:cs="宋体"/>
                <w:color w:val="auto"/>
                <w:spacing w:val="-2"/>
                <w:sz w:val="24"/>
                <w:szCs w:val="24"/>
                <w:highlight w:val="none"/>
              </w:rPr>
              <w:t>日</w:t>
            </w:r>
            <w:r>
              <w:rPr>
                <w:rFonts w:hint="eastAsia" w:ascii="宋体" w:hAnsi="宋体" w:eastAsia="宋体" w:cs="宋体"/>
                <w:color w:val="auto"/>
                <w:sz w:val="24"/>
                <w:szCs w:val="24"/>
                <w:highlight w:val="none"/>
              </w:rPr>
              <w:t>（具体开工日期以开工通知为准）</w:t>
            </w:r>
          </w:p>
          <w:p w14:paraId="3E003288">
            <w:pPr>
              <w:pStyle w:val="30"/>
              <w:spacing w:before="179" w:line="219" w:lineRule="auto"/>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计划竣工日期：</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single"/>
                <w:lang w:val="en-US" w:eastAsia="zh-CN"/>
              </w:rPr>
              <w:t>2026</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2"/>
                <w:sz w:val="24"/>
                <w:szCs w:val="24"/>
                <w:highlight w:val="none"/>
                <w:u w:val="single"/>
              </w:rPr>
              <w:t xml:space="preserve">  </w:t>
            </w:r>
            <w:r>
              <w:rPr>
                <w:rFonts w:hint="eastAsia" w:cs="宋体"/>
                <w:color w:val="auto"/>
                <w:spacing w:val="-2"/>
                <w:sz w:val="24"/>
                <w:szCs w:val="24"/>
                <w:highlight w:val="none"/>
                <w:u w:val="single"/>
                <w:lang w:val="en-US" w:eastAsia="zh-CN"/>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 xml:space="preserve"> 月</w:t>
            </w:r>
            <w:r>
              <w:rPr>
                <w:rFonts w:hint="eastAsia" w:cs="宋体"/>
                <w:color w:val="auto"/>
                <w:spacing w:val="-2"/>
                <w:sz w:val="24"/>
                <w:szCs w:val="24"/>
                <w:highlight w:val="none"/>
                <w:u w:val="single"/>
                <w:lang w:val="en-US" w:eastAsia="zh-CN"/>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日</w:t>
            </w:r>
          </w:p>
          <w:p w14:paraId="6600D559">
            <w:pPr>
              <w:pStyle w:val="30"/>
              <w:spacing w:before="158" w:line="221"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除上述总工期外，发包人还要求如下：</w:t>
            </w:r>
            <w:r>
              <w:rPr>
                <w:rFonts w:hint="eastAsia" w:cs="宋体"/>
                <w:color w:val="auto"/>
                <w:sz w:val="24"/>
                <w:szCs w:val="24"/>
                <w:highlight w:val="none"/>
                <w:lang w:val="en-US" w:eastAsia="zh-CN"/>
              </w:rPr>
              <w:t>/</w:t>
            </w:r>
          </w:p>
        </w:tc>
      </w:tr>
      <w:tr w14:paraId="79107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rPr>
        <w:tc>
          <w:tcPr>
            <w:tcW w:w="543" w:type="pct"/>
            <w:vAlign w:val="center"/>
          </w:tcPr>
          <w:p w14:paraId="7971B58D">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1.3.3</w:t>
            </w:r>
          </w:p>
        </w:tc>
        <w:tc>
          <w:tcPr>
            <w:tcW w:w="943" w:type="pct"/>
            <w:vAlign w:val="center"/>
          </w:tcPr>
          <w:p w14:paraId="75CF098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3493" w:type="pct"/>
            <w:vAlign w:val="center"/>
          </w:tcPr>
          <w:p w14:paraId="5D564CE6">
            <w:pPr>
              <w:pStyle w:val="30"/>
              <w:spacing w:before="180" w:line="221" w:lineRule="auto"/>
              <w:jc w:val="both"/>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val="en-US" w:eastAsia="zh-CN"/>
              </w:rPr>
              <w:t>合格</w:t>
            </w:r>
          </w:p>
        </w:tc>
      </w:tr>
      <w:tr w14:paraId="5CFE8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1FD570CF">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1.3.4</w:t>
            </w:r>
          </w:p>
        </w:tc>
        <w:tc>
          <w:tcPr>
            <w:tcW w:w="943" w:type="pct"/>
            <w:vAlign w:val="center"/>
          </w:tcPr>
          <w:p w14:paraId="4708E29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安全目标</w:t>
            </w:r>
          </w:p>
        </w:tc>
        <w:tc>
          <w:tcPr>
            <w:tcW w:w="3493" w:type="pct"/>
            <w:vAlign w:val="center"/>
          </w:tcPr>
          <w:p w14:paraId="3F72DE18">
            <w:pPr>
              <w:pStyle w:val="30"/>
              <w:spacing w:before="180" w:line="221" w:lineRule="auto"/>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合格</w:t>
            </w:r>
          </w:p>
        </w:tc>
      </w:tr>
      <w:tr w14:paraId="5A8FA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7506E334">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1.3.5</w:t>
            </w:r>
          </w:p>
        </w:tc>
        <w:tc>
          <w:tcPr>
            <w:tcW w:w="943" w:type="pct"/>
            <w:vAlign w:val="center"/>
          </w:tcPr>
          <w:p w14:paraId="77CF1C8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环保目标</w:t>
            </w:r>
          </w:p>
        </w:tc>
        <w:tc>
          <w:tcPr>
            <w:tcW w:w="3493" w:type="pct"/>
            <w:vAlign w:val="center"/>
          </w:tcPr>
          <w:p w14:paraId="706EE153">
            <w:pPr>
              <w:pStyle w:val="30"/>
              <w:spacing w:before="180" w:line="221" w:lineRule="auto"/>
              <w:jc w:val="both"/>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val="en-US" w:eastAsia="zh-CN"/>
              </w:rPr>
              <w:t>合格</w:t>
            </w:r>
          </w:p>
        </w:tc>
      </w:tr>
      <w:tr w14:paraId="2E981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90" w:hRule="atLeast"/>
        </w:trPr>
        <w:tc>
          <w:tcPr>
            <w:tcW w:w="543" w:type="pct"/>
            <w:vAlign w:val="center"/>
          </w:tcPr>
          <w:p w14:paraId="37A7917B">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1.4.1</w:t>
            </w:r>
          </w:p>
        </w:tc>
        <w:tc>
          <w:tcPr>
            <w:tcW w:w="943" w:type="pct"/>
            <w:vAlign w:val="center"/>
          </w:tcPr>
          <w:p w14:paraId="621756E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人资质条件、能力、信誉</w:t>
            </w:r>
          </w:p>
        </w:tc>
        <w:tc>
          <w:tcPr>
            <w:tcW w:w="3493" w:type="pct"/>
            <w:vAlign w:val="center"/>
          </w:tcPr>
          <w:p w14:paraId="3B11BC86">
            <w:pPr>
              <w:pStyle w:val="30"/>
              <w:spacing w:before="178" w:line="219" w:lineRule="auto"/>
              <w:ind w:left="116"/>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color w:val="auto"/>
                <w:spacing w:val="-2"/>
                <w:sz w:val="24"/>
                <w:szCs w:val="24"/>
                <w:highlight w:val="none"/>
              </w:rPr>
              <w:t>见招标公告</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其中信誉要求</w:t>
            </w:r>
            <w:r>
              <w:rPr>
                <w:rFonts w:hint="eastAsia" w:ascii="宋体" w:hAnsi="宋体" w:eastAsia="宋体" w:cs="宋体"/>
                <w:bCs/>
                <w:snapToGrid w:val="0"/>
                <w:color w:val="auto"/>
                <w:kern w:val="2"/>
                <w:sz w:val="24"/>
                <w:szCs w:val="24"/>
                <w:highlight w:val="none"/>
                <w:lang w:val="en-US" w:eastAsia="zh-CN" w:bidi="ar"/>
              </w:rPr>
              <w:t>投标人无需提供证明材料，由评标委员会通过电子服务系统查询。</w:t>
            </w:r>
          </w:p>
          <w:p w14:paraId="349ECE31">
            <w:pPr>
              <w:pStyle w:val="30"/>
              <w:spacing w:before="178" w:line="219" w:lineRule="auto"/>
              <w:ind w:left="116"/>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其他主要人员要求：无。</w:t>
            </w:r>
          </w:p>
          <w:p w14:paraId="6473A6B5">
            <w:pPr>
              <w:pStyle w:val="30"/>
              <w:spacing w:before="171" w:line="378" w:lineRule="auto"/>
              <w:ind w:left="116" w:right="102" w:hanging="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社保要求：提供投标人所属社保机构出具的项目经理、其他</w:t>
            </w:r>
            <w:r>
              <w:rPr>
                <w:rFonts w:hint="eastAsia" w:ascii="宋体" w:hAnsi="宋体" w:eastAsia="宋体" w:cs="宋体"/>
                <w:color w:val="auto"/>
                <w:spacing w:val="-5"/>
                <w:sz w:val="24"/>
                <w:szCs w:val="24"/>
                <w:highlight w:val="none"/>
              </w:rPr>
              <w:t>主要人员要求（如要求）</w:t>
            </w:r>
            <w:r>
              <w:rPr>
                <w:rFonts w:hint="eastAsia" w:ascii="宋体" w:hAnsi="宋体" w:eastAsia="宋体" w:cs="宋体"/>
                <w:color w:val="auto"/>
                <w:spacing w:val="-5"/>
                <w:sz w:val="24"/>
                <w:szCs w:val="24"/>
                <w:highlight w:val="none"/>
                <w:u w:val="single" w:color="auto"/>
                <w:lang w:val="en-US" w:eastAsia="zh-CN"/>
              </w:rPr>
              <w:t>2024年6月1日以来任意连续3个月的</w:t>
            </w:r>
            <w:r>
              <w:rPr>
                <w:rFonts w:hint="eastAsia" w:ascii="宋体" w:hAnsi="宋体" w:eastAsia="宋体" w:cs="宋体"/>
                <w:color w:val="auto"/>
                <w:spacing w:val="-5"/>
                <w:sz w:val="24"/>
                <w:szCs w:val="24"/>
                <w:highlight w:val="none"/>
              </w:rPr>
              <w:t>社保缴费证明（或其他</w:t>
            </w:r>
            <w:r>
              <w:rPr>
                <w:rFonts w:hint="eastAsia" w:ascii="宋体" w:hAnsi="宋体" w:eastAsia="宋体" w:cs="宋体"/>
                <w:color w:val="auto"/>
                <w:sz w:val="24"/>
                <w:szCs w:val="24"/>
                <w:highlight w:val="none"/>
              </w:rPr>
              <w:t>能够证明项目经理参加社保的有效证明）材料，</w:t>
            </w:r>
            <w:r>
              <w:rPr>
                <w:rFonts w:hint="eastAsia" w:ascii="宋体" w:hAnsi="宋体" w:eastAsia="宋体" w:cs="宋体"/>
                <w:color w:val="auto"/>
                <w:spacing w:val="-1"/>
                <w:sz w:val="24"/>
                <w:szCs w:val="24"/>
                <w:highlight w:val="none"/>
              </w:rPr>
              <w:t>项目经理的</w:t>
            </w:r>
            <w:r>
              <w:rPr>
                <w:rFonts w:hint="eastAsia" w:ascii="宋体" w:hAnsi="宋体" w:eastAsia="宋体" w:cs="宋体"/>
                <w:color w:val="auto"/>
                <w:sz w:val="24"/>
                <w:szCs w:val="24"/>
                <w:highlight w:val="none"/>
              </w:rPr>
              <w:t>社保缴纳单位应当是投标人或者投标人不具备</w:t>
            </w:r>
            <w:r>
              <w:rPr>
                <w:rFonts w:hint="eastAsia" w:ascii="宋体" w:hAnsi="宋体" w:eastAsia="宋体" w:cs="宋体"/>
                <w:color w:val="auto"/>
                <w:spacing w:val="-1"/>
                <w:sz w:val="24"/>
                <w:szCs w:val="24"/>
                <w:highlight w:val="none"/>
              </w:rPr>
              <w:t>独立法人资格</w:t>
            </w:r>
            <w:r>
              <w:rPr>
                <w:rFonts w:hint="eastAsia" w:ascii="宋体" w:hAnsi="宋体" w:eastAsia="宋体" w:cs="宋体"/>
                <w:color w:val="auto"/>
                <w:spacing w:val="-5"/>
                <w:sz w:val="24"/>
                <w:szCs w:val="24"/>
                <w:highlight w:val="none"/>
              </w:rPr>
              <w:t>的分支机构。（社保缴费证明或社保的有效证明材料至少含养</w:t>
            </w:r>
            <w:r>
              <w:rPr>
                <w:rFonts w:hint="eastAsia" w:ascii="宋体" w:hAnsi="宋体" w:eastAsia="宋体" w:cs="宋体"/>
                <w:color w:val="auto"/>
                <w:spacing w:val="-3"/>
                <w:sz w:val="24"/>
                <w:szCs w:val="24"/>
                <w:highlight w:val="none"/>
              </w:rPr>
              <w:t>老保险）</w:t>
            </w:r>
            <w:r>
              <w:rPr>
                <w:rFonts w:hint="eastAsia" w:ascii="宋体" w:hAnsi="宋体" w:eastAsia="宋体" w:cs="宋体"/>
                <w:color w:val="auto"/>
                <w:spacing w:val="-3"/>
                <w:sz w:val="24"/>
                <w:szCs w:val="24"/>
                <w:highlight w:val="none"/>
                <w:lang w:eastAsia="zh-CN"/>
              </w:rPr>
              <w:t>。</w:t>
            </w:r>
          </w:p>
          <w:p w14:paraId="3EE7D8B4">
            <w:pPr>
              <w:keepNext w:val="0"/>
              <w:keepLines w:val="0"/>
              <w:widowControl w:val="0"/>
              <w:suppressLineNumbers w:val="0"/>
              <w:wordWrap w:val="0"/>
              <w:snapToGrid w:val="0"/>
              <w:spacing w:before="0" w:beforeAutospacing="0" w:after="0" w:afterAutospacing="0" w:line="36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注：符合免缴社保范围的，应当在投标文件中说明</w:t>
            </w:r>
            <w:r>
              <w:rPr>
                <w:rFonts w:hint="eastAsia" w:ascii="宋体" w:hAnsi="宋体" w:eastAsia="宋体" w:cs="宋体"/>
                <w:color w:val="auto"/>
                <w:spacing w:val="-1"/>
                <w:sz w:val="24"/>
                <w:szCs w:val="24"/>
                <w:highlight w:val="none"/>
              </w:rPr>
              <w:t>符合免缴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社保的情形并提供相关政策依据。</w:t>
            </w:r>
          </w:p>
        </w:tc>
      </w:tr>
      <w:tr w14:paraId="60B88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677" w:hRule="atLeast"/>
        </w:trPr>
        <w:tc>
          <w:tcPr>
            <w:tcW w:w="543" w:type="pct"/>
            <w:vAlign w:val="center"/>
          </w:tcPr>
          <w:p w14:paraId="1163B871">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1.4.2</w:t>
            </w:r>
          </w:p>
        </w:tc>
        <w:tc>
          <w:tcPr>
            <w:tcW w:w="943" w:type="pct"/>
            <w:vAlign w:val="center"/>
          </w:tcPr>
          <w:p w14:paraId="43E342B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是否接受联合体投标</w:t>
            </w:r>
          </w:p>
        </w:tc>
        <w:tc>
          <w:tcPr>
            <w:tcW w:w="3493" w:type="pct"/>
            <w:vAlign w:val="center"/>
          </w:tcPr>
          <w:p w14:paraId="344A8B93">
            <w:pPr>
              <w:pStyle w:val="30"/>
              <w:spacing w:before="18"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lang w:val="en-US" w:eastAsia="zh-CN"/>
              </w:rPr>
              <w:t>不</w:t>
            </w:r>
            <w:r>
              <w:rPr>
                <w:rFonts w:hint="eastAsia" w:ascii="宋体" w:hAnsi="宋体" w:eastAsia="宋体" w:cs="宋体"/>
                <w:color w:val="auto"/>
                <w:sz w:val="24"/>
                <w:szCs w:val="24"/>
                <w:highlight w:val="none"/>
              </w:rPr>
              <w:t>接受</w:t>
            </w:r>
          </w:p>
          <w:p w14:paraId="552CC191">
            <w:pPr>
              <w:pStyle w:val="30"/>
              <w:spacing w:before="18"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接受，应满足下列要求：</w:t>
            </w:r>
          </w:p>
          <w:p w14:paraId="023E27D2">
            <w:pPr>
              <w:pStyle w:val="30"/>
              <w:spacing w:before="18"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（1）联合体所有成员数量不得超过/家；</w:t>
            </w:r>
          </w:p>
          <w:p w14:paraId="37108175">
            <w:pPr>
              <w:pStyle w:val="30"/>
              <w:spacing w:before="18"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（2）联合体牵头人应具有/资质；</w:t>
            </w:r>
          </w:p>
          <w:p w14:paraId="52030939">
            <w:pPr>
              <w:pStyle w:val="30"/>
              <w:spacing w:before="18"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协议应当明确各成员在合同工程中所承担的专业工程或工作内容及范围。联合体各方应当具备联合体协议书中承担相应专业工程的资质；不承担联合体协议中相关专业工程的成员，其相关的专业资质不作为该联合体该专业的资质进行资格审查；</w:t>
            </w:r>
          </w:p>
          <w:p w14:paraId="5513503D">
            <w:pPr>
              <w:pStyle w:val="30"/>
              <w:spacing w:before="18"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（4）联合体信用等级按联合体成员最低信用等级确定；</w:t>
            </w:r>
          </w:p>
        </w:tc>
      </w:tr>
      <w:tr w14:paraId="6ED38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24DC9620">
            <w:pPr>
              <w:spacing w:before="203" w:line="187"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1.4.3</w:t>
            </w:r>
          </w:p>
        </w:tc>
        <w:tc>
          <w:tcPr>
            <w:tcW w:w="943" w:type="pct"/>
            <w:vAlign w:val="center"/>
          </w:tcPr>
          <w:p w14:paraId="592FA2F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投标人不得存在的其他情形</w:t>
            </w:r>
          </w:p>
        </w:tc>
        <w:tc>
          <w:tcPr>
            <w:tcW w:w="3493" w:type="pct"/>
            <w:vAlign w:val="center"/>
          </w:tcPr>
          <w:p w14:paraId="61744837">
            <w:pPr>
              <w:pStyle w:val="30"/>
              <w:tabs>
                <w:tab w:val="left" w:pos="208"/>
              </w:tabs>
              <w:spacing w:before="171" w:line="221" w:lineRule="auto"/>
              <w:ind w:left="105"/>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w:t>
            </w:r>
          </w:p>
        </w:tc>
      </w:tr>
      <w:tr w14:paraId="6F71F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1216" w:hRule="atLeast"/>
        </w:trPr>
        <w:tc>
          <w:tcPr>
            <w:tcW w:w="543" w:type="pct"/>
            <w:vAlign w:val="center"/>
          </w:tcPr>
          <w:p w14:paraId="3B0E6A18">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1.9.1</w:t>
            </w:r>
          </w:p>
        </w:tc>
        <w:tc>
          <w:tcPr>
            <w:tcW w:w="943" w:type="pct"/>
            <w:vAlign w:val="center"/>
          </w:tcPr>
          <w:p w14:paraId="5B22D3EC">
            <w:pPr>
              <w:wordWrap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3493" w:type="pct"/>
            <w:vAlign w:val="center"/>
          </w:tcPr>
          <w:p w14:paraId="00A0B379">
            <w:pPr>
              <w:tabs>
                <w:tab w:val="left" w:pos="360"/>
              </w:tabs>
              <w:wordWrap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☑不组织，投标人自行踏勘。</w:t>
            </w:r>
          </w:p>
          <w:p w14:paraId="78EEA972">
            <w:pPr>
              <w:tabs>
                <w:tab w:val="left" w:pos="360"/>
              </w:tabs>
              <w:wordWrap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0"/>
                <w:sz w:val="24"/>
                <w:szCs w:val="24"/>
                <w:highlight w:val="none"/>
              </w:rPr>
              <w:t>□</w:t>
            </w:r>
            <w:r>
              <w:rPr>
                <w:rFonts w:hint="eastAsia" w:ascii="宋体" w:hAnsi="宋体" w:eastAsia="宋体" w:cs="宋体"/>
                <w:color w:val="auto"/>
                <w:sz w:val="24"/>
                <w:szCs w:val="24"/>
                <w:highlight w:val="none"/>
              </w:rPr>
              <w:t>组织，踏勘时间：</w:t>
            </w:r>
          </w:p>
          <w:p w14:paraId="35DCAEBB">
            <w:pPr>
              <w:wordWrap w:val="0"/>
              <w:spacing w:line="360" w:lineRule="auto"/>
              <w:ind w:firstLine="1140" w:firstLineChars="475"/>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踏勘集中地点：</w:t>
            </w:r>
          </w:p>
        </w:tc>
      </w:tr>
      <w:tr w14:paraId="54E72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816" w:hRule="atLeast"/>
        </w:trPr>
        <w:tc>
          <w:tcPr>
            <w:tcW w:w="543" w:type="pct"/>
            <w:vAlign w:val="center"/>
          </w:tcPr>
          <w:p w14:paraId="055FAB30">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1.10.1</w:t>
            </w:r>
          </w:p>
        </w:tc>
        <w:tc>
          <w:tcPr>
            <w:tcW w:w="943" w:type="pct"/>
            <w:vAlign w:val="center"/>
          </w:tcPr>
          <w:p w14:paraId="235AD6AA">
            <w:pPr>
              <w:wordWrap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投标预备会</w:t>
            </w:r>
          </w:p>
        </w:tc>
        <w:tc>
          <w:tcPr>
            <w:tcW w:w="3493" w:type="pct"/>
            <w:vAlign w:val="center"/>
          </w:tcPr>
          <w:p w14:paraId="22DD9CA7">
            <w:pPr>
              <w:tabs>
                <w:tab w:val="left" w:pos="360"/>
              </w:tabs>
              <w:wordWrap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p>
          <w:p w14:paraId="129BC013">
            <w:pPr>
              <w:tabs>
                <w:tab w:val="left" w:pos="360"/>
              </w:tabs>
              <w:wordWrap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召开,召开时间：</w:t>
            </w:r>
          </w:p>
          <w:p w14:paraId="7544090F">
            <w:pPr>
              <w:wordWrap w:val="0"/>
              <w:spacing w:line="360" w:lineRule="auto"/>
              <w:ind w:firstLine="960" w:firstLineChars="4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召开地点：</w:t>
            </w:r>
          </w:p>
        </w:tc>
      </w:tr>
      <w:tr w14:paraId="53096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428" w:hRule="atLeast"/>
        </w:trPr>
        <w:tc>
          <w:tcPr>
            <w:tcW w:w="543" w:type="pct"/>
            <w:vMerge w:val="restart"/>
            <w:tcBorders>
              <w:bottom w:val="nil"/>
            </w:tcBorders>
            <w:vAlign w:val="center"/>
          </w:tcPr>
          <w:p w14:paraId="01505A5C">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1.10.2</w:t>
            </w:r>
          </w:p>
        </w:tc>
        <w:tc>
          <w:tcPr>
            <w:tcW w:w="943" w:type="pct"/>
            <w:vMerge w:val="restart"/>
            <w:tcBorders>
              <w:bottom w:val="nil"/>
            </w:tcBorders>
            <w:vAlign w:val="center"/>
          </w:tcPr>
          <w:p w14:paraId="6471B93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投标人在投标预备会前提出问题</w:t>
            </w:r>
          </w:p>
        </w:tc>
        <w:tc>
          <w:tcPr>
            <w:tcW w:w="3493" w:type="pct"/>
            <w:vAlign w:val="center"/>
          </w:tcPr>
          <w:p w14:paraId="0C916254">
            <w:pPr>
              <w:pStyle w:val="30"/>
              <w:spacing w:before="29" w:line="194" w:lineRule="auto"/>
              <w:ind w:left="123"/>
              <w:jc w:val="both"/>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时间：</w:t>
            </w:r>
            <w:r>
              <w:rPr>
                <w:rFonts w:hint="eastAsia" w:ascii="宋体" w:hAnsi="宋体" w:eastAsia="宋体" w:cs="宋体"/>
                <w:color w:val="auto"/>
                <w:kern w:val="2"/>
                <w:sz w:val="24"/>
                <w:szCs w:val="24"/>
                <w:highlight w:val="none"/>
                <w:lang w:val="en-US" w:eastAsia="zh-CN" w:bidi="ar"/>
              </w:rPr>
              <w:t>/</w:t>
            </w:r>
          </w:p>
        </w:tc>
      </w:tr>
      <w:tr w14:paraId="52B8C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427" w:hRule="atLeast"/>
        </w:trPr>
        <w:tc>
          <w:tcPr>
            <w:tcW w:w="543" w:type="pct"/>
            <w:vMerge w:val="continue"/>
            <w:tcBorders>
              <w:top w:val="nil"/>
            </w:tcBorders>
            <w:vAlign w:val="center"/>
          </w:tcPr>
          <w:p w14:paraId="73E2015D">
            <w:pPr>
              <w:pStyle w:val="30"/>
              <w:spacing w:before="211" w:line="183" w:lineRule="auto"/>
              <w:jc w:val="center"/>
              <w:rPr>
                <w:rFonts w:hint="eastAsia" w:ascii="宋体" w:hAnsi="宋体" w:eastAsia="宋体" w:cs="宋体"/>
                <w:color w:val="auto"/>
                <w:spacing w:val="-4"/>
                <w:sz w:val="24"/>
                <w:szCs w:val="24"/>
                <w:highlight w:val="none"/>
              </w:rPr>
            </w:pPr>
          </w:p>
        </w:tc>
        <w:tc>
          <w:tcPr>
            <w:tcW w:w="943" w:type="pct"/>
            <w:vMerge w:val="continue"/>
            <w:tcBorders>
              <w:top w:val="nil"/>
            </w:tcBorders>
            <w:vAlign w:val="center"/>
          </w:tcPr>
          <w:p w14:paraId="61AE54E0">
            <w:pPr>
              <w:jc w:val="center"/>
              <w:rPr>
                <w:rFonts w:hint="eastAsia" w:ascii="宋体" w:hAnsi="宋体" w:eastAsia="宋体" w:cs="宋体"/>
                <w:color w:val="auto"/>
                <w:sz w:val="24"/>
                <w:szCs w:val="24"/>
                <w:highlight w:val="none"/>
              </w:rPr>
            </w:pPr>
          </w:p>
        </w:tc>
        <w:tc>
          <w:tcPr>
            <w:tcW w:w="3493" w:type="pct"/>
            <w:vAlign w:val="center"/>
          </w:tcPr>
          <w:p w14:paraId="16D083D8">
            <w:pPr>
              <w:pStyle w:val="30"/>
              <w:spacing w:before="47" w:line="198"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形式：</w:t>
            </w:r>
            <w:r>
              <w:rPr>
                <w:rFonts w:hint="eastAsia" w:ascii="宋体" w:hAnsi="宋体" w:eastAsia="宋体" w:cs="宋体"/>
                <w:color w:val="auto"/>
                <w:kern w:val="2"/>
                <w:sz w:val="24"/>
                <w:szCs w:val="24"/>
                <w:highlight w:val="none"/>
                <w:lang w:val="en-US" w:eastAsia="zh-CN" w:bidi="ar"/>
              </w:rPr>
              <w:t>/</w:t>
            </w:r>
          </w:p>
        </w:tc>
      </w:tr>
      <w:tr w14:paraId="4A36F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739" w:hRule="atLeast"/>
        </w:trPr>
        <w:tc>
          <w:tcPr>
            <w:tcW w:w="543" w:type="pct"/>
            <w:vAlign w:val="center"/>
          </w:tcPr>
          <w:p w14:paraId="5698E7EE">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1.10.3</w:t>
            </w:r>
          </w:p>
        </w:tc>
        <w:tc>
          <w:tcPr>
            <w:tcW w:w="943" w:type="pct"/>
            <w:vAlign w:val="center"/>
          </w:tcPr>
          <w:p w14:paraId="7864520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招标文件澄清发出的形式</w:t>
            </w:r>
          </w:p>
        </w:tc>
        <w:tc>
          <w:tcPr>
            <w:tcW w:w="3493" w:type="pct"/>
            <w:vAlign w:val="center"/>
          </w:tcPr>
          <w:p w14:paraId="653E954B">
            <w:pPr>
              <w:jc w:val="both"/>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bidi="ar"/>
              </w:rPr>
              <w:t>通过</w:t>
            </w:r>
            <w:r>
              <w:rPr>
                <w:rFonts w:hint="eastAsia" w:ascii="宋体" w:hAnsi="宋体" w:eastAsia="宋体" w:cs="宋体"/>
                <w:bCs/>
                <w:snapToGrid w:val="0"/>
                <w:color w:val="auto"/>
                <w:sz w:val="24"/>
                <w:szCs w:val="24"/>
                <w:highlight w:val="none"/>
                <w:lang w:val="en-US" w:eastAsia="zh-CN" w:bidi="ar"/>
              </w:rPr>
              <w:t>电子服务系统</w:t>
            </w:r>
            <w:r>
              <w:rPr>
                <w:rFonts w:hint="eastAsia" w:ascii="宋体" w:hAnsi="宋体" w:eastAsia="宋体" w:cs="宋体"/>
                <w:snapToGrid w:val="0"/>
                <w:color w:val="auto"/>
                <w:sz w:val="24"/>
                <w:szCs w:val="24"/>
                <w:highlight w:val="none"/>
                <w:lang w:val="en-US" w:eastAsia="zh-CN" w:bidi="ar"/>
              </w:rPr>
              <w:t>发出</w:t>
            </w:r>
          </w:p>
        </w:tc>
      </w:tr>
      <w:tr w14:paraId="774ED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1641" w:hRule="atLeast"/>
        </w:trPr>
        <w:tc>
          <w:tcPr>
            <w:tcW w:w="543" w:type="pct"/>
            <w:vAlign w:val="center"/>
          </w:tcPr>
          <w:p w14:paraId="609E9A0B">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1.11.1</w:t>
            </w:r>
          </w:p>
        </w:tc>
        <w:tc>
          <w:tcPr>
            <w:tcW w:w="943" w:type="pct"/>
            <w:vAlign w:val="center"/>
          </w:tcPr>
          <w:p w14:paraId="77F5172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3493" w:type="pct"/>
            <w:vAlign w:val="center"/>
          </w:tcPr>
          <w:p w14:paraId="4BC2ADB5">
            <w:pPr>
              <w:tabs>
                <w:tab w:val="left" w:pos="360"/>
              </w:tabs>
              <w:wordWrap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p w14:paraId="4FD8137B">
            <w:pPr>
              <w:tabs>
                <w:tab w:val="left" w:pos="360"/>
              </w:tabs>
              <w:wordWrap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0"/>
                <w:sz w:val="24"/>
                <w:szCs w:val="24"/>
                <w:highlight w:val="none"/>
              </w:rPr>
              <w:sym w:font="Wingdings 2" w:char="00A3"/>
            </w:r>
            <w:r>
              <w:rPr>
                <w:rFonts w:hint="eastAsia" w:ascii="宋体" w:hAnsi="宋体" w:eastAsia="宋体" w:cs="宋体"/>
                <w:color w:val="auto"/>
                <w:sz w:val="24"/>
                <w:szCs w:val="24"/>
                <w:highlight w:val="none"/>
              </w:rPr>
              <w:t>允许，分包内容要求：</w:t>
            </w:r>
            <w:r>
              <w:rPr>
                <w:rFonts w:hint="eastAsia" w:ascii="宋体" w:hAnsi="宋体" w:eastAsia="宋体" w:cs="宋体"/>
                <w:color w:val="auto"/>
                <w:sz w:val="24"/>
                <w:szCs w:val="24"/>
                <w:highlight w:val="none"/>
                <w:u w:val="single"/>
              </w:rPr>
              <w:t xml:space="preserve">    /      </w:t>
            </w:r>
          </w:p>
          <w:p w14:paraId="0499A74A">
            <w:pPr>
              <w:wordWrap w:val="0"/>
              <w:spacing w:line="360" w:lineRule="auto"/>
              <w:ind w:firstLine="1140" w:firstLineChars="475"/>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分包金额要求：</w:t>
            </w:r>
            <w:r>
              <w:rPr>
                <w:rFonts w:hint="eastAsia" w:ascii="宋体" w:hAnsi="宋体" w:eastAsia="宋体" w:cs="宋体"/>
                <w:color w:val="auto"/>
                <w:sz w:val="24"/>
                <w:szCs w:val="24"/>
                <w:highlight w:val="none"/>
                <w:u w:val="single"/>
              </w:rPr>
              <w:t xml:space="preserve">    /      </w:t>
            </w:r>
          </w:p>
          <w:p w14:paraId="5B2CD0D1">
            <w:pPr>
              <w:pStyle w:val="30"/>
              <w:spacing w:before="157" w:line="221" w:lineRule="auto"/>
              <w:ind w:left="105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接受分包的第三人资质要求：</w:t>
            </w:r>
            <w:r>
              <w:rPr>
                <w:rFonts w:hint="eastAsia" w:ascii="宋体" w:hAnsi="宋体" w:eastAsia="宋体" w:cs="宋体"/>
                <w:color w:val="auto"/>
                <w:sz w:val="24"/>
                <w:szCs w:val="24"/>
                <w:highlight w:val="none"/>
                <w:u w:val="single"/>
              </w:rPr>
              <w:t xml:space="preserve">    /      </w:t>
            </w:r>
          </w:p>
        </w:tc>
      </w:tr>
      <w:tr w14:paraId="7BDFF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1084" w:hRule="atLeast"/>
        </w:trPr>
        <w:tc>
          <w:tcPr>
            <w:tcW w:w="543" w:type="pct"/>
            <w:vAlign w:val="center"/>
          </w:tcPr>
          <w:p w14:paraId="7E83E244">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1.12.3</w:t>
            </w:r>
          </w:p>
        </w:tc>
        <w:tc>
          <w:tcPr>
            <w:tcW w:w="943" w:type="pct"/>
            <w:vAlign w:val="center"/>
          </w:tcPr>
          <w:p w14:paraId="0B047DF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偏差</w:t>
            </w:r>
          </w:p>
        </w:tc>
        <w:tc>
          <w:tcPr>
            <w:tcW w:w="3493" w:type="pct"/>
            <w:vAlign w:val="center"/>
          </w:tcPr>
          <w:p w14:paraId="51FDC790">
            <w:pPr>
              <w:pStyle w:val="30"/>
              <w:spacing w:before="180"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不允许</w:t>
            </w:r>
          </w:p>
          <w:p w14:paraId="257F8405">
            <w:pPr>
              <w:pStyle w:val="30"/>
              <w:spacing w:before="73" w:line="250" w:lineRule="auto"/>
              <w:ind w:left="1962" w:leftChars="64" w:right="2162" w:hanging="1828" w:hangingChars="788"/>
              <w:jc w:val="both"/>
              <w:rPr>
                <w:rFonts w:hint="eastAsia" w:ascii="宋体" w:hAnsi="宋体" w:eastAsia="宋体" w:cs="宋体"/>
                <w:color w:val="auto"/>
                <w:spacing w:val="2"/>
                <w:sz w:val="24"/>
                <w:szCs w:val="24"/>
                <w:highlight w:val="none"/>
                <w:u w:val="single" w:color="auto"/>
              </w:rPr>
            </w:pPr>
            <w:r>
              <w:rPr>
                <w:rFonts w:hint="eastAsia" w:ascii="宋体" w:hAnsi="宋体" w:eastAsia="宋体" w:cs="宋体"/>
                <w:color w:val="auto"/>
                <w:spacing w:val="-4"/>
                <w:sz w:val="24"/>
                <w:szCs w:val="24"/>
                <w:highlight w:val="none"/>
              </w:rPr>
              <w:t>□允许，偏差范围：</w:t>
            </w:r>
            <w:r>
              <w:rPr>
                <w:rFonts w:hint="eastAsia" w:ascii="宋体" w:hAnsi="宋体" w:eastAsia="宋体" w:cs="宋体"/>
                <w:color w:val="auto"/>
                <w:spacing w:val="2"/>
                <w:sz w:val="24"/>
                <w:szCs w:val="24"/>
                <w:highlight w:val="none"/>
                <w:u w:val="single" w:color="auto"/>
              </w:rPr>
              <w:t xml:space="preserve">               </w:t>
            </w:r>
          </w:p>
          <w:p w14:paraId="041814C6">
            <w:pPr>
              <w:pStyle w:val="30"/>
              <w:spacing w:before="73" w:line="250" w:lineRule="auto"/>
              <w:ind w:left="1930" w:leftChars="64" w:right="2162" w:hanging="1796" w:hangingChars="788"/>
              <w:jc w:val="both"/>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偏差幅度：</w:t>
            </w:r>
          </w:p>
        </w:tc>
      </w:tr>
      <w:tr w14:paraId="29C33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2" w:hRule="atLeast"/>
        </w:trPr>
        <w:tc>
          <w:tcPr>
            <w:tcW w:w="543" w:type="pct"/>
            <w:vAlign w:val="center"/>
          </w:tcPr>
          <w:p w14:paraId="1BBBA337">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2.1</w:t>
            </w:r>
          </w:p>
        </w:tc>
        <w:tc>
          <w:tcPr>
            <w:tcW w:w="943" w:type="pct"/>
            <w:vAlign w:val="center"/>
          </w:tcPr>
          <w:p w14:paraId="49BB924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构成招标文件的其他资料</w:t>
            </w:r>
          </w:p>
        </w:tc>
        <w:tc>
          <w:tcPr>
            <w:tcW w:w="3493" w:type="pct"/>
            <w:vAlign w:val="center"/>
          </w:tcPr>
          <w:p w14:paraId="3471DB10">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图纸、技术标准与要求、工程量清单及控制价、澄清等</w:t>
            </w:r>
          </w:p>
        </w:tc>
      </w:tr>
      <w:tr w14:paraId="35F76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447" w:hRule="atLeast"/>
        </w:trPr>
        <w:tc>
          <w:tcPr>
            <w:tcW w:w="543" w:type="pct"/>
            <w:vMerge w:val="restart"/>
            <w:tcBorders>
              <w:bottom w:val="nil"/>
            </w:tcBorders>
            <w:vAlign w:val="center"/>
          </w:tcPr>
          <w:p w14:paraId="53F7C193">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2.2.1</w:t>
            </w:r>
          </w:p>
        </w:tc>
        <w:tc>
          <w:tcPr>
            <w:tcW w:w="943" w:type="pct"/>
            <w:vMerge w:val="restart"/>
            <w:tcBorders>
              <w:bottom w:val="nil"/>
            </w:tcBorders>
            <w:vAlign w:val="center"/>
          </w:tcPr>
          <w:p w14:paraId="6FF1A1B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投标人要求澄清招标文件</w:t>
            </w:r>
          </w:p>
        </w:tc>
        <w:tc>
          <w:tcPr>
            <w:tcW w:w="3493" w:type="pct"/>
            <w:vAlign w:val="center"/>
          </w:tcPr>
          <w:p w14:paraId="13DA048B">
            <w:pPr>
              <w:pStyle w:val="30"/>
              <w:spacing w:before="179" w:line="221" w:lineRule="auto"/>
              <w:ind w:left="123"/>
              <w:jc w:val="both"/>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时间：</w:t>
            </w:r>
            <w:r>
              <w:rPr>
                <w:rFonts w:hint="eastAsia" w:ascii="宋体" w:hAnsi="宋体" w:eastAsia="宋体" w:cs="宋体"/>
                <w:bCs/>
                <w:color w:val="auto"/>
                <w:sz w:val="24"/>
                <w:szCs w:val="24"/>
                <w:highlight w:val="none"/>
                <w:u w:val="single"/>
                <w:lang w:val="en-US" w:eastAsia="zh-CN" w:bidi="ar"/>
              </w:rPr>
              <w:t xml:space="preserve"> 2025</w:t>
            </w:r>
            <w:r>
              <w:rPr>
                <w:rFonts w:hint="eastAsia" w:ascii="宋体" w:hAnsi="宋体" w:eastAsia="宋体" w:cs="宋体"/>
                <w:bCs/>
                <w:snapToGrid w:val="0"/>
                <w:color w:val="auto"/>
                <w:sz w:val="24"/>
                <w:szCs w:val="24"/>
                <w:highlight w:val="none"/>
                <w:lang w:val="en-US" w:eastAsia="zh-CN" w:bidi="ar"/>
              </w:rPr>
              <w:t>年</w:t>
            </w:r>
            <w:r>
              <w:rPr>
                <w:rFonts w:hint="eastAsia" w:ascii="宋体" w:hAnsi="宋体" w:eastAsia="宋体" w:cs="宋体"/>
                <w:bCs/>
                <w:color w:val="auto"/>
                <w:sz w:val="24"/>
                <w:szCs w:val="24"/>
                <w:highlight w:val="none"/>
                <w:u w:val="single"/>
                <w:lang w:val="en-US" w:eastAsia="zh-CN" w:bidi="ar"/>
              </w:rPr>
              <w:t xml:space="preserve">  </w:t>
            </w:r>
            <w:r>
              <w:rPr>
                <w:rFonts w:hint="eastAsia" w:cs="宋体"/>
                <w:bCs/>
                <w:color w:val="auto"/>
                <w:sz w:val="24"/>
                <w:szCs w:val="24"/>
                <w:highlight w:val="none"/>
                <w:u w:val="single"/>
                <w:lang w:val="en-US" w:eastAsia="zh-CN" w:bidi="ar"/>
              </w:rPr>
              <w:t xml:space="preserve">  </w:t>
            </w:r>
            <w:r>
              <w:rPr>
                <w:rFonts w:hint="eastAsia" w:ascii="宋体" w:hAnsi="宋体" w:eastAsia="宋体" w:cs="宋体"/>
                <w:bCs/>
                <w:color w:val="auto"/>
                <w:sz w:val="24"/>
                <w:szCs w:val="24"/>
                <w:highlight w:val="none"/>
                <w:u w:val="single"/>
                <w:lang w:val="en-US" w:eastAsia="zh-CN" w:bidi="ar"/>
              </w:rPr>
              <w:t xml:space="preserve"> </w:t>
            </w:r>
            <w:r>
              <w:rPr>
                <w:rFonts w:hint="eastAsia" w:ascii="宋体" w:hAnsi="宋体" w:eastAsia="宋体" w:cs="宋体"/>
                <w:bCs/>
                <w:snapToGrid w:val="0"/>
                <w:color w:val="auto"/>
                <w:sz w:val="24"/>
                <w:szCs w:val="24"/>
                <w:highlight w:val="none"/>
                <w:lang w:val="en-US" w:eastAsia="zh-CN" w:bidi="ar"/>
              </w:rPr>
              <w:t>月</w:t>
            </w:r>
            <w:r>
              <w:rPr>
                <w:rFonts w:hint="eastAsia" w:ascii="宋体" w:hAnsi="宋体" w:eastAsia="宋体" w:cs="宋体"/>
                <w:bCs/>
                <w:color w:val="auto"/>
                <w:sz w:val="24"/>
                <w:szCs w:val="24"/>
                <w:highlight w:val="none"/>
                <w:u w:val="single"/>
                <w:lang w:val="en-US" w:eastAsia="zh-CN" w:bidi="ar"/>
              </w:rPr>
              <w:t xml:space="preserve">  </w:t>
            </w:r>
            <w:r>
              <w:rPr>
                <w:rFonts w:hint="eastAsia" w:cs="宋体"/>
                <w:bCs/>
                <w:color w:val="auto"/>
                <w:sz w:val="24"/>
                <w:szCs w:val="24"/>
                <w:highlight w:val="none"/>
                <w:u w:val="single"/>
                <w:lang w:val="en-US" w:eastAsia="zh-CN" w:bidi="ar"/>
              </w:rPr>
              <w:t xml:space="preserve">  </w:t>
            </w:r>
            <w:r>
              <w:rPr>
                <w:rFonts w:hint="eastAsia" w:ascii="宋体" w:hAnsi="宋体" w:eastAsia="宋体" w:cs="宋体"/>
                <w:bCs/>
                <w:color w:val="auto"/>
                <w:sz w:val="24"/>
                <w:szCs w:val="24"/>
                <w:highlight w:val="none"/>
                <w:u w:val="single"/>
                <w:lang w:val="en-US" w:eastAsia="zh-CN" w:bidi="ar"/>
              </w:rPr>
              <w:t xml:space="preserve"> </w:t>
            </w:r>
            <w:r>
              <w:rPr>
                <w:rFonts w:hint="eastAsia" w:ascii="宋体" w:hAnsi="宋体" w:eastAsia="宋体" w:cs="宋体"/>
                <w:bCs/>
                <w:snapToGrid w:val="0"/>
                <w:color w:val="auto"/>
                <w:sz w:val="24"/>
                <w:szCs w:val="24"/>
                <w:highlight w:val="none"/>
                <w:lang w:val="en-US" w:eastAsia="zh-CN" w:bidi="ar"/>
              </w:rPr>
              <w:t>日</w:t>
            </w:r>
            <w:r>
              <w:rPr>
                <w:rFonts w:hint="eastAsia" w:ascii="宋体" w:hAnsi="宋体" w:eastAsia="宋体" w:cs="宋体"/>
                <w:bCs/>
                <w:color w:val="auto"/>
                <w:sz w:val="24"/>
                <w:szCs w:val="24"/>
                <w:highlight w:val="none"/>
                <w:u w:val="single"/>
                <w:lang w:val="en-US" w:eastAsia="zh-CN" w:bidi="ar"/>
              </w:rPr>
              <w:t xml:space="preserve"> </w:t>
            </w:r>
            <w:r>
              <w:rPr>
                <w:rFonts w:hint="eastAsia" w:cs="宋体"/>
                <w:bCs/>
                <w:color w:val="auto"/>
                <w:sz w:val="24"/>
                <w:szCs w:val="24"/>
                <w:highlight w:val="none"/>
                <w:u w:val="single"/>
                <w:lang w:val="en-US" w:eastAsia="zh-CN" w:bidi="ar"/>
              </w:rPr>
              <w:t>17</w:t>
            </w:r>
            <w:r>
              <w:rPr>
                <w:rFonts w:hint="eastAsia" w:ascii="宋体" w:hAnsi="宋体" w:eastAsia="宋体" w:cs="宋体"/>
                <w:bCs/>
                <w:color w:val="auto"/>
                <w:sz w:val="24"/>
                <w:szCs w:val="24"/>
                <w:highlight w:val="none"/>
                <w:u w:val="single"/>
                <w:lang w:val="en-US" w:eastAsia="zh-CN" w:bidi="ar"/>
              </w:rPr>
              <w:t xml:space="preserve">  </w:t>
            </w:r>
            <w:r>
              <w:rPr>
                <w:rFonts w:hint="eastAsia" w:ascii="宋体" w:hAnsi="宋体" w:eastAsia="宋体" w:cs="宋体"/>
                <w:bCs/>
                <w:snapToGrid w:val="0"/>
                <w:color w:val="auto"/>
                <w:sz w:val="24"/>
                <w:szCs w:val="24"/>
                <w:highlight w:val="none"/>
                <w:lang w:val="en-US" w:eastAsia="zh-CN" w:bidi="ar"/>
              </w:rPr>
              <w:t>时</w:t>
            </w:r>
            <w:r>
              <w:rPr>
                <w:rFonts w:hint="eastAsia" w:ascii="宋体" w:hAnsi="宋体" w:eastAsia="宋体" w:cs="宋体"/>
                <w:bCs/>
                <w:color w:val="auto"/>
                <w:sz w:val="24"/>
                <w:szCs w:val="24"/>
                <w:highlight w:val="none"/>
                <w:u w:val="single"/>
                <w:lang w:val="en-US" w:eastAsia="zh-CN" w:bidi="ar"/>
              </w:rPr>
              <w:t xml:space="preserve"> </w:t>
            </w:r>
            <w:r>
              <w:rPr>
                <w:rFonts w:hint="eastAsia" w:cs="宋体"/>
                <w:bCs/>
                <w:color w:val="auto"/>
                <w:sz w:val="24"/>
                <w:szCs w:val="24"/>
                <w:highlight w:val="none"/>
                <w:u w:val="single"/>
                <w:lang w:val="en-US" w:eastAsia="zh-CN" w:bidi="ar"/>
              </w:rPr>
              <w:t>30</w:t>
            </w:r>
            <w:r>
              <w:rPr>
                <w:rFonts w:hint="eastAsia" w:ascii="宋体" w:hAnsi="宋体" w:eastAsia="宋体" w:cs="宋体"/>
                <w:bCs/>
                <w:color w:val="auto"/>
                <w:sz w:val="24"/>
                <w:szCs w:val="24"/>
                <w:highlight w:val="none"/>
                <w:u w:val="single"/>
                <w:lang w:val="en-US" w:eastAsia="zh-CN" w:bidi="ar"/>
              </w:rPr>
              <w:t xml:space="preserve">  </w:t>
            </w:r>
            <w:r>
              <w:rPr>
                <w:rFonts w:hint="eastAsia" w:ascii="宋体" w:hAnsi="宋体" w:eastAsia="宋体" w:cs="宋体"/>
                <w:bCs/>
                <w:snapToGrid w:val="0"/>
                <w:color w:val="auto"/>
                <w:sz w:val="24"/>
                <w:szCs w:val="24"/>
                <w:highlight w:val="none"/>
                <w:lang w:val="en-US" w:eastAsia="zh-CN" w:bidi="ar"/>
              </w:rPr>
              <w:t>分前</w:t>
            </w:r>
            <w:r>
              <w:rPr>
                <w:rFonts w:hint="eastAsia" w:ascii="宋体" w:hAnsi="宋体" w:eastAsia="宋体" w:cs="宋体"/>
                <w:color w:val="auto"/>
                <w:kern w:val="2"/>
                <w:sz w:val="24"/>
                <w:szCs w:val="24"/>
                <w:highlight w:val="none"/>
                <w:lang w:val="en-US" w:eastAsia="zh-CN" w:bidi="ar"/>
              </w:rPr>
              <w:t>。</w:t>
            </w:r>
          </w:p>
        </w:tc>
      </w:tr>
      <w:tr w14:paraId="0ACAE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444" w:hRule="atLeast"/>
        </w:trPr>
        <w:tc>
          <w:tcPr>
            <w:tcW w:w="543" w:type="pct"/>
            <w:vMerge w:val="continue"/>
            <w:tcBorders>
              <w:top w:val="nil"/>
            </w:tcBorders>
            <w:vAlign w:val="center"/>
          </w:tcPr>
          <w:p w14:paraId="46255A17">
            <w:pPr>
              <w:pStyle w:val="30"/>
              <w:spacing w:before="211" w:line="183" w:lineRule="auto"/>
              <w:jc w:val="center"/>
              <w:rPr>
                <w:rFonts w:hint="eastAsia" w:ascii="宋体" w:hAnsi="宋体" w:eastAsia="宋体" w:cs="宋体"/>
                <w:color w:val="auto"/>
                <w:spacing w:val="-4"/>
                <w:sz w:val="24"/>
                <w:szCs w:val="24"/>
                <w:highlight w:val="none"/>
              </w:rPr>
            </w:pPr>
          </w:p>
        </w:tc>
        <w:tc>
          <w:tcPr>
            <w:tcW w:w="943" w:type="pct"/>
            <w:vMerge w:val="continue"/>
            <w:tcBorders>
              <w:top w:val="nil"/>
            </w:tcBorders>
            <w:vAlign w:val="center"/>
          </w:tcPr>
          <w:p w14:paraId="468BB9F1">
            <w:pPr>
              <w:jc w:val="center"/>
              <w:rPr>
                <w:rFonts w:hint="eastAsia" w:ascii="宋体" w:hAnsi="宋体" w:eastAsia="宋体" w:cs="宋体"/>
                <w:color w:val="auto"/>
                <w:sz w:val="24"/>
                <w:szCs w:val="24"/>
                <w:highlight w:val="none"/>
              </w:rPr>
            </w:pPr>
          </w:p>
        </w:tc>
        <w:tc>
          <w:tcPr>
            <w:tcW w:w="3493" w:type="pct"/>
            <w:vAlign w:val="center"/>
          </w:tcPr>
          <w:p w14:paraId="326F9871">
            <w:pPr>
              <w:pStyle w:val="30"/>
              <w:spacing w:before="179" w:line="221"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形式：通过电子交易系统在线提出</w:t>
            </w:r>
          </w:p>
        </w:tc>
      </w:tr>
      <w:tr w14:paraId="15A20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4" w:hRule="atLeast"/>
        </w:trPr>
        <w:tc>
          <w:tcPr>
            <w:tcW w:w="543" w:type="pct"/>
            <w:vAlign w:val="center"/>
          </w:tcPr>
          <w:p w14:paraId="6E270FD6">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2.2.2</w:t>
            </w:r>
          </w:p>
        </w:tc>
        <w:tc>
          <w:tcPr>
            <w:tcW w:w="943" w:type="pct"/>
            <w:vAlign w:val="center"/>
          </w:tcPr>
          <w:p w14:paraId="7E4FAF7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招标文件澄清发出的形式</w:t>
            </w:r>
          </w:p>
        </w:tc>
        <w:tc>
          <w:tcPr>
            <w:tcW w:w="3493" w:type="pct"/>
            <w:vAlign w:val="center"/>
          </w:tcPr>
          <w:p w14:paraId="5258D6F5">
            <w:pPr>
              <w:pStyle w:val="30"/>
              <w:spacing w:before="243" w:line="221" w:lineRule="auto"/>
              <w:ind w:left="11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通过电子服务系统发出</w:t>
            </w:r>
          </w:p>
        </w:tc>
      </w:tr>
      <w:tr w14:paraId="7D2DC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2" w:hRule="atLeast"/>
        </w:trPr>
        <w:tc>
          <w:tcPr>
            <w:tcW w:w="543" w:type="pct"/>
            <w:vAlign w:val="center"/>
          </w:tcPr>
          <w:p w14:paraId="3DAB6451">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2.3.1</w:t>
            </w:r>
          </w:p>
        </w:tc>
        <w:tc>
          <w:tcPr>
            <w:tcW w:w="943" w:type="pct"/>
            <w:vAlign w:val="center"/>
          </w:tcPr>
          <w:p w14:paraId="6AFEFD5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招标文件修改发出的形式</w:t>
            </w:r>
          </w:p>
        </w:tc>
        <w:tc>
          <w:tcPr>
            <w:tcW w:w="3493" w:type="pct"/>
            <w:vAlign w:val="center"/>
          </w:tcPr>
          <w:p w14:paraId="296BE4DA">
            <w:pPr>
              <w:pStyle w:val="30"/>
              <w:spacing w:before="241" w:line="221" w:lineRule="auto"/>
              <w:ind w:left="11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通过电子服务系统发出</w:t>
            </w:r>
          </w:p>
        </w:tc>
      </w:tr>
      <w:tr w14:paraId="73920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886" w:hRule="atLeast"/>
        </w:trPr>
        <w:tc>
          <w:tcPr>
            <w:tcW w:w="543" w:type="pct"/>
            <w:vAlign w:val="center"/>
          </w:tcPr>
          <w:p w14:paraId="7A7EDA4C">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2.4</w:t>
            </w:r>
          </w:p>
        </w:tc>
        <w:tc>
          <w:tcPr>
            <w:tcW w:w="943" w:type="pct"/>
            <w:vAlign w:val="center"/>
          </w:tcPr>
          <w:p w14:paraId="1593C10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对招标文件提出异议的形式</w:t>
            </w:r>
          </w:p>
        </w:tc>
        <w:tc>
          <w:tcPr>
            <w:tcW w:w="3493" w:type="pct"/>
            <w:vAlign w:val="center"/>
          </w:tcPr>
          <w:p w14:paraId="63C72660">
            <w:pPr>
              <w:pStyle w:val="30"/>
              <w:spacing w:before="68" w:line="220" w:lineRule="auto"/>
              <w:ind w:left="11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通过电子交易系统在线提出或以其他书面形式提出</w:t>
            </w:r>
          </w:p>
        </w:tc>
      </w:tr>
      <w:tr w14:paraId="6C51F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9" w:hRule="atLeast"/>
        </w:trPr>
        <w:tc>
          <w:tcPr>
            <w:tcW w:w="543" w:type="pct"/>
            <w:vAlign w:val="center"/>
          </w:tcPr>
          <w:p w14:paraId="5E394D93">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3.1.1</w:t>
            </w:r>
          </w:p>
        </w:tc>
        <w:tc>
          <w:tcPr>
            <w:tcW w:w="943" w:type="pct"/>
            <w:vAlign w:val="center"/>
          </w:tcPr>
          <w:p w14:paraId="44104B0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构成投标文件的其他资料</w:t>
            </w:r>
          </w:p>
        </w:tc>
        <w:tc>
          <w:tcPr>
            <w:tcW w:w="3493" w:type="pct"/>
            <w:vAlign w:val="center"/>
          </w:tcPr>
          <w:p w14:paraId="34EC72C5">
            <w:pPr>
              <w:pStyle w:val="30"/>
              <w:tabs>
                <w:tab w:val="left" w:pos="208"/>
              </w:tabs>
              <w:spacing w:before="241" w:line="221" w:lineRule="auto"/>
              <w:ind w:left="105"/>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w:t>
            </w:r>
          </w:p>
        </w:tc>
      </w:tr>
      <w:tr w14:paraId="73972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543" w:type="pct"/>
            <w:vAlign w:val="center"/>
          </w:tcPr>
          <w:p w14:paraId="5A0A3D8C">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3.2.1</w:t>
            </w:r>
          </w:p>
        </w:tc>
        <w:tc>
          <w:tcPr>
            <w:tcW w:w="943" w:type="pct"/>
            <w:vAlign w:val="center"/>
          </w:tcPr>
          <w:p w14:paraId="2310B9D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增值税税金的计算</w:t>
            </w:r>
          </w:p>
          <w:p w14:paraId="1910440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方法</w:t>
            </w:r>
          </w:p>
        </w:tc>
        <w:tc>
          <w:tcPr>
            <w:tcW w:w="3512" w:type="pct"/>
            <w:gridSpan w:val="2"/>
            <w:vAlign w:val="center"/>
          </w:tcPr>
          <w:p w14:paraId="04615E41">
            <w:pPr>
              <w:keepNext w:val="0"/>
              <w:keepLines w:val="0"/>
              <w:widowControl w:val="0"/>
              <w:suppressLineNumbers w:val="0"/>
              <w:wordWrap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（1）计税方法：</w:t>
            </w:r>
          </w:p>
          <w:p w14:paraId="4675298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snapToGrid w:val="0"/>
                <w:color w:val="auto"/>
                <w:kern w:val="2"/>
                <w:sz w:val="24"/>
                <w:szCs w:val="24"/>
                <w:highlight w:val="none"/>
                <w:lang w:val="en-US" w:eastAsia="zh-CN" w:bidi="ar"/>
              </w:rPr>
              <w:t>☑</w:t>
            </w:r>
            <w:r>
              <w:rPr>
                <w:rFonts w:hint="eastAsia" w:ascii="宋体" w:hAnsi="宋体" w:eastAsia="宋体" w:cs="宋体"/>
                <w:bCs/>
                <w:snapToGrid w:val="0"/>
                <w:color w:val="auto"/>
                <w:kern w:val="0"/>
                <w:sz w:val="24"/>
                <w:szCs w:val="24"/>
                <w:highlight w:val="none"/>
                <w:lang w:val="en-US" w:eastAsia="zh-CN" w:bidi="ar"/>
              </w:rPr>
              <w:t>一般计税</w:t>
            </w:r>
            <w:r>
              <w:rPr>
                <w:rFonts w:hint="eastAsia" w:ascii="宋体" w:hAnsi="宋体" w:eastAsia="宋体" w:cs="宋体"/>
                <w:bCs/>
                <w:snapToGrid w:val="0"/>
                <w:color w:val="auto"/>
                <w:kern w:val="2"/>
                <w:sz w:val="24"/>
                <w:szCs w:val="24"/>
                <w:highlight w:val="none"/>
                <w:lang w:val="en-US" w:eastAsia="zh-CN" w:bidi="ar"/>
              </w:rPr>
              <w:t>方法</w:t>
            </w:r>
          </w:p>
          <w:p w14:paraId="5556020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□简易计算方法</w:t>
            </w:r>
          </w:p>
          <w:p w14:paraId="683CEC3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（2）发票类型：</w:t>
            </w:r>
          </w:p>
          <w:p w14:paraId="22EA758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☑增值税专用发票</w:t>
            </w:r>
          </w:p>
          <w:p w14:paraId="7DD8A5C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□增值税普通发票</w:t>
            </w:r>
          </w:p>
          <w:p w14:paraId="28BE783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（3）增值税税率按照国家有关规定执行。</w:t>
            </w:r>
          </w:p>
          <w:p w14:paraId="52C678B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2"/>
                <w:sz w:val="24"/>
                <w:szCs w:val="24"/>
                <w:highlight w:val="none"/>
                <w:lang w:val="en-US" w:eastAsia="zh-CN" w:bidi="ar"/>
              </w:rPr>
              <w:t>（4）注册地不在合肥市行政区域范围（含四县一市）的中标人，应按照《纳税人跨县（市、区）提供建筑服务增值税征收管理暂行办法》（国家税务总局公告2016年第17号）规定，在建筑服务发生地及时足额预缴增值税。</w:t>
            </w:r>
          </w:p>
        </w:tc>
      </w:tr>
      <w:tr w14:paraId="21788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543" w:type="pct"/>
            <w:vAlign w:val="center"/>
          </w:tcPr>
          <w:p w14:paraId="6D669697">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3.2.4</w:t>
            </w:r>
          </w:p>
        </w:tc>
        <w:tc>
          <w:tcPr>
            <w:tcW w:w="943" w:type="pct"/>
            <w:vAlign w:val="center"/>
          </w:tcPr>
          <w:p w14:paraId="410C1D4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最高投标限价</w:t>
            </w:r>
          </w:p>
        </w:tc>
        <w:tc>
          <w:tcPr>
            <w:tcW w:w="3512" w:type="pct"/>
            <w:gridSpan w:val="2"/>
            <w:vAlign w:val="center"/>
          </w:tcPr>
          <w:p w14:paraId="1FA940BB">
            <w:pPr>
              <w:pStyle w:val="30"/>
              <w:spacing w:before="222"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□无</w:t>
            </w:r>
          </w:p>
          <w:p w14:paraId="712BC66B">
            <w:pPr>
              <w:pStyle w:val="30"/>
              <w:spacing w:before="187" w:line="219" w:lineRule="auto"/>
              <w:ind w:left="135"/>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有，最高投标限价：</w:t>
            </w:r>
            <w:r>
              <w:rPr>
                <w:rFonts w:hint="eastAsia" w:cs="宋体"/>
                <w:color w:val="auto"/>
                <w:spacing w:val="-8"/>
                <w:sz w:val="24"/>
                <w:szCs w:val="24"/>
                <w:highlight w:val="none"/>
                <w:lang w:val="en-US" w:eastAsia="zh-CN"/>
              </w:rPr>
              <w:t xml:space="preserve">           元（含暂列金0元）</w:t>
            </w:r>
          </w:p>
        </w:tc>
      </w:tr>
      <w:tr w14:paraId="71D74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43" w:type="pct"/>
            <w:vAlign w:val="center"/>
          </w:tcPr>
          <w:p w14:paraId="74D25DC7">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3.2.5</w:t>
            </w:r>
          </w:p>
        </w:tc>
        <w:tc>
          <w:tcPr>
            <w:tcW w:w="943" w:type="pct"/>
            <w:vAlign w:val="center"/>
          </w:tcPr>
          <w:p w14:paraId="26E138B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投标报价的其他要求</w:t>
            </w:r>
          </w:p>
        </w:tc>
        <w:tc>
          <w:tcPr>
            <w:tcW w:w="3512" w:type="pct"/>
            <w:gridSpan w:val="2"/>
            <w:vAlign w:val="center"/>
          </w:tcPr>
          <w:p w14:paraId="46E4D71D">
            <w:pPr>
              <w:pStyle w:val="30"/>
              <w:tabs>
                <w:tab w:val="left" w:pos="208"/>
              </w:tabs>
              <w:spacing w:before="69" w:line="219"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w:t>
            </w:r>
          </w:p>
        </w:tc>
      </w:tr>
      <w:tr w14:paraId="56166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43" w:type="pct"/>
            <w:vAlign w:val="center"/>
          </w:tcPr>
          <w:p w14:paraId="7B153A8F">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3.3.1</w:t>
            </w:r>
          </w:p>
        </w:tc>
        <w:tc>
          <w:tcPr>
            <w:tcW w:w="943" w:type="pct"/>
            <w:vAlign w:val="center"/>
          </w:tcPr>
          <w:p w14:paraId="176A638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3512" w:type="pct"/>
            <w:gridSpan w:val="2"/>
            <w:vAlign w:val="center"/>
          </w:tcPr>
          <w:p w14:paraId="5D4EBF9F">
            <w:pPr>
              <w:pStyle w:val="30"/>
              <w:spacing w:before="237" w:line="221"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投标截止之日起</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lang w:val="en-US" w:eastAsia="zh-CN"/>
              </w:rPr>
              <w:t>120</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84"/>
                <w:sz w:val="24"/>
                <w:szCs w:val="24"/>
                <w:highlight w:val="none"/>
              </w:rPr>
              <w:t xml:space="preserve"> </w:t>
            </w:r>
            <w:r>
              <w:rPr>
                <w:rFonts w:hint="eastAsia" w:ascii="宋体" w:hAnsi="宋体" w:eastAsia="宋体" w:cs="宋体"/>
                <w:color w:val="auto"/>
                <w:spacing w:val="-3"/>
                <w:sz w:val="24"/>
                <w:szCs w:val="24"/>
                <w:highlight w:val="none"/>
              </w:rPr>
              <w:t>天。</w:t>
            </w:r>
          </w:p>
        </w:tc>
      </w:tr>
      <w:tr w14:paraId="66326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543" w:type="pct"/>
            <w:vAlign w:val="center"/>
          </w:tcPr>
          <w:p w14:paraId="17924685">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3.4.1</w:t>
            </w:r>
          </w:p>
        </w:tc>
        <w:tc>
          <w:tcPr>
            <w:tcW w:w="943" w:type="pct"/>
            <w:vAlign w:val="center"/>
          </w:tcPr>
          <w:p w14:paraId="3A8DE57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投标保证金</w:t>
            </w:r>
          </w:p>
        </w:tc>
        <w:tc>
          <w:tcPr>
            <w:tcW w:w="3512" w:type="pct"/>
            <w:gridSpan w:val="2"/>
            <w:vAlign w:val="center"/>
          </w:tcPr>
          <w:p w14:paraId="23F3A01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是否要求投标人提交投标保证金：</w:t>
            </w:r>
          </w:p>
          <w:p w14:paraId="763FEA2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sym w:font="Wingdings 2" w:char="00A3"/>
            </w:r>
            <w:r>
              <w:rPr>
                <w:rFonts w:hint="eastAsia" w:ascii="宋体" w:hAnsi="宋体" w:eastAsia="宋体" w:cs="宋体"/>
                <w:bCs/>
                <w:snapToGrid w:val="0"/>
                <w:color w:val="auto"/>
                <w:kern w:val="2"/>
                <w:sz w:val="24"/>
                <w:szCs w:val="24"/>
                <w:highlight w:val="none"/>
                <w:lang w:val="en-US" w:eastAsia="zh-CN" w:bidi="ar"/>
              </w:rPr>
              <w:t>不要求</w:t>
            </w:r>
          </w:p>
          <w:p w14:paraId="6BB148B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☑要求，具体如下：</w:t>
            </w:r>
          </w:p>
          <w:p w14:paraId="1461650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（1）投标保证金的金额：</w:t>
            </w:r>
            <w:r>
              <w:rPr>
                <w:rFonts w:hint="eastAsia" w:ascii="宋体" w:hAnsi="宋体" w:eastAsia="宋体" w:cs="宋体"/>
                <w:bCs/>
                <w:color w:val="auto"/>
                <w:kern w:val="0"/>
                <w:sz w:val="24"/>
                <w:szCs w:val="24"/>
                <w:highlight w:val="none"/>
              </w:rPr>
              <w:t>人民币</w:t>
            </w:r>
            <w:r>
              <w:rPr>
                <w:rFonts w:hint="eastAsia" w:ascii="宋体" w:hAnsi="宋体" w:eastAsia="宋体" w:cs="宋体"/>
                <w:b/>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万元</w:t>
            </w:r>
          </w:p>
          <w:p w14:paraId="2D87FA7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（2）投标保证金的形式：</w:t>
            </w:r>
          </w:p>
          <w:p w14:paraId="314E876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sym w:font="Wingdings 2" w:char="0052"/>
            </w:r>
            <w:r>
              <w:rPr>
                <w:rFonts w:hint="eastAsia" w:ascii="宋体" w:hAnsi="宋体" w:eastAsia="宋体" w:cs="宋体"/>
                <w:bCs/>
                <w:snapToGrid w:val="0"/>
                <w:color w:val="auto"/>
                <w:kern w:val="2"/>
                <w:sz w:val="24"/>
                <w:szCs w:val="24"/>
                <w:highlight w:val="none"/>
                <w:lang w:val="en-US" w:eastAsia="zh-CN" w:bidi="ar"/>
              </w:rPr>
              <w:t>电子保函</w:t>
            </w:r>
          </w:p>
          <w:p w14:paraId="3755C1B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sym w:font="Wingdings 2" w:char="0052"/>
            </w:r>
            <w:r>
              <w:rPr>
                <w:rFonts w:hint="eastAsia" w:ascii="宋体" w:hAnsi="宋体" w:eastAsia="宋体" w:cs="宋体"/>
                <w:bCs/>
                <w:snapToGrid w:val="0"/>
                <w:color w:val="auto"/>
                <w:kern w:val="2"/>
                <w:sz w:val="24"/>
                <w:szCs w:val="24"/>
                <w:highlight w:val="none"/>
                <w:lang w:val="en-US" w:eastAsia="zh-CN" w:bidi="ar"/>
              </w:rPr>
              <w:t>现金（银行转账、银行电汇）</w:t>
            </w:r>
          </w:p>
          <w:p w14:paraId="4126A48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sym w:font="Wingdings 2" w:char="0052"/>
            </w:r>
            <w:r>
              <w:rPr>
                <w:rFonts w:hint="eastAsia" w:ascii="宋体" w:hAnsi="宋体" w:eastAsia="宋体" w:cs="宋体"/>
                <w:bCs/>
                <w:snapToGrid w:val="0"/>
                <w:color w:val="auto"/>
                <w:kern w:val="2"/>
                <w:sz w:val="24"/>
                <w:szCs w:val="24"/>
                <w:highlight w:val="none"/>
                <w:lang w:val="en-US" w:eastAsia="zh-CN" w:bidi="ar"/>
              </w:rPr>
              <w:t>纸质保函（纸质银行保函、纸质担保机构担保、纸质保证保险）</w:t>
            </w:r>
          </w:p>
          <w:p w14:paraId="104182A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（3）具体要求：</w:t>
            </w:r>
          </w:p>
          <w:p w14:paraId="2653AD1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①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见招标公告（选择任何一家银行提交即可）。</w:t>
            </w:r>
          </w:p>
          <w:p w14:paraId="4DFF40F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②采用纸质银行保函的，应为投标人基本存款账户开户行出具的不可撤销、不可转让的见索即付独立保函。</w:t>
            </w:r>
          </w:p>
          <w:p w14:paraId="0344FE8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③采用纸质担保机构担保的，应为经安徽省地方金融监督管理局审查批准，依法取得融资担保业务经营许可证的融资担保机构出具的不可撤销、不可转让的见索即付独立保函。</w:t>
            </w:r>
          </w:p>
          <w:p w14:paraId="3AEC176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④采用纸质保证保险的，应为保险公司出具的不可撤销、不可转让的见索即付保证保险。</w:t>
            </w:r>
          </w:p>
          <w:p w14:paraId="38ABF60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⑤采用纸质担保机构担保、纸质保证保险的，办理担保机构担保、保证保险的费用必须从投标人基本账户汇（支）出。投标人须将本单位针对该项目（标段）从基本账户汇出保函（或保证保险）费用的凭证（须载有所投项目标段编号或项目名称、投标人基本账户信息、收取该费用的保函或保证保险出具单位名称及其账户信息）扫描件、基本存款账户信息（或基本账户开户许可证）扫描件、保函（或保证保险）扫描件编入投标文件中，由评标委员会在评标时审查认定。未提交或未完整提交的视为未按规定提交投标保证金。</w:t>
            </w:r>
          </w:p>
          <w:p w14:paraId="08C21FE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⑥采用电子保函的，请登录全国公共资源交易平台（安徽省•合肥市）（安徽合肥公共资源交易中心网站）“电子保函”栏目查看《合肥市（信易贷）电子保函平台投标保函操作手册》并按照操作手册规定内容办理。</w:t>
            </w:r>
          </w:p>
          <w:p w14:paraId="4F6AC63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（4）是否适用免缴投标保证金政策：</w:t>
            </w:r>
          </w:p>
          <w:p w14:paraId="789CFFD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sym w:font="Wingdings 2" w:char="00A3"/>
            </w:r>
            <w:r>
              <w:rPr>
                <w:rFonts w:hint="eastAsia" w:ascii="宋体" w:hAnsi="宋体" w:eastAsia="宋体" w:cs="宋体"/>
                <w:bCs/>
                <w:snapToGrid w:val="0"/>
                <w:color w:val="auto"/>
                <w:kern w:val="2"/>
                <w:sz w:val="24"/>
                <w:szCs w:val="24"/>
                <w:highlight w:val="none"/>
                <w:lang w:val="en-US" w:eastAsia="zh-CN" w:bidi="ar"/>
              </w:rPr>
              <w:t>不适用</w:t>
            </w:r>
          </w:p>
          <w:p w14:paraId="1F925DB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☑适用，适用免缴投标保证金的情形：投标人须在投标文件中进行相应承诺（格式见第八章投标文件格式）。</w:t>
            </w:r>
          </w:p>
          <w:p w14:paraId="7686EFF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（5</w:t>
            </w:r>
            <w:r>
              <w:rPr>
                <w:rFonts w:hint="eastAsia" w:ascii="宋体" w:hAnsi="宋体" w:eastAsia="宋体" w:cs="宋体"/>
                <w:bCs/>
                <w:snapToGrid w:val="0"/>
                <w:color w:val="auto"/>
                <w:kern w:val="2"/>
                <w:sz w:val="24"/>
                <w:szCs w:val="24"/>
                <w:highlight w:val="none"/>
                <w:lang w:val="en-US" w:eastAsia="zh-CN" w:bidi="ar"/>
              </w:rPr>
              <w:t>）其他要求：</w:t>
            </w:r>
          </w:p>
          <w:p w14:paraId="5739D19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①特别提醒</w:t>
            </w:r>
          </w:p>
          <w:p w14:paraId="052718C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投标人采用保函方式提交投标保证金的，如出现本招标项目招标文件“投标人须知”第3.4.4项所列情形的，提供担保的银行、担保机构及保险机构将无条件向招标人支付保函所列的全部投标保证金金额，该支付行为视同投标保证金不予退还。</w:t>
            </w:r>
          </w:p>
          <w:p w14:paraId="1750A6D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②投标保证金弄虚作假情形</w:t>
            </w:r>
          </w:p>
          <w:p w14:paraId="28C5140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投标人采用虚假保函方式提交投标保证金的，除依法承担弄虚作假、骗取中标的法律责任外，还应根据招标文件规定承担投标保证金不予退还的民事责任，其承担方式为限时足额缴纳招标文件所列全部投标保证金，投标人在招标人发出追缴通知后的规定缴纳时间内不能足额支付投标保证金的，招标人将依法提起诉讼追缴，招标人因此发生的诉讼费、律师代理费等费用均由投标人承担。</w:t>
            </w:r>
          </w:p>
          <w:p w14:paraId="2F5A2E8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（6）投标保证金注意事项：</w:t>
            </w:r>
          </w:p>
          <w:p w14:paraId="483B5D5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①投标人采用纸质保函形式的，须提供明确有效的查询途径（网址链接及查询方式），否则无效。</w:t>
            </w:r>
          </w:p>
          <w:p w14:paraId="7DBC0DB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②保函存在明显异常情形的（如多家投标人的保函编号相同；保函存在明显伪造痕迹、内容前后矛盾等情形），评标委员会应根据投标人提供的查询途径进行核查，并在评标报告中予以记录。</w:t>
            </w:r>
          </w:p>
          <w:p w14:paraId="7F07A39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③中（定）标候选人须在中（定）标候选人公示期间将其开具至本招标项目的纸质保函原件提交招标人（或招标代理机构），且原件须与投标文件中提供的扫描件一致，如存在未按照规定提交或提交内容不一致，或发现弄虚作假的，招标人（或招标代理机构）应报招标投标行政监督部门。</w:t>
            </w:r>
          </w:p>
          <w:p w14:paraId="7E42F9D4">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fldChar w:fldCharType="begin"/>
            </w:r>
            <w:r>
              <w:rPr>
                <w:rFonts w:hint="eastAsia" w:ascii="宋体" w:hAnsi="宋体" w:eastAsia="宋体" w:cs="宋体"/>
                <w:bCs/>
                <w:snapToGrid w:val="0"/>
                <w:color w:val="auto"/>
                <w:kern w:val="2"/>
                <w:sz w:val="24"/>
                <w:szCs w:val="24"/>
                <w:highlight w:val="none"/>
                <w:lang w:val="en-US" w:eastAsia="zh-CN" w:bidi="ar"/>
              </w:rPr>
              <w:instrText xml:space="preserve"> = 4 \* GB3 </w:instrText>
            </w:r>
            <w:r>
              <w:rPr>
                <w:rFonts w:hint="eastAsia" w:ascii="宋体" w:hAnsi="宋体" w:eastAsia="宋体" w:cs="宋体"/>
                <w:bCs/>
                <w:snapToGrid w:val="0"/>
                <w:color w:val="auto"/>
                <w:kern w:val="2"/>
                <w:sz w:val="24"/>
                <w:szCs w:val="24"/>
                <w:highlight w:val="none"/>
                <w:lang w:val="en-US" w:eastAsia="zh-CN" w:bidi="ar"/>
              </w:rPr>
              <w:fldChar w:fldCharType="separate"/>
            </w:r>
            <w:r>
              <w:rPr>
                <w:rFonts w:hint="eastAsia" w:ascii="宋体" w:hAnsi="宋体" w:eastAsia="宋体" w:cs="宋体"/>
                <w:bCs/>
                <w:snapToGrid w:val="0"/>
                <w:color w:val="auto"/>
                <w:kern w:val="2"/>
                <w:sz w:val="24"/>
                <w:szCs w:val="24"/>
                <w:highlight w:val="none"/>
                <w:lang w:val="en-US" w:eastAsia="zh-CN" w:bidi="ar"/>
              </w:rPr>
              <w:t>④</w:t>
            </w:r>
            <w:r>
              <w:rPr>
                <w:rFonts w:hint="eastAsia" w:ascii="宋体" w:hAnsi="宋体" w:eastAsia="宋体" w:cs="宋体"/>
                <w:bCs/>
                <w:snapToGrid w:val="0"/>
                <w:color w:val="auto"/>
                <w:kern w:val="2"/>
                <w:sz w:val="24"/>
                <w:szCs w:val="24"/>
                <w:highlight w:val="none"/>
                <w:lang w:val="en-US" w:eastAsia="zh-CN" w:bidi="ar"/>
              </w:rPr>
              <w:fldChar w:fldCharType="end"/>
            </w:r>
            <w:r>
              <w:rPr>
                <w:rFonts w:hint="eastAsia" w:ascii="宋体" w:hAnsi="宋体" w:eastAsia="宋体" w:cs="宋体"/>
                <w:bCs/>
                <w:snapToGrid w:val="0"/>
                <w:color w:val="auto"/>
                <w:kern w:val="2"/>
                <w:sz w:val="24"/>
                <w:szCs w:val="24"/>
                <w:highlight w:val="none"/>
                <w:lang w:val="en-US" w:eastAsia="zh-CN" w:bidi="ar"/>
              </w:rPr>
              <w:t>投标保证金交纳账号采用动态虚拟账号，项目招标失败后，投标保证金交纳账号将会发生变化，请投标人参与后续招标时，注意勿将投标保证金错交至其他项目虚拟账号或前次公告账号。</w:t>
            </w:r>
          </w:p>
          <w:p w14:paraId="771C71ED">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fldChar w:fldCharType="begin"/>
            </w:r>
            <w:r>
              <w:rPr>
                <w:rFonts w:hint="eastAsia" w:ascii="宋体" w:hAnsi="宋体" w:eastAsia="宋体" w:cs="宋体"/>
                <w:bCs/>
                <w:snapToGrid w:val="0"/>
                <w:color w:val="auto"/>
                <w:kern w:val="2"/>
                <w:sz w:val="24"/>
                <w:szCs w:val="24"/>
                <w:highlight w:val="none"/>
                <w:lang w:val="en-US" w:eastAsia="zh-CN" w:bidi="ar"/>
              </w:rPr>
              <w:instrText xml:space="preserve"> = 5 \* GB3 </w:instrText>
            </w:r>
            <w:r>
              <w:rPr>
                <w:rFonts w:hint="eastAsia" w:ascii="宋体" w:hAnsi="宋体" w:eastAsia="宋体" w:cs="宋体"/>
                <w:bCs/>
                <w:snapToGrid w:val="0"/>
                <w:color w:val="auto"/>
                <w:kern w:val="2"/>
                <w:sz w:val="24"/>
                <w:szCs w:val="24"/>
                <w:highlight w:val="none"/>
                <w:lang w:val="en-US" w:eastAsia="zh-CN" w:bidi="ar"/>
              </w:rPr>
              <w:fldChar w:fldCharType="separate"/>
            </w:r>
            <w:r>
              <w:rPr>
                <w:rFonts w:hint="eastAsia" w:ascii="宋体" w:hAnsi="宋体" w:eastAsia="宋体" w:cs="宋体"/>
                <w:bCs/>
                <w:snapToGrid w:val="0"/>
                <w:color w:val="auto"/>
                <w:kern w:val="2"/>
                <w:sz w:val="24"/>
                <w:szCs w:val="24"/>
                <w:highlight w:val="none"/>
                <w:lang w:val="en-US" w:eastAsia="zh-CN" w:bidi="ar"/>
              </w:rPr>
              <w:t>⑤</w:t>
            </w:r>
            <w:r>
              <w:rPr>
                <w:rFonts w:hint="eastAsia" w:ascii="宋体" w:hAnsi="宋体" w:eastAsia="宋体" w:cs="宋体"/>
                <w:bCs/>
                <w:snapToGrid w:val="0"/>
                <w:color w:val="auto"/>
                <w:kern w:val="2"/>
                <w:sz w:val="24"/>
                <w:szCs w:val="24"/>
                <w:highlight w:val="none"/>
                <w:lang w:val="en-US" w:eastAsia="zh-CN" w:bidi="ar"/>
              </w:rPr>
              <w:fldChar w:fldCharType="end"/>
            </w:r>
            <w:r>
              <w:rPr>
                <w:rFonts w:hint="eastAsia" w:ascii="宋体" w:hAnsi="宋体" w:eastAsia="宋体" w:cs="宋体"/>
                <w:bCs/>
                <w:snapToGrid w:val="0"/>
                <w:color w:val="auto"/>
                <w:kern w:val="2"/>
                <w:sz w:val="24"/>
                <w:szCs w:val="24"/>
                <w:highlight w:val="none"/>
                <w:lang w:val="en-US" w:eastAsia="zh-CN" w:bidi="ar"/>
              </w:rPr>
              <w:t>如本项目前次招标失败，招标人退还投标人的投标保证金。投标人参与本次招标，须向本项目本次公告公布的投标保证金账号重新交纳投标保证金。凡转账到其他项目虚拟账户或本项目前次公告账户的，投标保证金无效。</w:t>
            </w:r>
          </w:p>
          <w:p w14:paraId="3DAEB98F">
            <w:pPr>
              <w:pStyle w:val="32"/>
              <w:widowControl/>
              <w:adjustRightInd w:val="0"/>
              <w:spacing w:line="360" w:lineRule="auto"/>
              <w:ind w:left="0" w:leftChars="0" w:right="0" w:righ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rPr>
              <w:fldChar w:fldCharType="begin"/>
            </w:r>
            <w:r>
              <w:rPr>
                <w:rFonts w:hint="eastAsia" w:ascii="宋体" w:hAnsi="宋体" w:eastAsia="宋体" w:cs="宋体"/>
                <w:bCs/>
                <w:color w:val="auto"/>
                <w:sz w:val="24"/>
                <w:szCs w:val="24"/>
                <w:highlight w:val="none"/>
                <w:lang w:val="en-US"/>
              </w:rPr>
              <w:instrText xml:space="preserve"> = 6 \* GB3 </w:instrText>
            </w:r>
            <w:r>
              <w:rPr>
                <w:rFonts w:hint="eastAsia" w:ascii="宋体" w:hAnsi="宋体" w:eastAsia="宋体" w:cs="宋体"/>
                <w:bCs/>
                <w:color w:val="auto"/>
                <w:sz w:val="24"/>
                <w:szCs w:val="24"/>
                <w:highlight w:val="none"/>
                <w:lang w:val="en-US"/>
              </w:rPr>
              <w:fldChar w:fldCharType="separate"/>
            </w:r>
            <w:r>
              <w:rPr>
                <w:rFonts w:hint="eastAsia" w:ascii="宋体" w:hAnsi="宋体" w:eastAsia="宋体" w:cs="宋体"/>
                <w:bCs/>
                <w:color w:val="auto"/>
                <w:sz w:val="24"/>
                <w:szCs w:val="24"/>
                <w:highlight w:val="none"/>
              </w:rPr>
              <w:t>⑥</w:t>
            </w:r>
            <w:r>
              <w:rPr>
                <w:rFonts w:hint="eastAsia" w:ascii="宋体" w:hAnsi="宋体" w:eastAsia="宋体" w:cs="宋体"/>
                <w:bCs/>
                <w:color w:val="auto"/>
                <w:sz w:val="24"/>
                <w:szCs w:val="24"/>
                <w:highlight w:val="none"/>
                <w:lang w:val="en-US"/>
              </w:rPr>
              <w:fldChar w:fldCharType="end"/>
            </w:r>
            <w:r>
              <w:rPr>
                <w:rFonts w:hint="eastAsia" w:ascii="宋体" w:hAnsi="宋体" w:eastAsia="宋体" w:cs="宋体"/>
                <w:bCs/>
                <w:color w:val="auto"/>
                <w:sz w:val="24"/>
                <w:szCs w:val="24"/>
                <w:highlight w:val="none"/>
              </w:rPr>
              <w:t>投标人参与本项目多个标段（包别）投标的（如分多标段</w:t>
            </w:r>
            <w:r>
              <w:rPr>
                <w:rFonts w:hint="eastAsia" w:ascii="宋体" w:hAnsi="宋体" w:eastAsia="宋体" w:cs="宋体"/>
                <w:bCs/>
                <w:color w:val="auto"/>
                <w:sz w:val="24"/>
                <w:szCs w:val="24"/>
                <w:highlight w:val="none"/>
                <w:lang w:val="en-US"/>
              </w:rPr>
              <w:t>/</w:t>
            </w:r>
            <w:r>
              <w:rPr>
                <w:rFonts w:hint="eastAsia" w:ascii="宋体" w:hAnsi="宋体" w:eastAsia="宋体" w:cs="宋体"/>
                <w:bCs/>
                <w:color w:val="auto"/>
                <w:sz w:val="24"/>
                <w:szCs w:val="24"/>
                <w:highlight w:val="none"/>
              </w:rPr>
              <w:t>包别的），应该按标段（包别）分别递交投标保证金。未递交投标保证金的标段（包别），其投标无效。</w:t>
            </w:r>
          </w:p>
        </w:tc>
      </w:tr>
      <w:tr w14:paraId="58194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43" w:type="pct"/>
            <w:vAlign w:val="center"/>
          </w:tcPr>
          <w:p w14:paraId="1D7B675E">
            <w:pPr>
              <w:keepNext w:val="0"/>
              <w:keepLines w:val="0"/>
              <w:widowControl w:val="0"/>
              <w:suppressLineNumbers w:val="0"/>
              <w:wordWrap w:val="0"/>
              <w:spacing w:before="0" w:beforeAutospacing="0" w:after="0" w:afterAutospacing="0" w:line="360" w:lineRule="auto"/>
              <w:ind w:left="0" w:leftChars="0" w:right="0" w:rightChars="0"/>
              <w:jc w:val="center"/>
              <w:textAlignment w:val="center"/>
              <w:rPr>
                <w:rFonts w:hint="eastAsia" w:ascii="宋体" w:hAnsi="宋体" w:eastAsia="宋体" w:cs="宋体"/>
                <w:color w:val="auto"/>
                <w:spacing w:val="-4"/>
                <w:sz w:val="24"/>
                <w:szCs w:val="24"/>
                <w:highlight w:val="none"/>
              </w:rPr>
            </w:pPr>
            <w:r>
              <w:rPr>
                <w:rFonts w:hint="eastAsia" w:ascii="宋体" w:hAnsi="宋体" w:eastAsia="宋体" w:cs="宋体"/>
                <w:snapToGrid w:val="0"/>
                <w:color w:val="auto"/>
                <w:kern w:val="2"/>
                <w:sz w:val="24"/>
                <w:szCs w:val="24"/>
                <w:highlight w:val="none"/>
                <w:lang w:val="en-US" w:eastAsia="zh-CN" w:bidi="ar"/>
              </w:rPr>
              <w:t>3.4.3</w:t>
            </w:r>
          </w:p>
        </w:tc>
        <w:tc>
          <w:tcPr>
            <w:tcW w:w="943" w:type="pct"/>
            <w:vAlign w:val="center"/>
          </w:tcPr>
          <w:p w14:paraId="5176AA2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投标保证金的退还</w:t>
            </w:r>
          </w:p>
        </w:tc>
        <w:tc>
          <w:tcPr>
            <w:tcW w:w="3512" w:type="pct"/>
            <w:gridSpan w:val="2"/>
            <w:vAlign w:val="center"/>
          </w:tcPr>
          <w:p w14:paraId="3D7B5E5F">
            <w:pPr>
              <w:keepNext w:val="0"/>
              <w:keepLines w:val="0"/>
              <w:widowControl w:val="0"/>
              <w:suppressLineNumbers w:val="0"/>
              <w:tabs>
                <w:tab w:val="left" w:pos="924"/>
                <w:tab w:val="left" w:pos="1008"/>
              </w:tabs>
              <w:spacing w:before="0" w:beforeAutospacing="0" w:after="0" w:afterAutospacing="0" w:line="360" w:lineRule="auto"/>
              <w:ind w:left="0" w:leftChars="0" w:right="0" w:rightChars="0"/>
              <w:jc w:val="both"/>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按照安徽合肥公共资源交易中心《关于进一步优化投标保证金退还流程的通知》（合公中心[2023] 3号）执行。</w:t>
            </w:r>
            <w:r>
              <w:rPr>
                <w:rFonts w:hint="eastAsia" w:ascii="宋体" w:hAnsi="宋体" w:eastAsia="宋体" w:cs="宋体"/>
                <w:b/>
                <w:bCs w:val="0"/>
                <w:iCs/>
                <w:snapToGrid w:val="0"/>
                <w:color w:val="auto"/>
                <w:kern w:val="2"/>
                <w:sz w:val="24"/>
                <w:szCs w:val="24"/>
                <w:highlight w:val="none"/>
                <w:lang w:val="en-US" w:eastAsia="zh-CN" w:bidi="ar"/>
              </w:rPr>
              <w:t>(说明：如有新规定，按最新规定执行）</w:t>
            </w:r>
          </w:p>
        </w:tc>
      </w:tr>
      <w:tr w14:paraId="6E083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43" w:type="pct"/>
            <w:vAlign w:val="center"/>
          </w:tcPr>
          <w:p w14:paraId="3EB35F35">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3.4.4</w:t>
            </w:r>
          </w:p>
        </w:tc>
        <w:tc>
          <w:tcPr>
            <w:tcW w:w="943" w:type="pct"/>
            <w:vAlign w:val="center"/>
          </w:tcPr>
          <w:p w14:paraId="09775E1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其他可以不予退还</w:t>
            </w:r>
          </w:p>
          <w:p w14:paraId="6A4EDFB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投标保证金的情形</w:t>
            </w:r>
          </w:p>
        </w:tc>
        <w:tc>
          <w:tcPr>
            <w:tcW w:w="3512" w:type="pct"/>
            <w:gridSpan w:val="2"/>
            <w:vAlign w:val="center"/>
          </w:tcPr>
          <w:p w14:paraId="6F0FB701">
            <w:pPr>
              <w:spacing w:line="389" w:lineRule="auto"/>
              <w:jc w:val="both"/>
              <w:rPr>
                <w:rFonts w:hint="eastAsia" w:ascii="宋体" w:hAnsi="宋体" w:eastAsia="宋体" w:cs="宋体"/>
                <w:color w:val="auto"/>
                <w:sz w:val="24"/>
                <w:szCs w:val="24"/>
                <w:highlight w:val="none"/>
              </w:rPr>
            </w:pPr>
          </w:p>
          <w:p w14:paraId="0767DD93">
            <w:pPr>
              <w:pStyle w:val="30"/>
              <w:tabs>
                <w:tab w:val="left" w:pos="208"/>
              </w:tabs>
              <w:spacing w:before="68" w:line="221" w:lineRule="auto"/>
              <w:ind w:left="105" w:leftChars="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2"/>
                <w:sz w:val="24"/>
                <w:szCs w:val="24"/>
                <w:highlight w:val="none"/>
                <w:lang w:val="en-US" w:eastAsia="zh-CN" w:bidi="ar"/>
              </w:rPr>
              <w:t>/</w:t>
            </w:r>
          </w:p>
        </w:tc>
      </w:tr>
      <w:tr w14:paraId="6AAAE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5CC5AB8C">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3.5</w:t>
            </w:r>
          </w:p>
        </w:tc>
        <w:tc>
          <w:tcPr>
            <w:tcW w:w="943" w:type="pct"/>
            <w:vAlign w:val="center"/>
          </w:tcPr>
          <w:p w14:paraId="40D98C8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资格审查资料的特</w:t>
            </w:r>
          </w:p>
          <w:p w14:paraId="139B09A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殊要求</w:t>
            </w:r>
          </w:p>
        </w:tc>
        <w:tc>
          <w:tcPr>
            <w:tcW w:w="3512" w:type="pct"/>
            <w:gridSpan w:val="2"/>
            <w:vAlign w:val="center"/>
          </w:tcPr>
          <w:p w14:paraId="41CA095D">
            <w:pPr>
              <w:pStyle w:val="30"/>
              <w:spacing w:before="172"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rPr>
              <w:t>无</w:t>
            </w:r>
          </w:p>
          <w:p w14:paraId="0661CE24">
            <w:pPr>
              <w:pStyle w:val="30"/>
              <w:spacing w:before="154" w:line="217" w:lineRule="auto"/>
              <w:ind w:left="135" w:leftChars="0"/>
              <w:jc w:val="both"/>
              <w:rPr>
                <w:rFonts w:hint="eastAsia" w:ascii="宋体" w:hAnsi="宋体" w:eastAsia="宋体" w:cs="宋体"/>
                <w:bCs/>
                <w:color w:val="auto"/>
                <w:sz w:val="24"/>
                <w:szCs w:val="24"/>
                <w:highlight w:val="none"/>
                <w:lang w:val="en-US"/>
              </w:rPr>
            </w:pPr>
            <w:r>
              <w:rPr>
                <w:rFonts w:hint="eastAsia" w:ascii="宋体" w:hAnsi="宋体" w:eastAsia="宋体" w:cs="宋体"/>
                <w:color w:val="auto"/>
                <w:spacing w:val="-4"/>
                <w:sz w:val="24"/>
                <w:szCs w:val="24"/>
                <w:highlight w:val="none"/>
              </w:rPr>
              <w:t>□有，具体要求：</w:t>
            </w:r>
          </w:p>
        </w:tc>
      </w:tr>
      <w:tr w14:paraId="103A1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79C90857">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3.5.2</w:t>
            </w:r>
          </w:p>
        </w:tc>
        <w:tc>
          <w:tcPr>
            <w:tcW w:w="943" w:type="pct"/>
            <w:vAlign w:val="center"/>
          </w:tcPr>
          <w:p w14:paraId="47FD0A0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近年财务状况的年份要求</w:t>
            </w:r>
          </w:p>
        </w:tc>
        <w:tc>
          <w:tcPr>
            <w:tcW w:w="3512" w:type="pct"/>
            <w:gridSpan w:val="2"/>
            <w:vAlign w:val="center"/>
          </w:tcPr>
          <w:p w14:paraId="0C46C3EE">
            <w:pPr>
              <w:pStyle w:val="30"/>
              <w:spacing w:before="68" w:line="221" w:lineRule="auto"/>
              <w:ind w:left="112" w:leftChars="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2"/>
                <w:sz w:val="24"/>
                <w:szCs w:val="24"/>
                <w:highlight w:val="none"/>
                <w:lang w:val="en-US" w:eastAsia="zh-CN" w:bidi="ar"/>
              </w:rPr>
              <w:t>/</w:t>
            </w:r>
          </w:p>
        </w:tc>
      </w:tr>
      <w:tr w14:paraId="486FF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30502511">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3.5.3</w:t>
            </w:r>
          </w:p>
        </w:tc>
        <w:tc>
          <w:tcPr>
            <w:tcW w:w="943" w:type="pct"/>
            <w:vAlign w:val="center"/>
          </w:tcPr>
          <w:p w14:paraId="05E682A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近年完成的类似项目的时间要求</w:t>
            </w:r>
          </w:p>
        </w:tc>
        <w:tc>
          <w:tcPr>
            <w:tcW w:w="3512" w:type="pct"/>
            <w:gridSpan w:val="2"/>
            <w:vAlign w:val="center"/>
          </w:tcPr>
          <w:p w14:paraId="15C7A841">
            <w:pPr>
              <w:pStyle w:val="30"/>
              <w:spacing w:before="68" w:line="221" w:lineRule="auto"/>
              <w:ind w:left="112" w:leftChars="0"/>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pacing w:val="-8"/>
                <w:sz w:val="24"/>
                <w:szCs w:val="24"/>
                <w:highlight w:val="none"/>
                <w:lang w:val="en-US" w:eastAsia="zh-CN"/>
              </w:rPr>
              <w:t>见招标公告</w:t>
            </w:r>
          </w:p>
        </w:tc>
      </w:tr>
      <w:tr w14:paraId="486A3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54FE564F">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3.5.5</w:t>
            </w:r>
          </w:p>
        </w:tc>
        <w:tc>
          <w:tcPr>
            <w:tcW w:w="943" w:type="pct"/>
            <w:vAlign w:val="center"/>
          </w:tcPr>
          <w:p w14:paraId="4E06D25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近年发生的诉讼及仲裁情况的时间要求</w:t>
            </w:r>
          </w:p>
        </w:tc>
        <w:tc>
          <w:tcPr>
            <w:tcW w:w="3512" w:type="pct"/>
            <w:gridSpan w:val="2"/>
            <w:vAlign w:val="center"/>
          </w:tcPr>
          <w:p w14:paraId="5159C6BC">
            <w:pPr>
              <w:pStyle w:val="30"/>
              <w:spacing w:before="279" w:line="221" w:lineRule="auto"/>
              <w:ind w:left="112" w:leftChars="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2"/>
                <w:sz w:val="24"/>
                <w:szCs w:val="24"/>
                <w:highlight w:val="none"/>
                <w:lang w:val="en-US" w:eastAsia="zh-CN" w:bidi="ar"/>
              </w:rPr>
              <w:t>/</w:t>
            </w:r>
          </w:p>
        </w:tc>
      </w:tr>
      <w:tr w14:paraId="62309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5A900DDB">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3.6.1</w:t>
            </w:r>
          </w:p>
        </w:tc>
        <w:tc>
          <w:tcPr>
            <w:tcW w:w="943" w:type="pct"/>
            <w:vAlign w:val="center"/>
          </w:tcPr>
          <w:p w14:paraId="2296A30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w:t>
            </w:r>
          </w:p>
          <w:p w14:paraId="7DF4E45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投标方案</w:t>
            </w:r>
          </w:p>
        </w:tc>
        <w:tc>
          <w:tcPr>
            <w:tcW w:w="3512" w:type="pct"/>
            <w:gridSpan w:val="2"/>
            <w:vAlign w:val="center"/>
          </w:tcPr>
          <w:p w14:paraId="3C919E50">
            <w:pPr>
              <w:keepNext w:val="0"/>
              <w:keepLines w:val="0"/>
              <w:widowControl w:val="0"/>
              <w:suppressLineNumbers w:val="0"/>
              <w:tabs>
                <w:tab w:val="left" w:pos="360"/>
              </w:tabs>
              <w:wordWrap w:val="0"/>
              <w:snapToGrid w:val="0"/>
              <w:spacing w:before="0" w:beforeAutospacing="0" w:after="0" w:afterAutospacing="0" w:line="360" w:lineRule="auto"/>
              <w:ind w:right="0" w:firstLine="226" w:firstLineChars="100"/>
              <w:jc w:val="left"/>
              <w:textAlignment w:val="center"/>
              <w:rPr>
                <w:rFonts w:hint="eastAsia" w:ascii="宋体" w:hAnsi="宋体" w:eastAsia="宋体" w:cs="宋体"/>
                <w:bCs/>
                <w:color w:val="auto"/>
                <w:sz w:val="24"/>
                <w:szCs w:val="24"/>
                <w:highlight w:val="none"/>
                <w:lang w:val="en-US"/>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snapToGrid w:val="0"/>
                <w:color w:val="auto"/>
                <w:kern w:val="2"/>
                <w:sz w:val="24"/>
                <w:szCs w:val="24"/>
                <w:highlight w:val="none"/>
                <w:lang w:val="en-US" w:eastAsia="zh-CN" w:bidi="ar"/>
              </w:rPr>
              <w:t xml:space="preserve">不允许   </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9"/>
                <w:sz w:val="24"/>
                <w:szCs w:val="24"/>
                <w:highlight w:val="none"/>
              </w:rPr>
              <w:t>允许</w:t>
            </w:r>
          </w:p>
        </w:tc>
      </w:tr>
      <w:tr w14:paraId="3EB30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388B065A">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3.7.4</w:t>
            </w:r>
          </w:p>
        </w:tc>
        <w:tc>
          <w:tcPr>
            <w:tcW w:w="943" w:type="pct"/>
            <w:vAlign w:val="center"/>
          </w:tcPr>
          <w:p w14:paraId="105F609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非加密投标文件递交</w:t>
            </w:r>
          </w:p>
        </w:tc>
        <w:tc>
          <w:tcPr>
            <w:tcW w:w="3512" w:type="pct"/>
            <w:gridSpan w:val="2"/>
            <w:vAlign w:val="center"/>
          </w:tcPr>
          <w:p w14:paraId="37E0D981">
            <w:pPr>
              <w:pStyle w:val="30"/>
              <w:spacing w:before="182"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不允许。</w:t>
            </w:r>
          </w:p>
          <w:p w14:paraId="4EB96A8E">
            <w:pPr>
              <w:pStyle w:val="30"/>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5"/>
                <w:sz w:val="24"/>
                <w:szCs w:val="24"/>
                <w:highlight w:val="none"/>
              </w:rPr>
              <w:t>□允许，</w:t>
            </w:r>
            <w:r>
              <w:rPr>
                <w:rFonts w:hint="eastAsia" w:ascii="宋体" w:hAnsi="宋体" w:eastAsia="宋体" w:cs="宋体"/>
                <w:color w:val="auto"/>
                <w:spacing w:val="-1"/>
                <w:sz w:val="24"/>
                <w:szCs w:val="24"/>
                <w:highlight w:val="none"/>
              </w:rPr>
              <w:t>具体要求如下：</w:t>
            </w:r>
          </w:p>
          <w:p w14:paraId="1927877C">
            <w:pPr>
              <w:pStyle w:val="30"/>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非加密投标文件由投标人自行确定是否递交。</w:t>
            </w:r>
          </w:p>
          <w:p w14:paraId="4E3E29EB">
            <w:pPr>
              <w:pStyle w:val="30"/>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如递交，应在投标截止时间前在开标地点递交，并提供以下证明材料，否则招标人不予接收。</w:t>
            </w:r>
          </w:p>
          <w:p w14:paraId="5B3B787B">
            <w:pPr>
              <w:pStyle w:val="30"/>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法定代表人亲自递交的，应提供法定代表人身份证明和法定代表人的有效身份证件；</w:t>
            </w:r>
          </w:p>
          <w:p w14:paraId="7CCEA076">
            <w:pPr>
              <w:pStyle w:val="30"/>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委托代理人递交的，应提供授权委托书和委托代理人的有效身份证件。</w:t>
            </w:r>
          </w:p>
          <w:p w14:paraId="1B33F973">
            <w:pPr>
              <w:pStyle w:val="30"/>
              <w:spacing w:before="92" w:line="333" w:lineRule="auto"/>
              <w:ind w:left="115" w:right="184" w:firstLine="2"/>
              <w:jc w:val="both"/>
              <w:rPr>
                <w:rFonts w:hint="eastAsia" w:ascii="宋体" w:hAnsi="宋体" w:eastAsia="宋体" w:cs="宋体"/>
                <w:bCs/>
                <w:color w:val="auto"/>
                <w:sz w:val="24"/>
                <w:szCs w:val="24"/>
                <w:highlight w:val="none"/>
                <w:lang w:val="en-US"/>
              </w:rPr>
            </w:pPr>
            <w:r>
              <w:rPr>
                <w:rFonts w:hint="eastAsia" w:ascii="宋体" w:hAnsi="宋体" w:eastAsia="宋体" w:cs="宋体"/>
                <w:color w:val="auto"/>
                <w:spacing w:val="-1"/>
                <w:sz w:val="24"/>
                <w:szCs w:val="24"/>
                <w:highlight w:val="none"/>
              </w:rPr>
              <w:t>非加密投标文件介质：光盘或 U 盘</w:t>
            </w:r>
          </w:p>
        </w:tc>
      </w:tr>
      <w:tr w14:paraId="60CF4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5D4AB8F3">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3.7.6</w:t>
            </w:r>
          </w:p>
        </w:tc>
        <w:tc>
          <w:tcPr>
            <w:tcW w:w="943" w:type="pct"/>
            <w:vAlign w:val="center"/>
          </w:tcPr>
          <w:p w14:paraId="2E25A63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施工组织设计评审是否采用暗标评审</w:t>
            </w:r>
          </w:p>
        </w:tc>
        <w:tc>
          <w:tcPr>
            <w:tcW w:w="3512" w:type="pct"/>
            <w:gridSpan w:val="2"/>
            <w:vAlign w:val="center"/>
          </w:tcPr>
          <w:p w14:paraId="7C71B525">
            <w:pPr>
              <w:pStyle w:val="30"/>
              <w:spacing w:before="104"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否</w:t>
            </w:r>
          </w:p>
          <w:p w14:paraId="0766A9CB">
            <w:pPr>
              <w:pStyle w:val="30"/>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3"/>
                <w:sz w:val="24"/>
                <w:szCs w:val="24"/>
                <w:highlight w:val="none"/>
              </w:rPr>
              <w:t>□是，</w:t>
            </w:r>
            <w:r>
              <w:rPr>
                <w:rFonts w:hint="eastAsia" w:ascii="宋体" w:hAnsi="宋体" w:eastAsia="宋体" w:cs="宋体"/>
                <w:color w:val="auto"/>
                <w:spacing w:val="-1"/>
                <w:sz w:val="24"/>
                <w:szCs w:val="24"/>
                <w:highlight w:val="none"/>
              </w:rPr>
              <w:t>制作投标文件时应符合以下要求：</w:t>
            </w:r>
          </w:p>
          <w:p w14:paraId="1FFA7EBE">
            <w:pPr>
              <w:pStyle w:val="30"/>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（1）投标人应单独编制和提交施工组织设计，施工组织设计部分应屏蔽投标人相关信息：包括投标人单位名称、简称、外文名称、投标人特有的标志、logo及图案、人员姓名及曾经承接过的项目名称等；</w:t>
            </w:r>
          </w:p>
          <w:p w14:paraId="5447026B">
            <w:pPr>
              <w:pStyle w:val="30"/>
              <w:spacing w:before="92" w:line="333" w:lineRule="auto"/>
              <w:ind w:left="115" w:right="184" w:firstLine="2"/>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1"/>
                <w:sz w:val="24"/>
                <w:szCs w:val="24"/>
                <w:highlight w:val="none"/>
              </w:rPr>
              <w:t>（2）施工组织设计部分不得出现可能泄露投标人单位及个人信息的文字、图片、图表等有关表述</w:t>
            </w:r>
            <w:r>
              <w:rPr>
                <w:rFonts w:hint="eastAsia" w:ascii="宋体" w:hAnsi="宋体" w:eastAsia="宋体" w:cs="宋体"/>
                <w:color w:val="auto"/>
                <w:spacing w:val="-1"/>
                <w:sz w:val="24"/>
                <w:szCs w:val="24"/>
                <w:highlight w:val="none"/>
                <w:lang w:eastAsia="zh-CN"/>
              </w:rPr>
              <w:t>。</w:t>
            </w:r>
          </w:p>
        </w:tc>
      </w:tr>
      <w:tr w14:paraId="020F4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073682FB">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4.2.1</w:t>
            </w:r>
          </w:p>
        </w:tc>
        <w:tc>
          <w:tcPr>
            <w:tcW w:w="943" w:type="pct"/>
            <w:vAlign w:val="center"/>
          </w:tcPr>
          <w:p w14:paraId="0B30C12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投标截止时间</w:t>
            </w:r>
          </w:p>
        </w:tc>
        <w:tc>
          <w:tcPr>
            <w:tcW w:w="3512" w:type="pct"/>
            <w:gridSpan w:val="2"/>
            <w:vAlign w:val="center"/>
          </w:tcPr>
          <w:p w14:paraId="3F396F0A">
            <w:pPr>
              <w:pStyle w:val="30"/>
              <w:spacing w:before="27"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投标截止时间为：</w:t>
            </w:r>
            <w:r>
              <w:rPr>
                <w:rFonts w:hint="eastAsia" w:ascii="宋体" w:hAnsi="宋体" w:eastAsia="宋体" w:cs="宋体"/>
                <w:color w:val="auto"/>
                <w:spacing w:val="-1"/>
                <w:sz w:val="24"/>
                <w:szCs w:val="24"/>
                <w:highlight w:val="none"/>
                <w:u w:val="single" w:color="auto"/>
              </w:rPr>
              <w:t>见招标公告</w:t>
            </w:r>
          </w:p>
          <w:p w14:paraId="0BE207E3">
            <w:pPr>
              <w:pStyle w:val="30"/>
              <w:spacing w:before="224" w:line="310" w:lineRule="auto"/>
              <w:ind w:left="118" w:leftChars="0" w:right="189" w:rightChars="0" w:hanging="5" w:firstLine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注：投标截止时间以电子交易系统显示的时间为准</w:t>
            </w:r>
            <w:r>
              <w:rPr>
                <w:rFonts w:hint="eastAsia" w:ascii="宋体" w:hAnsi="宋体" w:eastAsia="宋体" w:cs="宋体"/>
                <w:color w:val="auto"/>
                <w:spacing w:val="-1"/>
                <w:sz w:val="24"/>
                <w:szCs w:val="24"/>
                <w:highlight w:val="none"/>
              </w:rPr>
              <w:t>，逾期系统将自动关闭，未完成上传的投标文件将被</w:t>
            </w:r>
            <w:r>
              <w:rPr>
                <w:rFonts w:hint="eastAsia" w:ascii="宋体" w:hAnsi="宋体" w:eastAsia="宋体" w:cs="宋体"/>
                <w:color w:val="auto"/>
                <w:spacing w:val="-2"/>
                <w:sz w:val="24"/>
                <w:szCs w:val="24"/>
                <w:highlight w:val="none"/>
              </w:rPr>
              <w:t>拒绝。</w:t>
            </w:r>
          </w:p>
        </w:tc>
      </w:tr>
      <w:tr w14:paraId="1DC92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39A9EDC3">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4.2.2</w:t>
            </w:r>
          </w:p>
        </w:tc>
        <w:tc>
          <w:tcPr>
            <w:tcW w:w="943" w:type="pct"/>
            <w:vAlign w:val="center"/>
          </w:tcPr>
          <w:p w14:paraId="43A7A84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递交非加密投标文件</w:t>
            </w:r>
          </w:p>
          <w:p w14:paraId="5034F4C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地点</w:t>
            </w:r>
          </w:p>
        </w:tc>
        <w:tc>
          <w:tcPr>
            <w:tcW w:w="3512" w:type="pct"/>
            <w:gridSpan w:val="2"/>
            <w:vAlign w:val="center"/>
          </w:tcPr>
          <w:p w14:paraId="3DFC4DFB">
            <w:pPr>
              <w:pStyle w:val="30"/>
              <w:spacing w:before="290" w:line="221" w:lineRule="auto"/>
              <w:ind w:left="134" w:lef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6"/>
                <w:sz w:val="24"/>
                <w:szCs w:val="24"/>
                <w:highlight w:val="none"/>
              </w:rPr>
              <w:t>同开标地点</w:t>
            </w:r>
          </w:p>
        </w:tc>
      </w:tr>
      <w:tr w14:paraId="048AB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11FE9630">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4.2.3</w:t>
            </w:r>
          </w:p>
        </w:tc>
        <w:tc>
          <w:tcPr>
            <w:tcW w:w="943" w:type="pct"/>
            <w:vAlign w:val="center"/>
          </w:tcPr>
          <w:p w14:paraId="45B6BC2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是否退还投标文件</w:t>
            </w:r>
          </w:p>
        </w:tc>
        <w:tc>
          <w:tcPr>
            <w:tcW w:w="3512" w:type="pct"/>
            <w:gridSpan w:val="2"/>
            <w:vAlign w:val="center"/>
          </w:tcPr>
          <w:p w14:paraId="4F2F7619">
            <w:pPr>
              <w:pStyle w:val="30"/>
              <w:spacing w:before="134"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rPr>
              <w:t>否</w:t>
            </w:r>
          </w:p>
          <w:p w14:paraId="2D8D3AE9">
            <w:pPr>
              <w:pStyle w:val="30"/>
              <w:spacing w:before="148" w:line="221" w:lineRule="auto"/>
              <w:ind w:left="135" w:lef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□是（指非加密投标文件</w:t>
            </w:r>
            <w:r>
              <w:rPr>
                <w:rFonts w:hint="eastAsia" w:ascii="宋体" w:hAnsi="宋体" w:eastAsia="宋体" w:cs="宋体"/>
                <w:color w:val="auto"/>
                <w:spacing w:val="-53"/>
                <w:w w:val="97"/>
                <w:sz w:val="24"/>
                <w:szCs w:val="24"/>
                <w:highlight w:val="none"/>
              </w:rPr>
              <w:t>），</w:t>
            </w:r>
            <w:r>
              <w:rPr>
                <w:rFonts w:hint="eastAsia" w:ascii="宋体" w:hAnsi="宋体" w:eastAsia="宋体" w:cs="宋体"/>
                <w:color w:val="auto"/>
                <w:spacing w:val="-1"/>
                <w:sz w:val="24"/>
                <w:szCs w:val="24"/>
                <w:highlight w:val="none"/>
              </w:rPr>
              <w:t>退还时间：</w:t>
            </w:r>
          </w:p>
        </w:tc>
      </w:tr>
      <w:tr w14:paraId="3A801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543" w:type="pct"/>
            <w:vAlign w:val="center"/>
          </w:tcPr>
          <w:p w14:paraId="0D7F8F60">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5.1</w:t>
            </w:r>
          </w:p>
        </w:tc>
        <w:tc>
          <w:tcPr>
            <w:tcW w:w="943" w:type="pct"/>
            <w:vAlign w:val="center"/>
          </w:tcPr>
          <w:p w14:paraId="6BAF660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开标时间和地点</w:t>
            </w:r>
          </w:p>
        </w:tc>
        <w:tc>
          <w:tcPr>
            <w:tcW w:w="3512" w:type="pct"/>
            <w:gridSpan w:val="2"/>
            <w:vAlign w:val="center"/>
          </w:tcPr>
          <w:p w14:paraId="6000B320">
            <w:pPr>
              <w:pStyle w:val="30"/>
              <w:spacing w:before="25" w:line="219" w:lineRule="auto"/>
              <w:ind w:left="114"/>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开标时间：</w:t>
            </w:r>
            <w:r>
              <w:rPr>
                <w:rFonts w:hint="eastAsia" w:ascii="宋体" w:hAnsi="宋体" w:eastAsia="宋体" w:cs="宋体"/>
                <w:color w:val="auto"/>
                <w:spacing w:val="-1"/>
                <w:sz w:val="24"/>
                <w:szCs w:val="24"/>
                <w:highlight w:val="none"/>
                <w:u w:val="single" w:color="auto"/>
              </w:rPr>
              <w:t>见招标公告</w:t>
            </w:r>
          </w:p>
          <w:p w14:paraId="43171929">
            <w:pPr>
              <w:pStyle w:val="30"/>
              <w:spacing w:before="161" w:line="219" w:lineRule="auto"/>
              <w:ind w:left="114" w:lef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开标地点：</w:t>
            </w:r>
            <w:r>
              <w:rPr>
                <w:rFonts w:hint="eastAsia" w:ascii="宋体" w:hAnsi="宋体" w:eastAsia="宋体" w:cs="宋体"/>
                <w:color w:val="auto"/>
                <w:spacing w:val="-1"/>
                <w:sz w:val="24"/>
                <w:szCs w:val="24"/>
                <w:highlight w:val="none"/>
                <w:u w:val="single" w:color="auto"/>
              </w:rPr>
              <w:t>见招标公告</w:t>
            </w:r>
          </w:p>
        </w:tc>
      </w:tr>
      <w:tr w14:paraId="36D06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6A401851">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5.2</w:t>
            </w:r>
          </w:p>
        </w:tc>
        <w:tc>
          <w:tcPr>
            <w:tcW w:w="943" w:type="pct"/>
            <w:vAlign w:val="center"/>
          </w:tcPr>
          <w:p w14:paraId="6AC9412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开标程序</w:t>
            </w:r>
          </w:p>
        </w:tc>
        <w:tc>
          <w:tcPr>
            <w:tcW w:w="3512" w:type="pct"/>
            <w:gridSpan w:val="2"/>
            <w:vAlign w:val="center"/>
          </w:tcPr>
          <w:p w14:paraId="41F831BD">
            <w:pPr>
              <w:pStyle w:val="30"/>
              <w:spacing w:before="26" w:line="337" w:lineRule="auto"/>
              <w:ind w:left="122" w:leftChars="0" w:hanging="3" w:firstLine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1"/>
                <w:sz w:val="24"/>
                <w:szCs w:val="24"/>
                <w:highlight w:val="none"/>
              </w:rPr>
              <w:t>（3）解密时间：</w:t>
            </w:r>
            <w:r>
              <w:rPr>
                <w:rFonts w:hint="eastAsia" w:ascii="宋体" w:hAnsi="宋体" w:eastAsia="宋体" w:cs="宋体"/>
                <w:color w:val="auto"/>
                <w:spacing w:val="-11"/>
                <w:sz w:val="24"/>
                <w:szCs w:val="24"/>
                <w:highlight w:val="none"/>
                <w:u w:val="single" w:color="auto"/>
              </w:rPr>
              <w:t xml:space="preserve">  </w:t>
            </w:r>
            <w:r>
              <w:rPr>
                <w:rFonts w:hint="eastAsia" w:ascii="宋体" w:hAnsi="宋体" w:eastAsia="宋体" w:cs="宋体"/>
                <w:color w:val="auto"/>
                <w:spacing w:val="-11"/>
                <w:sz w:val="24"/>
                <w:szCs w:val="24"/>
                <w:highlight w:val="none"/>
                <w:u w:val="single" w:color="auto"/>
                <w:lang w:val="en-US" w:eastAsia="zh-CN"/>
              </w:rPr>
              <w:t>30</w:t>
            </w:r>
            <w:r>
              <w:rPr>
                <w:rFonts w:hint="eastAsia" w:ascii="宋体" w:hAnsi="宋体" w:eastAsia="宋体" w:cs="宋体"/>
                <w:color w:val="auto"/>
                <w:spacing w:val="-11"/>
                <w:sz w:val="24"/>
                <w:szCs w:val="24"/>
                <w:highlight w:val="none"/>
                <w:u w:val="single" w:color="auto"/>
              </w:rPr>
              <w:t xml:space="preserve">  </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pacing w:val="-11"/>
                <w:sz w:val="24"/>
                <w:szCs w:val="24"/>
                <w:highlight w:val="none"/>
              </w:rPr>
              <w:t>分钟（以电子交易系统解密倒计时为准</w:t>
            </w:r>
            <w:r>
              <w:rPr>
                <w:rFonts w:hint="eastAsia" w:ascii="宋体" w:hAnsi="宋体" w:eastAsia="宋体" w:cs="宋体"/>
                <w:color w:val="auto"/>
                <w:spacing w:val="-52"/>
                <w:w w:val="93"/>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多标段开标顺序：</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7"/>
                <w:sz w:val="24"/>
                <w:szCs w:val="24"/>
                <w:highlight w:val="none"/>
                <w:u w:val="single" w:color="auto"/>
                <w:lang w:val="en-US" w:eastAsia="zh-CN"/>
              </w:rPr>
              <w:t>/</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7"/>
                <w:sz w:val="24"/>
                <w:szCs w:val="24"/>
                <w:highlight w:val="none"/>
              </w:rPr>
              <w:t>。</w:t>
            </w:r>
          </w:p>
        </w:tc>
      </w:tr>
      <w:tr w14:paraId="67220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741B2728">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6.1.1</w:t>
            </w:r>
          </w:p>
        </w:tc>
        <w:tc>
          <w:tcPr>
            <w:tcW w:w="943" w:type="pct"/>
            <w:vAlign w:val="center"/>
          </w:tcPr>
          <w:p w14:paraId="209944D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评标委员会的组建</w:t>
            </w:r>
          </w:p>
        </w:tc>
        <w:tc>
          <w:tcPr>
            <w:tcW w:w="3512" w:type="pct"/>
            <w:gridSpan w:val="2"/>
            <w:vAlign w:val="center"/>
          </w:tcPr>
          <w:p w14:paraId="75523CB8">
            <w:pPr>
              <w:pStyle w:val="30"/>
              <w:spacing w:before="169" w:line="220" w:lineRule="auto"/>
              <w:ind w:left="112"/>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评标委员会构成：由招标人依法组建</w:t>
            </w:r>
          </w:p>
          <w:p w14:paraId="3A8CC237">
            <w:pPr>
              <w:pStyle w:val="30"/>
              <w:spacing w:before="188" w:line="312" w:lineRule="auto"/>
              <w:ind w:left="115" w:leftChars="0" w:right="103" w:rightChars="0" w:hanging="3" w:firstLine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评标专家确定方式：从安徽省综合评标评审专家库中随机抽</w:t>
            </w:r>
            <w:r>
              <w:rPr>
                <w:rFonts w:hint="eastAsia" w:ascii="宋体" w:hAnsi="宋体" w:eastAsia="宋体" w:cs="宋体"/>
                <w:color w:val="auto"/>
                <w:spacing w:val="-10"/>
                <w:sz w:val="24"/>
                <w:szCs w:val="24"/>
                <w:highlight w:val="none"/>
              </w:rPr>
              <w:t>取。</w:t>
            </w:r>
          </w:p>
        </w:tc>
      </w:tr>
      <w:tr w14:paraId="49DA6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68D908EF">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6.3.2</w:t>
            </w:r>
          </w:p>
        </w:tc>
        <w:tc>
          <w:tcPr>
            <w:tcW w:w="943" w:type="pct"/>
            <w:vAlign w:val="center"/>
          </w:tcPr>
          <w:p w14:paraId="47293E3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评标委员会推荐中标候选人的人数</w:t>
            </w:r>
          </w:p>
        </w:tc>
        <w:tc>
          <w:tcPr>
            <w:tcW w:w="3512" w:type="pct"/>
            <w:gridSpan w:val="2"/>
            <w:vAlign w:val="center"/>
          </w:tcPr>
          <w:p w14:paraId="66A7B7E4">
            <w:pPr>
              <w:ind w:firstLine="240" w:firstLineChars="1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kern w:val="2"/>
                <w:sz w:val="24"/>
                <w:szCs w:val="24"/>
                <w:highlight w:val="none"/>
                <w:u w:val="single"/>
                <w:lang w:val="en-US" w:eastAsia="zh-CN" w:bidi="ar"/>
              </w:rPr>
              <w:t xml:space="preserve">1 </w:t>
            </w:r>
            <w:r>
              <w:rPr>
                <w:rFonts w:hint="eastAsia" w:ascii="宋体" w:hAnsi="宋体" w:eastAsia="宋体" w:cs="宋体"/>
                <w:color w:val="auto"/>
                <w:kern w:val="2"/>
                <w:sz w:val="24"/>
                <w:szCs w:val="24"/>
                <w:highlight w:val="none"/>
                <w:lang w:val="en-US" w:eastAsia="zh-CN" w:bidi="ar"/>
              </w:rPr>
              <w:t>家</w:t>
            </w:r>
          </w:p>
        </w:tc>
      </w:tr>
      <w:tr w14:paraId="7DDAC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56F61505">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7.1</w:t>
            </w:r>
          </w:p>
        </w:tc>
        <w:tc>
          <w:tcPr>
            <w:tcW w:w="943" w:type="pct"/>
            <w:vAlign w:val="center"/>
          </w:tcPr>
          <w:p w14:paraId="2B1F045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中标候选人公示</w:t>
            </w:r>
          </w:p>
          <w:p w14:paraId="02B272B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媒介及期限</w:t>
            </w:r>
          </w:p>
        </w:tc>
        <w:tc>
          <w:tcPr>
            <w:tcW w:w="3512" w:type="pct"/>
            <w:gridSpan w:val="2"/>
            <w:vAlign w:val="center"/>
          </w:tcPr>
          <w:p w14:paraId="6F961C4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color w:val="auto"/>
                <w:spacing w:val="-2"/>
                <w:sz w:val="24"/>
                <w:szCs w:val="24"/>
                <w:highlight w:val="none"/>
              </w:rPr>
              <w:t>（1）公</w:t>
            </w:r>
            <w:r>
              <w:rPr>
                <w:rFonts w:hint="eastAsia" w:ascii="宋体" w:hAnsi="宋体" w:eastAsia="宋体" w:cs="宋体"/>
                <w:snapToGrid w:val="0"/>
                <w:color w:val="auto"/>
                <w:kern w:val="2"/>
                <w:sz w:val="24"/>
                <w:szCs w:val="24"/>
                <w:highlight w:val="none"/>
                <w:lang w:val="en-US" w:eastAsia="zh-CN" w:bidi="ar"/>
              </w:rPr>
              <w:t>示媒介：</w:t>
            </w:r>
            <w:r>
              <w:rPr>
                <w:rFonts w:hint="eastAsia" w:ascii="宋体" w:hAnsi="宋体" w:eastAsia="宋体" w:cs="宋体"/>
                <w:bCs/>
                <w:snapToGrid w:val="0"/>
                <w:color w:val="auto"/>
                <w:kern w:val="2"/>
                <w:sz w:val="24"/>
                <w:szCs w:val="24"/>
                <w:highlight w:val="none"/>
                <w:lang w:val="en-US" w:eastAsia="zh-CN" w:bidi="ar"/>
              </w:rPr>
              <w:t>同招标公告发布媒介</w:t>
            </w:r>
          </w:p>
          <w:p w14:paraId="7A178C2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（2）公示期限：</w:t>
            </w:r>
            <w:r>
              <w:rPr>
                <w:rFonts w:hint="eastAsia" w:ascii="宋体" w:hAnsi="宋体" w:eastAsia="宋体" w:cs="宋体"/>
                <w:b/>
                <w:bCs w:val="0"/>
                <w:snapToGrid w:val="0"/>
                <w:color w:val="auto"/>
                <w:kern w:val="2"/>
                <w:sz w:val="24"/>
                <w:szCs w:val="24"/>
                <w:highlight w:val="none"/>
                <w:u w:val="single"/>
                <w:lang w:val="en-US" w:eastAsia="zh-CN" w:bidi="ar"/>
              </w:rPr>
              <w:t>不少于3日</w:t>
            </w:r>
            <w:r>
              <w:rPr>
                <w:rFonts w:hint="eastAsia" w:ascii="宋体" w:hAnsi="宋体" w:eastAsia="宋体" w:cs="宋体"/>
                <w:bCs/>
                <w:snapToGrid w:val="0"/>
                <w:color w:val="auto"/>
                <w:kern w:val="2"/>
                <w:sz w:val="24"/>
                <w:szCs w:val="24"/>
                <w:highlight w:val="none"/>
                <w:lang w:val="en-US" w:eastAsia="zh-CN" w:bidi="ar"/>
              </w:rPr>
              <w:t>（说明：公示期截止时间在法定休息日的应顺延至首个工作日）。</w:t>
            </w:r>
          </w:p>
          <w:p w14:paraId="5E5C3A1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（3）公示的其他内容：招标人（或委托代理机构）在发布中标候选人公示时应当同时公开以下评标情况：</w:t>
            </w:r>
          </w:p>
          <w:p w14:paraId="3F88799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a.投标人名称、投标报价、投标文件被否决的原因及依据；</w:t>
            </w:r>
          </w:p>
          <w:p w14:paraId="202EB8D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b.评标委员会的评分情况。包括</w:t>
            </w:r>
            <w:r>
              <w:rPr>
                <w:rFonts w:hint="eastAsia" w:ascii="宋体" w:hAnsi="宋体" w:eastAsia="宋体" w:cs="宋体"/>
                <w:color w:val="auto"/>
                <w:spacing w:val="-4"/>
                <w:sz w:val="24"/>
                <w:szCs w:val="24"/>
                <w:highlight w:val="none"/>
              </w:rPr>
              <w:t>资信业绩</w:t>
            </w:r>
            <w:r>
              <w:rPr>
                <w:rFonts w:hint="eastAsia" w:ascii="宋体" w:hAnsi="宋体" w:eastAsia="宋体" w:cs="宋体"/>
                <w:bCs/>
                <w:snapToGrid w:val="0"/>
                <w:color w:val="auto"/>
                <w:kern w:val="2"/>
                <w:sz w:val="24"/>
                <w:szCs w:val="24"/>
                <w:highlight w:val="none"/>
                <w:lang w:val="en-US" w:eastAsia="zh-CN" w:bidi="ar"/>
              </w:rPr>
              <w:t>、</w:t>
            </w:r>
            <w:r>
              <w:rPr>
                <w:rFonts w:hint="eastAsia" w:ascii="宋体" w:hAnsi="宋体" w:eastAsia="宋体" w:cs="宋体"/>
                <w:color w:val="auto"/>
                <w:spacing w:val="-1"/>
                <w:sz w:val="24"/>
                <w:szCs w:val="24"/>
                <w:highlight w:val="none"/>
              </w:rPr>
              <w:t>施工组织设计</w:t>
            </w:r>
            <w:r>
              <w:rPr>
                <w:rFonts w:hint="eastAsia" w:ascii="宋体" w:hAnsi="宋体" w:eastAsia="宋体" w:cs="宋体"/>
                <w:bCs/>
                <w:snapToGrid w:val="0"/>
                <w:color w:val="auto"/>
                <w:kern w:val="2"/>
                <w:sz w:val="24"/>
                <w:szCs w:val="24"/>
                <w:highlight w:val="none"/>
                <w:lang w:val="en-US" w:eastAsia="zh-CN" w:bidi="ar"/>
              </w:rPr>
              <w:t>、报价文件评分，其中</w:t>
            </w:r>
            <w:r>
              <w:rPr>
                <w:rFonts w:hint="eastAsia" w:ascii="宋体" w:hAnsi="宋体" w:eastAsia="宋体" w:cs="宋体"/>
                <w:color w:val="auto"/>
                <w:spacing w:val="-1"/>
                <w:sz w:val="24"/>
                <w:szCs w:val="24"/>
                <w:highlight w:val="none"/>
              </w:rPr>
              <w:t>施工组织设计</w:t>
            </w:r>
            <w:r>
              <w:rPr>
                <w:rFonts w:hint="eastAsia" w:ascii="宋体" w:hAnsi="宋体" w:eastAsia="宋体" w:cs="宋体"/>
                <w:bCs/>
                <w:snapToGrid w:val="0"/>
                <w:color w:val="auto"/>
                <w:kern w:val="2"/>
                <w:sz w:val="24"/>
                <w:szCs w:val="24"/>
                <w:highlight w:val="none"/>
                <w:lang w:val="en-US" w:eastAsia="zh-CN" w:bidi="ar"/>
              </w:rPr>
              <w:t>还需公开</w:t>
            </w:r>
            <w:r>
              <w:rPr>
                <w:rFonts w:hint="eastAsia" w:ascii="宋体" w:hAnsi="宋体" w:eastAsia="宋体" w:cs="宋体"/>
                <w:snapToGrid w:val="0"/>
                <w:color w:val="auto"/>
                <w:kern w:val="2"/>
                <w:sz w:val="24"/>
                <w:szCs w:val="24"/>
                <w:highlight w:val="none"/>
                <w:lang w:val="en-US" w:eastAsia="zh-CN" w:bidi="ar"/>
              </w:rPr>
              <w:t>采用编码标注的各评标委员会成员评分；</w:t>
            </w:r>
          </w:p>
          <w:p w14:paraId="0A694934">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c. 中标候选人经评审通过的投标人业绩项目名称（如要求，含资格审查用业绩和资信评分用业绩）、项目经理姓名及项目经理业绩项目名称（如要求，含资格审查用业绩和资信评分用业绩）;</w:t>
            </w:r>
          </w:p>
          <w:p w14:paraId="7662111C">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d.其他依法应当公开的内容。</w:t>
            </w:r>
          </w:p>
          <w:p w14:paraId="6F1B915A">
            <w:pPr>
              <w:keepNext w:val="0"/>
              <w:keepLines w:val="0"/>
              <w:widowControl/>
              <w:suppressLineNumbers w:val="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2"/>
                <w:sz w:val="24"/>
                <w:szCs w:val="24"/>
                <w:highlight w:val="none"/>
                <w:lang w:val="en-US" w:eastAsia="zh-CN" w:bidi="ar"/>
              </w:rPr>
              <w:t>（如有最新规定，按照最新规定执行）。</w:t>
            </w:r>
          </w:p>
        </w:tc>
      </w:tr>
      <w:tr w14:paraId="66A46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2E161377">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7.4</w:t>
            </w:r>
          </w:p>
        </w:tc>
        <w:tc>
          <w:tcPr>
            <w:tcW w:w="943" w:type="pct"/>
            <w:vAlign w:val="center"/>
          </w:tcPr>
          <w:p w14:paraId="08B29ED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是否授权评标委员</w:t>
            </w:r>
          </w:p>
          <w:p w14:paraId="1143F23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会确定中标人</w:t>
            </w:r>
          </w:p>
        </w:tc>
        <w:tc>
          <w:tcPr>
            <w:tcW w:w="3512" w:type="pct"/>
            <w:gridSpan w:val="2"/>
            <w:vAlign w:val="center"/>
          </w:tcPr>
          <w:p w14:paraId="5FCF6C49">
            <w:pPr>
              <w:pStyle w:val="30"/>
              <w:spacing w:before="196" w:line="299" w:lineRule="auto"/>
              <w:ind w:left="346" w:leftChars="64" w:right="5232" w:rightChars="0" w:hanging="212" w:hangingChars="100"/>
              <w:jc w:val="both"/>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rPr>
              <w:t>是</w:t>
            </w:r>
          </w:p>
          <w:p w14:paraId="49A6AEBB">
            <w:pPr>
              <w:pStyle w:val="30"/>
              <w:spacing w:before="196" w:line="299" w:lineRule="auto"/>
              <w:ind w:left="346" w:leftChars="64" w:right="5232" w:rightChars="0" w:hanging="212" w:hangingChars="1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4"/>
                <w:sz w:val="24"/>
                <w:szCs w:val="24"/>
                <w:highlight w:val="none"/>
              </w:rPr>
              <w:t>□否</w:t>
            </w:r>
          </w:p>
        </w:tc>
      </w:tr>
      <w:tr w14:paraId="0D087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71AA17E3">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7.5</w:t>
            </w:r>
          </w:p>
        </w:tc>
        <w:tc>
          <w:tcPr>
            <w:tcW w:w="943" w:type="pct"/>
            <w:vAlign w:val="center"/>
          </w:tcPr>
          <w:p w14:paraId="20FE6EC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中标结果公示媒介</w:t>
            </w:r>
          </w:p>
        </w:tc>
        <w:tc>
          <w:tcPr>
            <w:tcW w:w="3512" w:type="pct"/>
            <w:gridSpan w:val="2"/>
            <w:vAlign w:val="center"/>
          </w:tcPr>
          <w:p w14:paraId="0129343A">
            <w:pPr>
              <w:pStyle w:val="30"/>
              <w:spacing w:before="279" w:line="219" w:lineRule="auto"/>
              <w:jc w:val="left"/>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同招标公告发布媒介</w:t>
            </w:r>
          </w:p>
        </w:tc>
      </w:tr>
      <w:tr w14:paraId="2BF8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019AF48D">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7.6</w:t>
            </w:r>
          </w:p>
        </w:tc>
        <w:tc>
          <w:tcPr>
            <w:tcW w:w="943" w:type="pct"/>
            <w:vAlign w:val="center"/>
          </w:tcPr>
          <w:p w14:paraId="2691A12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中标通知书和中标</w:t>
            </w:r>
          </w:p>
          <w:p w14:paraId="598598F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结果通知发出的</w:t>
            </w:r>
          </w:p>
          <w:p w14:paraId="1A7B1B6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形式</w:t>
            </w:r>
          </w:p>
        </w:tc>
        <w:tc>
          <w:tcPr>
            <w:tcW w:w="3512" w:type="pct"/>
            <w:gridSpan w:val="2"/>
            <w:vAlign w:val="center"/>
          </w:tcPr>
          <w:p w14:paraId="2A8DBDD2">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color w:val="auto"/>
                <w:spacing w:val="-1"/>
                <w:sz w:val="24"/>
                <w:szCs w:val="24"/>
                <w:highlight w:val="none"/>
              </w:rPr>
              <w:t>（1）中标通知书发</w:t>
            </w:r>
            <w:r>
              <w:rPr>
                <w:rFonts w:hint="eastAsia" w:ascii="宋体" w:hAnsi="宋体" w:eastAsia="宋体" w:cs="宋体"/>
                <w:bCs/>
                <w:snapToGrid w:val="0"/>
                <w:color w:val="auto"/>
                <w:kern w:val="2"/>
                <w:sz w:val="24"/>
                <w:szCs w:val="24"/>
                <w:highlight w:val="none"/>
                <w:lang w:val="en-US" w:eastAsia="zh-CN" w:bidi="ar"/>
              </w:rPr>
              <w:t>出的形式：☑数据电文  □纸质</w:t>
            </w:r>
          </w:p>
          <w:p w14:paraId="5AB6EC96">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（2）中标结果通知发出的形式： ☑数据电文  □纸质</w:t>
            </w:r>
          </w:p>
          <w:p w14:paraId="5A98E32F">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2"/>
                <w:sz w:val="24"/>
                <w:szCs w:val="24"/>
                <w:highlight w:val="none"/>
                <w:lang w:val="en-US" w:eastAsia="zh-CN" w:bidi="ar"/>
              </w:rPr>
              <w:t>特别提醒：招标人确定中标人后，通过电子交易系统向中标人发出中标通知书，中标通知书发出即视为送达。投标人应主动登录电子交易系统查询，招标人和招标代理机构不承担投标人未及时关注相关信息引发的相关责任。</w:t>
            </w:r>
          </w:p>
        </w:tc>
      </w:tr>
      <w:tr w14:paraId="78559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2BCB7C5C">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7.7.1</w:t>
            </w:r>
          </w:p>
        </w:tc>
        <w:tc>
          <w:tcPr>
            <w:tcW w:w="943" w:type="pct"/>
            <w:vAlign w:val="center"/>
          </w:tcPr>
          <w:p w14:paraId="6374AAB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w:t>
            </w:r>
          </w:p>
        </w:tc>
        <w:tc>
          <w:tcPr>
            <w:tcW w:w="3512" w:type="pct"/>
            <w:gridSpan w:val="2"/>
            <w:vAlign w:val="center"/>
          </w:tcPr>
          <w:p w14:paraId="77D2BCFF">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是否要求投标人递交履约保证金：</w:t>
            </w:r>
          </w:p>
          <w:p w14:paraId="6B1145D2">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sym w:font="Wingdings 2" w:char="00A3"/>
            </w:r>
            <w:r>
              <w:rPr>
                <w:rFonts w:hint="eastAsia" w:ascii="宋体" w:hAnsi="宋体" w:eastAsia="宋体" w:cs="宋体"/>
                <w:bCs/>
                <w:snapToGrid w:val="0"/>
                <w:color w:val="auto"/>
                <w:kern w:val="0"/>
                <w:sz w:val="24"/>
                <w:szCs w:val="24"/>
                <w:highlight w:val="none"/>
                <w:lang w:val="en-US" w:eastAsia="zh-CN" w:bidi="ar"/>
              </w:rPr>
              <w:t>不要求</w:t>
            </w:r>
          </w:p>
          <w:p w14:paraId="374632EA">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w:t>
            </w:r>
            <w:r>
              <w:rPr>
                <w:rFonts w:hint="eastAsia" w:ascii="宋体" w:hAnsi="宋体" w:eastAsia="宋体" w:cs="宋体"/>
                <w:bCs/>
                <w:snapToGrid w:val="0"/>
                <w:color w:val="auto"/>
                <w:kern w:val="0"/>
                <w:sz w:val="24"/>
                <w:szCs w:val="24"/>
                <w:highlight w:val="none"/>
                <w:lang w:val="en-US" w:eastAsia="zh-CN" w:bidi="ar"/>
              </w:rPr>
              <w:t>要求，具体如下：</w:t>
            </w:r>
          </w:p>
          <w:p w14:paraId="0E8F22AF">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（1）履约保证金金额：</w:t>
            </w:r>
            <w:r>
              <w:rPr>
                <w:rFonts w:hint="eastAsia" w:ascii="宋体" w:hAnsi="宋体" w:eastAsia="宋体" w:cs="宋体"/>
                <w:bCs/>
                <w:snapToGrid w:val="0"/>
                <w:color w:val="auto"/>
                <w:kern w:val="0"/>
                <w:sz w:val="24"/>
                <w:szCs w:val="24"/>
                <w:highlight w:val="none"/>
                <w:u w:val="single"/>
                <w:lang w:val="en-US" w:eastAsia="zh-CN" w:bidi="ar"/>
              </w:rPr>
              <w:t>中标金额的2%</w:t>
            </w:r>
          </w:p>
          <w:p w14:paraId="47FBE279">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（2）</w:t>
            </w:r>
            <w:r>
              <w:rPr>
                <w:rFonts w:hint="eastAsia" w:ascii="宋体" w:hAnsi="宋体" w:eastAsia="宋体" w:cs="宋体"/>
                <w:bCs/>
                <w:snapToGrid w:val="0"/>
                <w:color w:val="auto"/>
                <w:kern w:val="0"/>
                <w:sz w:val="24"/>
                <w:szCs w:val="24"/>
                <w:highlight w:val="none"/>
                <w:lang w:val="en-US" w:eastAsia="zh-CN" w:bidi="ar"/>
              </w:rPr>
              <w:t>履约保证金形式：</w:t>
            </w:r>
          </w:p>
          <w:p w14:paraId="5107B76D">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sym w:font="Wingdings 2" w:char="0052"/>
            </w:r>
            <w:r>
              <w:rPr>
                <w:rFonts w:hint="eastAsia" w:ascii="宋体" w:hAnsi="宋体" w:eastAsia="宋体" w:cs="宋体"/>
                <w:bCs/>
                <w:snapToGrid w:val="0"/>
                <w:color w:val="auto"/>
                <w:kern w:val="0"/>
                <w:sz w:val="24"/>
                <w:szCs w:val="24"/>
                <w:highlight w:val="none"/>
                <w:lang w:val="en-US" w:eastAsia="zh-CN" w:bidi="ar"/>
              </w:rPr>
              <w:t>电子保函</w:t>
            </w:r>
          </w:p>
          <w:p w14:paraId="2609290D">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sym w:font="Wingdings 2" w:char="0052"/>
            </w:r>
            <w:r>
              <w:rPr>
                <w:rFonts w:hint="eastAsia" w:ascii="宋体" w:hAnsi="宋体" w:eastAsia="宋体" w:cs="宋体"/>
                <w:bCs/>
                <w:snapToGrid w:val="0"/>
                <w:color w:val="auto"/>
                <w:kern w:val="0"/>
                <w:sz w:val="24"/>
                <w:szCs w:val="24"/>
                <w:highlight w:val="none"/>
                <w:lang w:val="en-US" w:eastAsia="zh-CN" w:bidi="ar"/>
              </w:rPr>
              <w:t>现金（银行转账、银行电汇）</w:t>
            </w:r>
          </w:p>
          <w:p w14:paraId="4E0BEE39">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sym w:font="Wingdings 2" w:char="0052"/>
            </w:r>
            <w:r>
              <w:rPr>
                <w:rFonts w:hint="eastAsia" w:ascii="宋体" w:hAnsi="宋体" w:eastAsia="宋体" w:cs="宋体"/>
                <w:bCs/>
                <w:snapToGrid w:val="0"/>
                <w:color w:val="auto"/>
                <w:kern w:val="0"/>
                <w:sz w:val="24"/>
                <w:szCs w:val="24"/>
                <w:highlight w:val="none"/>
                <w:lang w:val="en-US" w:eastAsia="zh-CN" w:bidi="ar"/>
              </w:rPr>
              <w:t>纸质保函（纸质银行保函、纸质担保机构担保、纸质保证保险）</w:t>
            </w:r>
          </w:p>
          <w:p w14:paraId="0D184868">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（3）具体要求：</w:t>
            </w:r>
          </w:p>
          <w:p w14:paraId="78EE6233">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①采用纸质银行保函的，应为不可撤销、不可转让的见索即付独立保函。</w:t>
            </w:r>
          </w:p>
          <w:p w14:paraId="49B594AC">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②采用纸质担保机构担保的，应为经安徽省地方金融监督管理局审查批准，依法取得融资担保业务经营许可证的融资担保机构出具的不可撤销、不可转让的见索即付独立保函。</w:t>
            </w:r>
          </w:p>
          <w:p w14:paraId="0298A41D">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③采用纸质保证保险的，应为保险公司出具的不可撤销、不可转让的见索即付保证保险。</w:t>
            </w:r>
          </w:p>
          <w:p w14:paraId="1022EF24">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④采用电子保函的，请登录全国公共资源交易平台（安徽省•合肥市）（安徽合肥公共资源交易中心网站）“电子保函”栏目查看《合肥市（信易贷）电子保函平台履约保函操作手册》并按照操作手册规定内容办理。</w:t>
            </w:r>
          </w:p>
          <w:p w14:paraId="28D4AD5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（4）本招标项目是否减免履约保证金：</w:t>
            </w:r>
          </w:p>
          <w:p w14:paraId="777CF4C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w:t>
            </w:r>
            <w:r>
              <w:rPr>
                <w:rFonts w:hint="eastAsia" w:ascii="宋体" w:hAnsi="宋体" w:eastAsia="宋体" w:cs="宋体"/>
                <w:bCs/>
                <w:snapToGrid w:val="0"/>
                <w:color w:val="auto"/>
                <w:kern w:val="0"/>
                <w:sz w:val="24"/>
                <w:szCs w:val="24"/>
                <w:highlight w:val="none"/>
                <w:lang w:val="en-US" w:eastAsia="zh-CN" w:bidi="ar"/>
              </w:rPr>
              <w:t>不减免</w:t>
            </w:r>
          </w:p>
          <w:p w14:paraId="21ACB82B">
            <w:pPr>
              <w:keepNext w:val="0"/>
              <w:keepLines w:val="0"/>
              <w:widowControl w:val="0"/>
              <w:suppressLineNumbers w:val="0"/>
              <w:wordWrap w:val="0"/>
              <w:spacing w:before="0" w:beforeAutospacing="0" w:after="0" w:afterAutospacing="0" w:line="360" w:lineRule="auto"/>
              <w:ind w:left="-4" w:leftChars="-2" w:right="0" w:rightChars="0" w:firstLine="2" w:firstLineChars="1"/>
              <w:jc w:val="both"/>
              <w:textAlignment w:val="center"/>
              <w:rPr>
                <w:rFonts w:hint="eastAsia" w:ascii="宋体" w:hAnsi="宋体" w:eastAsia="宋体" w:cs="宋体"/>
                <w:bCs/>
                <w:snapToGrid w:val="0"/>
                <w:color w:val="auto"/>
                <w:kern w:val="0"/>
                <w:sz w:val="24"/>
                <w:szCs w:val="24"/>
                <w:highlight w:val="none"/>
                <w:u w:val="single"/>
                <w:lang w:val="en-US" w:eastAsia="zh-CN" w:bidi="ar"/>
              </w:rPr>
            </w:pPr>
            <w:r>
              <w:rPr>
                <w:rFonts w:hint="eastAsia" w:ascii="宋体" w:hAnsi="宋体" w:eastAsia="宋体" w:cs="宋体"/>
                <w:bCs/>
                <w:snapToGrid w:val="0"/>
                <w:color w:val="auto"/>
                <w:kern w:val="0"/>
                <w:sz w:val="24"/>
                <w:szCs w:val="24"/>
                <w:highlight w:val="none"/>
                <w:lang w:val="en-US" w:eastAsia="zh-CN" w:bidi="ar"/>
              </w:rPr>
              <w:sym w:font="Wingdings 2" w:char="00A3"/>
            </w:r>
            <w:r>
              <w:rPr>
                <w:rFonts w:hint="eastAsia" w:ascii="宋体" w:hAnsi="宋体" w:eastAsia="宋体" w:cs="宋体"/>
                <w:bCs/>
                <w:snapToGrid w:val="0"/>
                <w:color w:val="auto"/>
                <w:kern w:val="0"/>
                <w:sz w:val="24"/>
                <w:szCs w:val="24"/>
                <w:highlight w:val="none"/>
                <w:lang w:val="en-US" w:eastAsia="zh-CN" w:bidi="ar"/>
              </w:rPr>
              <w:t>减免，适用减免履约保证金的情形：</w:t>
            </w:r>
            <w:r>
              <w:rPr>
                <w:rFonts w:hint="eastAsia" w:ascii="宋体" w:hAnsi="宋体" w:eastAsia="宋体" w:cs="宋体"/>
                <w:bCs/>
                <w:snapToGrid w:val="0"/>
                <w:color w:val="auto"/>
                <w:kern w:val="0"/>
                <w:sz w:val="24"/>
                <w:szCs w:val="24"/>
                <w:highlight w:val="none"/>
                <w:u w:val="single"/>
                <w:lang w:val="en-US" w:eastAsia="zh-CN" w:bidi="ar"/>
              </w:rPr>
              <w:t xml:space="preserve">    /   </w:t>
            </w:r>
          </w:p>
          <w:p w14:paraId="77303F94">
            <w:pPr>
              <w:keepNext w:val="0"/>
              <w:keepLines w:val="0"/>
              <w:widowControl w:val="0"/>
              <w:suppressLineNumbers w:val="0"/>
              <w:wordWrap w:val="0"/>
              <w:spacing w:before="0" w:beforeAutospacing="0" w:after="0" w:afterAutospacing="0" w:line="360" w:lineRule="auto"/>
              <w:ind w:left="-4" w:leftChars="-2" w:right="0" w:rightChars="0" w:firstLine="2" w:firstLineChars="1"/>
              <w:jc w:val="both"/>
              <w:textAlignment w:val="center"/>
              <w:rPr>
                <w:rFonts w:hint="eastAsia" w:ascii="宋体" w:hAnsi="宋体" w:eastAsia="宋体" w:cs="宋体"/>
                <w:bCs/>
                <w:snapToGrid w:val="0"/>
                <w:color w:val="auto"/>
                <w:kern w:val="0"/>
                <w:sz w:val="24"/>
                <w:szCs w:val="24"/>
                <w:highlight w:val="none"/>
                <w:lang w:val="en-US" w:eastAsia="en-US" w:bidi="ar"/>
              </w:rPr>
            </w:pPr>
            <w:r>
              <w:rPr>
                <w:rFonts w:hint="eastAsia" w:ascii="宋体" w:hAnsi="宋体" w:eastAsia="宋体" w:cs="宋体"/>
                <w:bCs/>
                <w:snapToGrid w:val="0"/>
                <w:color w:val="auto"/>
                <w:kern w:val="0"/>
                <w:sz w:val="24"/>
                <w:szCs w:val="24"/>
                <w:highlight w:val="none"/>
                <w:lang w:val="en-US" w:eastAsia="en-US" w:bidi="ar"/>
              </w:rPr>
              <w:t>（5）履约保证金退还时限：</w:t>
            </w:r>
            <w:r>
              <w:rPr>
                <w:rFonts w:hint="eastAsia" w:ascii="宋体" w:hAnsi="宋体" w:eastAsia="宋体" w:cs="宋体"/>
                <w:bCs/>
                <w:snapToGrid w:val="0"/>
                <w:color w:val="auto"/>
                <w:kern w:val="0"/>
                <w:sz w:val="24"/>
                <w:szCs w:val="24"/>
                <w:highlight w:val="none"/>
                <w:u w:val="single"/>
                <w:lang w:val="en-US" w:eastAsia="en-US" w:bidi="ar"/>
              </w:rPr>
              <w:t>【履约保证金有效期满7日内（最迟不得超过项目竣工验收通过后28天）】</w:t>
            </w:r>
          </w:p>
          <w:p w14:paraId="7DE15C70">
            <w:pPr>
              <w:keepNext w:val="0"/>
              <w:keepLines w:val="0"/>
              <w:widowControl w:val="0"/>
              <w:suppressLineNumbers w:val="0"/>
              <w:wordWrap w:val="0"/>
              <w:spacing w:before="0" w:beforeAutospacing="0" w:after="0" w:afterAutospacing="0" w:line="360" w:lineRule="auto"/>
              <w:ind w:left="-4" w:leftChars="-2" w:right="0" w:rightChars="0" w:firstLine="2" w:firstLineChars="1"/>
              <w:jc w:val="both"/>
              <w:textAlignment w:val="center"/>
              <w:rPr>
                <w:rFonts w:hint="eastAsia" w:ascii="宋体" w:hAnsi="宋体" w:eastAsia="宋体" w:cs="宋体"/>
                <w:bCs/>
                <w:snapToGrid w:val="0"/>
                <w:color w:val="auto"/>
                <w:kern w:val="0"/>
                <w:sz w:val="24"/>
                <w:szCs w:val="24"/>
                <w:highlight w:val="none"/>
                <w:lang w:val="en-US" w:eastAsia="en-US" w:bidi="ar"/>
              </w:rPr>
            </w:pPr>
            <w:r>
              <w:rPr>
                <w:rFonts w:hint="eastAsia" w:ascii="宋体" w:hAnsi="宋体" w:eastAsia="宋体" w:cs="宋体"/>
                <w:bCs/>
                <w:snapToGrid w:val="0"/>
                <w:color w:val="auto"/>
                <w:kern w:val="0"/>
                <w:sz w:val="24"/>
                <w:szCs w:val="24"/>
                <w:highlight w:val="none"/>
                <w:lang w:val="en-US" w:eastAsia="en-US" w:bidi="ar"/>
              </w:rPr>
              <w:t>（6）其他要求：</w:t>
            </w:r>
            <w:r>
              <w:rPr>
                <w:rFonts w:hint="eastAsia" w:ascii="宋体" w:hAnsi="宋体" w:eastAsia="宋体" w:cs="宋体"/>
                <w:bCs/>
                <w:snapToGrid w:val="0"/>
                <w:color w:val="auto"/>
                <w:kern w:val="0"/>
                <w:sz w:val="24"/>
                <w:szCs w:val="24"/>
                <w:highlight w:val="none"/>
                <w:u w:val="single"/>
                <w:lang w:val="en-US" w:eastAsia="en-US" w:bidi="ar"/>
              </w:rPr>
              <w:t>中标人采用现金（银行转账、银行电汇</w:t>
            </w:r>
            <w:r>
              <w:rPr>
                <w:rFonts w:hint="eastAsia" w:ascii="宋体" w:hAnsi="宋体" w:eastAsia="宋体" w:cs="宋体"/>
                <w:bCs/>
                <w:snapToGrid w:val="0"/>
                <w:color w:val="auto"/>
                <w:kern w:val="0"/>
                <w:sz w:val="24"/>
                <w:szCs w:val="24"/>
                <w:highlight w:val="none"/>
                <w:u w:val="single"/>
                <w:lang w:val="en-US" w:eastAsia="zh-CN" w:bidi="ar"/>
              </w:rPr>
              <w:t>)</w:t>
            </w:r>
            <w:r>
              <w:rPr>
                <w:rFonts w:hint="eastAsia" w:ascii="宋体" w:hAnsi="宋体" w:eastAsia="宋体" w:cs="宋体"/>
                <w:bCs/>
                <w:snapToGrid w:val="0"/>
                <w:color w:val="auto"/>
                <w:kern w:val="0"/>
                <w:sz w:val="24"/>
                <w:szCs w:val="24"/>
                <w:highlight w:val="none"/>
                <w:u w:val="single"/>
                <w:lang w:val="en-US" w:eastAsia="en-US" w:bidi="ar"/>
              </w:rPr>
              <w:t xml:space="preserve"> 形式提交履约保证金的，应当同时退还银行同期活期存款利息。</w:t>
            </w:r>
          </w:p>
        </w:tc>
      </w:tr>
      <w:tr w14:paraId="3667B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6451952B">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9.5.1</w:t>
            </w:r>
          </w:p>
        </w:tc>
        <w:tc>
          <w:tcPr>
            <w:tcW w:w="943" w:type="pct"/>
            <w:vAlign w:val="center"/>
          </w:tcPr>
          <w:p w14:paraId="4B4B422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受理投诉的招标投</w:t>
            </w:r>
          </w:p>
          <w:p w14:paraId="6D021B3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标行政监督部门</w:t>
            </w:r>
          </w:p>
        </w:tc>
        <w:tc>
          <w:tcPr>
            <w:tcW w:w="3512" w:type="pct"/>
            <w:gridSpan w:val="2"/>
            <w:vAlign w:val="center"/>
          </w:tcPr>
          <w:p w14:paraId="3C95B2EF">
            <w:pPr>
              <w:pStyle w:val="30"/>
              <w:spacing w:before="176" w:line="219" w:lineRule="auto"/>
              <w:ind w:left="119"/>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（1）招标投标行政监督部门：见招标公告第</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2"/>
                <w:sz w:val="24"/>
                <w:szCs w:val="24"/>
                <w:highlight w:val="none"/>
              </w:rPr>
              <w:t>10.5</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2"/>
                <w:sz w:val="24"/>
                <w:szCs w:val="24"/>
                <w:highlight w:val="none"/>
              </w:rPr>
              <w:t>款</w:t>
            </w:r>
          </w:p>
          <w:p w14:paraId="31CEB5A5">
            <w:pPr>
              <w:pStyle w:val="30"/>
              <w:spacing w:before="190" w:line="219" w:lineRule="auto"/>
              <w:ind w:left="119" w:leftChars="0"/>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（2）地址：见招标公告第</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3"/>
                <w:sz w:val="24"/>
                <w:szCs w:val="24"/>
                <w:highlight w:val="none"/>
              </w:rPr>
              <w:t>10.5</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款</w:t>
            </w:r>
          </w:p>
          <w:p w14:paraId="175FF792">
            <w:pPr>
              <w:pStyle w:val="30"/>
              <w:spacing w:before="190" w:line="219" w:lineRule="auto"/>
              <w:ind w:left="119" w:leftChars="0"/>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（3）电话：见招标公告第</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3"/>
                <w:sz w:val="24"/>
                <w:szCs w:val="24"/>
                <w:highlight w:val="none"/>
              </w:rPr>
              <w:t>10.5</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款</w:t>
            </w:r>
          </w:p>
          <w:p w14:paraId="45A0343D">
            <w:pPr>
              <w:pStyle w:val="30"/>
              <w:spacing w:before="190" w:line="219" w:lineRule="auto"/>
              <w:ind w:left="119" w:leftChars="0"/>
              <w:jc w:val="both"/>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4）</w:t>
            </w:r>
            <w:r>
              <w:rPr>
                <w:rFonts w:hint="eastAsia" w:ascii="宋体" w:hAnsi="宋体" w:eastAsia="宋体" w:cs="宋体"/>
                <w:color w:val="auto"/>
                <w:kern w:val="2"/>
                <w:sz w:val="24"/>
                <w:szCs w:val="24"/>
                <w:highlight w:val="none"/>
                <w:lang w:val="en-US" w:eastAsia="zh-CN" w:bidi="ar"/>
              </w:rPr>
              <w:t>投诉提出方式：通过网上投诉系统或以其他书面形式提出。</w:t>
            </w:r>
          </w:p>
        </w:tc>
      </w:tr>
      <w:tr w14:paraId="6FD49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64A53129">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10</w:t>
            </w:r>
          </w:p>
        </w:tc>
        <w:tc>
          <w:tcPr>
            <w:tcW w:w="943" w:type="pct"/>
            <w:vAlign w:val="center"/>
          </w:tcPr>
          <w:p w14:paraId="4DF825B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w:t>
            </w:r>
          </w:p>
          <w:p w14:paraId="3DB8589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内容</w:t>
            </w:r>
          </w:p>
        </w:tc>
        <w:tc>
          <w:tcPr>
            <w:tcW w:w="3512" w:type="pct"/>
            <w:gridSpan w:val="2"/>
            <w:vAlign w:val="center"/>
          </w:tcPr>
          <w:p w14:paraId="6C06370A">
            <w:pPr>
              <w:jc w:val="both"/>
              <w:rPr>
                <w:rFonts w:hint="eastAsia" w:ascii="宋体" w:hAnsi="宋体" w:eastAsia="宋体" w:cs="宋体"/>
                <w:snapToGrid w:val="0"/>
                <w:color w:val="auto"/>
                <w:kern w:val="0"/>
                <w:sz w:val="24"/>
                <w:szCs w:val="24"/>
                <w:highlight w:val="none"/>
                <w:lang w:val="en-US" w:eastAsia="en-US" w:bidi="ar-SA"/>
              </w:rPr>
            </w:pPr>
          </w:p>
        </w:tc>
      </w:tr>
      <w:tr w14:paraId="56AA4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287E7439">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10.1</w:t>
            </w:r>
          </w:p>
        </w:tc>
        <w:tc>
          <w:tcPr>
            <w:tcW w:w="943" w:type="pct"/>
            <w:vAlign w:val="center"/>
          </w:tcPr>
          <w:p w14:paraId="387DEED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原则规定与定义</w:t>
            </w:r>
          </w:p>
        </w:tc>
        <w:tc>
          <w:tcPr>
            <w:tcW w:w="3512" w:type="pct"/>
            <w:gridSpan w:val="2"/>
            <w:vAlign w:val="center"/>
          </w:tcPr>
          <w:p w14:paraId="29BE82B9">
            <w:pPr>
              <w:pStyle w:val="30"/>
              <w:spacing w:before="106" w:line="293" w:lineRule="auto"/>
              <w:ind w:left="115" w:right="103" w:firstLine="4"/>
              <w:jc w:val="both"/>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（1）投标人须知前附表是对投标人须知正文部分对应条款</w:t>
            </w:r>
            <w:r>
              <w:rPr>
                <w:rFonts w:hint="eastAsia" w:ascii="宋体" w:hAnsi="宋体" w:eastAsia="宋体" w:cs="宋体"/>
                <w:color w:val="auto"/>
                <w:spacing w:val="3"/>
                <w:sz w:val="24"/>
                <w:szCs w:val="24"/>
                <w:highlight w:val="none"/>
              </w:rPr>
              <w:t>的补充、细化，投标人阅读时应与正文部分一并阅读，投标人须知前附表与正文部分不一致的，应以投标人须知前附表</w:t>
            </w:r>
            <w:r>
              <w:rPr>
                <w:rFonts w:hint="eastAsia" w:ascii="宋体" w:hAnsi="宋体" w:eastAsia="宋体" w:cs="宋体"/>
                <w:color w:val="auto"/>
                <w:spacing w:val="-9"/>
                <w:sz w:val="24"/>
                <w:szCs w:val="24"/>
                <w:highlight w:val="none"/>
              </w:rPr>
              <w:t>为准。</w:t>
            </w:r>
          </w:p>
          <w:p w14:paraId="6D9D441D">
            <w:pPr>
              <w:pStyle w:val="30"/>
              <w:spacing w:before="105" w:line="292" w:lineRule="auto"/>
              <w:ind w:left="113" w:leftChars="0" w:right="103" w:rightChars="0" w:firstLine="6" w:firstLine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（2）“☑”符号表示招标文件选定的内容</w:t>
            </w:r>
            <w:r>
              <w:rPr>
                <w:rFonts w:hint="eastAsia" w:ascii="宋体" w:hAnsi="宋体" w:eastAsia="宋体" w:cs="宋体"/>
                <w:color w:val="auto"/>
                <w:spacing w:val="-2"/>
                <w:sz w:val="24"/>
                <w:szCs w:val="24"/>
                <w:highlight w:val="none"/>
              </w:rPr>
              <w:t>；“□”符号表示</w:t>
            </w:r>
            <w:r>
              <w:rPr>
                <w:rFonts w:hint="eastAsia" w:ascii="宋体" w:hAnsi="宋体" w:eastAsia="宋体" w:cs="宋体"/>
                <w:color w:val="auto"/>
                <w:spacing w:val="-1"/>
                <w:sz w:val="24"/>
                <w:szCs w:val="24"/>
                <w:highlight w:val="none"/>
              </w:rPr>
              <w:t>招标文件未选定的内容；空格中的“/”表示没有具体内容。</w:t>
            </w:r>
            <w:r>
              <w:rPr>
                <w:rFonts w:hint="eastAsia" w:ascii="宋体" w:hAnsi="宋体" w:eastAsia="宋体" w:cs="宋体"/>
                <w:color w:val="auto"/>
                <w:spacing w:val="3"/>
                <w:sz w:val="24"/>
                <w:szCs w:val="24"/>
                <w:highlight w:val="none"/>
              </w:rPr>
              <w:t>投标人应当按招标文件“☑”符号选定的内容和要求进行响</w:t>
            </w:r>
            <w:r>
              <w:rPr>
                <w:rFonts w:hint="eastAsia" w:ascii="宋体" w:hAnsi="宋体" w:eastAsia="宋体" w:cs="宋体"/>
                <w:color w:val="auto"/>
                <w:spacing w:val="-10"/>
                <w:sz w:val="24"/>
                <w:szCs w:val="24"/>
                <w:highlight w:val="none"/>
              </w:rPr>
              <w:t>应。</w:t>
            </w:r>
          </w:p>
        </w:tc>
      </w:tr>
      <w:tr w14:paraId="0A2A5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277B9EDF">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10.2</w:t>
            </w:r>
          </w:p>
        </w:tc>
        <w:tc>
          <w:tcPr>
            <w:tcW w:w="943" w:type="pct"/>
            <w:vAlign w:val="center"/>
          </w:tcPr>
          <w:p w14:paraId="7AB678B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获取与查看通知</w:t>
            </w:r>
          </w:p>
        </w:tc>
        <w:tc>
          <w:tcPr>
            <w:tcW w:w="3512" w:type="pct"/>
            <w:gridSpan w:val="2"/>
            <w:vAlign w:val="center"/>
          </w:tcPr>
          <w:p w14:paraId="0D385689">
            <w:pPr>
              <w:pStyle w:val="30"/>
              <w:spacing w:before="108" w:line="283" w:lineRule="auto"/>
              <w:ind w:right="103" w:righ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2"/>
                <w:sz w:val="24"/>
                <w:szCs w:val="24"/>
                <w:highlight w:val="none"/>
                <w:lang w:val="en-US" w:eastAsia="zh-CN" w:bidi="ar"/>
              </w:rPr>
              <w:t>本招标项目的招标文件、澄清及修改等相关资料均通过电子服务系统发布，投标人应当及时登录电子服务系统自行查看并下载。</w:t>
            </w:r>
          </w:p>
        </w:tc>
      </w:tr>
      <w:tr w14:paraId="28642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294C9CF0">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10.3</w:t>
            </w:r>
          </w:p>
        </w:tc>
        <w:tc>
          <w:tcPr>
            <w:tcW w:w="943" w:type="pct"/>
            <w:vAlign w:val="center"/>
          </w:tcPr>
          <w:p w14:paraId="6210A5BB">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电子招标投标</w:t>
            </w:r>
          </w:p>
        </w:tc>
        <w:tc>
          <w:tcPr>
            <w:tcW w:w="3512" w:type="pct"/>
            <w:gridSpan w:val="2"/>
            <w:vAlign w:val="center"/>
          </w:tcPr>
          <w:p w14:paraId="4BC2D20F">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en-US" w:bidi="ar"/>
              </w:rPr>
            </w:pPr>
            <w:r>
              <w:rPr>
                <w:rFonts w:hint="eastAsia" w:ascii="宋体" w:hAnsi="宋体" w:eastAsia="宋体" w:cs="宋体"/>
                <w:bCs/>
                <w:snapToGrid w:val="0"/>
                <w:color w:val="auto"/>
                <w:kern w:val="2"/>
                <w:sz w:val="24"/>
                <w:szCs w:val="24"/>
                <w:highlight w:val="none"/>
                <w:lang w:val="en-US" w:eastAsia="zh-CN" w:bidi="ar"/>
              </w:rPr>
              <w:t>本招标项目实行全流程电子化交易，除招标文件另有规定外， 电子招标投标操作要求见本章附件一。</w:t>
            </w:r>
          </w:p>
        </w:tc>
      </w:tr>
      <w:tr w14:paraId="4FFF0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51A92548">
            <w:pPr>
              <w:pStyle w:val="30"/>
              <w:spacing w:before="68" w:line="183" w:lineRule="auto"/>
              <w:jc w:val="center"/>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10.4</w:t>
            </w:r>
          </w:p>
        </w:tc>
        <w:tc>
          <w:tcPr>
            <w:tcW w:w="943" w:type="pct"/>
            <w:vAlign w:val="center"/>
          </w:tcPr>
          <w:p w14:paraId="531B9C9F">
            <w:pPr>
              <w:jc w:val="center"/>
              <w:rPr>
                <w:rFonts w:hint="eastAsia" w:ascii="宋体" w:hAnsi="宋体" w:eastAsia="宋体" w:cs="宋体"/>
                <w:color w:val="auto"/>
                <w:sz w:val="24"/>
                <w:szCs w:val="24"/>
                <w:highlight w:val="none"/>
                <w:lang w:val="en-US" w:eastAsia="zh-CN"/>
              </w:rPr>
            </w:pPr>
          </w:p>
          <w:p w14:paraId="6DB52422">
            <w:pPr>
              <w:jc w:val="center"/>
              <w:rPr>
                <w:rFonts w:hint="eastAsia" w:ascii="宋体" w:hAnsi="宋体" w:eastAsia="宋体" w:cs="宋体"/>
                <w:color w:val="auto"/>
                <w:sz w:val="24"/>
                <w:szCs w:val="24"/>
                <w:highlight w:val="none"/>
                <w:lang w:val="en-US" w:eastAsia="zh-CN"/>
              </w:rPr>
            </w:pPr>
          </w:p>
          <w:p w14:paraId="4FC4F45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制作投标文件注意事项</w:t>
            </w:r>
          </w:p>
        </w:tc>
        <w:tc>
          <w:tcPr>
            <w:tcW w:w="3512" w:type="pct"/>
            <w:gridSpan w:val="2"/>
            <w:vAlign w:val="center"/>
          </w:tcPr>
          <w:p w14:paraId="18FDD288">
            <w:pPr>
              <w:keepNext w:val="0"/>
              <w:keepLines w:val="0"/>
              <w:widowControl w:val="0"/>
              <w:suppressLineNumbers w:val="0"/>
              <w:wordWrap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（1）制作投标文件前，必须及时升级电子投标文件制作工具至最新版本。投标人如未及时更新电子投标文件制作工具，产生的一切后果由投标人自行承担。</w:t>
            </w:r>
          </w:p>
          <w:p w14:paraId="3EA623FF">
            <w:pPr>
              <w:keepNext w:val="0"/>
              <w:keepLines w:val="0"/>
              <w:widowControl w:val="0"/>
              <w:suppressLineNumbers w:val="0"/>
              <w:wordWrap w:val="0"/>
              <w:snapToGrid w:val="0"/>
              <w:spacing w:before="0" w:beforeAutospacing="0" w:after="0" w:afterAutospacing="0" w:line="360" w:lineRule="auto"/>
              <w:ind w:left="0" w:leftChars="0" w:right="0" w:rightChars="0"/>
              <w:jc w:val="both"/>
              <w:rPr>
                <w:rFonts w:hint="eastAsia" w:ascii="宋体" w:hAnsi="宋体" w:eastAsia="宋体" w:cs="宋体"/>
                <w:color w:val="auto"/>
                <w:spacing w:val="-2"/>
                <w:sz w:val="24"/>
                <w:szCs w:val="24"/>
                <w:highlight w:val="none"/>
              </w:rPr>
            </w:pPr>
            <w:r>
              <w:rPr>
                <w:rFonts w:hint="eastAsia" w:ascii="宋体" w:hAnsi="宋体" w:eastAsia="宋体" w:cs="宋体"/>
                <w:bCs/>
                <w:snapToGrid w:val="0"/>
                <w:color w:val="auto"/>
                <w:kern w:val="0"/>
                <w:sz w:val="24"/>
                <w:szCs w:val="24"/>
                <w:highlight w:val="none"/>
                <w:lang w:val="en-US" w:eastAsia="zh-CN" w:bidi="ar"/>
              </w:rPr>
              <w:t>（2）在使用过程中如有技术问题，请致电0512-58188516。</w:t>
            </w:r>
          </w:p>
        </w:tc>
      </w:tr>
      <w:tr w14:paraId="7EEAD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44B4E452">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10.5</w:t>
            </w:r>
          </w:p>
        </w:tc>
        <w:tc>
          <w:tcPr>
            <w:tcW w:w="943" w:type="pct"/>
            <w:vAlign w:val="center"/>
          </w:tcPr>
          <w:p w14:paraId="2861A85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评标过程中的澄</w:t>
            </w:r>
          </w:p>
          <w:p w14:paraId="0BA6C7D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清、说明或补正</w:t>
            </w:r>
          </w:p>
        </w:tc>
        <w:tc>
          <w:tcPr>
            <w:tcW w:w="3512" w:type="pct"/>
            <w:gridSpan w:val="2"/>
            <w:vAlign w:val="center"/>
          </w:tcPr>
          <w:p w14:paraId="6D8B400E">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eastAsia="zh-CN" w:bidi="ar"/>
              </w:rPr>
            </w:pPr>
            <w:r>
              <w:rPr>
                <w:rFonts w:hint="eastAsia" w:ascii="宋体" w:hAnsi="宋体" w:eastAsia="宋体" w:cs="宋体"/>
                <w:bCs/>
                <w:snapToGrid w:val="0"/>
                <w:color w:val="auto"/>
                <w:kern w:val="0"/>
                <w:sz w:val="24"/>
                <w:szCs w:val="24"/>
                <w:highlight w:val="none"/>
                <w:lang w:val="en-US" w:eastAsia="zh-CN" w:bidi="ar"/>
              </w:rPr>
              <w:t>（1）评标委员会通过电子交易系统将需要澄清、说明或补正 的内容以询标函的形式发送给投标人，投标人应安排专人登录电子交易系统并保持在线状态，以便及时接收评标委员会可能发出的询标函。</w:t>
            </w:r>
          </w:p>
          <w:p w14:paraId="39E325F1">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0"/>
                <w:sz w:val="24"/>
                <w:szCs w:val="24"/>
                <w:highlight w:val="none"/>
                <w:lang w:val="en-US" w:eastAsia="zh-CN" w:bidi="ar"/>
              </w:rPr>
              <w:t>（2）因投标人未登录电子交易系统导致无法及时接收询标函 （远程网上询标）或未在规定时间（从评标委员会发起远程网上询标至询标结束原则上为15分钟，具体时间以网上询标系统所示时间为准）内按照评标委员会要求进行澄清、说明或补正内容的，视同投标人放弃澄清、说明或补正内容的权利，评标委员会可按照对投标人不利的解释进行判定。</w:t>
            </w:r>
          </w:p>
        </w:tc>
      </w:tr>
      <w:tr w14:paraId="67411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32BBC540">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w:t>
            </w:r>
            <w:r>
              <w:rPr>
                <w:rFonts w:hint="eastAsia" w:ascii="宋体" w:hAnsi="宋体" w:eastAsia="宋体" w:cs="宋体"/>
                <w:color w:val="auto"/>
                <w:spacing w:val="-4"/>
                <w:sz w:val="24"/>
                <w:szCs w:val="24"/>
                <w:highlight w:val="none"/>
                <w:lang w:val="en-US" w:eastAsia="zh-CN"/>
              </w:rPr>
              <w:t>6</w:t>
            </w:r>
          </w:p>
        </w:tc>
        <w:tc>
          <w:tcPr>
            <w:tcW w:w="943" w:type="pct"/>
            <w:vAlign w:val="center"/>
          </w:tcPr>
          <w:p w14:paraId="0D36476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投标人对所提供材</w:t>
            </w:r>
          </w:p>
          <w:p w14:paraId="5A0B3E6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料应承担的责任</w:t>
            </w:r>
          </w:p>
        </w:tc>
        <w:tc>
          <w:tcPr>
            <w:tcW w:w="3512" w:type="pct"/>
            <w:gridSpan w:val="2"/>
            <w:vAlign w:val="center"/>
          </w:tcPr>
          <w:p w14:paraId="69E9B6E1">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eastAsia="zh-CN" w:bidi="ar"/>
              </w:rPr>
            </w:pPr>
            <w:r>
              <w:rPr>
                <w:rFonts w:hint="eastAsia" w:ascii="宋体" w:hAnsi="宋体" w:eastAsia="宋体" w:cs="宋体"/>
                <w:bCs/>
                <w:snapToGrid w:val="0"/>
                <w:color w:val="auto"/>
                <w:kern w:val="0"/>
                <w:sz w:val="24"/>
                <w:szCs w:val="24"/>
                <w:highlight w:val="none"/>
                <w:lang w:val="en-US" w:eastAsia="zh-CN" w:bidi="ar"/>
              </w:rPr>
              <w:t>（1）投标人提供虚假材料谋取中标的，招标投标行政监督部门将依法处理，并记入不良行为记录，予以披露。</w:t>
            </w:r>
          </w:p>
          <w:p w14:paraId="6B59E75D">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0"/>
                <w:sz w:val="24"/>
                <w:szCs w:val="24"/>
                <w:highlight w:val="none"/>
                <w:lang w:val="en-US" w:eastAsia="zh-CN" w:bidi="ar"/>
              </w:rPr>
              <w:t>（2）投标人对所提供的材料承担缔约过失责任和法律责任。若投诉人或举报人对前述材料存在争议，进行有效投诉或举报，被投诉人、被举报人应当主动配合招标投标行政监督部门调查，并在规定期限内举证，提供有关证明材料；拒绝配合调查，且未在规定期限内举证、提供证明材料的，招标投标行政监督部门将依法处理。</w:t>
            </w:r>
          </w:p>
        </w:tc>
      </w:tr>
      <w:tr w14:paraId="72B83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542B1878">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w:t>
            </w:r>
            <w:r>
              <w:rPr>
                <w:rFonts w:hint="eastAsia" w:ascii="宋体" w:hAnsi="宋体" w:eastAsia="宋体" w:cs="宋体"/>
                <w:color w:val="auto"/>
                <w:spacing w:val="-4"/>
                <w:sz w:val="24"/>
                <w:szCs w:val="24"/>
                <w:highlight w:val="none"/>
                <w:lang w:val="en-US" w:eastAsia="zh-CN"/>
              </w:rPr>
              <w:t>7</w:t>
            </w:r>
          </w:p>
        </w:tc>
        <w:tc>
          <w:tcPr>
            <w:tcW w:w="943" w:type="pct"/>
            <w:vAlign w:val="center"/>
          </w:tcPr>
          <w:p w14:paraId="37F905F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中标人未履行相关</w:t>
            </w:r>
          </w:p>
          <w:p w14:paraId="14B3D18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义务的责任</w:t>
            </w:r>
          </w:p>
        </w:tc>
        <w:tc>
          <w:tcPr>
            <w:tcW w:w="3512" w:type="pct"/>
            <w:gridSpan w:val="2"/>
            <w:vAlign w:val="center"/>
          </w:tcPr>
          <w:p w14:paraId="5F78219F">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eastAsia="zh-CN" w:bidi="ar"/>
              </w:rPr>
            </w:pPr>
            <w:r>
              <w:rPr>
                <w:rFonts w:hint="eastAsia" w:ascii="宋体" w:hAnsi="宋体" w:eastAsia="宋体" w:cs="宋体"/>
                <w:color w:val="auto"/>
                <w:spacing w:val="2"/>
                <w:sz w:val="24"/>
                <w:szCs w:val="24"/>
                <w:highlight w:val="none"/>
              </w:rPr>
              <w:t>中</w:t>
            </w:r>
            <w:r>
              <w:rPr>
                <w:rFonts w:hint="eastAsia" w:ascii="宋体" w:hAnsi="宋体" w:eastAsia="宋体" w:cs="宋体"/>
                <w:bCs/>
                <w:snapToGrid w:val="0"/>
                <w:color w:val="auto"/>
                <w:kern w:val="0"/>
                <w:sz w:val="24"/>
                <w:szCs w:val="24"/>
                <w:highlight w:val="none"/>
                <w:lang w:val="en-US" w:eastAsia="zh-CN" w:bidi="ar"/>
              </w:rPr>
              <w:t>标人未履行相关义务的，招标投标行政监督部门将依法对中标人进行处理，追究相关责任：</w:t>
            </w:r>
          </w:p>
          <w:p w14:paraId="5FD6A229">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eastAsia="zh-CN" w:bidi="ar"/>
              </w:rPr>
            </w:pPr>
            <w:r>
              <w:rPr>
                <w:rFonts w:hint="eastAsia" w:ascii="宋体" w:hAnsi="宋体" w:eastAsia="宋体" w:cs="宋体"/>
                <w:bCs/>
                <w:snapToGrid w:val="0"/>
                <w:color w:val="auto"/>
                <w:kern w:val="0"/>
                <w:sz w:val="24"/>
                <w:szCs w:val="24"/>
                <w:highlight w:val="none"/>
                <w:lang w:val="en-US" w:eastAsia="zh-CN" w:bidi="ar"/>
              </w:rPr>
              <w:t>（1）中标后，中标人被招标投标行政监督部门查实存在违法行为，不满足中标条件的，由招标人取消其中标资格，并做好项目后续工作；</w:t>
            </w:r>
          </w:p>
          <w:p w14:paraId="379A7A0B">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eastAsia="zh-CN" w:bidi="ar"/>
              </w:rPr>
            </w:pPr>
            <w:r>
              <w:rPr>
                <w:rFonts w:hint="eastAsia" w:ascii="宋体" w:hAnsi="宋体" w:eastAsia="宋体" w:cs="宋体"/>
                <w:bCs/>
                <w:snapToGrid w:val="0"/>
                <w:color w:val="auto"/>
                <w:kern w:val="0"/>
                <w:sz w:val="24"/>
                <w:szCs w:val="24"/>
                <w:highlight w:val="none"/>
                <w:lang w:val="en-US" w:eastAsia="zh-CN" w:bidi="ar"/>
              </w:rPr>
              <w:t>（2）中标人应在规定期限内提交履约保证金并与招标人签订合同，若中标人未能在规定期限内提交履约保证金或签订合同，招标人有权取消其中标资格，并报招标投标行政监督部门；</w:t>
            </w:r>
          </w:p>
          <w:p w14:paraId="2D6AEB32">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0"/>
                <w:sz w:val="24"/>
                <w:szCs w:val="24"/>
                <w:highlight w:val="none"/>
                <w:lang w:val="en-US" w:eastAsia="zh-CN" w:bidi="ar"/>
              </w:rPr>
              <w:t>（3）合同签订后，中标人存在规定时间内不组织人员进场开工、不履行合同义务等情况，招标人有权解除合同，追究其违约责任，并报招标投标行政监督部门。</w:t>
            </w:r>
          </w:p>
        </w:tc>
      </w:tr>
      <w:tr w14:paraId="5574B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0863C9A5">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w:t>
            </w:r>
            <w:r>
              <w:rPr>
                <w:rFonts w:hint="eastAsia" w:ascii="宋体" w:hAnsi="宋体" w:eastAsia="宋体" w:cs="宋体"/>
                <w:color w:val="auto"/>
                <w:spacing w:val="-4"/>
                <w:sz w:val="24"/>
                <w:szCs w:val="24"/>
                <w:highlight w:val="none"/>
                <w:lang w:val="en-US" w:eastAsia="zh-CN"/>
              </w:rPr>
              <w:t>8</w:t>
            </w:r>
          </w:p>
        </w:tc>
        <w:tc>
          <w:tcPr>
            <w:tcW w:w="943" w:type="pct"/>
            <w:vAlign w:val="center"/>
          </w:tcPr>
          <w:p w14:paraId="204E03E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同义词语</w:t>
            </w:r>
          </w:p>
        </w:tc>
        <w:tc>
          <w:tcPr>
            <w:tcW w:w="3512" w:type="pct"/>
            <w:gridSpan w:val="2"/>
            <w:vAlign w:val="center"/>
          </w:tcPr>
          <w:p w14:paraId="429F5359">
            <w:pPr>
              <w:pStyle w:val="30"/>
              <w:spacing w:before="112" w:line="291" w:lineRule="auto"/>
              <w:ind w:left="97" w:leftChars="0" w:firstLine="18" w:firstLine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0"/>
                <w:sz w:val="24"/>
                <w:szCs w:val="24"/>
                <w:highlight w:val="none"/>
                <w:lang w:val="en-US" w:eastAsia="zh-CN" w:bidi="ar"/>
              </w:rPr>
              <w:t>构成招标文件组成部分的“通用合同条款”、“专用合同条款”、 “工程量清单”和“技术标准和要求”等章节中“发包人” 和“承包人”，等同于招标投标阶段的“招标人”和“投标人  /中标人”。</w:t>
            </w:r>
          </w:p>
        </w:tc>
      </w:tr>
      <w:tr w14:paraId="5C16F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543" w:type="pct"/>
            <w:vAlign w:val="center"/>
          </w:tcPr>
          <w:p w14:paraId="16BACC76">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w:t>
            </w:r>
            <w:r>
              <w:rPr>
                <w:rFonts w:hint="eastAsia" w:ascii="宋体" w:hAnsi="宋体" w:eastAsia="宋体" w:cs="宋体"/>
                <w:color w:val="auto"/>
                <w:spacing w:val="-4"/>
                <w:sz w:val="24"/>
                <w:szCs w:val="24"/>
                <w:highlight w:val="none"/>
                <w:lang w:val="en-US" w:eastAsia="zh-CN"/>
              </w:rPr>
              <w:t>9</w:t>
            </w:r>
          </w:p>
        </w:tc>
        <w:tc>
          <w:tcPr>
            <w:tcW w:w="943" w:type="pct"/>
            <w:vAlign w:val="center"/>
          </w:tcPr>
          <w:p w14:paraId="4D4E3D6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解释权</w:t>
            </w:r>
          </w:p>
        </w:tc>
        <w:tc>
          <w:tcPr>
            <w:tcW w:w="3512" w:type="pct"/>
            <w:gridSpan w:val="2"/>
            <w:vAlign w:val="center"/>
          </w:tcPr>
          <w:p w14:paraId="0547E642">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color w:val="auto"/>
                <w:sz w:val="24"/>
                <w:szCs w:val="24"/>
                <w:highlight w:val="none"/>
                <w:lang w:val="en-US" w:eastAsia="zh-CN"/>
              </w:rPr>
              <w:t>(</w:t>
            </w:r>
            <w:r>
              <w:rPr>
                <w:rFonts w:hint="eastAsia" w:ascii="宋体" w:hAnsi="宋体" w:eastAsia="宋体" w:cs="宋体"/>
                <w:bCs/>
                <w:snapToGrid w:val="0"/>
                <w:color w:val="auto"/>
                <w:kern w:val="2"/>
                <w:sz w:val="24"/>
                <w:szCs w:val="24"/>
                <w:highlight w:val="none"/>
                <w:lang w:val="en-US" w:eastAsia="zh-CN" w:bidi="ar"/>
              </w:rPr>
              <w:t>1)构成本招标文件的各个组成文件应互为解释，互为说明；</w:t>
            </w:r>
          </w:p>
          <w:p w14:paraId="21560870">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(2)同一组成文件中就同一事项的规定或约定不一致的，以编排顺序在后者为准；</w:t>
            </w:r>
          </w:p>
          <w:p w14:paraId="03FA2336">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(3)如有不明确或不一致，构成合同文件组成内容的，以合同文件约定内容为准，且以专用合同条款约定的合同文件优先顺序解释；</w:t>
            </w:r>
          </w:p>
          <w:p w14:paraId="2537F6B8">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(4)除招标文件中有特别规定外，仅适用于招标投标阶段的规定，按招标公告、投标人须知、评标办法、投标文件格式的先后顺序解释；</w:t>
            </w:r>
          </w:p>
          <w:p w14:paraId="10014861">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2"/>
                <w:sz w:val="24"/>
                <w:szCs w:val="24"/>
                <w:highlight w:val="none"/>
                <w:lang w:val="en-US" w:eastAsia="zh-CN" w:bidi="ar"/>
              </w:rPr>
              <w:t>(5)按本款前述规定仍不能形成结论的，由招标人负责解释。</w:t>
            </w:r>
          </w:p>
        </w:tc>
      </w:tr>
      <w:tr w14:paraId="20E66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570C0C54">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w:t>
            </w:r>
            <w:r>
              <w:rPr>
                <w:rFonts w:hint="eastAsia" w:ascii="宋体" w:hAnsi="宋体" w:eastAsia="宋体" w:cs="宋体"/>
                <w:color w:val="auto"/>
                <w:spacing w:val="-4"/>
                <w:sz w:val="24"/>
                <w:szCs w:val="24"/>
                <w:highlight w:val="none"/>
                <w:lang w:val="en-US" w:eastAsia="zh-CN"/>
              </w:rPr>
              <w:t>10</w:t>
            </w:r>
          </w:p>
        </w:tc>
        <w:tc>
          <w:tcPr>
            <w:tcW w:w="943" w:type="pct"/>
            <w:vAlign w:val="center"/>
          </w:tcPr>
          <w:p w14:paraId="680D5DA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创优目标</w:t>
            </w:r>
          </w:p>
        </w:tc>
        <w:tc>
          <w:tcPr>
            <w:tcW w:w="3512" w:type="pct"/>
            <w:gridSpan w:val="2"/>
            <w:vAlign w:val="center"/>
          </w:tcPr>
          <w:p w14:paraId="5AEE69EB">
            <w:pPr>
              <w:pStyle w:val="30"/>
              <w:spacing w:before="246"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无</w:t>
            </w:r>
          </w:p>
          <w:p w14:paraId="5355DAEE">
            <w:pPr>
              <w:pStyle w:val="30"/>
              <w:spacing w:before="108" w:line="221" w:lineRule="auto"/>
              <w:ind w:left="135" w:lef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□有，具体要求如下：</w:t>
            </w:r>
          </w:p>
        </w:tc>
      </w:tr>
      <w:tr w14:paraId="48F18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6A176322">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10.1</w:t>
            </w:r>
            <w:r>
              <w:rPr>
                <w:rFonts w:hint="eastAsia" w:ascii="宋体" w:hAnsi="宋体" w:eastAsia="宋体" w:cs="宋体"/>
                <w:color w:val="auto"/>
                <w:spacing w:val="-4"/>
                <w:sz w:val="24"/>
                <w:szCs w:val="24"/>
                <w:highlight w:val="none"/>
                <w:lang w:val="en-US" w:eastAsia="zh-CN"/>
              </w:rPr>
              <w:t>1</w:t>
            </w:r>
          </w:p>
        </w:tc>
        <w:tc>
          <w:tcPr>
            <w:tcW w:w="943" w:type="pct"/>
            <w:vAlign w:val="center"/>
          </w:tcPr>
          <w:p w14:paraId="10130BD1">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招标代理服务费及工程量清单和最高投标限价（招标控制价）编制费</w:t>
            </w:r>
          </w:p>
        </w:tc>
        <w:tc>
          <w:tcPr>
            <w:tcW w:w="3512" w:type="pct"/>
            <w:gridSpan w:val="2"/>
            <w:vAlign w:val="center"/>
          </w:tcPr>
          <w:p w14:paraId="51030308">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1、中标人须向招标代理机构缴纳招标代理服务费、工程量清</w:t>
            </w:r>
          </w:p>
          <w:p w14:paraId="1ADCCADD">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单和最高投标限价（招标控制价）编制费，汇入账号和账户如下：</w:t>
            </w:r>
          </w:p>
          <w:p w14:paraId="041823AE">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账户名称：肥东县公共资源交易有限公司</w:t>
            </w:r>
          </w:p>
          <w:p w14:paraId="22B77A43">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账    号：1302003109200230444</w:t>
            </w:r>
          </w:p>
          <w:p w14:paraId="3E9A1293">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开 户 行：中国工商银行股份有限公司肥东县支行</w:t>
            </w:r>
          </w:p>
          <w:p w14:paraId="71B65880">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2、招标代理服务费：以中标价为计算基数按照差额定率累进法，分标段按下表收费标准收取，投标人在报价单中不单列，包含在投标总价中，招标人不再单独计量支付。</w:t>
            </w:r>
          </w:p>
          <w:p w14:paraId="7598C327">
            <w:pPr>
              <w:keepNext w:val="0"/>
              <w:keepLines w:val="0"/>
              <w:widowControl/>
              <w:suppressLineNumbers w:val="0"/>
              <w:snapToGrid w:val="0"/>
              <w:spacing w:before="0" w:beforeAutospacing="0" w:after="0" w:afterAutospacing="0"/>
              <w:ind w:left="0" w:right="0" w:firstLine="482"/>
              <w:jc w:val="center"/>
              <w:rPr>
                <w:rFonts w:hint="eastAsia" w:ascii="宋体" w:hAnsi="宋体" w:eastAsia="宋体" w:cs="宋体"/>
                <w:b/>
                <w:bCs/>
                <w:color w:val="auto"/>
                <w:sz w:val="24"/>
                <w:szCs w:val="24"/>
                <w:highlight w:val="none"/>
                <w:lang w:val="en-US"/>
              </w:rPr>
            </w:pPr>
            <w:r>
              <w:rPr>
                <w:rFonts w:hint="eastAsia" w:ascii="宋体" w:hAnsi="宋体" w:eastAsia="宋体" w:cs="宋体"/>
                <w:b/>
                <w:bCs/>
                <w:snapToGrid w:val="0"/>
                <w:color w:val="auto"/>
                <w:kern w:val="0"/>
                <w:sz w:val="24"/>
                <w:szCs w:val="24"/>
                <w:highlight w:val="none"/>
                <w:lang w:val="en-US" w:eastAsia="zh-CN" w:bidi="ar"/>
              </w:rPr>
              <w:t>招标代理服务收费标准</w:t>
            </w:r>
          </w:p>
          <w:tbl>
            <w:tblPr>
              <w:tblStyle w:val="14"/>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1453"/>
              <w:gridCol w:w="1296"/>
              <w:gridCol w:w="1312"/>
              <w:gridCol w:w="1312"/>
            </w:tblGrid>
            <w:tr w14:paraId="3A79A15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3FFD8519">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lang w:val="en-US"/>
                    </w:rPr>
                  </w:pPr>
                  <w:r>
                    <w:rPr>
                      <w:rFonts w:hint="eastAsia" w:ascii="宋体" w:hAnsi="宋体" w:eastAsia="宋体" w:cs="宋体"/>
                      <w:b/>
                      <w:bCs/>
                      <w:snapToGrid w:val="0"/>
                      <w:color w:val="auto"/>
                      <w:kern w:val="0"/>
                      <w:sz w:val="24"/>
                      <w:szCs w:val="24"/>
                      <w:highlight w:val="none"/>
                      <w:lang w:val="en-US" w:eastAsia="zh-CN" w:bidi="ar"/>
                    </w:rPr>
                    <w:t>中标金额</w:t>
                  </w:r>
                </w:p>
              </w:tc>
              <w:tc>
                <w:tcPr>
                  <w:tcW w:w="1296" w:type="dxa"/>
                  <w:tcBorders>
                    <w:top w:val="single" w:color="auto" w:sz="4" w:space="0"/>
                    <w:left w:val="nil"/>
                    <w:bottom w:val="single" w:color="auto" w:sz="4" w:space="0"/>
                    <w:right w:val="single" w:color="auto" w:sz="4" w:space="0"/>
                  </w:tcBorders>
                  <w:shd w:val="clear" w:color="auto" w:fill="auto"/>
                  <w:vAlign w:val="center"/>
                </w:tcPr>
                <w:p w14:paraId="2F13738E">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lang w:val="en-US"/>
                    </w:rPr>
                  </w:pPr>
                  <w:r>
                    <w:rPr>
                      <w:rFonts w:hint="eastAsia" w:ascii="宋体" w:hAnsi="宋体" w:eastAsia="宋体" w:cs="宋体"/>
                      <w:b/>
                      <w:bCs/>
                      <w:snapToGrid w:val="0"/>
                      <w:color w:val="auto"/>
                      <w:kern w:val="0"/>
                      <w:sz w:val="24"/>
                      <w:szCs w:val="24"/>
                      <w:highlight w:val="none"/>
                      <w:lang w:val="en-US" w:eastAsia="zh-CN" w:bidi="ar"/>
                    </w:rPr>
                    <w:t>货物招标</w:t>
                  </w:r>
                </w:p>
              </w:tc>
              <w:tc>
                <w:tcPr>
                  <w:tcW w:w="1312" w:type="dxa"/>
                  <w:tcBorders>
                    <w:top w:val="single" w:color="auto" w:sz="4" w:space="0"/>
                    <w:left w:val="nil"/>
                    <w:bottom w:val="single" w:color="auto" w:sz="4" w:space="0"/>
                    <w:right w:val="single" w:color="auto" w:sz="4" w:space="0"/>
                  </w:tcBorders>
                  <w:shd w:val="clear" w:color="auto" w:fill="auto"/>
                  <w:vAlign w:val="center"/>
                </w:tcPr>
                <w:p w14:paraId="09A83E98">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lang w:val="en-US"/>
                    </w:rPr>
                  </w:pPr>
                  <w:r>
                    <w:rPr>
                      <w:rFonts w:hint="eastAsia" w:ascii="宋体" w:hAnsi="宋体" w:eastAsia="宋体" w:cs="宋体"/>
                      <w:b/>
                      <w:bCs/>
                      <w:snapToGrid w:val="0"/>
                      <w:color w:val="auto"/>
                      <w:kern w:val="0"/>
                      <w:sz w:val="24"/>
                      <w:szCs w:val="24"/>
                      <w:highlight w:val="none"/>
                      <w:lang w:val="en-US" w:eastAsia="zh-CN" w:bidi="ar"/>
                    </w:rPr>
                    <w:t>服务招标</w:t>
                  </w:r>
                </w:p>
              </w:tc>
              <w:tc>
                <w:tcPr>
                  <w:tcW w:w="1312" w:type="dxa"/>
                  <w:tcBorders>
                    <w:top w:val="single" w:color="auto" w:sz="4" w:space="0"/>
                    <w:left w:val="nil"/>
                    <w:bottom w:val="single" w:color="auto" w:sz="4" w:space="0"/>
                    <w:right w:val="single" w:color="auto" w:sz="4" w:space="0"/>
                  </w:tcBorders>
                  <w:shd w:val="clear" w:color="auto" w:fill="auto"/>
                  <w:vAlign w:val="center"/>
                </w:tcPr>
                <w:p w14:paraId="771C3C33">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lang w:val="en-US"/>
                    </w:rPr>
                  </w:pPr>
                  <w:r>
                    <w:rPr>
                      <w:rFonts w:hint="eastAsia" w:ascii="宋体" w:hAnsi="宋体" w:eastAsia="宋体" w:cs="宋体"/>
                      <w:b/>
                      <w:bCs/>
                      <w:snapToGrid w:val="0"/>
                      <w:color w:val="auto"/>
                      <w:kern w:val="0"/>
                      <w:sz w:val="24"/>
                      <w:szCs w:val="24"/>
                      <w:highlight w:val="none"/>
                      <w:lang w:val="en-US" w:eastAsia="zh-CN" w:bidi="ar"/>
                    </w:rPr>
                    <w:t>工程招标</w:t>
                  </w:r>
                </w:p>
              </w:tc>
            </w:tr>
            <w:tr w14:paraId="2CC91E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220C0EFB">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100万元以下（含100万元）</w:t>
                  </w:r>
                </w:p>
              </w:tc>
              <w:tc>
                <w:tcPr>
                  <w:tcW w:w="1296" w:type="dxa"/>
                  <w:tcBorders>
                    <w:top w:val="single" w:color="auto" w:sz="4" w:space="0"/>
                    <w:left w:val="nil"/>
                    <w:bottom w:val="single" w:color="auto" w:sz="4" w:space="0"/>
                    <w:right w:val="single" w:color="auto" w:sz="4" w:space="0"/>
                  </w:tcBorders>
                  <w:shd w:val="clear" w:color="auto" w:fill="auto"/>
                  <w:vAlign w:val="center"/>
                </w:tcPr>
                <w:p w14:paraId="24A8DC04">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1.5%</w:t>
                  </w:r>
                </w:p>
              </w:tc>
              <w:tc>
                <w:tcPr>
                  <w:tcW w:w="1312" w:type="dxa"/>
                  <w:tcBorders>
                    <w:top w:val="single" w:color="auto" w:sz="4" w:space="0"/>
                    <w:left w:val="nil"/>
                    <w:bottom w:val="single" w:color="auto" w:sz="4" w:space="0"/>
                    <w:right w:val="single" w:color="auto" w:sz="4" w:space="0"/>
                  </w:tcBorders>
                  <w:shd w:val="clear" w:color="auto" w:fill="auto"/>
                  <w:vAlign w:val="center"/>
                </w:tcPr>
                <w:p w14:paraId="3D054EC7">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1.5%</w:t>
                  </w:r>
                </w:p>
              </w:tc>
              <w:tc>
                <w:tcPr>
                  <w:tcW w:w="1312" w:type="dxa"/>
                  <w:tcBorders>
                    <w:top w:val="single" w:color="auto" w:sz="4" w:space="0"/>
                    <w:left w:val="nil"/>
                    <w:bottom w:val="single" w:color="auto" w:sz="4" w:space="0"/>
                    <w:right w:val="single" w:color="auto" w:sz="4" w:space="0"/>
                  </w:tcBorders>
                  <w:shd w:val="clear" w:color="auto" w:fill="auto"/>
                  <w:vAlign w:val="center"/>
                </w:tcPr>
                <w:p w14:paraId="168449BD">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1.0%</w:t>
                  </w:r>
                </w:p>
              </w:tc>
            </w:tr>
            <w:tr w14:paraId="39F1EE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75C9314E">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100万元-500万元（含500万元）</w:t>
                  </w:r>
                </w:p>
              </w:tc>
              <w:tc>
                <w:tcPr>
                  <w:tcW w:w="1296" w:type="dxa"/>
                  <w:tcBorders>
                    <w:top w:val="single" w:color="auto" w:sz="4" w:space="0"/>
                    <w:left w:val="nil"/>
                    <w:bottom w:val="single" w:color="auto" w:sz="4" w:space="0"/>
                    <w:right w:val="single" w:color="auto" w:sz="4" w:space="0"/>
                  </w:tcBorders>
                  <w:shd w:val="clear" w:color="auto" w:fill="auto"/>
                  <w:vAlign w:val="center"/>
                </w:tcPr>
                <w:p w14:paraId="4D01852F">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1.1%</w:t>
                  </w:r>
                </w:p>
              </w:tc>
              <w:tc>
                <w:tcPr>
                  <w:tcW w:w="1312" w:type="dxa"/>
                  <w:tcBorders>
                    <w:top w:val="single" w:color="auto" w:sz="4" w:space="0"/>
                    <w:left w:val="nil"/>
                    <w:bottom w:val="single" w:color="auto" w:sz="4" w:space="0"/>
                    <w:right w:val="single" w:color="auto" w:sz="4" w:space="0"/>
                  </w:tcBorders>
                  <w:shd w:val="clear" w:color="auto" w:fill="auto"/>
                  <w:vAlign w:val="center"/>
                </w:tcPr>
                <w:p w14:paraId="68FD2EE5">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0.8%</w:t>
                  </w:r>
                </w:p>
              </w:tc>
              <w:tc>
                <w:tcPr>
                  <w:tcW w:w="1312" w:type="dxa"/>
                  <w:tcBorders>
                    <w:top w:val="single" w:color="auto" w:sz="4" w:space="0"/>
                    <w:left w:val="nil"/>
                    <w:bottom w:val="single" w:color="auto" w:sz="4" w:space="0"/>
                    <w:right w:val="single" w:color="auto" w:sz="4" w:space="0"/>
                  </w:tcBorders>
                  <w:shd w:val="clear" w:color="auto" w:fill="auto"/>
                  <w:vAlign w:val="center"/>
                </w:tcPr>
                <w:p w14:paraId="039BF4C9">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0.7%</w:t>
                  </w:r>
                </w:p>
              </w:tc>
            </w:tr>
            <w:tr w14:paraId="5D9404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39EA8708">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500万元-1000万元（含1000万元）</w:t>
                  </w:r>
                </w:p>
              </w:tc>
              <w:tc>
                <w:tcPr>
                  <w:tcW w:w="1296" w:type="dxa"/>
                  <w:tcBorders>
                    <w:top w:val="single" w:color="auto" w:sz="4" w:space="0"/>
                    <w:left w:val="nil"/>
                    <w:bottom w:val="single" w:color="auto" w:sz="4" w:space="0"/>
                    <w:right w:val="single" w:color="auto" w:sz="4" w:space="0"/>
                  </w:tcBorders>
                  <w:shd w:val="clear" w:color="auto" w:fill="auto"/>
                  <w:vAlign w:val="center"/>
                </w:tcPr>
                <w:p w14:paraId="52D04A84">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0.8%</w:t>
                  </w:r>
                </w:p>
              </w:tc>
              <w:tc>
                <w:tcPr>
                  <w:tcW w:w="1312" w:type="dxa"/>
                  <w:tcBorders>
                    <w:top w:val="single" w:color="auto" w:sz="4" w:space="0"/>
                    <w:left w:val="nil"/>
                    <w:bottom w:val="single" w:color="auto" w:sz="4" w:space="0"/>
                    <w:right w:val="single" w:color="auto" w:sz="4" w:space="0"/>
                  </w:tcBorders>
                  <w:shd w:val="clear" w:color="auto" w:fill="auto"/>
                  <w:vAlign w:val="center"/>
                </w:tcPr>
                <w:p w14:paraId="5314A427">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0.45%</w:t>
                  </w:r>
                </w:p>
              </w:tc>
              <w:tc>
                <w:tcPr>
                  <w:tcW w:w="1312" w:type="dxa"/>
                  <w:tcBorders>
                    <w:top w:val="single" w:color="auto" w:sz="4" w:space="0"/>
                    <w:left w:val="nil"/>
                    <w:bottom w:val="single" w:color="auto" w:sz="4" w:space="0"/>
                    <w:right w:val="single" w:color="auto" w:sz="4" w:space="0"/>
                  </w:tcBorders>
                  <w:shd w:val="clear" w:color="auto" w:fill="auto"/>
                  <w:vAlign w:val="center"/>
                </w:tcPr>
                <w:p w14:paraId="3DC6F57E">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0.55%</w:t>
                  </w:r>
                </w:p>
              </w:tc>
            </w:tr>
            <w:tr w14:paraId="795B552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76FF6253">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1000万元-5000万元（含5000万元）</w:t>
                  </w:r>
                </w:p>
              </w:tc>
              <w:tc>
                <w:tcPr>
                  <w:tcW w:w="1296" w:type="dxa"/>
                  <w:tcBorders>
                    <w:top w:val="single" w:color="auto" w:sz="4" w:space="0"/>
                    <w:left w:val="nil"/>
                    <w:bottom w:val="single" w:color="auto" w:sz="4" w:space="0"/>
                    <w:right w:val="single" w:color="auto" w:sz="4" w:space="0"/>
                  </w:tcBorders>
                  <w:shd w:val="clear" w:color="auto" w:fill="auto"/>
                  <w:vAlign w:val="center"/>
                </w:tcPr>
                <w:p w14:paraId="036EF51F">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0.5%</w:t>
                  </w:r>
                </w:p>
              </w:tc>
              <w:tc>
                <w:tcPr>
                  <w:tcW w:w="1312" w:type="dxa"/>
                  <w:tcBorders>
                    <w:top w:val="single" w:color="auto" w:sz="4" w:space="0"/>
                    <w:left w:val="nil"/>
                    <w:bottom w:val="single" w:color="auto" w:sz="4" w:space="0"/>
                    <w:right w:val="single" w:color="auto" w:sz="4" w:space="0"/>
                  </w:tcBorders>
                  <w:shd w:val="clear" w:color="auto" w:fill="auto"/>
                  <w:vAlign w:val="center"/>
                </w:tcPr>
                <w:p w14:paraId="234EB920">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0.25%</w:t>
                  </w:r>
                </w:p>
              </w:tc>
              <w:tc>
                <w:tcPr>
                  <w:tcW w:w="1312" w:type="dxa"/>
                  <w:tcBorders>
                    <w:top w:val="single" w:color="auto" w:sz="4" w:space="0"/>
                    <w:left w:val="nil"/>
                    <w:bottom w:val="single" w:color="auto" w:sz="4" w:space="0"/>
                    <w:right w:val="single" w:color="auto" w:sz="4" w:space="0"/>
                  </w:tcBorders>
                  <w:shd w:val="clear" w:color="auto" w:fill="auto"/>
                  <w:vAlign w:val="center"/>
                </w:tcPr>
                <w:p w14:paraId="1C405C87">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0.35%</w:t>
                  </w:r>
                </w:p>
              </w:tc>
            </w:tr>
            <w:tr w14:paraId="109976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49FA8CD2">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5000万元-1亿元（含1亿元）</w:t>
                  </w:r>
                </w:p>
              </w:tc>
              <w:tc>
                <w:tcPr>
                  <w:tcW w:w="1296" w:type="dxa"/>
                  <w:tcBorders>
                    <w:top w:val="single" w:color="auto" w:sz="4" w:space="0"/>
                    <w:left w:val="nil"/>
                    <w:bottom w:val="single" w:color="auto" w:sz="4" w:space="0"/>
                    <w:right w:val="single" w:color="auto" w:sz="4" w:space="0"/>
                  </w:tcBorders>
                  <w:shd w:val="clear" w:color="auto" w:fill="auto"/>
                  <w:vAlign w:val="center"/>
                </w:tcPr>
                <w:p w14:paraId="5DD6DEAA">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0.25%</w:t>
                  </w:r>
                </w:p>
              </w:tc>
              <w:tc>
                <w:tcPr>
                  <w:tcW w:w="1312" w:type="dxa"/>
                  <w:tcBorders>
                    <w:top w:val="single" w:color="auto" w:sz="4" w:space="0"/>
                    <w:left w:val="nil"/>
                    <w:bottom w:val="single" w:color="auto" w:sz="4" w:space="0"/>
                    <w:right w:val="single" w:color="auto" w:sz="4" w:space="0"/>
                  </w:tcBorders>
                  <w:shd w:val="clear" w:color="auto" w:fill="auto"/>
                  <w:vAlign w:val="center"/>
                </w:tcPr>
                <w:p w14:paraId="6E5D1EAC">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0.1%</w:t>
                  </w:r>
                </w:p>
              </w:tc>
              <w:tc>
                <w:tcPr>
                  <w:tcW w:w="1312" w:type="dxa"/>
                  <w:tcBorders>
                    <w:top w:val="single" w:color="auto" w:sz="4" w:space="0"/>
                    <w:left w:val="nil"/>
                    <w:bottom w:val="single" w:color="auto" w:sz="4" w:space="0"/>
                    <w:right w:val="single" w:color="auto" w:sz="4" w:space="0"/>
                  </w:tcBorders>
                  <w:shd w:val="clear" w:color="auto" w:fill="auto"/>
                  <w:vAlign w:val="center"/>
                </w:tcPr>
                <w:p w14:paraId="5D128FBE">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0.2%</w:t>
                  </w:r>
                </w:p>
              </w:tc>
            </w:tr>
            <w:tr w14:paraId="35A9113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1695C344">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1亿元-10亿元（含10亿元）</w:t>
                  </w:r>
                </w:p>
              </w:tc>
              <w:tc>
                <w:tcPr>
                  <w:tcW w:w="1296" w:type="dxa"/>
                  <w:tcBorders>
                    <w:top w:val="single" w:color="auto" w:sz="4" w:space="0"/>
                    <w:left w:val="nil"/>
                    <w:bottom w:val="single" w:color="auto" w:sz="4" w:space="0"/>
                    <w:right w:val="single" w:color="auto" w:sz="4" w:space="0"/>
                  </w:tcBorders>
                  <w:shd w:val="clear" w:color="auto" w:fill="auto"/>
                  <w:vAlign w:val="center"/>
                </w:tcPr>
                <w:p w14:paraId="722FE2F4">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0.05%</w:t>
                  </w:r>
                </w:p>
              </w:tc>
              <w:tc>
                <w:tcPr>
                  <w:tcW w:w="1312" w:type="dxa"/>
                  <w:tcBorders>
                    <w:top w:val="single" w:color="auto" w:sz="4" w:space="0"/>
                    <w:left w:val="nil"/>
                    <w:bottom w:val="single" w:color="auto" w:sz="4" w:space="0"/>
                    <w:right w:val="single" w:color="auto" w:sz="4" w:space="0"/>
                  </w:tcBorders>
                  <w:shd w:val="clear" w:color="auto" w:fill="auto"/>
                  <w:vAlign w:val="center"/>
                </w:tcPr>
                <w:p w14:paraId="798F5711">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0.05%</w:t>
                  </w:r>
                </w:p>
              </w:tc>
              <w:tc>
                <w:tcPr>
                  <w:tcW w:w="1312" w:type="dxa"/>
                  <w:tcBorders>
                    <w:top w:val="single" w:color="auto" w:sz="4" w:space="0"/>
                    <w:left w:val="nil"/>
                    <w:bottom w:val="single" w:color="auto" w:sz="4" w:space="0"/>
                    <w:right w:val="single" w:color="auto" w:sz="4" w:space="0"/>
                  </w:tcBorders>
                  <w:shd w:val="clear" w:color="auto" w:fill="auto"/>
                  <w:vAlign w:val="center"/>
                </w:tcPr>
                <w:p w14:paraId="1F971BDF">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0.05%</w:t>
                  </w:r>
                </w:p>
              </w:tc>
            </w:tr>
            <w:tr w14:paraId="3F0D25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62" w:hRule="atLeast"/>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697555B3">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10亿元以上</w:t>
                  </w:r>
                </w:p>
              </w:tc>
              <w:tc>
                <w:tcPr>
                  <w:tcW w:w="1296" w:type="dxa"/>
                  <w:tcBorders>
                    <w:top w:val="single" w:color="auto" w:sz="4" w:space="0"/>
                    <w:left w:val="nil"/>
                    <w:bottom w:val="single" w:color="auto" w:sz="4" w:space="0"/>
                    <w:right w:val="single" w:color="auto" w:sz="4" w:space="0"/>
                  </w:tcBorders>
                  <w:shd w:val="clear" w:color="auto" w:fill="auto"/>
                  <w:vAlign w:val="center"/>
                </w:tcPr>
                <w:p w14:paraId="386A5CD2">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0.01%</w:t>
                  </w:r>
                </w:p>
              </w:tc>
              <w:tc>
                <w:tcPr>
                  <w:tcW w:w="1312" w:type="dxa"/>
                  <w:tcBorders>
                    <w:top w:val="single" w:color="auto" w:sz="4" w:space="0"/>
                    <w:left w:val="nil"/>
                    <w:bottom w:val="single" w:color="auto" w:sz="4" w:space="0"/>
                    <w:right w:val="single" w:color="auto" w:sz="4" w:space="0"/>
                  </w:tcBorders>
                  <w:shd w:val="clear" w:color="auto" w:fill="auto"/>
                  <w:vAlign w:val="center"/>
                </w:tcPr>
                <w:p w14:paraId="262EAFD3">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0.01%</w:t>
                  </w:r>
                </w:p>
              </w:tc>
              <w:tc>
                <w:tcPr>
                  <w:tcW w:w="1312" w:type="dxa"/>
                  <w:tcBorders>
                    <w:top w:val="single" w:color="auto" w:sz="4" w:space="0"/>
                    <w:left w:val="nil"/>
                    <w:bottom w:val="single" w:color="auto" w:sz="4" w:space="0"/>
                    <w:right w:val="single" w:color="auto" w:sz="4" w:space="0"/>
                  </w:tcBorders>
                  <w:shd w:val="clear" w:color="auto" w:fill="auto"/>
                  <w:vAlign w:val="center"/>
                </w:tcPr>
                <w:p w14:paraId="77CB31A0">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0.01%</w:t>
                  </w:r>
                </w:p>
              </w:tc>
            </w:tr>
          </w:tbl>
          <w:p w14:paraId="1AAF60B8">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注：招标代理服务费按差额定率累进法计算。例如：某工程招标代理业务中标金额为6000万元，计算招标代理服务费如下：</w:t>
            </w:r>
          </w:p>
          <w:p w14:paraId="0F52CCE1">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100万元×1.0％×80％＝0.8万元</w:t>
            </w:r>
          </w:p>
          <w:p w14:paraId="2EB1B897">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（500－100）万元×0.7％×80％＝2.24万元</w:t>
            </w:r>
          </w:p>
          <w:p w14:paraId="34323F3E">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（1000－500）万元×0.55％×80％＝2.2万元</w:t>
            </w:r>
          </w:p>
          <w:p w14:paraId="77DC77D9">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（5000－1000）万元×0.35％×80％＝11.2万元</w:t>
            </w:r>
          </w:p>
          <w:p w14:paraId="5DF3FAE0">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（6000－5000）万元×0.2％×80％＝1.6万元</w:t>
            </w:r>
          </w:p>
          <w:p w14:paraId="224CB632">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合计收费＝0.8＋2.24＋2.2＋11.2＋1.6＝18.04(万元)</w:t>
            </w:r>
          </w:p>
          <w:p w14:paraId="517E356E">
            <w:pPr>
              <w:keepNext w:val="0"/>
              <w:keepLines w:val="0"/>
              <w:widowControl/>
              <w:numPr>
                <w:ilvl w:val="0"/>
                <w:numId w:val="1"/>
              </w:numPr>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工程量清单和最高投标限价（招标控制价）编制费：以中标价为计算基数，具体收费标准按附件1对应表格相应类别规定标准收取，不足1000元的按1000元收取。投标人在报价单中不单列，包含在投标总价中，招标人不再单独计量支付。本工程收费标准参照建筑工程专业计费标准收取工程量清</w:t>
            </w:r>
          </w:p>
          <w:p w14:paraId="6BF0762B">
            <w:pPr>
              <w:keepNext w:val="0"/>
              <w:keepLines w:val="0"/>
              <w:widowControl/>
              <w:numPr>
                <w:ilvl w:val="0"/>
                <w:numId w:val="0"/>
              </w:numPr>
              <w:suppressLineNumbers w:val="0"/>
              <w:snapToGrid w:val="0"/>
              <w:spacing w:before="0" w:beforeAutospacing="0" w:after="0" w:afterAutospacing="0" w:line="360" w:lineRule="auto"/>
              <w:ind w:right="0" w:rightChars="0"/>
              <w:jc w:val="both"/>
              <w:rPr>
                <w:rFonts w:hint="eastAsia" w:ascii="宋体" w:hAnsi="宋体" w:eastAsia="宋体" w:cs="宋体"/>
                <w:bCs/>
                <w:snapToGrid w:val="0"/>
                <w:color w:val="auto"/>
                <w:kern w:val="2"/>
                <w:sz w:val="24"/>
                <w:szCs w:val="24"/>
                <w:highlight w:val="none"/>
                <w:lang w:val="en-US" w:eastAsia="en-US" w:bidi="ar"/>
              </w:rPr>
            </w:pPr>
            <w:r>
              <w:rPr>
                <w:rFonts w:hint="eastAsia" w:ascii="宋体" w:hAnsi="宋体" w:eastAsia="宋体" w:cs="宋体"/>
                <w:bCs/>
                <w:snapToGrid w:val="0"/>
                <w:color w:val="auto"/>
                <w:kern w:val="2"/>
                <w:sz w:val="24"/>
                <w:szCs w:val="24"/>
                <w:highlight w:val="none"/>
                <w:lang w:val="en-US" w:eastAsia="zh-CN" w:bidi="ar"/>
              </w:rPr>
              <w:t>单和最高投标限价（招标控制价）编制费。</w:t>
            </w:r>
          </w:p>
        </w:tc>
      </w:tr>
      <w:tr w14:paraId="62696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00FBDAB6">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10.1</w:t>
            </w:r>
            <w:r>
              <w:rPr>
                <w:rFonts w:hint="eastAsia" w:ascii="宋体" w:hAnsi="宋体" w:eastAsia="宋体" w:cs="宋体"/>
                <w:color w:val="auto"/>
                <w:spacing w:val="-4"/>
                <w:sz w:val="24"/>
                <w:szCs w:val="24"/>
                <w:highlight w:val="none"/>
                <w:lang w:val="en-US" w:eastAsia="zh-CN"/>
              </w:rPr>
              <w:t>2</w:t>
            </w:r>
          </w:p>
        </w:tc>
        <w:tc>
          <w:tcPr>
            <w:tcW w:w="943" w:type="pct"/>
            <w:vAlign w:val="center"/>
          </w:tcPr>
          <w:p w14:paraId="0ECDEF3F">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z w:val="24"/>
                <w:szCs w:val="24"/>
                <w:highlight w:val="none"/>
                <w:lang w:val="en-US" w:eastAsia="zh-CN"/>
              </w:rPr>
              <w:t>投标所需资料</w:t>
            </w:r>
          </w:p>
        </w:tc>
        <w:tc>
          <w:tcPr>
            <w:tcW w:w="3512" w:type="pct"/>
            <w:gridSpan w:val="2"/>
            <w:vAlign w:val="center"/>
          </w:tcPr>
          <w:p w14:paraId="45323273">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1）投标人按照招标文件要求编制投标文件并对投标文件进行电子签章并使用数字证书加密，并于招标文件规定的投标截止时间前通过电子交易系统完成上传。投标人应合理安排投标文件递交时间，特别是网络速度慢的地区防止在系统关闭前网络拥堵无法操作。如果因计算机及网络故障造成无法完成投标文件递交情形，责任自负。</w:t>
            </w:r>
          </w:p>
          <w:p w14:paraId="41829A77">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（2）投标人应及时查看上传的相关资料，如出现上传的相应投标资料不全、模糊不清、超出有效期等情况，评标委员会将作出对投标人不利的认定，由此产生的一切后果由投标人自行承担。</w:t>
            </w:r>
          </w:p>
          <w:p w14:paraId="43072497">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3）投标人提供的营业执照、资质证书、安全生产许可证、安全生产考核合格证书、注册建造师证书、安全生产考核合格证书等证书证件应在有效期内，若法律法规或发证机构或相关主管部门另有规定的，从其规定。投标人在投标文件中提供了相关证明材料，或经询标被评标委员会认定符合相关规定的，评标委员会应予以认可。</w:t>
            </w:r>
          </w:p>
          <w:p w14:paraId="1B03E10A">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4）在编制投标文件时，如投标人提供的证书显示的相关信息不能满足评审需要的，投标人应在投标文件中提供满足评审要求的直接证明材料。如需要通过查询验证的（如扫描证书上的二维码等），投标人须自行查询验证，并将查询验证后的相关信息或界面通过“其他材料”窗口上传，评标过程中，评委会不作任何查询。</w:t>
            </w:r>
          </w:p>
          <w:p w14:paraId="73D4CC08">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5）投标人在参与招标采购活动时可直接使用电子交易系统提供的电子证照。投标人应当自行核验政务数据的准确性，并对引用的政务数据承担责任。招标人、评标委员会不得因政务数据非实质性的格式、形式等问题限制和影响投标人参与招标采购活动。</w:t>
            </w:r>
          </w:p>
          <w:p w14:paraId="0979961D">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（6）采用一级建造师投标的应符合《住房和城乡建设部办公厅关于全面实行一级建造师电子注册证书的通知》(建办市〔2021〕40 号)规定，投标文件应提供一级建造师电子注册证书，且应在个人签名处手写本人签名，未手写签名或与签名图像笔迹不一致的，该电子证书无效。</w:t>
            </w:r>
          </w:p>
          <w:p w14:paraId="2530503B">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2"/>
                <w:sz w:val="24"/>
                <w:szCs w:val="24"/>
                <w:highlight w:val="none"/>
                <w:lang w:val="en-US" w:eastAsia="zh-CN" w:bidi="ar"/>
              </w:rPr>
              <w:t>（7）具体资料以第三章“评标办法”和第八章“投标文件格式”要求为准。</w:t>
            </w:r>
          </w:p>
        </w:tc>
      </w:tr>
      <w:tr w14:paraId="1F81D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6CAFC2E3">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10.1</w:t>
            </w:r>
            <w:r>
              <w:rPr>
                <w:rFonts w:hint="eastAsia" w:ascii="宋体" w:hAnsi="宋体" w:eastAsia="宋体" w:cs="宋体"/>
                <w:color w:val="auto"/>
                <w:spacing w:val="-4"/>
                <w:sz w:val="24"/>
                <w:szCs w:val="24"/>
                <w:highlight w:val="none"/>
                <w:lang w:val="en-US" w:eastAsia="zh-CN"/>
              </w:rPr>
              <w:t>3</w:t>
            </w:r>
          </w:p>
        </w:tc>
        <w:tc>
          <w:tcPr>
            <w:tcW w:w="943" w:type="pct"/>
            <w:vAlign w:val="center"/>
          </w:tcPr>
          <w:p w14:paraId="08B3CDCD">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相关政策要求</w:t>
            </w:r>
          </w:p>
        </w:tc>
        <w:tc>
          <w:tcPr>
            <w:tcW w:w="3512" w:type="pct"/>
            <w:gridSpan w:val="2"/>
            <w:vAlign w:val="center"/>
          </w:tcPr>
          <w:p w14:paraId="0C3E477C">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（1）承包人在工程实施过程中的用工行为，必须严格按照《保障农民工工资支付条例》（国令第 724 号）《工程建设领域农民工工资专用账户管理暂行办法》（人社部发〔2021〕53 号）及安徽省、合肥市等文件精神的有关规定，依法与招用的农民工签订劳动合同，并按规定及时足额支付工资。承包人必须按照合肥市相关文件设立农民工工资专用账户，专户资金使用、监管严格按照合肥市相关文件执行。</w:t>
            </w:r>
          </w:p>
          <w:p w14:paraId="64CE6FC0">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（2）工程质量保证金执行《关于以保函等方式替代工程质量保证金的通知》（合建〔2020〕29号文件）。</w:t>
            </w:r>
          </w:p>
          <w:p w14:paraId="16EF0F33">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（3）农民工工资保证金保函严格执行转发《关于印发〈安徽省工程建设领域农民工工资保证金实施办法〉的通知》的通知（合治欠办〔2022〕5号），支持以银行保函、保险机构保单保函方式存储。</w:t>
            </w:r>
          </w:p>
          <w:p w14:paraId="4956727A">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（4）劳资专管员执行《关于加强建设领域劳资专管员管理工作的通知》（合治欠发〔2021〕6号文件）。</w:t>
            </w:r>
          </w:p>
          <w:p w14:paraId="0C73510D">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（5）保证保险产品应按《中国银保监会办公厅关于进一步加强和改进财产保险公司产品监管有关问题的通知》执行。</w:t>
            </w:r>
          </w:p>
          <w:p w14:paraId="7EDC1AB4">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（6）采用一级建造师投标的应按《住房和城乡建设部办公厅关于全面实行一级建造师电子注册证书的通知》(建办市〔2021〕40号)执行。</w:t>
            </w:r>
          </w:p>
          <w:p w14:paraId="7A8E8F07">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7）工程建设领域农民工工资专用账户执行安徽省人社厅等部门印发的《贯彻落实〈工程建设领域农民工工资专用账户管理暂行办法〉的通知》（皖人社发〔2022〕5号）及《贯彻落实&lt;工程建设领域农民工工资专用账户管理暂行办法&gt;的通知》的通知（合治欠办〔2022〕7 号。</w:t>
            </w:r>
          </w:p>
          <w:p w14:paraId="5FF87BCC">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（8）为切实保障建筑行业农民工工资支付、加快培育新时代建筑产业工人队伍、有效破解拖欠工程款问题，严格执行《关于建立长效机制切实保障建筑行业农民工工资支付工作的通知》（建市函〔2022〕490 号）、《关于加快培育和壮大我省建筑产业工人队伍的意见》（建市规〔2023〕1 号）。</w:t>
            </w:r>
          </w:p>
          <w:p w14:paraId="6C803336">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（9）投标保证金、履约保证金、预付款担保、质量保证金缴纳执行安徽合肥公共资源交易中心发布的《关于全面推行投标保证金、履约保证金、预付款担保、质量保证金电子保函的通知》。</w:t>
            </w:r>
          </w:p>
          <w:p w14:paraId="54216AEA">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注：</w:t>
            </w:r>
          </w:p>
          <w:p w14:paraId="4CE394F3">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①未列明的按照国家、省、市相关政策执行。</w:t>
            </w:r>
          </w:p>
          <w:p w14:paraId="25637A1E">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2"/>
                <w:sz w:val="24"/>
                <w:szCs w:val="24"/>
                <w:highlight w:val="none"/>
                <w:lang w:val="en-US" w:eastAsia="zh-CN" w:bidi="ar"/>
              </w:rPr>
              <w:t>②如有相关政策文件更新，按照最新政策文件执行。</w:t>
            </w:r>
          </w:p>
        </w:tc>
      </w:tr>
      <w:tr w14:paraId="258C9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43" w:type="pct"/>
            <w:vAlign w:val="center"/>
          </w:tcPr>
          <w:p w14:paraId="332A2AE9">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10.1</w:t>
            </w:r>
            <w:r>
              <w:rPr>
                <w:rFonts w:hint="eastAsia" w:ascii="宋体" w:hAnsi="宋体" w:eastAsia="宋体" w:cs="宋体"/>
                <w:color w:val="auto"/>
                <w:spacing w:val="-4"/>
                <w:sz w:val="24"/>
                <w:szCs w:val="24"/>
                <w:highlight w:val="none"/>
                <w:lang w:val="en-US" w:eastAsia="zh-CN"/>
              </w:rPr>
              <w:t>4</w:t>
            </w:r>
          </w:p>
        </w:tc>
        <w:tc>
          <w:tcPr>
            <w:tcW w:w="943" w:type="pct"/>
            <w:vAlign w:val="center"/>
          </w:tcPr>
          <w:p w14:paraId="4DED60C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本招标项目所属行业</w:t>
            </w:r>
          </w:p>
        </w:tc>
        <w:tc>
          <w:tcPr>
            <w:tcW w:w="3512" w:type="pct"/>
            <w:gridSpan w:val="2"/>
            <w:vAlign w:val="center"/>
          </w:tcPr>
          <w:p w14:paraId="7E74EA9B">
            <w:pPr>
              <w:pStyle w:val="30"/>
              <w:spacing w:before="68" w:line="221" w:lineRule="auto"/>
              <w:ind w:left="116" w:lef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
                <w:bCs/>
                <w:color w:val="auto"/>
                <w:spacing w:val="-4"/>
                <w:sz w:val="24"/>
                <w:szCs w:val="24"/>
                <w:highlight w:val="none"/>
              </w:rPr>
              <w:t>建筑业</w:t>
            </w:r>
          </w:p>
        </w:tc>
      </w:tr>
      <w:tr w14:paraId="1460B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625EEDAD">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10.1</w:t>
            </w:r>
            <w:r>
              <w:rPr>
                <w:rFonts w:hint="eastAsia" w:ascii="宋体" w:hAnsi="宋体" w:eastAsia="宋体" w:cs="宋体"/>
                <w:color w:val="auto"/>
                <w:spacing w:val="-4"/>
                <w:sz w:val="24"/>
                <w:szCs w:val="24"/>
                <w:highlight w:val="none"/>
                <w:lang w:val="en-US" w:eastAsia="zh-CN"/>
              </w:rPr>
              <w:t>5</w:t>
            </w:r>
          </w:p>
        </w:tc>
        <w:tc>
          <w:tcPr>
            <w:tcW w:w="943" w:type="pct"/>
            <w:vAlign w:val="center"/>
          </w:tcPr>
          <w:p w14:paraId="6DA350F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招标人补充的</w:t>
            </w:r>
          </w:p>
          <w:p w14:paraId="541EA7B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其他内容</w:t>
            </w:r>
          </w:p>
        </w:tc>
        <w:tc>
          <w:tcPr>
            <w:tcW w:w="3512" w:type="pct"/>
            <w:gridSpan w:val="2"/>
            <w:vAlign w:val="center"/>
          </w:tcPr>
          <w:p w14:paraId="723AEF49">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1.因电子服务系统或电子交易系统出现软件设计或功能缺陷、运行异常等情况，可能影响招投标活动公平、公正进行的，招标人（或招标代理机构）有权中止或终止招投标活动，招投标各方免责。</w:t>
            </w:r>
          </w:p>
          <w:p w14:paraId="69A2354F">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 投标人、中标人提交投标保证金、履约保证金、预付款担保、质量保证金的，鼓励优先使用电子保函形式，采用电子保函的，可登陆安徽合肥公共资源交易电子服务系统进入合肥市电子保函平台，自主选择金融机构在线办理电子保函，电子保函与银行转账、银行电汇、纸质保函（银行保函、担保机构担保、保证保险）具有同等效力，具体操作流程见操作手册。</w:t>
            </w:r>
          </w:p>
          <w:p w14:paraId="1BE4D875">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
                <w:bCs w:val="0"/>
                <w:snapToGrid w:val="0"/>
                <w:color w:val="auto"/>
                <w:kern w:val="2"/>
                <w:sz w:val="24"/>
                <w:szCs w:val="24"/>
                <w:highlight w:val="none"/>
                <w:lang w:val="en-US" w:eastAsia="zh-CN" w:bidi="ar"/>
              </w:rPr>
            </w:pPr>
            <w:r>
              <w:rPr>
                <w:rFonts w:hint="eastAsia" w:ascii="宋体" w:hAnsi="宋体" w:eastAsia="宋体" w:cs="宋体"/>
                <w:b/>
                <w:bCs w:val="0"/>
                <w:snapToGrid w:val="0"/>
                <w:color w:val="auto"/>
                <w:kern w:val="2"/>
                <w:sz w:val="24"/>
                <w:szCs w:val="24"/>
                <w:highlight w:val="none"/>
                <w:lang w:val="en-US" w:eastAsia="zh-CN" w:bidi="ar"/>
              </w:rPr>
              <w:t>3.若投标人须知总则3.5资格审查资料要求中，投标人提供的类似项目证明材料未能完整或充分反映评审因素的，应另附合同甲方证明材料（须加盖合同甲方单位章）予以明确说明，否则评标委员会不予认可。</w:t>
            </w:r>
          </w:p>
          <w:p w14:paraId="3309A658">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
                <w:bCs w:val="0"/>
                <w:snapToGrid w:val="0"/>
                <w:color w:val="auto"/>
                <w:kern w:val="2"/>
                <w:sz w:val="24"/>
                <w:szCs w:val="24"/>
                <w:highlight w:val="none"/>
                <w:lang w:val="en-US" w:eastAsia="en-US" w:bidi="ar"/>
              </w:rPr>
            </w:pPr>
            <w:r>
              <w:rPr>
                <w:rFonts w:hint="eastAsia" w:ascii="宋体" w:hAnsi="宋体" w:eastAsia="宋体" w:cs="宋体"/>
                <w:b/>
                <w:bCs w:val="0"/>
                <w:snapToGrid w:val="0"/>
                <w:color w:val="auto"/>
                <w:kern w:val="2"/>
                <w:sz w:val="24"/>
                <w:szCs w:val="24"/>
                <w:highlight w:val="none"/>
                <w:lang w:val="en-US" w:eastAsia="zh-CN" w:bidi="ar"/>
              </w:rPr>
              <w:t>4.电子标书制作系统内格式为系统自带默认格式，如与招标文件格式不一致，投标人在制作电子投标文件时以招标文件内容为准，按招标文件内容对系统格式内容进行修正。投标人所上传投标函、相关承诺等材料应与招标文件所提供格式、内容一致，否则评标委员会有权按无效投标处理。</w:t>
            </w:r>
          </w:p>
        </w:tc>
      </w:tr>
      <w:tr w14:paraId="1CF14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0E20FEDE">
            <w:pPr>
              <w:pStyle w:val="30"/>
              <w:spacing w:before="69"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10.16</w:t>
            </w:r>
          </w:p>
        </w:tc>
        <w:tc>
          <w:tcPr>
            <w:tcW w:w="943" w:type="pct"/>
            <w:vAlign w:val="center"/>
          </w:tcPr>
          <w:p w14:paraId="69065364">
            <w:pPr>
              <w:keepNext w:val="0"/>
              <w:keepLines w:val="0"/>
              <w:widowControl w:val="0"/>
              <w:suppressLineNumbers w:val="0"/>
              <w:spacing w:before="0" w:beforeAutospacing="0" w:after="0" w:afterAutospacing="0" w:line="400" w:lineRule="atLeast"/>
              <w:ind w:left="0" w:leftChars="0" w:right="0" w:rightChars="0"/>
              <w:jc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b/>
                <w:bCs w:val="0"/>
                <w:snapToGrid w:val="0"/>
                <w:color w:val="auto"/>
                <w:kern w:val="2"/>
                <w:sz w:val="24"/>
                <w:szCs w:val="24"/>
                <w:highlight w:val="none"/>
                <w:lang w:val="en-US" w:eastAsia="zh-CN" w:bidi="ar"/>
              </w:rPr>
              <w:t>报价文件编制格式要求</w:t>
            </w:r>
          </w:p>
        </w:tc>
        <w:tc>
          <w:tcPr>
            <w:tcW w:w="3512" w:type="pct"/>
            <w:gridSpan w:val="2"/>
            <w:vAlign w:val="center"/>
          </w:tcPr>
          <w:p w14:paraId="34F762C2">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snapToGrid w:val="0"/>
                <w:color w:val="auto"/>
                <w:kern w:val="2"/>
                <w:sz w:val="24"/>
                <w:szCs w:val="24"/>
                <w:highlight w:val="none"/>
                <w:lang w:val="en-US" w:eastAsia="zh-CN" w:bidi="ar"/>
              </w:rPr>
              <w:t>1、投标人已标价的工程量清单采用文件导入的方式，导入电子投标文件，具体导入须知及注意事项详见须知附录1。</w:t>
            </w:r>
          </w:p>
          <w:p w14:paraId="62A1F4E3">
            <w:pPr>
              <w:keepNext w:val="0"/>
              <w:keepLines w:val="0"/>
              <w:widowControl w:val="0"/>
              <w:suppressLineNumbers w:val="0"/>
              <w:spacing w:before="0" w:beforeAutospacing="0" w:after="0" w:afterAutospacing="0" w:line="400" w:lineRule="atLeast"/>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
                <w:bCs w:val="0"/>
                <w:snapToGrid w:val="0"/>
                <w:color w:val="auto"/>
                <w:kern w:val="2"/>
                <w:sz w:val="24"/>
                <w:szCs w:val="24"/>
                <w:highlight w:val="none"/>
                <w:lang w:val="en-US" w:eastAsia="zh-CN" w:bidi="ar"/>
              </w:rPr>
              <w:t>2、工程量清单格式和内容按照招标人提供的工程量清单填写</w:t>
            </w:r>
            <w:r>
              <w:rPr>
                <w:rFonts w:hint="eastAsia" w:ascii="宋体" w:hAnsi="宋体" w:eastAsia="宋体" w:cs="宋体"/>
                <w:b/>
                <w:bCs/>
                <w:snapToGrid w:val="0"/>
                <w:color w:val="auto"/>
                <w:kern w:val="2"/>
                <w:sz w:val="24"/>
                <w:szCs w:val="24"/>
                <w:highlight w:val="none"/>
                <w:lang w:val="en-US" w:eastAsia="zh-CN" w:bidi="ar"/>
              </w:rPr>
              <w:t>，请投标人自行登录系统下载本项目附件。</w:t>
            </w:r>
          </w:p>
        </w:tc>
      </w:tr>
      <w:tr w14:paraId="22187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0B183EE9">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10.17</w:t>
            </w:r>
          </w:p>
        </w:tc>
        <w:tc>
          <w:tcPr>
            <w:tcW w:w="943" w:type="pct"/>
            <w:vAlign w:val="center"/>
          </w:tcPr>
          <w:p w14:paraId="72EF2CC2">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snapToGrid w:val="0"/>
                <w:color w:val="auto"/>
                <w:kern w:val="2"/>
                <w:sz w:val="24"/>
                <w:szCs w:val="24"/>
                <w:highlight w:val="none"/>
                <w:lang w:val="en-US" w:eastAsia="zh-CN" w:bidi="ar"/>
              </w:rPr>
              <w:t>投标文件内容不一致的确认</w:t>
            </w:r>
          </w:p>
        </w:tc>
        <w:tc>
          <w:tcPr>
            <w:tcW w:w="3512" w:type="pct"/>
            <w:gridSpan w:val="2"/>
            <w:vAlign w:val="center"/>
          </w:tcPr>
          <w:p w14:paraId="5678E7B0">
            <w:pPr>
              <w:keepNext w:val="0"/>
              <w:keepLines w:val="0"/>
              <w:widowControl w:val="0"/>
              <w:suppressLineNumbers w:val="0"/>
              <w:wordWrap w:val="0"/>
              <w:spacing w:before="0" w:beforeAutospacing="0" w:after="0" w:afterAutospacing="0" w:line="360" w:lineRule="auto"/>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snapToGrid w:val="0"/>
                <w:color w:val="auto"/>
                <w:kern w:val="2"/>
                <w:sz w:val="24"/>
                <w:szCs w:val="24"/>
                <w:highlight w:val="none"/>
                <w:lang w:val="en-US" w:eastAsia="zh-CN" w:bidi="ar"/>
              </w:rPr>
              <w:t>投标文件中的内容与投标函及投标函附录不一致的，以投标函及投标函附录为准；投标函与投标函附录不一致的，以投标函为准；小写数字与大写数字不一致的，以大写数字为准；其他内容不一致的，以不利于投标人的解释为准。</w:t>
            </w:r>
          </w:p>
        </w:tc>
      </w:tr>
      <w:tr w14:paraId="0789B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3C5ABA19">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10.18</w:t>
            </w:r>
          </w:p>
        </w:tc>
        <w:tc>
          <w:tcPr>
            <w:tcW w:w="943" w:type="pct"/>
            <w:vAlign w:val="center"/>
          </w:tcPr>
          <w:p w14:paraId="695A2D45">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重要提示</w:t>
            </w:r>
          </w:p>
        </w:tc>
        <w:tc>
          <w:tcPr>
            <w:tcW w:w="3512" w:type="pct"/>
            <w:gridSpan w:val="2"/>
            <w:vAlign w:val="center"/>
          </w:tcPr>
          <w:p w14:paraId="13FD9C3E">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1.安徽省二级建造师电子证书右上角增加使用时限的标注，查看和下载电子证书时，本人应确认该证书的使用时限。电子证书使用时限为180天,但使用时限距注册专业有效期或建造师满65周岁不足180天的，使用时限截止日期以注册专业有效期截止日期或建造师满65周岁当日为准。超出使用时限的电子证书无效，需重新下载电子证书并再次确认使用时限。</w:t>
            </w:r>
          </w:p>
          <w:p w14:paraId="6892FA9C">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2.安徽省自2024年9月1日起，旧二级建造师电子证书失效。二级建造师打印电子证书后，应在个人签名处手写本人签名，未手写签名或与签名图像笔迹不一致的，该电子证书无效。</w:t>
            </w:r>
          </w:p>
          <w:p w14:paraId="43FE2D11">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 xml:space="preserve">注： </w:t>
            </w:r>
          </w:p>
          <w:p w14:paraId="6359E691">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相关政策详见安徽省住房和城乡建设厅《关于加强二级建造师事中事后监管工作的通知》（建市函〔2024〕137 号）。</w:t>
            </w:r>
          </w:p>
        </w:tc>
      </w:tr>
    </w:tbl>
    <w:p w14:paraId="0C935B0F">
      <w:pPr>
        <w:rPr>
          <w:rFonts w:hint="eastAsia" w:ascii="黑体" w:hAnsi="宋体" w:eastAsia="宋体" w:cs="宋体"/>
          <w:color w:val="auto"/>
          <w:sz w:val="28"/>
          <w:szCs w:val="28"/>
          <w:highlight w:val="none"/>
          <w:lang w:eastAsia="zh-CN"/>
        </w:rPr>
      </w:pPr>
      <w:r>
        <w:rPr>
          <w:rFonts w:hint="eastAsia" w:ascii="黑体" w:hAnsi="宋体" w:eastAsia="宋体" w:cs="宋体"/>
          <w:color w:val="auto"/>
          <w:sz w:val="28"/>
          <w:szCs w:val="28"/>
          <w:highlight w:val="none"/>
          <w:lang w:eastAsia="zh-CN"/>
        </w:rPr>
        <w:br w:type="page"/>
      </w:r>
    </w:p>
    <w:p w14:paraId="5E1CF229">
      <w:pPr>
        <w:pStyle w:val="36"/>
        <w:pageBreakBefore w:val="0"/>
        <w:widowControl w:val="0"/>
        <w:kinsoku/>
        <w:overflowPunct/>
        <w:topLinePunct/>
        <w:autoSpaceDE/>
        <w:autoSpaceDN/>
        <w:bidi w:val="0"/>
        <w:adjustRightInd/>
        <w:snapToGrid/>
        <w:spacing w:before="240" w:after="240" w:line="360" w:lineRule="auto"/>
        <w:jc w:val="both"/>
        <w:textAlignment w:val="auto"/>
        <w:outlineLvl w:val="9"/>
        <w:rPr>
          <w:rFonts w:hint="eastAsia" w:ascii="黑体" w:hAnsi="黑体" w:eastAsia="黑体" w:cs="黑体"/>
          <w:b/>
          <w:bCs w:val="0"/>
          <w:snapToGrid/>
          <w:color w:val="auto"/>
          <w:kern w:val="2"/>
          <w:sz w:val="32"/>
          <w:highlight w:val="none"/>
          <w:lang w:val="en-US" w:eastAsia="zh-CN"/>
        </w:rPr>
      </w:pPr>
      <w:bookmarkStart w:id="33" w:name="_Toc26709"/>
      <w:bookmarkStart w:id="34" w:name="_Toc29856"/>
      <w:bookmarkStart w:id="35" w:name="_Toc12530"/>
      <w:r>
        <w:rPr>
          <w:rFonts w:hint="eastAsia" w:ascii="黑体" w:hAnsi="黑体" w:eastAsia="黑体" w:cs="黑体"/>
          <w:b/>
          <w:bCs w:val="0"/>
          <w:snapToGrid/>
          <w:color w:val="auto"/>
          <w:kern w:val="2"/>
          <w:sz w:val="32"/>
          <w:highlight w:val="none"/>
          <w:lang w:eastAsia="zh-CN"/>
        </w:rPr>
        <w:t>附件</w:t>
      </w:r>
      <w:r>
        <w:rPr>
          <w:rFonts w:hint="eastAsia" w:ascii="黑体" w:hAnsi="黑体" w:eastAsia="黑体" w:cs="黑体"/>
          <w:b/>
          <w:bCs w:val="0"/>
          <w:snapToGrid/>
          <w:color w:val="auto"/>
          <w:kern w:val="2"/>
          <w:sz w:val="32"/>
          <w:highlight w:val="none"/>
          <w:lang w:val="en-US" w:eastAsia="zh-CN"/>
        </w:rPr>
        <w:t>1</w:t>
      </w:r>
      <w:bookmarkEnd w:id="33"/>
      <w:bookmarkEnd w:id="34"/>
      <w:bookmarkEnd w:id="35"/>
    </w:p>
    <w:tbl>
      <w:tblPr>
        <w:tblStyle w:val="14"/>
        <w:tblW w:w="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0"/>
        <w:gridCol w:w="706"/>
        <w:gridCol w:w="461"/>
        <w:gridCol w:w="825"/>
        <w:gridCol w:w="780"/>
        <w:gridCol w:w="840"/>
        <w:gridCol w:w="804"/>
        <w:gridCol w:w="761"/>
        <w:gridCol w:w="850"/>
        <w:gridCol w:w="851"/>
        <w:gridCol w:w="992"/>
        <w:gridCol w:w="992"/>
        <w:gridCol w:w="4144"/>
      </w:tblGrid>
      <w:tr w14:paraId="3B700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801" w:hRule="atLeast"/>
        </w:trPr>
        <w:tc>
          <w:tcPr>
            <w:tcW w:w="9322" w:type="dxa"/>
            <w:gridSpan w:val="12"/>
            <w:shd w:val="clear" w:color="auto" w:fill="auto"/>
            <w:vAlign w:val="center"/>
          </w:tcPr>
          <w:p w14:paraId="430257F7">
            <w:pPr>
              <w:keepNext w:val="0"/>
              <w:keepLines w:val="0"/>
              <w:widowControl/>
              <w:suppressLineNumbers w:val="0"/>
              <w:snapToGrid w:val="0"/>
              <w:spacing w:before="0" w:beforeAutospacing="0" w:after="0" w:afterAutospacing="0"/>
              <w:ind w:left="0" w:right="0" w:firstLine="482"/>
              <w:jc w:val="center"/>
              <w:rPr>
                <w:rFonts w:hint="default" w:cs="宋体"/>
                <w:b/>
                <w:bCs/>
                <w:color w:val="auto"/>
                <w:sz w:val="24"/>
                <w:szCs w:val="24"/>
                <w:highlight w:val="none"/>
                <w:lang w:val="en-US"/>
              </w:rPr>
            </w:pPr>
            <w:r>
              <w:rPr>
                <w:rFonts w:hint="eastAsia" w:ascii="宋体" w:hAnsi="宋体" w:eastAsia="宋体" w:cs="宋体"/>
                <w:b/>
                <w:bCs/>
                <w:snapToGrid w:val="0"/>
                <w:color w:val="auto"/>
                <w:kern w:val="0"/>
                <w:sz w:val="21"/>
                <w:szCs w:val="24"/>
                <w:highlight w:val="none"/>
                <w:lang w:val="en-US" w:eastAsia="zh-CN" w:bidi="ar"/>
              </w:rPr>
              <w:t>造价咨询工作服务费收费标准</w:t>
            </w:r>
          </w:p>
          <w:p w14:paraId="060F462C">
            <w:pPr>
              <w:keepNext w:val="0"/>
              <w:keepLines w:val="0"/>
              <w:widowControl/>
              <w:suppressLineNumbers w:val="0"/>
              <w:snapToGrid w:val="0"/>
              <w:spacing w:before="0" w:beforeAutospacing="0" w:after="0" w:afterAutospacing="0"/>
              <w:ind w:left="0" w:right="0" w:firstLine="480"/>
              <w:jc w:val="right"/>
              <w:rPr>
                <w:rFonts w:hint="default" w:hAnsi="宋体" w:cs="宋体"/>
                <w:color w:val="auto"/>
                <w:sz w:val="40"/>
                <w:szCs w:val="40"/>
                <w:highlight w:val="none"/>
                <w:lang w:val="en-US"/>
              </w:rPr>
            </w:pPr>
            <w:r>
              <w:rPr>
                <w:rFonts w:hint="eastAsia" w:ascii="宋体" w:hAnsi="宋体" w:eastAsia="宋体" w:cs="宋体"/>
                <w:snapToGrid w:val="0"/>
                <w:color w:val="auto"/>
                <w:kern w:val="0"/>
                <w:sz w:val="21"/>
                <w:szCs w:val="24"/>
                <w:highlight w:val="none"/>
                <w:lang w:val="en-US" w:eastAsia="zh-CN" w:bidi="ar"/>
              </w:rPr>
              <w:t>费率：  ‰</w:t>
            </w:r>
          </w:p>
        </w:tc>
      </w:tr>
      <w:tr w14:paraId="550E5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6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1D8E70A4">
            <w:pPr>
              <w:keepNext w:val="0"/>
              <w:keepLines w:val="0"/>
              <w:widowControl/>
              <w:suppressLineNumbers w:val="0"/>
              <w:spacing w:before="0" w:beforeAutospacing="0" w:after="0" w:afterAutospacing="0"/>
              <w:ind w:left="0" w:right="0"/>
              <w:jc w:val="both"/>
              <w:rPr>
                <w:rFonts w:hint="default" w:hAnsi="宋体" w:cs="宋体"/>
                <w:color w:val="auto"/>
                <w:sz w:val="24"/>
                <w:szCs w:val="24"/>
                <w:highlight w:val="none"/>
                <w:lang w:val="en-US"/>
              </w:rPr>
            </w:pPr>
            <w:r>
              <w:rPr>
                <w:rFonts w:hint="eastAsia" w:ascii="宋体" w:hAnsi="宋体" w:eastAsia="宋体" w:cs="宋体"/>
                <w:snapToGrid w:val="0"/>
                <w:color w:val="auto"/>
                <w:kern w:val="0"/>
                <w:sz w:val="21"/>
                <w:szCs w:val="24"/>
                <w:highlight w:val="none"/>
                <w:lang w:val="en-US" w:eastAsia="zh-CN" w:bidi="ar"/>
              </w:rPr>
              <w:t>序号</w:t>
            </w:r>
          </w:p>
        </w:tc>
        <w:tc>
          <w:tcPr>
            <w:tcW w:w="706" w:type="dxa"/>
            <w:vMerge w:val="restart"/>
            <w:tcBorders>
              <w:top w:val="single" w:color="auto" w:sz="4" w:space="0"/>
              <w:left w:val="nil"/>
              <w:bottom w:val="single" w:color="auto" w:sz="4" w:space="0"/>
              <w:right w:val="single" w:color="auto" w:sz="4" w:space="0"/>
            </w:tcBorders>
            <w:shd w:val="clear" w:color="auto" w:fill="auto"/>
            <w:vAlign w:val="center"/>
          </w:tcPr>
          <w:p w14:paraId="107C5127">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咨询项目</w:t>
            </w:r>
          </w:p>
        </w:tc>
        <w:tc>
          <w:tcPr>
            <w:tcW w:w="461" w:type="dxa"/>
            <w:vMerge w:val="restart"/>
            <w:tcBorders>
              <w:top w:val="single" w:color="auto" w:sz="4" w:space="0"/>
              <w:left w:val="nil"/>
              <w:bottom w:val="single" w:color="auto" w:sz="4" w:space="0"/>
              <w:right w:val="single" w:color="auto" w:sz="4" w:space="0"/>
            </w:tcBorders>
            <w:shd w:val="clear" w:color="auto" w:fill="auto"/>
            <w:vAlign w:val="center"/>
          </w:tcPr>
          <w:p w14:paraId="5EA18EEE">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收费基础</w:t>
            </w:r>
          </w:p>
        </w:tc>
        <w:tc>
          <w:tcPr>
            <w:tcW w:w="825" w:type="dxa"/>
            <w:vMerge w:val="restart"/>
            <w:tcBorders>
              <w:top w:val="single" w:color="auto" w:sz="4" w:space="0"/>
              <w:left w:val="nil"/>
              <w:bottom w:val="single" w:color="auto" w:sz="4" w:space="0"/>
              <w:right w:val="single" w:color="auto" w:sz="4" w:space="0"/>
            </w:tcBorders>
            <w:shd w:val="clear" w:color="auto" w:fill="auto"/>
            <w:vAlign w:val="center"/>
          </w:tcPr>
          <w:p w14:paraId="36495BD3">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工程类型</w:t>
            </w:r>
          </w:p>
        </w:tc>
        <w:tc>
          <w:tcPr>
            <w:tcW w:w="6870" w:type="dxa"/>
            <w:gridSpan w:val="8"/>
            <w:tcBorders>
              <w:top w:val="single" w:color="auto" w:sz="4" w:space="0"/>
              <w:left w:val="nil"/>
              <w:bottom w:val="single" w:color="auto" w:sz="4" w:space="0"/>
              <w:right w:val="single" w:color="auto" w:sz="4" w:space="0"/>
            </w:tcBorders>
            <w:shd w:val="clear" w:color="auto" w:fill="auto"/>
            <w:vAlign w:val="center"/>
          </w:tcPr>
          <w:p w14:paraId="2FE30FEE">
            <w:pPr>
              <w:keepNext w:val="0"/>
              <w:keepLines w:val="0"/>
              <w:widowControl/>
              <w:suppressLineNumbers w:val="0"/>
              <w:spacing w:before="0" w:beforeAutospacing="0" w:after="0" w:afterAutospacing="0"/>
              <w:ind w:left="0" w:right="0" w:firstLine="480"/>
              <w:jc w:val="center"/>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中标金额（万元）</w:t>
            </w:r>
          </w:p>
        </w:tc>
        <w:tc>
          <w:tcPr>
            <w:tcW w:w="4144" w:type="dxa"/>
            <w:shd w:val="clear" w:color="auto" w:fill="auto"/>
            <w:vAlign w:val="center"/>
          </w:tcPr>
          <w:p w14:paraId="28348EC4">
            <w:pPr>
              <w:keepNext w:val="0"/>
              <w:keepLines w:val="0"/>
              <w:widowControl/>
              <w:suppressLineNumbers w:val="0"/>
              <w:spacing w:before="0" w:beforeAutospacing="0" w:after="0" w:afterAutospacing="0"/>
              <w:ind w:left="0" w:right="0" w:firstLine="480"/>
              <w:jc w:val="both"/>
              <w:rPr>
                <w:rFonts w:hint="default" w:hAnsi="宋体" w:cs="宋体"/>
                <w:color w:val="auto"/>
                <w:highlight w:val="none"/>
                <w:lang w:val="en-US"/>
              </w:rPr>
            </w:pPr>
          </w:p>
        </w:tc>
      </w:tr>
      <w:tr w14:paraId="26E3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696" w:hRule="atLeast"/>
        </w:trPr>
        <w:tc>
          <w:tcPr>
            <w:tcW w:w="4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09BD89C">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6" w:type="dxa"/>
            <w:vMerge w:val="continue"/>
            <w:tcBorders>
              <w:top w:val="single" w:color="auto" w:sz="4" w:space="0"/>
              <w:left w:val="nil"/>
              <w:bottom w:val="single" w:color="auto" w:sz="4" w:space="0"/>
              <w:right w:val="single" w:color="auto" w:sz="4" w:space="0"/>
            </w:tcBorders>
            <w:shd w:val="clear" w:color="auto" w:fill="auto"/>
            <w:vAlign w:val="center"/>
          </w:tcPr>
          <w:p w14:paraId="745A956B">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61" w:type="dxa"/>
            <w:vMerge w:val="continue"/>
            <w:tcBorders>
              <w:top w:val="single" w:color="auto" w:sz="4" w:space="0"/>
              <w:left w:val="nil"/>
              <w:bottom w:val="single" w:color="auto" w:sz="4" w:space="0"/>
              <w:right w:val="single" w:color="auto" w:sz="4" w:space="0"/>
            </w:tcBorders>
            <w:shd w:val="clear" w:color="auto" w:fill="auto"/>
            <w:vAlign w:val="center"/>
          </w:tcPr>
          <w:p w14:paraId="7AFD068A">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25" w:type="dxa"/>
            <w:vMerge w:val="continue"/>
            <w:tcBorders>
              <w:top w:val="single" w:color="auto" w:sz="4" w:space="0"/>
              <w:left w:val="nil"/>
              <w:bottom w:val="single" w:color="auto" w:sz="4" w:space="0"/>
              <w:right w:val="single" w:color="auto" w:sz="4" w:space="0"/>
            </w:tcBorders>
            <w:shd w:val="clear" w:color="auto" w:fill="auto"/>
            <w:vAlign w:val="center"/>
          </w:tcPr>
          <w:p w14:paraId="788B0B59">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80" w:type="dxa"/>
            <w:tcBorders>
              <w:top w:val="single" w:color="auto" w:sz="4" w:space="0"/>
              <w:left w:val="nil"/>
              <w:bottom w:val="single" w:color="auto" w:sz="4" w:space="0"/>
              <w:right w:val="single" w:color="auto" w:sz="4" w:space="0"/>
            </w:tcBorders>
            <w:shd w:val="clear" w:color="auto" w:fill="auto"/>
            <w:vAlign w:val="center"/>
          </w:tcPr>
          <w:p w14:paraId="12562179">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100以内</w:t>
            </w:r>
          </w:p>
        </w:tc>
        <w:tc>
          <w:tcPr>
            <w:tcW w:w="840" w:type="dxa"/>
            <w:tcBorders>
              <w:top w:val="single" w:color="auto" w:sz="4" w:space="0"/>
              <w:left w:val="nil"/>
              <w:bottom w:val="single" w:color="auto" w:sz="4" w:space="0"/>
              <w:right w:val="single" w:color="auto" w:sz="4" w:space="0"/>
            </w:tcBorders>
            <w:shd w:val="clear" w:color="auto" w:fill="auto"/>
            <w:vAlign w:val="center"/>
          </w:tcPr>
          <w:p w14:paraId="4C4251DF">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200以内</w:t>
            </w:r>
          </w:p>
        </w:tc>
        <w:tc>
          <w:tcPr>
            <w:tcW w:w="804" w:type="dxa"/>
            <w:tcBorders>
              <w:top w:val="single" w:color="auto" w:sz="4" w:space="0"/>
              <w:left w:val="nil"/>
              <w:bottom w:val="single" w:color="auto" w:sz="4" w:space="0"/>
              <w:right w:val="single" w:color="auto" w:sz="4" w:space="0"/>
            </w:tcBorders>
            <w:shd w:val="clear" w:color="auto" w:fill="auto"/>
            <w:vAlign w:val="center"/>
          </w:tcPr>
          <w:p w14:paraId="7717DC1A">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500以内</w:t>
            </w:r>
          </w:p>
        </w:tc>
        <w:tc>
          <w:tcPr>
            <w:tcW w:w="761" w:type="dxa"/>
            <w:tcBorders>
              <w:top w:val="single" w:color="auto" w:sz="4" w:space="0"/>
              <w:left w:val="nil"/>
              <w:bottom w:val="single" w:color="auto" w:sz="4" w:space="0"/>
              <w:right w:val="single" w:color="auto" w:sz="4" w:space="0"/>
            </w:tcBorders>
            <w:shd w:val="clear" w:color="auto" w:fill="auto"/>
            <w:vAlign w:val="center"/>
          </w:tcPr>
          <w:p w14:paraId="3119690B">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1000以内</w:t>
            </w:r>
          </w:p>
        </w:tc>
        <w:tc>
          <w:tcPr>
            <w:tcW w:w="850" w:type="dxa"/>
            <w:tcBorders>
              <w:top w:val="single" w:color="auto" w:sz="4" w:space="0"/>
              <w:left w:val="nil"/>
              <w:bottom w:val="single" w:color="auto" w:sz="4" w:space="0"/>
              <w:right w:val="single" w:color="auto" w:sz="4" w:space="0"/>
            </w:tcBorders>
            <w:shd w:val="clear" w:color="auto" w:fill="auto"/>
            <w:vAlign w:val="center"/>
          </w:tcPr>
          <w:p w14:paraId="3812EE68">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2000以内</w:t>
            </w:r>
          </w:p>
        </w:tc>
        <w:tc>
          <w:tcPr>
            <w:tcW w:w="851" w:type="dxa"/>
            <w:tcBorders>
              <w:top w:val="single" w:color="auto" w:sz="4" w:space="0"/>
              <w:left w:val="nil"/>
              <w:bottom w:val="single" w:color="auto" w:sz="4" w:space="0"/>
              <w:right w:val="single" w:color="auto" w:sz="4" w:space="0"/>
            </w:tcBorders>
            <w:shd w:val="clear" w:color="auto" w:fill="auto"/>
            <w:vAlign w:val="center"/>
          </w:tcPr>
          <w:p w14:paraId="12161FEE">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5000以内</w:t>
            </w:r>
          </w:p>
        </w:tc>
        <w:tc>
          <w:tcPr>
            <w:tcW w:w="992" w:type="dxa"/>
            <w:tcBorders>
              <w:top w:val="single" w:color="auto" w:sz="4" w:space="0"/>
              <w:left w:val="nil"/>
              <w:bottom w:val="single" w:color="auto" w:sz="4" w:space="0"/>
              <w:right w:val="single" w:color="auto" w:sz="4" w:space="0"/>
            </w:tcBorders>
            <w:shd w:val="clear" w:color="auto" w:fill="auto"/>
            <w:vAlign w:val="center"/>
          </w:tcPr>
          <w:p w14:paraId="19386357">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10000以内</w:t>
            </w:r>
          </w:p>
        </w:tc>
        <w:tc>
          <w:tcPr>
            <w:tcW w:w="992" w:type="dxa"/>
            <w:tcBorders>
              <w:top w:val="single" w:color="auto" w:sz="4" w:space="0"/>
              <w:left w:val="nil"/>
              <w:bottom w:val="single" w:color="auto" w:sz="4" w:space="0"/>
              <w:right w:val="single" w:color="auto" w:sz="4" w:space="0"/>
            </w:tcBorders>
            <w:shd w:val="clear" w:color="auto" w:fill="auto"/>
            <w:vAlign w:val="center"/>
          </w:tcPr>
          <w:p w14:paraId="2F83E1DB">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10000以上</w:t>
            </w:r>
          </w:p>
        </w:tc>
      </w:tr>
      <w:tr w14:paraId="13009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1470" w:hRule="atLeast"/>
        </w:trPr>
        <w:tc>
          <w:tcPr>
            <w:tcW w:w="460" w:type="dxa"/>
            <w:vMerge w:val="restart"/>
            <w:tcBorders>
              <w:top w:val="nil"/>
              <w:left w:val="single" w:color="000000" w:sz="4" w:space="0"/>
              <w:bottom w:val="single" w:color="000000" w:sz="4" w:space="0"/>
              <w:right w:val="single" w:color="000000" w:sz="4" w:space="0"/>
            </w:tcBorders>
            <w:shd w:val="clear" w:color="auto" w:fill="auto"/>
            <w:vAlign w:val="center"/>
          </w:tcPr>
          <w:p w14:paraId="7B546CB3">
            <w:pPr>
              <w:keepNext w:val="0"/>
              <w:keepLines w:val="0"/>
              <w:widowControl/>
              <w:suppressLineNumbers w:val="0"/>
              <w:spacing w:before="0" w:beforeAutospacing="0" w:after="0" w:afterAutospacing="0"/>
              <w:ind w:left="0" w:right="0"/>
              <w:jc w:val="both"/>
              <w:rPr>
                <w:rFonts w:hint="default" w:hAnsi="宋体" w:cs="宋体"/>
                <w:color w:val="auto"/>
                <w:sz w:val="24"/>
                <w:szCs w:val="24"/>
                <w:highlight w:val="none"/>
                <w:lang w:val="en-US"/>
              </w:rPr>
            </w:pPr>
            <w:r>
              <w:rPr>
                <w:rFonts w:hint="eastAsia" w:ascii="宋体" w:hAnsi="宋体" w:eastAsia="宋体" w:cs="宋体"/>
                <w:snapToGrid w:val="0"/>
                <w:color w:val="auto"/>
                <w:kern w:val="0"/>
                <w:sz w:val="21"/>
                <w:szCs w:val="24"/>
                <w:highlight w:val="none"/>
                <w:lang w:val="en-US" w:eastAsia="zh-CN" w:bidi="ar"/>
              </w:rPr>
              <w:t>1</w:t>
            </w:r>
          </w:p>
        </w:tc>
        <w:tc>
          <w:tcPr>
            <w:tcW w:w="706" w:type="dxa"/>
            <w:vMerge w:val="restart"/>
            <w:tcBorders>
              <w:top w:val="nil"/>
              <w:left w:val="nil"/>
              <w:bottom w:val="single" w:color="000000" w:sz="4" w:space="0"/>
              <w:right w:val="single" w:color="000000" w:sz="4" w:space="0"/>
            </w:tcBorders>
            <w:shd w:val="clear" w:color="auto" w:fill="auto"/>
            <w:vAlign w:val="center"/>
          </w:tcPr>
          <w:p w14:paraId="1E6E7C73">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招标工程量清单</w:t>
            </w:r>
          </w:p>
        </w:tc>
        <w:tc>
          <w:tcPr>
            <w:tcW w:w="461" w:type="dxa"/>
            <w:vMerge w:val="restart"/>
            <w:tcBorders>
              <w:top w:val="nil"/>
              <w:left w:val="nil"/>
              <w:bottom w:val="single" w:color="000000" w:sz="4" w:space="0"/>
              <w:right w:val="single" w:color="000000" w:sz="4" w:space="0"/>
            </w:tcBorders>
            <w:shd w:val="clear" w:color="auto" w:fill="auto"/>
            <w:vAlign w:val="center"/>
          </w:tcPr>
          <w:p w14:paraId="7545399C">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中标价</w:t>
            </w:r>
          </w:p>
        </w:tc>
        <w:tc>
          <w:tcPr>
            <w:tcW w:w="825" w:type="dxa"/>
            <w:tcBorders>
              <w:top w:val="single" w:color="auto" w:sz="4" w:space="0"/>
              <w:left w:val="nil"/>
              <w:bottom w:val="single" w:color="000000" w:sz="4" w:space="0"/>
              <w:right w:val="single" w:color="000000" w:sz="4" w:space="0"/>
            </w:tcBorders>
            <w:shd w:val="clear" w:color="auto" w:fill="auto"/>
            <w:vAlign w:val="center"/>
          </w:tcPr>
          <w:p w14:paraId="46C969B6">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建筑工程</w:t>
            </w:r>
          </w:p>
        </w:tc>
        <w:tc>
          <w:tcPr>
            <w:tcW w:w="780" w:type="dxa"/>
            <w:tcBorders>
              <w:top w:val="single" w:color="auto" w:sz="4" w:space="0"/>
              <w:left w:val="nil"/>
              <w:bottom w:val="single" w:color="000000" w:sz="4" w:space="0"/>
              <w:right w:val="single" w:color="000000" w:sz="4" w:space="0"/>
            </w:tcBorders>
            <w:shd w:val="clear" w:color="auto" w:fill="auto"/>
            <w:vAlign w:val="center"/>
          </w:tcPr>
          <w:p w14:paraId="1478AE0A">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4.80 </w:t>
            </w:r>
          </w:p>
        </w:tc>
        <w:tc>
          <w:tcPr>
            <w:tcW w:w="840" w:type="dxa"/>
            <w:tcBorders>
              <w:top w:val="single" w:color="auto" w:sz="4" w:space="0"/>
              <w:left w:val="nil"/>
              <w:bottom w:val="single" w:color="000000" w:sz="4" w:space="0"/>
              <w:right w:val="single" w:color="000000" w:sz="4" w:space="0"/>
            </w:tcBorders>
            <w:shd w:val="clear" w:color="auto" w:fill="auto"/>
            <w:vAlign w:val="center"/>
          </w:tcPr>
          <w:p w14:paraId="435E7999">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4.30 </w:t>
            </w:r>
          </w:p>
        </w:tc>
        <w:tc>
          <w:tcPr>
            <w:tcW w:w="804" w:type="dxa"/>
            <w:tcBorders>
              <w:top w:val="single" w:color="auto" w:sz="4" w:space="0"/>
              <w:left w:val="nil"/>
              <w:bottom w:val="single" w:color="000000" w:sz="4" w:space="0"/>
              <w:right w:val="single" w:color="000000" w:sz="4" w:space="0"/>
            </w:tcBorders>
            <w:shd w:val="clear" w:color="auto" w:fill="auto"/>
            <w:vAlign w:val="center"/>
          </w:tcPr>
          <w:p w14:paraId="006BEFB1">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3.80 </w:t>
            </w:r>
          </w:p>
        </w:tc>
        <w:tc>
          <w:tcPr>
            <w:tcW w:w="761" w:type="dxa"/>
            <w:tcBorders>
              <w:top w:val="single" w:color="auto" w:sz="4" w:space="0"/>
              <w:left w:val="nil"/>
              <w:bottom w:val="single" w:color="000000" w:sz="4" w:space="0"/>
              <w:right w:val="single" w:color="000000" w:sz="4" w:space="0"/>
            </w:tcBorders>
            <w:shd w:val="clear" w:color="auto" w:fill="auto"/>
            <w:vAlign w:val="center"/>
          </w:tcPr>
          <w:p w14:paraId="00A1AFA7">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3.40 </w:t>
            </w:r>
          </w:p>
        </w:tc>
        <w:tc>
          <w:tcPr>
            <w:tcW w:w="850" w:type="dxa"/>
            <w:tcBorders>
              <w:top w:val="single" w:color="auto" w:sz="4" w:space="0"/>
              <w:left w:val="nil"/>
              <w:bottom w:val="single" w:color="000000" w:sz="4" w:space="0"/>
              <w:right w:val="single" w:color="000000" w:sz="4" w:space="0"/>
            </w:tcBorders>
            <w:shd w:val="clear" w:color="auto" w:fill="auto"/>
            <w:vAlign w:val="center"/>
          </w:tcPr>
          <w:p w14:paraId="54680AEF">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3.00 </w:t>
            </w:r>
          </w:p>
        </w:tc>
        <w:tc>
          <w:tcPr>
            <w:tcW w:w="851" w:type="dxa"/>
            <w:tcBorders>
              <w:top w:val="single" w:color="auto" w:sz="4" w:space="0"/>
              <w:left w:val="nil"/>
              <w:bottom w:val="single" w:color="000000" w:sz="4" w:space="0"/>
              <w:right w:val="single" w:color="000000" w:sz="4" w:space="0"/>
            </w:tcBorders>
            <w:shd w:val="clear" w:color="auto" w:fill="auto"/>
            <w:vAlign w:val="center"/>
          </w:tcPr>
          <w:p w14:paraId="608CB2DD">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2.80 </w:t>
            </w:r>
          </w:p>
        </w:tc>
        <w:tc>
          <w:tcPr>
            <w:tcW w:w="992" w:type="dxa"/>
            <w:tcBorders>
              <w:top w:val="single" w:color="auto" w:sz="4" w:space="0"/>
              <w:left w:val="nil"/>
              <w:bottom w:val="single" w:color="000000" w:sz="4" w:space="0"/>
              <w:right w:val="single" w:color="000000" w:sz="4" w:space="0"/>
            </w:tcBorders>
            <w:shd w:val="clear" w:color="auto" w:fill="auto"/>
            <w:vAlign w:val="center"/>
          </w:tcPr>
          <w:p w14:paraId="3FED28F3">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2.50 </w:t>
            </w:r>
          </w:p>
        </w:tc>
        <w:tc>
          <w:tcPr>
            <w:tcW w:w="992" w:type="dxa"/>
            <w:tcBorders>
              <w:top w:val="single" w:color="auto" w:sz="4" w:space="0"/>
              <w:left w:val="nil"/>
              <w:bottom w:val="single" w:color="000000" w:sz="4" w:space="0"/>
              <w:right w:val="single" w:color="000000" w:sz="4" w:space="0"/>
            </w:tcBorders>
            <w:shd w:val="clear" w:color="auto" w:fill="auto"/>
            <w:vAlign w:val="center"/>
          </w:tcPr>
          <w:p w14:paraId="6C0B850B">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2.30 </w:t>
            </w:r>
          </w:p>
        </w:tc>
      </w:tr>
      <w:tr w14:paraId="7E1EF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1434" w:hRule="atLeast"/>
        </w:trPr>
        <w:tc>
          <w:tcPr>
            <w:tcW w:w="460" w:type="dxa"/>
            <w:vMerge w:val="continue"/>
            <w:tcBorders>
              <w:top w:val="nil"/>
              <w:left w:val="single" w:color="000000" w:sz="4" w:space="0"/>
              <w:bottom w:val="single" w:color="000000" w:sz="4" w:space="0"/>
              <w:right w:val="single" w:color="000000" w:sz="4" w:space="0"/>
            </w:tcBorders>
            <w:shd w:val="clear" w:color="auto" w:fill="auto"/>
            <w:vAlign w:val="center"/>
          </w:tcPr>
          <w:p w14:paraId="47DCEC91">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6" w:type="dxa"/>
            <w:vMerge w:val="continue"/>
            <w:tcBorders>
              <w:top w:val="nil"/>
              <w:left w:val="nil"/>
              <w:bottom w:val="single" w:color="000000" w:sz="4" w:space="0"/>
              <w:right w:val="single" w:color="000000" w:sz="4" w:space="0"/>
            </w:tcBorders>
            <w:shd w:val="clear" w:color="auto" w:fill="auto"/>
            <w:vAlign w:val="center"/>
          </w:tcPr>
          <w:p w14:paraId="7C78985F">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61" w:type="dxa"/>
            <w:vMerge w:val="continue"/>
            <w:tcBorders>
              <w:top w:val="nil"/>
              <w:left w:val="nil"/>
              <w:bottom w:val="single" w:color="000000" w:sz="4" w:space="0"/>
              <w:right w:val="single" w:color="000000" w:sz="4" w:space="0"/>
            </w:tcBorders>
            <w:shd w:val="clear" w:color="auto" w:fill="auto"/>
            <w:vAlign w:val="center"/>
          </w:tcPr>
          <w:p w14:paraId="11EBE396">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25" w:type="dxa"/>
            <w:tcBorders>
              <w:top w:val="single" w:color="000000" w:sz="4" w:space="0"/>
              <w:left w:val="nil"/>
              <w:bottom w:val="single" w:color="000000" w:sz="4" w:space="0"/>
              <w:right w:val="single" w:color="000000" w:sz="4" w:space="0"/>
            </w:tcBorders>
            <w:shd w:val="clear" w:color="auto" w:fill="auto"/>
            <w:vAlign w:val="center"/>
          </w:tcPr>
          <w:p w14:paraId="7FCAE1D4">
            <w:pPr>
              <w:keepNext w:val="0"/>
              <w:keepLines w:val="0"/>
              <w:widowControl/>
              <w:suppressLineNumbers w:val="0"/>
              <w:spacing w:before="0" w:beforeAutospacing="0" w:after="0" w:afterAutospacing="0"/>
              <w:ind w:left="0" w:right="0"/>
              <w:jc w:val="both"/>
              <w:rPr>
                <w:rFonts w:hint="default" w:hAnsi="宋体" w:cs="宋体"/>
                <w:color w:val="auto"/>
                <w:sz w:val="24"/>
                <w:szCs w:val="24"/>
                <w:highlight w:val="none"/>
                <w:lang w:val="en-US"/>
              </w:rPr>
            </w:pPr>
            <w:r>
              <w:rPr>
                <w:rFonts w:hint="eastAsia" w:ascii="宋体" w:hAnsi="宋体" w:eastAsia="宋体" w:cs="宋体"/>
                <w:snapToGrid w:val="0"/>
                <w:color w:val="auto"/>
                <w:kern w:val="0"/>
                <w:sz w:val="21"/>
                <w:szCs w:val="24"/>
                <w:highlight w:val="none"/>
                <w:lang w:val="en-US" w:eastAsia="zh-CN" w:bidi="ar"/>
              </w:rPr>
              <w:t>安装工程</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35FCC431">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5.00 </w:t>
            </w:r>
          </w:p>
        </w:tc>
        <w:tc>
          <w:tcPr>
            <w:tcW w:w="840" w:type="dxa"/>
            <w:tcBorders>
              <w:top w:val="single" w:color="000000" w:sz="4" w:space="0"/>
              <w:left w:val="nil"/>
              <w:bottom w:val="single" w:color="000000" w:sz="4" w:space="0"/>
              <w:right w:val="single" w:color="000000" w:sz="4" w:space="0"/>
            </w:tcBorders>
            <w:shd w:val="clear" w:color="auto" w:fill="auto"/>
            <w:vAlign w:val="center"/>
          </w:tcPr>
          <w:p w14:paraId="1D8F257E">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4.60 </w:t>
            </w:r>
          </w:p>
        </w:tc>
        <w:tc>
          <w:tcPr>
            <w:tcW w:w="804" w:type="dxa"/>
            <w:tcBorders>
              <w:top w:val="single" w:color="000000" w:sz="4" w:space="0"/>
              <w:left w:val="nil"/>
              <w:bottom w:val="single" w:color="000000" w:sz="4" w:space="0"/>
              <w:right w:val="single" w:color="000000" w:sz="4" w:space="0"/>
            </w:tcBorders>
            <w:shd w:val="clear" w:color="auto" w:fill="auto"/>
            <w:vAlign w:val="center"/>
          </w:tcPr>
          <w:p w14:paraId="6DBCCF08">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4.00 </w:t>
            </w:r>
          </w:p>
        </w:tc>
        <w:tc>
          <w:tcPr>
            <w:tcW w:w="761" w:type="dxa"/>
            <w:tcBorders>
              <w:top w:val="single" w:color="000000" w:sz="4" w:space="0"/>
              <w:left w:val="nil"/>
              <w:bottom w:val="single" w:color="000000" w:sz="4" w:space="0"/>
              <w:right w:val="single" w:color="000000" w:sz="4" w:space="0"/>
            </w:tcBorders>
            <w:shd w:val="clear" w:color="auto" w:fill="auto"/>
            <w:vAlign w:val="center"/>
          </w:tcPr>
          <w:p w14:paraId="31D64947">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3.60 </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3F1F7BBD">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3.10 </w:t>
            </w:r>
          </w:p>
        </w:tc>
        <w:tc>
          <w:tcPr>
            <w:tcW w:w="851" w:type="dxa"/>
            <w:tcBorders>
              <w:top w:val="single" w:color="000000" w:sz="4" w:space="0"/>
              <w:left w:val="nil"/>
              <w:bottom w:val="single" w:color="000000" w:sz="4" w:space="0"/>
              <w:right w:val="single" w:color="000000" w:sz="4" w:space="0"/>
            </w:tcBorders>
            <w:shd w:val="clear" w:color="auto" w:fill="auto"/>
            <w:vAlign w:val="center"/>
          </w:tcPr>
          <w:p w14:paraId="68AD3EED">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2.90 </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4A65EE46">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2.60 </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5A606F22">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2.40 </w:t>
            </w:r>
          </w:p>
        </w:tc>
      </w:tr>
      <w:tr w14:paraId="3AD4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1720" w:hRule="atLeast"/>
        </w:trPr>
        <w:tc>
          <w:tcPr>
            <w:tcW w:w="460" w:type="dxa"/>
            <w:vMerge w:val="restart"/>
            <w:tcBorders>
              <w:top w:val="nil"/>
              <w:left w:val="single" w:color="000000" w:sz="4" w:space="0"/>
              <w:bottom w:val="single" w:color="000000" w:sz="4" w:space="0"/>
              <w:right w:val="single" w:color="000000" w:sz="4" w:space="0"/>
            </w:tcBorders>
            <w:shd w:val="clear" w:color="auto" w:fill="auto"/>
            <w:vAlign w:val="center"/>
          </w:tcPr>
          <w:p w14:paraId="5286F991">
            <w:pPr>
              <w:keepNext w:val="0"/>
              <w:keepLines w:val="0"/>
              <w:widowControl/>
              <w:suppressLineNumbers w:val="0"/>
              <w:spacing w:before="0" w:beforeAutospacing="0" w:after="0" w:afterAutospacing="0"/>
              <w:ind w:left="0" w:right="0"/>
              <w:jc w:val="both"/>
              <w:rPr>
                <w:rFonts w:hint="default" w:hAnsi="宋体" w:cs="宋体"/>
                <w:color w:val="auto"/>
                <w:sz w:val="24"/>
                <w:szCs w:val="24"/>
                <w:highlight w:val="none"/>
                <w:lang w:val="en-US"/>
              </w:rPr>
            </w:pPr>
            <w:r>
              <w:rPr>
                <w:rFonts w:hint="eastAsia" w:ascii="宋体" w:hAnsi="宋体" w:eastAsia="宋体" w:cs="宋体"/>
                <w:snapToGrid w:val="0"/>
                <w:color w:val="auto"/>
                <w:kern w:val="0"/>
                <w:sz w:val="21"/>
                <w:szCs w:val="24"/>
                <w:highlight w:val="none"/>
                <w:lang w:val="en-US" w:eastAsia="zh-CN" w:bidi="ar"/>
              </w:rPr>
              <w:t>2</w:t>
            </w:r>
          </w:p>
        </w:tc>
        <w:tc>
          <w:tcPr>
            <w:tcW w:w="706" w:type="dxa"/>
            <w:vMerge w:val="restart"/>
            <w:tcBorders>
              <w:top w:val="nil"/>
              <w:left w:val="nil"/>
              <w:bottom w:val="single" w:color="000000" w:sz="4" w:space="0"/>
              <w:right w:val="single" w:color="000000" w:sz="4" w:space="0"/>
            </w:tcBorders>
            <w:shd w:val="clear" w:color="auto" w:fill="auto"/>
            <w:vAlign w:val="center"/>
          </w:tcPr>
          <w:p w14:paraId="6E7966D6">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最高投标限价（招标控价）</w:t>
            </w:r>
          </w:p>
        </w:tc>
        <w:tc>
          <w:tcPr>
            <w:tcW w:w="461" w:type="dxa"/>
            <w:vMerge w:val="restart"/>
            <w:tcBorders>
              <w:top w:val="nil"/>
              <w:left w:val="nil"/>
              <w:bottom w:val="single" w:color="000000" w:sz="4" w:space="0"/>
              <w:right w:val="single" w:color="000000" w:sz="4" w:space="0"/>
            </w:tcBorders>
            <w:shd w:val="clear" w:color="auto" w:fill="auto"/>
            <w:vAlign w:val="center"/>
          </w:tcPr>
          <w:p w14:paraId="7F0F3589">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中标价</w:t>
            </w:r>
          </w:p>
        </w:tc>
        <w:tc>
          <w:tcPr>
            <w:tcW w:w="825" w:type="dxa"/>
            <w:tcBorders>
              <w:top w:val="single" w:color="000000" w:sz="4" w:space="0"/>
              <w:left w:val="nil"/>
              <w:bottom w:val="single" w:color="000000" w:sz="4" w:space="0"/>
              <w:right w:val="single" w:color="000000" w:sz="4" w:space="0"/>
            </w:tcBorders>
            <w:shd w:val="clear" w:color="auto" w:fill="auto"/>
            <w:vAlign w:val="center"/>
          </w:tcPr>
          <w:p w14:paraId="48F01C26">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建筑工程</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25321913">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2.00 </w:t>
            </w:r>
          </w:p>
        </w:tc>
        <w:tc>
          <w:tcPr>
            <w:tcW w:w="840" w:type="dxa"/>
            <w:tcBorders>
              <w:top w:val="single" w:color="000000" w:sz="4" w:space="0"/>
              <w:left w:val="nil"/>
              <w:bottom w:val="single" w:color="000000" w:sz="4" w:space="0"/>
              <w:right w:val="single" w:color="000000" w:sz="4" w:space="0"/>
            </w:tcBorders>
            <w:shd w:val="clear" w:color="auto" w:fill="auto"/>
            <w:vAlign w:val="center"/>
          </w:tcPr>
          <w:p w14:paraId="45CC3E13">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1.80 </w:t>
            </w:r>
          </w:p>
        </w:tc>
        <w:tc>
          <w:tcPr>
            <w:tcW w:w="804" w:type="dxa"/>
            <w:tcBorders>
              <w:top w:val="single" w:color="000000" w:sz="4" w:space="0"/>
              <w:left w:val="nil"/>
              <w:bottom w:val="single" w:color="000000" w:sz="4" w:space="0"/>
              <w:right w:val="single" w:color="000000" w:sz="4" w:space="0"/>
            </w:tcBorders>
            <w:shd w:val="clear" w:color="auto" w:fill="auto"/>
            <w:vAlign w:val="center"/>
          </w:tcPr>
          <w:p w14:paraId="6665224B">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1.60 </w:t>
            </w:r>
          </w:p>
        </w:tc>
        <w:tc>
          <w:tcPr>
            <w:tcW w:w="761" w:type="dxa"/>
            <w:tcBorders>
              <w:top w:val="single" w:color="000000" w:sz="4" w:space="0"/>
              <w:left w:val="nil"/>
              <w:bottom w:val="single" w:color="000000" w:sz="4" w:space="0"/>
              <w:right w:val="single" w:color="000000" w:sz="4" w:space="0"/>
            </w:tcBorders>
            <w:shd w:val="clear" w:color="auto" w:fill="auto"/>
            <w:vAlign w:val="center"/>
          </w:tcPr>
          <w:p w14:paraId="7630522F">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1.40 </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2099B10F">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1.30 </w:t>
            </w:r>
          </w:p>
        </w:tc>
        <w:tc>
          <w:tcPr>
            <w:tcW w:w="851" w:type="dxa"/>
            <w:tcBorders>
              <w:top w:val="single" w:color="000000" w:sz="4" w:space="0"/>
              <w:left w:val="nil"/>
              <w:bottom w:val="single" w:color="000000" w:sz="4" w:space="0"/>
              <w:right w:val="single" w:color="000000" w:sz="4" w:space="0"/>
            </w:tcBorders>
            <w:shd w:val="clear" w:color="auto" w:fill="auto"/>
            <w:vAlign w:val="center"/>
          </w:tcPr>
          <w:p w14:paraId="36512C9C">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1.20 </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54D2E597">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1.10 </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4F49A33A">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1.00 </w:t>
            </w:r>
          </w:p>
        </w:tc>
      </w:tr>
      <w:tr w14:paraId="7CBA7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1646" w:hRule="atLeast"/>
        </w:trPr>
        <w:tc>
          <w:tcPr>
            <w:tcW w:w="460" w:type="dxa"/>
            <w:vMerge w:val="continue"/>
            <w:tcBorders>
              <w:top w:val="nil"/>
              <w:left w:val="single" w:color="000000" w:sz="4" w:space="0"/>
              <w:bottom w:val="single" w:color="000000" w:sz="4" w:space="0"/>
              <w:right w:val="single" w:color="000000" w:sz="4" w:space="0"/>
            </w:tcBorders>
            <w:shd w:val="clear" w:color="auto" w:fill="auto"/>
            <w:vAlign w:val="center"/>
          </w:tcPr>
          <w:p w14:paraId="700E69E1">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6" w:type="dxa"/>
            <w:vMerge w:val="continue"/>
            <w:tcBorders>
              <w:top w:val="nil"/>
              <w:left w:val="nil"/>
              <w:bottom w:val="single" w:color="000000" w:sz="4" w:space="0"/>
              <w:right w:val="single" w:color="000000" w:sz="4" w:space="0"/>
            </w:tcBorders>
            <w:shd w:val="clear" w:color="auto" w:fill="auto"/>
            <w:vAlign w:val="center"/>
          </w:tcPr>
          <w:p w14:paraId="3745459B">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61" w:type="dxa"/>
            <w:vMerge w:val="continue"/>
            <w:tcBorders>
              <w:top w:val="nil"/>
              <w:left w:val="nil"/>
              <w:bottom w:val="single" w:color="000000" w:sz="4" w:space="0"/>
              <w:right w:val="single" w:color="000000" w:sz="4" w:space="0"/>
            </w:tcBorders>
            <w:shd w:val="clear" w:color="auto" w:fill="auto"/>
            <w:vAlign w:val="center"/>
          </w:tcPr>
          <w:p w14:paraId="4B410A4A">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25" w:type="dxa"/>
            <w:tcBorders>
              <w:top w:val="single" w:color="000000" w:sz="4" w:space="0"/>
              <w:left w:val="nil"/>
              <w:bottom w:val="single" w:color="000000" w:sz="4" w:space="0"/>
              <w:right w:val="single" w:color="000000" w:sz="4" w:space="0"/>
            </w:tcBorders>
            <w:shd w:val="clear" w:color="auto" w:fill="auto"/>
            <w:vAlign w:val="center"/>
          </w:tcPr>
          <w:p w14:paraId="4C59CC1C">
            <w:pPr>
              <w:keepNext w:val="0"/>
              <w:keepLines w:val="0"/>
              <w:widowControl/>
              <w:suppressLineNumbers w:val="0"/>
              <w:spacing w:before="0" w:beforeAutospacing="0" w:after="0" w:afterAutospacing="0"/>
              <w:ind w:left="0" w:right="0"/>
              <w:jc w:val="both"/>
              <w:rPr>
                <w:rFonts w:hint="default" w:hAnsi="宋体" w:cs="宋体"/>
                <w:color w:val="auto"/>
                <w:sz w:val="24"/>
                <w:szCs w:val="24"/>
                <w:highlight w:val="none"/>
                <w:lang w:val="en-US"/>
              </w:rPr>
            </w:pPr>
            <w:r>
              <w:rPr>
                <w:rFonts w:hint="eastAsia" w:ascii="宋体" w:hAnsi="宋体" w:eastAsia="宋体" w:cs="宋体"/>
                <w:snapToGrid w:val="0"/>
                <w:color w:val="auto"/>
                <w:kern w:val="0"/>
                <w:sz w:val="21"/>
                <w:szCs w:val="24"/>
                <w:highlight w:val="none"/>
                <w:lang w:val="en-US" w:eastAsia="zh-CN" w:bidi="ar"/>
              </w:rPr>
              <w:t>安装工程</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2143C68C">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2.10 </w:t>
            </w:r>
          </w:p>
        </w:tc>
        <w:tc>
          <w:tcPr>
            <w:tcW w:w="840" w:type="dxa"/>
            <w:tcBorders>
              <w:top w:val="single" w:color="000000" w:sz="4" w:space="0"/>
              <w:left w:val="nil"/>
              <w:bottom w:val="single" w:color="000000" w:sz="4" w:space="0"/>
              <w:right w:val="single" w:color="000000" w:sz="4" w:space="0"/>
            </w:tcBorders>
            <w:shd w:val="clear" w:color="auto" w:fill="auto"/>
            <w:vAlign w:val="center"/>
          </w:tcPr>
          <w:p w14:paraId="76CAAFF4">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1.90 </w:t>
            </w:r>
          </w:p>
        </w:tc>
        <w:tc>
          <w:tcPr>
            <w:tcW w:w="804" w:type="dxa"/>
            <w:tcBorders>
              <w:top w:val="single" w:color="000000" w:sz="4" w:space="0"/>
              <w:left w:val="nil"/>
              <w:bottom w:val="single" w:color="000000" w:sz="4" w:space="0"/>
              <w:right w:val="single" w:color="000000" w:sz="4" w:space="0"/>
            </w:tcBorders>
            <w:shd w:val="clear" w:color="auto" w:fill="auto"/>
            <w:vAlign w:val="center"/>
          </w:tcPr>
          <w:p w14:paraId="00A9956D">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1.70 </w:t>
            </w:r>
          </w:p>
        </w:tc>
        <w:tc>
          <w:tcPr>
            <w:tcW w:w="761" w:type="dxa"/>
            <w:tcBorders>
              <w:top w:val="single" w:color="000000" w:sz="4" w:space="0"/>
              <w:left w:val="nil"/>
              <w:bottom w:val="single" w:color="000000" w:sz="4" w:space="0"/>
              <w:right w:val="single" w:color="000000" w:sz="4" w:space="0"/>
            </w:tcBorders>
            <w:shd w:val="clear" w:color="auto" w:fill="auto"/>
            <w:vAlign w:val="center"/>
          </w:tcPr>
          <w:p w14:paraId="79A1EF00">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1.60 </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27DD2D85">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1.40 </w:t>
            </w:r>
          </w:p>
        </w:tc>
        <w:tc>
          <w:tcPr>
            <w:tcW w:w="851" w:type="dxa"/>
            <w:tcBorders>
              <w:top w:val="single" w:color="000000" w:sz="4" w:space="0"/>
              <w:left w:val="nil"/>
              <w:bottom w:val="single" w:color="000000" w:sz="4" w:space="0"/>
              <w:right w:val="single" w:color="000000" w:sz="4" w:space="0"/>
            </w:tcBorders>
            <w:shd w:val="clear" w:color="auto" w:fill="auto"/>
            <w:vAlign w:val="center"/>
          </w:tcPr>
          <w:p w14:paraId="4E710AAA">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1.30 </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1A61E9BD">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1.20 </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3B8C6A96">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1.10 </w:t>
            </w:r>
          </w:p>
        </w:tc>
      </w:tr>
      <w:tr w14:paraId="1851C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44" w:type="dxa"/>
          <w:trHeight w:val="1501" w:hRule="atLeast"/>
        </w:trPr>
        <w:tc>
          <w:tcPr>
            <w:tcW w:w="9322"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14:paraId="6FFE298B">
            <w:pPr>
              <w:keepNext w:val="0"/>
              <w:keepLines w:val="0"/>
              <w:widowControl w:val="0"/>
              <w:suppressLineNumbers w:val="0"/>
              <w:spacing w:before="0" w:beforeAutospacing="0" w:after="0" w:afterAutospacing="0"/>
              <w:ind w:left="0" w:right="0"/>
              <w:jc w:val="both"/>
              <w:rPr>
                <w:rFonts w:hint="default" w:hAnsi="宋体" w:cs="宋体"/>
                <w:color w:val="auto"/>
                <w:sz w:val="24"/>
                <w:szCs w:val="24"/>
                <w:highlight w:val="none"/>
                <w:lang w:val="en-US"/>
              </w:rPr>
            </w:pPr>
            <w:r>
              <w:rPr>
                <w:rFonts w:hint="eastAsia" w:ascii="宋体" w:hAnsi="宋体" w:eastAsia="宋体" w:cs="宋体"/>
                <w:bCs/>
                <w:snapToGrid w:val="0"/>
                <w:color w:val="auto"/>
                <w:kern w:val="0"/>
                <w:sz w:val="21"/>
                <w:szCs w:val="24"/>
                <w:highlight w:val="none"/>
                <w:lang w:val="en-US" w:eastAsia="zh-CN" w:bidi="ar"/>
              </w:rPr>
              <w:t>注意</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宋体" w:hAnsi="宋体" w:eastAsia="宋体" w:cs="宋体"/>
                <w:bCs/>
                <w:snapToGrid w:val="0"/>
                <w:color w:val="auto"/>
                <w:kern w:val="0"/>
                <w:sz w:val="21"/>
                <w:szCs w:val="24"/>
                <w:highlight w:val="none"/>
                <w:lang w:val="en-US" w:eastAsia="zh-CN" w:bidi="ar"/>
              </w:rPr>
              <w:t>本收费标准中的“建筑工程”适用建筑工程及配套的装饰工程、安装工程﹔市政工程等。“安装工程”适用单独安装工程、装饰工程（含二次装饰装修</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宋体" w:hAnsi="宋体" w:eastAsia="宋体" w:cs="宋体"/>
                <w:bCs/>
                <w:snapToGrid w:val="0"/>
                <w:color w:val="auto"/>
                <w:kern w:val="0"/>
                <w:sz w:val="21"/>
                <w:szCs w:val="24"/>
                <w:highlight w:val="none"/>
                <w:lang w:val="en-US" w:eastAsia="zh-CN" w:bidi="ar"/>
              </w:rPr>
              <w:t>﹔房屋修缮</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宋体" w:hAnsi="宋体" w:eastAsia="宋体" w:cs="宋体"/>
                <w:bCs/>
                <w:snapToGrid w:val="0"/>
                <w:color w:val="auto"/>
                <w:kern w:val="0"/>
                <w:sz w:val="21"/>
                <w:szCs w:val="24"/>
                <w:highlight w:val="none"/>
                <w:lang w:val="en-US" w:eastAsia="zh-CN" w:bidi="ar"/>
              </w:rPr>
              <w:t>园林绿化及仿古建筑工程等。以上中标价含本数。例如</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宋体" w:hAnsi="宋体" w:eastAsia="宋体" w:cs="宋体"/>
                <w:bCs/>
                <w:snapToGrid w:val="0"/>
                <w:color w:val="auto"/>
                <w:kern w:val="0"/>
                <w:sz w:val="21"/>
                <w:szCs w:val="24"/>
                <w:highlight w:val="none"/>
                <w:lang w:val="en-US" w:eastAsia="zh-CN" w:bidi="ar"/>
              </w:rPr>
              <w:t>某造价咨询项目中标金额为</w:t>
            </w:r>
            <w:r>
              <w:rPr>
                <w:rFonts w:hint="default" w:ascii="Times New Roman" w:hAnsi="Times New Roman" w:eastAsia="宋体" w:cs="宋体"/>
                <w:bCs/>
                <w:snapToGrid w:val="0"/>
                <w:color w:val="auto"/>
                <w:kern w:val="0"/>
                <w:sz w:val="21"/>
                <w:szCs w:val="24"/>
                <w:highlight w:val="none"/>
                <w:lang w:val="en-US" w:eastAsia="zh-CN" w:bidi="ar"/>
              </w:rPr>
              <w:t>6000.00</w:t>
            </w:r>
            <w:r>
              <w:rPr>
                <w:rFonts w:hint="eastAsia" w:ascii="宋体" w:hAnsi="宋体" w:eastAsia="宋体" w:cs="宋体"/>
                <w:bCs/>
                <w:snapToGrid w:val="0"/>
                <w:color w:val="auto"/>
                <w:kern w:val="0"/>
                <w:sz w:val="21"/>
                <w:szCs w:val="24"/>
                <w:highlight w:val="none"/>
                <w:lang w:val="en-US" w:eastAsia="zh-CN" w:bidi="ar"/>
              </w:rPr>
              <w:t>万元，工程类型为建筑工程，计算工程量清单及最高投标限价</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宋体" w:hAnsi="宋体" w:eastAsia="宋体" w:cs="宋体"/>
                <w:bCs/>
                <w:snapToGrid w:val="0"/>
                <w:color w:val="auto"/>
                <w:kern w:val="0"/>
                <w:sz w:val="21"/>
                <w:szCs w:val="24"/>
                <w:highlight w:val="none"/>
                <w:lang w:val="en-US" w:eastAsia="zh-CN" w:bidi="ar"/>
              </w:rPr>
              <w:t>招标控制价</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宋体" w:hAnsi="宋体" w:eastAsia="宋体" w:cs="宋体"/>
                <w:bCs/>
                <w:snapToGrid w:val="0"/>
                <w:color w:val="auto"/>
                <w:kern w:val="0"/>
                <w:sz w:val="21"/>
                <w:szCs w:val="24"/>
                <w:highlight w:val="none"/>
                <w:lang w:val="en-US" w:eastAsia="zh-CN" w:bidi="ar"/>
              </w:rPr>
              <w:t>编制费如下</w:t>
            </w:r>
            <w:r>
              <w:rPr>
                <w:rFonts w:hint="default" w:ascii="Times New Roman" w:hAnsi="Times New Roman" w:eastAsia="宋体" w:cs="宋体"/>
                <w:bCs/>
                <w:snapToGrid w:val="0"/>
                <w:color w:val="auto"/>
                <w:kern w:val="0"/>
                <w:sz w:val="21"/>
                <w:szCs w:val="24"/>
                <w:highlight w:val="none"/>
                <w:lang w:val="en-US" w:eastAsia="zh-CN" w:bidi="ar"/>
              </w:rPr>
              <w:t>:6000.00</w:t>
            </w:r>
            <w:r>
              <w:rPr>
                <w:rFonts w:hint="eastAsia" w:ascii="宋体" w:hAnsi="宋体" w:eastAsia="宋体" w:cs="宋体"/>
                <w:bCs/>
                <w:snapToGrid w:val="0"/>
                <w:color w:val="auto"/>
                <w:kern w:val="0"/>
                <w:sz w:val="21"/>
                <w:szCs w:val="24"/>
                <w:highlight w:val="none"/>
                <w:lang w:val="en-US" w:eastAsia="zh-CN" w:bidi="ar"/>
              </w:rPr>
              <w:t>万元×（</w:t>
            </w:r>
            <w:r>
              <w:rPr>
                <w:rFonts w:hint="default" w:ascii="Times New Roman" w:hAnsi="Times New Roman" w:eastAsia="宋体" w:cs="宋体"/>
                <w:bCs/>
                <w:snapToGrid w:val="0"/>
                <w:color w:val="auto"/>
                <w:kern w:val="0"/>
                <w:sz w:val="21"/>
                <w:szCs w:val="24"/>
                <w:highlight w:val="none"/>
                <w:lang w:val="en-US" w:eastAsia="zh-CN" w:bidi="ar"/>
              </w:rPr>
              <w:t>0.25%+0.11%</w:t>
            </w:r>
            <w:r>
              <w:rPr>
                <w:rFonts w:hint="eastAsia" w:ascii="宋体" w:hAnsi="宋体" w:eastAsia="宋体" w:cs="宋体"/>
                <w:bCs/>
                <w:snapToGrid w:val="0"/>
                <w:color w:val="auto"/>
                <w:kern w:val="0"/>
                <w:sz w:val="21"/>
                <w:szCs w:val="24"/>
                <w:highlight w:val="none"/>
                <w:lang w:val="en-US" w:eastAsia="zh-CN" w:bidi="ar"/>
              </w:rPr>
              <w:t>）</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Times New Roman" w:hAnsi="Times New Roman" w:eastAsia="宋体" w:cs="宋体"/>
                <w:bCs/>
                <w:snapToGrid w:val="0"/>
                <w:color w:val="auto"/>
                <w:kern w:val="0"/>
                <w:sz w:val="21"/>
                <w:szCs w:val="24"/>
                <w:highlight w:val="none"/>
                <w:lang w:val="en-US" w:eastAsia="zh-CN" w:bidi="ar"/>
              </w:rPr>
              <w:t>21.6</w:t>
            </w:r>
            <w:r>
              <w:rPr>
                <w:rFonts w:hint="eastAsia" w:ascii="宋体" w:hAnsi="宋体" w:eastAsia="宋体" w:cs="宋体"/>
                <w:bCs/>
                <w:snapToGrid w:val="0"/>
                <w:color w:val="auto"/>
                <w:kern w:val="0"/>
                <w:sz w:val="21"/>
                <w:szCs w:val="24"/>
                <w:highlight w:val="none"/>
                <w:lang w:val="en-US" w:eastAsia="zh-CN" w:bidi="ar"/>
              </w:rPr>
              <w:t>万元</w:t>
            </w:r>
          </w:p>
        </w:tc>
      </w:tr>
    </w:tbl>
    <w:p w14:paraId="50B02E22">
      <w:pPr>
        <w:pStyle w:val="6"/>
        <w:widowControl/>
        <w:outlineLvl w:val="9"/>
        <w:rPr>
          <w:color w:val="auto"/>
          <w:highlight w:val="none"/>
          <w:lang w:val="en-US"/>
        </w:rPr>
      </w:pPr>
    </w:p>
    <w:p w14:paraId="1137AD0D">
      <w:pPr>
        <w:keepNext w:val="0"/>
        <w:keepLines w:val="0"/>
        <w:widowControl w:val="0"/>
        <w:suppressLineNumbers w:val="0"/>
        <w:spacing w:before="0" w:beforeAutospacing="0" w:after="0" w:afterAutospacing="0"/>
        <w:ind w:left="0" w:right="0"/>
        <w:jc w:val="both"/>
        <w:rPr>
          <w:color w:val="auto"/>
          <w:highlight w:val="none"/>
          <w:lang w:val="en-US"/>
        </w:rPr>
      </w:pPr>
    </w:p>
    <w:p w14:paraId="6A16FA6B">
      <w:pPr>
        <w:keepNext w:val="0"/>
        <w:keepLines w:val="0"/>
        <w:widowControl w:val="0"/>
        <w:suppressLineNumbers w:val="0"/>
        <w:spacing w:before="0" w:beforeAutospacing="0" w:after="0" w:afterAutospacing="0"/>
        <w:ind w:left="0" w:right="0"/>
        <w:jc w:val="both"/>
        <w:rPr>
          <w:color w:val="auto"/>
          <w:highlight w:val="none"/>
          <w:lang w:val="en-US"/>
        </w:rPr>
      </w:pPr>
    </w:p>
    <w:p w14:paraId="2AE98C05">
      <w:pPr>
        <w:keepNext/>
        <w:keepLines/>
        <w:widowControl w:val="0"/>
        <w:suppressLineNumbers w:val="0"/>
        <w:adjustRightInd w:val="0"/>
        <w:snapToGrid w:val="0"/>
        <w:spacing w:before="120" w:beforeLines="50" w:beforeAutospacing="0" w:after="120" w:afterLines="50" w:afterAutospacing="0" w:line="360" w:lineRule="auto"/>
        <w:ind w:left="0" w:right="0"/>
        <w:jc w:val="center"/>
        <w:outlineLvl w:val="9"/>
        <w:rPr>
          <w:rFonts w:hint="eastAsia" w:ascii="黑体" w:hAnsi="Arial" w:eastAsia="黑体" w:cs="黑体"/>
          <w:b/>
          <w:bCs/>
          <w:color w:val="auto"/>
          <w:sz w:val="28"/>
          <w:szCs w:val="28"/>
          <w:highlight w:val="none"/>
          <w:lang w:val="en-US"/>
        </w:rPr>
      </w:pPr>
      <w:bookmarkStart w:id="36" w:name="_Toc30301"/>
      <w:bookmarkStart w:id="37" w:name="_Toc14201206"/>
      <w:bookmarkStart w:id="38" w:name="_Toc26656936"/>
      <w:r>
        <w:rPr>
          <w:rFonts w:hint="eastAsia" w:ascii="黑体" w:hAnsi="Times New Roman" w:eastAsia="黑体" w:cs="Times New Roman"/>
          <w:color w:val="auto"/>
          <w:kern w:val="2"/>
          <w:sz w:val="28"/>
          <w:szCs w:val="28"/>
          <w:highlight w:val="none"/>
          <w:lang w:val="en-US" w:eastAsia="zh-CN" w:bidi="ar"/>
        </w:rPr>
        <w:br w:type="page"/>
      </w:r>
      <w:bookmarkStart w:id="39" w:name="_Toc13038"/>
      <w:bookmarkStart w:id="40" w:name="_Toc8945"/>
      <w:r>
        <w:rPr>
          <w:rFonts w:hint="eastAsia" w:ascii="宋体" w:hAnsi="宋体" w:eastAsia="宋体" w:cs="宋体"/>
          <w:b/>
          <w:bCs/>
          <w:snapToGrid w:val="0"/>
          <w:color w:val="auto"/>
          <w:kern w:val="2"/>
          <w:sz w:val="28"/>
          <w:szCs w:val="28"/>
          <w:highlight w:val="none"/>
          <w:lang w:val="en-US" w:eastAsia="zh-CN" w:bidi="ar"/>
        </w:rPr>
        <w:t>附录1  投标文件制作软件导入已标价工程量清单须知和注意事项</w:t>
      </w:r>
      <w:bookmarkEnd w:id="36"/>
      <w:bookmarkEnd w:id="37"/>
      <w:bookmarkEnd w:id="38"/>
      <w:bookmarkEnd w:id="39"/>
      <w:bookmarkEnd w:id="40"/>
    </w:p>
    <w:p w14:paraId="30A97210">
      <w:pPr>
        <w:keepNext w:val="0"/>
        <w:keepLines w:val="0"/>
        <w:widowControl/>
        <w:suppressLineNumbers w:val="0"/>
        <w:spacing w:before="0" w:beforeAutospacing="0" w:after="0" w:afterAutospacing="0"/>
        <w:ind w:left="0" w:right="0" w:firstLine="420"/>
        <w:jc w:val="left"/>
        <w:rPr>
          <w:rFonts w:hint="eastAsia" w:ascii="宋体" w:hAnsi="宋体" w:eastAsia="宋体" w:cs="宋体"/>
          <w:color w:val="auto"/>
          <w:szCs w:val="22"/>
          <w:highlight w:val="none"/>
          <w:lang w:val="en-US"/>
        </w:rPr>
      </w:pPr>
    </w:p>
    <w:p w14:paraId="11F49D12">
      <w:pPr>
        <w:keepNext w:val="0"/>
        <w:keepLines w:val="0"/>
        <w:widowControl w:val="0"/>
        <w:suppressLineNumbers w:val="0"/>
        <w:adjustRightInd w:val="0"/>
        <w:snapToGrid w:val="0"/>
        <w:spacing w:before="0" w:beforeAutospacing="0" w:after="0" w:afterAutospacing="0" w:line="360" w:lineRule="auto"/>
        <w:ind w:left="0" w:right="0" w:firstLine="360" w:firstLineChars="150"/>
        <w:jc w:val="both"/>
        <w:rPr>
          <w:rFonts w:hint="eastAsia" w:ascii="宋体" w:hAnsi="宋体" w:eastAsia="宋体" w:cs="宋体"/>
          <w:color w:val="auto"/>
          <w:sz w:val="24"/>
          <w:szCs w:val="22"/>
          <w:highlight w:val="none"/>
          <w:lang w:val="en-US"/>
        </w:rPr>
      </w:pPr>
      <w:r>
        <w:rPr>
          <w:rFonts w:hint="eastAsia" w:ascii="宋体" w:hAnsi="宋体" w:eastAsia="宋体" w:cs="宋体"/>
          <w:snapToGrid w:val="0"/>
          <w:color w:val="auto"/>
          <w:kern w:val="2"/>
          <w:sz w:val="24"/>
          <w:szCs w:val="22"/>
          <w:highlight w:val="none"/>
          <w:lang w:val="en-US" w:eastAsia="zh-CN" w:bidi="ar"/>
        </w:rPr>
        <w:t>1、导入EXCEL</w:t>
      </w:r>
      <w:r>
        <w:rPr>
          <w:rFonts w:hint="eastAsia" w:ascii="宋体" w:hAnsi="宋体" w:eastAsia="宋体" w:cs="宋体"/>
          <w:b/>
          <w:bCs w:val="0"/>
          <w:snapToGrid w:val="0"/>
          <w:color w:val="auto"/>
          <w:kern w:val="2"/>
          <w:sz w:val="24"/>
          <w:szCs w:val="22"/>
          <w:highlight w:val="none"/>
          <w:lang w:val="en-US" w:eastAsia="zh-CN" w:bidi="ar"/>
        </w:rPr>
        <w:t>已标价工程量</w:t>
      </w:r>
      <w:r>
        <w:rPr>
          <w:rFonts w:hint="eastAsia" w:ascii="宋体" w:hAnsi="宋体" w:eastAsia="宋体" w:cs="宋体"/>
          <w:snapToGrid w:val="0"/>
          <w:color w:val="auto"/>
          <w:kern w:val="2"/>
          <w:sz w:val="24"/>
          <w:szCs w:val="22"/>
          <w:highlight w:val="none"/>
          <w:lang w:val="en-US" w:eastAsia="zh-CN" w:bidi="ar"/>
        </w:rPr>
        <w:t>清单时，请保持表格内的宽度不超过一页。超过一页部分会被切割开，并自动附到文档最后，造成内容不连贯（也可以通过打印预览查看是宽度是否超过一页）。如图所示：</w:t>
      </w:r>
    </w:p>
    <w:p w14:paraId="6241F9B0">
      <w:pPr>
        <w:keepNext w:val="0"/>
        <w:keepLines w:val="0"/>
        <w:widowControl w:val="0"/>
        <w:suppressLineNumbers w:val="0"/>
        <w:adjustRightInd w:val="0"/>
        <w:snapToGrid w:val="0"/>
        <w:spacing w:before="0" w:beforeAutospacing="0" w:after="0" w:afterAutospacing="0" w:line="360" w:lineRule="auto"/>
        <w:ind w:left="360" w:right="0" w:firstLine="480"/>
        <w:jc w:val="both"/>
        <w:rPr>
          <w:rFonts w:hint="eastAsia" w:ascii="宋体" w:hAnsi="宋体" w:eastAsia="宋体" w:cs="宋体"/>
          <w:color w:val="auto"/>
          <w:sz w:val="24"/>
          <w:szCs w:val="22"/>
          <w:highlight w:val="none"/>
          <w:lang w:val="en-US"/>
        </w:rPr>
      </w:pPr>
      <w:r>
        <w:rPr>
          <w:rFonts w:hint="eastAsia" w:ascii="宋体" w:hAnsi="宋体" w:eastAsia="宋体" w:cs="宋体"/>
          <w:snapToGrid w:val="0"/>
          <w:color w:val="auto"/>
          <w:kern w:val="2"/>
          <w:sz w:val="24"/>
          <w:szCs w:val="22"/>
          <w:highlight w:val="none"/>
          <w:lang w:val="en-US" w:eastAsia="zh-CN" w:bidi="ar"/>
        </w:rPr>
        <w:drawing>
          <wp:inline distT="0" distB="0" distL="114300" distR="114300">
            <wp:extent cx="5265420" cy="288036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65420" cy="2880360"/>
                    </a:xfrm>
                    <a:prstGeom prst="rect">
                      <a:avLst/>
                    </a:prstGeom>
                    <a:noFill/>
                    <a:ln>
                      <a:noFill/>
                    </a:ln>
                  </pic:spPr>
                </pic:pic>
              </a:graphicData>
            </a:graphic>
          </wp:inline>
        </w:drawing>
      </w:r>
    </w:p>
    <w:p w14:paraId="7292662B">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color w:val="auto"/>
          <w:sz w:val="24"/>
          <w:szCs w:val="22"/>
          <w:highlight w:val="none"/>
          <w:lang w:val="en-US"/>
        </w:rPr>
      </w:pPr>
    </w:p>
    <w:p w14:paraId="315067FD">
      <w:pPr>
        <w:keepNext w:val="0"/>
        <w:keepLines w:val="0"/>
        <w:widowControl w:val="0"/>
        <w:suppressLineNumbers w:val="0"/>
        <w:adjustRightInd w:val="0"/>
        <w:snapToGrid w:val="0"/>
        <w:spacing w:before="0" w:beforeAutospacing="0" w:after="0" w:afterAutospacing="0" w:line="360" w:lineRule="auto"/>
        <w:ind w:left="360" w:right="0" w:firstLine="480"/>
        <w:jc w:val="both"/>
        <w:rPr>
          <w:rFonts w:hint="eastAsia" w:ascii="宋体" w:hAnsi="宋体" w:eastAsia="宋体" w:cs="宋体"/>
          <w:color w:val="auto"/>
          <w:sz w:val="24"/>
          <w:szCs w:val="22"/>
          <w:highlight w:val="none"/>
          <w:lang w:val="en-US"/>
        </w:rPr>
      </w:pPr>
      <w:r>
        <w:rPr>
          <w:rFonts w:hint="eastAsia" w:ascii="宋体" w:hAnsi="宋体" w:eastAsia="宋体" w:cs="宋体"/>
          <w:snapToGrid w:val="0"/>
          <w:color w:val="auto"/>
          <w:kern w:val="2"/>
          <w:sz w:val="24"/>
          <w:szCs w:val="22"/>
          <w:highlight w:val="none"/>
          <w:lang w:val="en-US" w:eastAsia="zh-CN" w:bidi="ar"/>
        </w:rPr>
        <w:t>2、导入EXCEL表格的时候，会根据页面布局（横向，纵向）自动转换成PDF。</w:t>
      </w:r>
    </w:p>
    <w:p w14:paraId="27BB4251">
      <w:pPr>
        <w:keepNext w:val="0"/>
        <w:keepLines w:val="0"/>
        <w:widowControl w:val="0"/>
        <w:suppressLineNumbers w:val="0"/>
        <w:adjustRightInd w:val="0"/>
        <w:snapToGrid w:val="0"/>
        <w:spacing w:before="0" w:beforeAutospacing="0" w:after="0" w:afterAutospacing="0" w:line="360" w:lineRule="auto"/>
        <w:ind w:left="360" w:right="0" w:firstLine="480"/>
        <w:jc w:val="both"/>
        <w:rPr>
          <w:rFonts w:hint="eastAsia" w:ascii="宋体" w:hAnsi="宋体" w:eastAsia="宋体" w:cs="宋体"/>
          <w:color w:val="auto"/>
          <w:sz w:val="24"/>
          <w:szCs w:val="22"/>
          <w:highlight w:val="none"/>
          <w:lang w:val="en-US"/>
        </w:rPr>
      </w:pPr>
      <w:r>
        <w:rPr>
          <w:rFonts w:hint="eastAsia" w:ascii="宋体" w:hAnsi="宋体" w:eastAsia="宋体" w:cs="宋体"/>
          <w:snapToGrid w:val="0"/>
          <w:color w:val="auto"/>
          <w:kern w:val="2"/>
          <w:sz w:val="24"/>
          <w:szCs w:val="22"/>
          <w:highlight w:val="none"/>
          <w:lang w:val="en-US" w:eastAsia="zh-CN" w:bidi="ar"/>
        </w:rPr>
        <w:t>3、如果EXCEL表中有多个sheet，导入EXCEL时会自动按照EXCEL表内的sheet顺序逐个导入投标工具并转换PDF。</w:t>
      </w:r>
    </w:p>
    <w:p w14:paraId="0751C332">
      <w:pPr>
        <w:keepNext w:val="0"/>
        <w:keepLines w:val="0"/>
        <w:widowControl w:val="0"/>
        <w:suppressLineNumbers w:val="0"/>
        <w:adjustRightInd w:val="0"/>
        <w:snapToGrid w:val="0"/>
        <w:spacing w:before="0" w:beforeAutospacing="0" w:after="0" w:afterAutospacing="0" w:line="360" w:lineRule="auto"/>
        <w:ind w:left="360" w:right="0" w:firstLine="480"/>
        <w:jc w:val="both"/>
        <w:outlineLvl w:val="9"/>
        <w:rPr>
          <w:rFonts w:hint="eastAsia" w:ascii="宋体" w:hAnsi="宋体" w:eastAsia="宋体" w:cs="宋体"/>
          <w:color w:val="auto"/>
          <w:sz w:val="24"/>
          <w:szCs w:val="22"/>
          <w:highlight w:val="none"/>
          <w:lang w:val="en-US"/>
        </w:rPr>
      </w:pPr>
      <w:bookmarkStart w:id="41" w:name="_Toc29250"/>
      <w:bookmarkStart w:id="42" w:name="_Toc14164"/>
      <w:r>
        <w:rPr>
          <w:rFonts w:hint="eastAsia" w:ascii="宋体" w:hAnsi="宋体" w:eastAsia="宋体" w:cs="宋体"/>
          <w:snapToGrid w:val="0"/>
          <w:color w:val="auto"/>
          <w:kern w:val="2"/>
          <w:sz w:val="24"/>
          <w:szCs w:val="22"/>
          <w:highlight w:val="none"/>
          <w:lang w:val="en-US" w:eastAsia="zh-CN" w:bidi="ar"/>
        </w:rPr>
        <w:t>4、投标人生成投标文件时做好检查工作，以免造成投标无效。</w:t>
      </w:r>
      <w:bookmarkEnd w:id="41"/>
      <w:bookmarkEnd w:id="42"/>
    </w:p>
    <w:p w14:paraId="487591F9">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14:paraId="5F1ED788">
      <w:pPr>
        <w:pStyle w:val="36"/>
        <w:pageBreakBefore w:val="0"/>
        <w:widowControl w:val="0"/>
        <w:kinsoku/>
        <w:overflowPunct/>
        <w:topLinePunct/>
        <w:autoSpaceDE/>
        <w:autoSpaceDN/>
        <w:bidi w:val="0"/>
        <w:adjustRightInd/>
        <w:snapToGrid/>
        <w:spacing w:before="240" w:after="240" w:line="360" w:lineRule="auto"/>
        <w:jc w:val="center"/>
        <w:textAlignment w:val="auto"/>
        <w:outlineLvl w:val="9"/>
        <w:rPr>
          <w:rFonts w:hint="eastAsia" w:ascii="黑体" w:hAnsi="黑体" w:eastAsia="黑体" w:cs="黑体"/>
          <w:b/>
          <w:bCs w:val="0"/>
          <w:snapToGrid/>
          <w:color w:val="auto"/>
          <w:kern w:val="2"/>
          <w:sz w:val="32"/>
          <w:highlight w:val="none"/>
          <w:lang w:val="en-US" w:eastAsia="zh-CN"/>
        </w:rPr>
      </w:pPr>
      <w:bookmarkStart w:id="43" w:name="_Toc14360"/>
      <w:bookmarkStart w:id="44" w:name="_Toc16861"/>
      <w:bookmarkStart w:id="45" w:name="_Toc22197"/>
      <w:r>
        <w:rPr>
          <w:rFonts w:hint="eastAsia" w:ascii="黑体" w:hAnsi="黑体" w:eastAsia="黑体" w:cs="黑体"/>
          <w:b/>
          <w:bCs w:val="0"/>
          <w:snapToGrid/>
          <w:color w:val="auto"/>
          <w:kern w:val="2"/>
          <w:sz w:val="32"/>
          <w:highlight w:val="none"/>
          <w:lang w:eastAsia="zh-CN"/>
        </w:rPr>
        <w:t>投标人须知正文修改一览表</w:t>
      </w:r>
      <w:bookmarkEnd w:id="43"/>
      <w:bookmarkEnd w:id="44"/>
      <w:bookmarkEnd w:id="45"/>
    </w:p>
    <w:p w14:paraId="5EE04766">
      <w:pPr>
        <w:pStyle w:val="34"/>
        <w:widowControl/>
        <w:wordWrap w:val="0"/>
        <w:autoSpaceDE w:val="0"/>
        <w:autoSpaceDN w:val="0"/>
        <w:adjustRightInd w:val="0"/>
        <w:snapToGrid w:val="0"/>
        <w:spacing w:line="240" w:lineRule="atLeast"/>
        <w:jc w:val="center"/>
        <w:rPr>
          <w:rFonts w:cs="宋体"/>
          <w:b/>
          <w:bCs w:val="0"/>
          <w:color w:val="auto"/>
          <w:sz w:val="31"/>
          <w:szCs w:val="49"/>
          <w:highlight w:val="none"/>
          <w:lang w:val="en-US"/>
        </w:rPr>
      </w:pPr>
    </w:p>
    <w:p w14:paraId="700E7C2B">
      <w:pPr>
        <w:pStyle w:val="34"/>
        <w:widowControl/>
        <w:wordWrap w:val="0"/>
        <w:rPr>
          <w:color w:val="auto"/>
          <w:kern w:val="0"/>
          <w:sz w:val="24"/>
          <w:szCs w:val="24"/>
          <w:highlight w:val="none"/>
          <w:lang w:val="en-US"/>
        </w:rPr>
      </w:pPr>
      <w:r>
        <w:rPr>
          <w:rFonts w:hint="eastAsia" w:ascii="Times New Roman" w:hAnsi="Times New Roman" w:eastAsia="宋体" w:cs="宋体"/>
          <w:color w:val="auto"/>
          <w:kern w:val="0"/>
          <w:sz w:val="24"/>
          <w:szCs w:val="24"/>
          <w:highlight w:val="none"/>
          <w:lang w:eastAsia="zh-CN"/>
        </w:rPr>
        <w:t>投标人须知正文条款内容修改如下：</w:t>
      </w:r>
    </w:p>
    <w:p w14:paraId="356D0A2E">
      <w:pPr>
        <w:pStyle w:val="34"/>
        <w:widowControl/>
        <w:wordWrap w:val="0"/>
        <w:autoSpaceDE w:val="0"/>
        <w:autoSpaceDN w:val="0"/>
        <w:adjustRightInd w:val="0"/>
        <w:snapToGrid w:val="0"/>
        <w:spacing w:line="240" w:lineRule="atLeast"/>
        <w:ind w:left="0" w:firstLine="220" w:firstLineChars="100"/>
        <w:rPr>
          <w:rFonts w:cs="宋体"/>
          <w:color w:val="auto"/>
          <w:spacing w:val="-10"/>
          <w:kern w:val="0"/>
          <w:sz w:val="24"/>
          <w:szCs w:val="24"/>
          <w:highlight w:val="none"/>
          <w:lang w:val="en-US"/>
        </w:rPr>
      </w:pPr>
    </w:p>
    <w:tbl>
      <w:tblPr>
        <w:tblStyle w:val="14"/>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47"/>
        <w:gridCol w:w="3150"/>
        <w:gridCol w:w="5225"/>
      </w:tblGrid>
      <w:tr w14:paraId="2EFB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7796BAF6">
            <w:pPr>
              <w:pStyle w:val="34"/>
              <w:widowControl/>
              <w:wordWrap w:val="0"/>
              <w:jc w:val="center"/>
              <w:rPr>
                <w:b/>
                <w:bCs w:val="0"/>
                <w:color w:val="auto"/>
                <w:sz w:val="24"/>
                <w:szCs w:val="24"/>
                <w:highlight w:val="none"/>
                <w:lang w:val="en-US"/>
              </w:rPr>
            </w:pPr>
            <w:r>
              <w:rPr>
                <w:rFonts w:hint="eastAsia" w:ascii="Times New Roman" w:hAnsi="Times New Roman" w:eastAsia="宋体" w:cs="宋体"/>
                <w:b/>
                <w:bCs w:val="0"/>
                <w:color w:val="auto"/>
                <w:sz w:val="24"/>
                <w:szCs w:val="24"/>
                <w:highlight w:val="none"/>
              </w:rPr>
              <w:t>条款</w:t>
            </w:r>
          </w:p>
          <w:p w14:paraId="590CB10A">
            <w:pPr>
              <w:pStyle w:val="34"/>
              <w:widowControl/>
              <w:wordWrap w:val="0"/>
              <w:jc w:val="center"/>
              <w:rPr>
                <w:b/>
                <w:bCs w:val="0"/>
                <w:color w:val="auto"/>
                <w:sz w:val="24"/>
                <w:szCs w:val="24"/>
                <w:highlight w:val="none"/>
                <w:lang w:val="en-US"/>
              </w:rPr>
            </w:pPr>
            <w:r>
              <w:rPr>
                <w:rFonts w:hint="eastAsia" w:ascii="Times New Roman" w:hAnsi="Times New Roman" w:eastAsia="宋体" w:cs="宋体"/>
                <w:b/>
                <w:bCs w:val="0"/>
                <w:color w:val="auto"/>
                <w:sz w:val="24"/>
                <w:szCs w:val="24"/>
                <w:highlight w:val="none"/>
              </w:rPr>
              <w:t>编号</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14:paraId="1086F183">
            <w:pPr>
              <w:pStyle w:val="34"/>
              <w:widowControl/>
              <w:wordWrap w:val="0"/>
              <w:jc w:val="center"/>
              <w:rPr>
                <w:b/>
                <w:bCs w:val="0"/>
                <w:color w:val="auto"/>
                <w:sz w:val="24"/>
                <w:szCs w:val="24"/>
                <w:highlight w:val="none"/>
                <w:lang w:val="en-US"/>
              </w:rPr>
            </w:pPr>
            <w:r>
              <w:rPr>
                <w:rFonts w:hint="eastAsia" w:ascii="Times New Roman" w:hAnsi="Times New Roman" w:eastAsia="宋体" w:cs="宋体"/>
                <w:b/>
                <w:bCs w:val="0"/>
                <w:color w:val="auto"/>
                <w:sz w:val="24"/>
                <w:szCs w:val="24"/>
                <w:highlight w:val="none"/>
              </w:rPr>
              <w:t>示范文本中条款内容</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14:paraId="4749C9A4">
            <w:pPr>
              <w:pStyle w:val="34"/>
              <w:widowControl/>
              <w:wordWrap w:val="0"/>
              <w:jc w:val="center"/>
              <w:rPr>
                <w:b/>
                <w:bCs w:val="0"/>
                <w:color w:val="auto"/>
                <w:sz w:val="24"/>
                <w:szCs w:val="24"/>
                <w:highlight w:val="none"/>
                <w:lang w:val="en-US"/>
              </w:rPr>
            </w:pPr>
            <w:r>
              <w:rPr>
                <w:rFonts w:hint="eastAsia" w:ascii="Times New Roman" w:hAnsi="Times New Roman" w:eastAsia="宋体" w:cs="宋体"/>
                <w:b/>
                <w:bCs w:val="0"/>
                <w:color w:val="auto"/>
                <w:sz w:val="24"/>
                <w:szCs w:val="24"/>
                <w:highlight w:val="none"/>
              </w:rPr>
              <w:t>修改后条款内容</w:t>
            </w:r>
          </w:p>
        </w:tc>
      </w:tr>
      <w:tr w14:paraId="4E58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2B531572">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lang w:val="en-US" w:eastAsia="zh-CN"/>
              </w:rPr>
              <w:t>第</w:t>
            </w:r>
            <w:r>
              <w:rPr>
                <w:rFonts w:hint="eastAsia" w:ascii="宋体" w:hAnsi="宋体" w:eastAsia="宋体" w:cs="宋体"/>
                <w:color w:val="auto"/>
                <w:spacing w:val="-2"/>
                <w:sz w:val="24"/>
                <w:szCs w:val="24"/>
                <w:highlight w:val="none"/>
              </w:rPr>
              <w:t>1.4.3</w:t>
            </w:r>
            <w:r>
              <w:rPr>
                <w:rFonts w:hint="eastAsia" w:ascii="宋体" w:hAnsi="宋体" w:eastAsia="宋体" w:cs="宋体"/>
                <w:color w:val="auto"/>
                <w:spacing w:val="-2"/>
                <w:sz w:val="24"/>
                <w:szCs w:val="24"/>
                <w:highlight w:val="none"/>
                <w:lang w:val="en-US" w:eastAsia="zh-CN"/>
              </w:rPr>
              <w:t>条第14款</w:t>
            </w:r>
            <w:r>
              <w:rPr>
                <w:rFonts w:hint="eastAsia" w:ascii="宋体" w:hAnsi="宋体" w:eastAsia="宋体" w:cs="宋体"/>
                <w:color w:val="auto"/>
                <w:spacing w:val="-2"/>
                <w:sz w:val="24"/>
                <w:szCs w:val="24"/>
                <w:highlight w:val="none"/>
              </w:rPr>
              <w:t xml:space="preserve"> </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14:paraId="7A5CBE10">
            <w:pPr>
              <w:keepNext w:val="0"/>
              <w:keepLines w:val="0"/>
              <w:pageBreakBefore w:val="0"/>
              <w:widowControl/>
              <w:suppressLineNumbers w:val="0"/>
              <w:kinsoku w:val="0"/>
              <w:wordWrap/>
              <w:overflowPunct/>
              <w:topLinePunct/>
              <w:autoSpaceDE w:val="0"/>
              <w:autoSpaceDN w:val="0"/>
              <w:bidi w:val="0"/>
              <w:adjustRightInd w:val="0"/>
              <w:snapToGrid w:val="0"/>
              <w:spacing w:before="0" w:beforeAutospacing="0" w:after="0" w:afterAutospacing="0" w:line="360" w:lineRule="auto"/>
              <w:ind w:left="0" w:right="0"/>
              <w:textAlignment w:val="baseline"/>
              <w:rPr>
                <w:rFonts w:hint="default" w:cs="楷体"/>
                <w:bCs/>
                <w:snapToGrid w:val="0"/>
                <w:color w:val="auto"/>
                <w:kern w:val="0"/>
                <w:sz w:val="24"/>
                <w:szCs w:val="24"/>
                <w:highlight w:val="none"/>
                <w:lang w:val="en-US"/>
              </w:rPr>
            </w:pPr>
            <w:r>
              <w:rPr>
                <w:rFonts w:hint="eastAsia" w:ascii="宋体" w:hAnsi="宋体" w:eastAsia="宋体" w:cs="宋体"/>
                <w:color w:val="auto"/>
                <w:spacing w:val="-2"/>
                <w:sz w:val="24"/>
                <w:szCs w:val="24"/>
                <w:highlight w:val="none"/>
              </w:rPr>
              <w:t>（14）在近三年内有骗取中标或严重违约或重大工程质量事故或重大生产安全事故的（以相关行业主管部门的行政处罚决定或司法机关出具的有关法律文书为准）；</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top"/>
          </w:tcPr>
          <w:p w14:paraId="7072B531">
            <w:pPr>
              <w:keepNext w:val="0"/>
              <w:keepLines w:val="0"/>
              <w:widowControl w:val="0"/>
              <w:suppressLineNumbers w:val="0"/>
              <w:wordWrap w:val="0"/>
              <w:spacing w:before="0" w:beforeAutospacing="0" w:after="0" w:afterAutospacing="0" w:line="360" w:lineRule="auto"/>
              <w:ind w:left="0" w:right="0"/>
              <w:jc w:val="both"/>
              <w:textAlignment w:val="center"/>
              <w:rPr>
                <w:rFonts w:hint="default" w:cs="楷体"/>
                <w:bCs/>
                <w:snapToGrid w:val="0"/>
                <w:color w:val="auto"/>
                <w:kern w:val="0"/>
                <w:sz w:val="24"/>
                <w:szCs w:val="24"/>
                <w:highlight w:val="none"/>
                <w:lang w:val="en-US"/>
              </w:rPr>
            </w:pPr>
            <w:r>
              <w:rPr>
                <w:rFonts w:hint="eastAsia" w:ascii="宋体" w:hAnsi="宋体" w:eastAsia="宋体" w:cs="宋体"/>
                <w:color w:val="auto"/>
                <w:spacing w:val="-2"/>
                <w:sz w:val="24"/>
                <w:szCs w:val="24"/>
                <w:highlight w:val="none"/>
              </w:rPr>
              <w:t>（14）</w:t>
            </w:r>
            <w:r>
              <w:rPr>
                <w:rFonts w:hint="eastAsia" w:ascii="Times New Roman" w:hAnsi="Times New Roman" w:eastAsia="宋体" w:cs="Times New Roman"/>
                <w:color w:val="auto"/>
                <w:kern w:val="2"/>
                <w:sz w:val="24"/>
                <w:szCs w:val="24"/>
                <w:highlight w:val="none"/>
                <w:lang w:val="en-US" w:eastAsia="zh-CN" w:bidi="ar"/>
              </w:rPr>
              <w:t>在近三年内（自投标截止之日向前追溯三年）有骗取中标或串通投标或严重违约或重大工程质量问题（以相关行业主管部门的行政处罚决定或司法机关出具的有关法律文书为准），但前述行政处罚已完成信用修复的，自行政处罚作出机关或信用修复主管部门同意修复之日起满一年的，不受三年期限限制；</w:t>
            </w:r>
          </w:p>
        </w:tc>
      </w:tr>
      <w:tr w14:paraId="6AC2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32C2FA0F">
            <w:pPr>
              <w:keepNext w:val="0"/>
              <w:keepLines w:val="0"/>
              <w:widowControl w:val="0"/>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Cs w:val="21"/>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14:paraId="27982AF8">
            <w:pPr>
              <w:keepNext w:val="0"/>
              <w:keepLines w:val="0"/>
              <w:widowControl w:val="0"/>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Cs w:val="21"/>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top"/>
          </w:tcPr>
          <w:p w14:paraId="2434F47C">
            <w:pPr>
              <w:keepNext w:val="0"/>
              <w:keepLines w:val="0"/>
              <w:widowControl w:val="0"/>
              <w:suppressLineNumbers w:val="0"/>
              <w:wordWrap w:val="0"/>
              <w:spacing w:before="0" w:beforeAutospacing="0" w:after="0" w:afterAutospacing="0" w:line="360" w:lineRule="auto"/>
              <w:ind w:left="0" w:right="0"/>
              <w:jc w:val="left"/>
              <w:textAlignment w:val="center"/>
              <w:rPr>
                <w:rFonts w:hint="eastAsia" w:ascii="宋体" w:hAnsi="宋体" w:eastAsia="宋体" w:cs="宋体"/>
                <w:color w:val="auto"/>
                <w:szCs w:val="21"/>
                <w:highlight w:val="none"/>
                <w:lang w:val="en-US"/>
              </w:rPr>
            </w:pPr>
          </w:p>
        </w:tc>
      </w:tr>
      <w:tr w14:paraId="5609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4F99F801">
            <w:pPr>
              <w:pStyle w:val="34"/>
              <w:widowControl/>
              <w:wordWrap w:val="0"/>
              <w:jc w:val="center"/>
              <w:rPr>
                <w:rFonts w:hint="eastAsia" w:ascii="宋体" w:hAnsi="宋体" w:eastAsia="宋体" w:cs="宋体"/>
                <w:color w:val="auto"/>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14:paraId="10D70344">
            <w:pPr>
              <w:pStyle w:val="34"/>
              <w:widowControl/>
              <w:wordWrap w:val="0"/>
              <w:jc w:val="center"/>
              <w:rPr>
                <w:color w:val="auto"/>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14:paraId="1542811B">
            <w:pPr>
              <w:pStyle w:val="34"/>
              <w:widowControl/>
              <w:wordWrap w:val="0"/>
              <w:jc w:val="center"/>
              <w:rPr>
                <w:rFonts w:hint="eastAsia" w:ascii="宋体" w:hAnsi="宋体" w:eastAsia="宋体" w:cs="宋体"/>
                <w:color w:val="auto"/>
                <w:highlight w:val="none"/>
                <w:lang w:val="en-US"/>
              </w:rPr>
            </w:pPr>
          </w:p>
        </w:tc>
      </w:tr>
      <w:tr w14:paraId="6A0B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3461222C">
            <w:pPr>
              <w:pStyle w:val="34"/>
              <w:widowControl/>
              <w:wordWrap w:val="0"/>
              <w:jc w:val="center"/>
              <w:rPr>
                <w:rFonts w:hint="eastAsia" w:ascii="宋体" w:hAnsi="宋体" w:eastAsia="宋体" w:cs="宋体"/>
                <w:color w:val="auto"/>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14:paraId="6D9B56C9">
            <w:pPr>
              <w:pStyle w:val="34"/>
              <w:widowControl/>
              <w:wordWrap w:val="0"/>
              <w:jc w:val="center"/>
              <w:rPr>
                <w:rFonts w:hint="eastAsia" w:ascii="宋体" w:hAnsi="宋体" w:eastAsia="宋体" w:cs="宋体"/>
                <w:color w:val="auto"/>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14:paraId="5DA5DF1C">
            <w:pPr>
              <w:pStyle w:val="34"/>
              <w:widowControl/>
              <w:wordWrap w:val="0"/>
              <w:jc w:val="center"/>
              <w:rPr>
                <w:rFonts w:hint="eastAsia" w:ascii="宋体" w:hAnsi="宋体" w:eastAsia="宋体" w:cs="宋体"/>
                <w:color w:val="auto"/>
                <w:highlight w:val="none"/>
                <w:lang w:val="en-US"/>
              </w:rPr>
            </w:pPr>
          </w:p>
        </w:tc>
      </w:tr>
      <w:tr w14:paraId="7FC9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1F4BF672">
            <w:pPr>
              <w:pStyle w:val="34"/>
              <w:widowControl/>
              <w:wordWrap w:val="0"/>
              <w:jc w:val="center"/>
              <w:rPr>
                <w:rFonts w:hint="eastAsia" w:ascii="宋体" w:hAnsi="宋体" w:eastAsia="宋体" w:cs="宋体"/>
                <w:color w:val="auto"/>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14:paraId="5C7F0B54">
            <w:pPr>
              <w:pStyle w:val="34"/>
              <w:widowControl/>
              <w:wordWrap w:val="0"/>
              <w:jc w:val="center"/>
              <w:rPr>
                <w:rFonts w:hint="eastAsia" w:ascii="宋体" w:hAnsi="宋体" w:eastAsia="宋体" w:cs="宋体"/>
                <w:b/>
                <w:bCs w:val="0"/>
                <w:color w:val="auto"/>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14:paraId="446658BC">
            <w:pPr>
              <w:pStyle w:val="34"/>
              <w:widowControl/>
              <w:wordWrap w:val="0"/>
              <w:jc w:val="center"/>
              <w:rPr>
                <w:rFonts w:hint="eastAsia" w:ascii="宋体" w:hAnsi="宋体" w:eastAsia="宋体" w:cs="宋体"/>
                <w:b/>
                <w:bCs w:val="0"/>
                <w:color w:val="auto"/>
                <w:highlight w:val="none"/>
                <w:lang w:val="en-US"/>
              </w:rPr>
            </w:pPr>
          </w:p>
        </w:tc>
      </w:tr>
      <w:tr w14:paraId="5703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12CB68B8">
            <w:pPr>
              <w:pStyle w:val="34"/>
              <w:widowControl/>
              <w:wordWrap w:val="0"/>
              <w:jc w:val="center"/>
              <w:rPr>
                <w:rFonts w:hint="eastAsia" w:ascii="宋体" w:hAnsi="宋体" w:eastAsia="宋体" w:cs="宋体"/>
                <w:color w:val="auto"/>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14:paraId="6A718E5E">
            <w:pPr>
              <w:pStyle w:val="34"/>
              <w:widowControl/>
              <w:wordWrap w:val="0"/>
              <w:jc w:val="center"/>
              <w:rPr>
                <w:color w:val="auto"/>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14:paraId="28177E0F">
            <w:pPr>
              <w:pStyle w:val="34"/>
              <w:widowControl/>
              <w:wordWrap w:val="0"/>
              <w:jc w:val="center"/>
              <w:rPr>
                <w:rFonts w:hint="eastAsia" w:ascii="宋体" w:hAnsi="宋体" w:eastAsia="宋体" w:cs="宋体"/>
                <w:color w:val="auto"/>
                <w:highlight w:val="none"/>
                <w:lang w:val="en-US"/>
              </w:rPr>
            </w:pPr>
          </w:p>
        </w:tc>
      </w:tr>
    </w:tbl>
    <w:p w14:paraId="1DAF6367">
      <w:pPr>
        <w:keepNext w:val="0"/>
        <w:keepLines w:val="0"/>
        <w:widowControl w:val="0"/>
        <w:suppressLineNumbers w:val="0"/>
        <w:wordWrap w:val="0"/>
        <w:adjustRightInd w:val="0"/>
        <w:snapToGrid w:val="0"/>
        <w:spacing w:before="0" w:beforeAutospacing="0" w:after="0" w:afterAutospacing="0" w:line="300" w:lineRule="auto"/>
        <w:ind w:left="0" w:right="-512" w:rightChars="-244" w:firstLine="420" w:firstLineChars="200"/>
        <w:jc w:val="both"/>
        <w:rPr>
          <w:color w:val="auto"/>
          <w:highlight w:val="none"/>
          <w:lang w:val="en-US"/>
        </w:rPr>
      </w:pPr>
    </w:p>
    <w:p w14:paraId="458CC710">
      <w:pPr>
        <w:rPr>
          <w:rFonts w:hint="default" w:ascii="Times New Roman" w:hAnsi="Times New Roman" w:cs="Times New Roman"/>
          <w:bCs/>
          <w:snapToGrid/>
          <w:color w:val="auto"/>
          <w:kern w:val="2"/>
          <w:sz w:val="32"/>
          <w:highlight w:val="none"/>
          <w:lang w:eastAsia="zh-CN"/>
        </w:rPr>
      </w:pPr>
      <w:r>
        <w:rPr>
          <w:rFonts w:hint="default" w:ascii="Times New Roman" w:hAnsi="Times New Roman" w:cs="Times New Roman"/>
          <w:bCs/>
          <w:snapToGrid/>
          <w:color w:val="auto"/>
          <w:kern w:val="2"/>
          <w:sz w:val="32"/>
          <w:highlight w:val="none"/>
          <w:lang w:eastAsia="zh-CN"/>
        </w:rPr>
        <w:br w:type="page"/>
      </w:r>
    </w:p>
    <w:p w14:paraId="4BFE416B">
      <w:pPr>
        <w:pStyle w:val="36"/>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color w:val="auto"/>
          <w:kern w:val="2"/>
          <w:sz w:val="32"/>
          <w:highlight w:val="none"/>
          <w:lang w:eastAsia="zh-CN"/>
        </w:rPr>
      </w:pPr>
      <w:bookmarkStart w:id="46" w:name="_Toc17604"/>
      <w:r>
        <w:rPr>
          <w:rFonts w:hint="eastAsia" w:ascii="黑体" w:hAnsi="黑体" w:eastAsia="黑体" w:cs="黑体"/>
          <w:b/>
          <w:bCs w:val="0"/>
          <w:snapToGrid/>
          <w:color w:val="auto"/>
          <w:kern w:val="2"/>
          <w:sz w:val="32"/>
          <w:highlight w:val="none"/>
          <w:lang w:eastAsia="zh-CN"/>
        </w:rPr>
        <w:t>1．总则</w:t>
      </w:r>
      <w:bookmarkEnd w:id="46"/>
    </w:p>
    <w:p w14:paraId="43F58C58">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47" w:name="_Toc11460"/>
      <w:bookmarkStart w:id="48" w:name="_Toc12750"/>
      <w:bookmarkStart w:id="49" w:name="_Toc15383"/>
      <w:r>
        <w:rPr>
          <w:rFonts w:hint="eastAsia" w:ascii="黑体" w:hAnsi="黑体" w:eastAsia="黑体" w:cs="黑体"/>
          <w:b/>
          <w:bCs w:val="0"/>
          <w:snapToGrid/>
          <w:color w:val="auto"/>
          <w:kern w:val="2"/>
          <w:highlight w:val="none"/>
          <w:lang w:eastAsia="zh-CN"/>
        </w:rPr>
        <w:t>1.1  项目概况</w:t>
      </w:r>
      <w:bookmarkEnd w:id="47"/>
      <w:bookmarkEnd w:id="48"/>
      <w:bookmarkEnd w:id="49"/>
    </w:p>
    <w:p w14:paraId="31656A3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1.1.1  根据《中华人民共和国招标投标法》《中华人民共和国招标</w:t>
      </w:r>
      <w:r>
        <w:rPr>
          <w:rFonts w:hint="eastAsia" w:ascii="宋体" w:hAnsi="宋体" w:eastAsia="宋体" w:cs="宋体"/>
          <w:color w:val="auto"/>
          <w:spacing w:val="-6"/>
          <w:sz w:val="24"/>
          <w:szCs w:val="24"/>
          <w:highlight w:val="none"/>
        </w:rPr>
        <w:t>投标法实施条例》《工程建设</w:t>
      </w:r>
      <w:r>
        <w:rPr>
          <w:rFonts w:hint="eastAsia" w:ascii="宋体" w:hAnsi="宋体" w:eastAsia="宋体" w:cs="宋体"/>
          <w:color w:val="auto"/>
          <w:spacing w:val="1"/>
          <w:sz w:val="24"/>
          <w:szCs w:val="24"/>
          <w:highlight w:val="none"/>
        </w:rPr>
        <w:t>项目施工招标投标办法》等有关法律法规和规章的规定，本招标项目已具备招标条件</w:t>
      </w:r>
      <w:r>
        <w:rPr>
          <w:rFonts w:hint="eastAsia" w:ascii="宋体" w:hAnsi="宋体" w:eastAsia="宋体" w:cs="宋体"/>
          <w:color w:val="auto"/>
          <w:sz w:val="24"/>
          <w:szCs w:val="24"/>
          <w:highlight w:val="none"/>
        </w:rPr>
        <w:t>，现对本标段</w:t>
      </w:r>
      <w:r>
        <w:rPr>
          <w:rFonts w:hint="eastAsia" w:ascii="宋体" w:hAnsi="宋体" w:eastAsia="宋体" w:cs="宋体"/>
          <w:color w:val="auto"/>
          <w:spacing w:val="-3"/>
          <w:sz w:val="24"/>
          <w:szCs w:val="24"/>
          <w:highlight w:val="none"/>
        </w:rPr>
        <w:t>施工进行招标。</w:t>
      </w:r>
    </w:p>
    <w:p w14:paraId="0E8CFFF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1.1.2  本招标项目招标人：见投标人须知前附表。</w:t>
      </w:r>
    </w:p>
    <w:p w14:paraId="443254C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1.1.3  本标段招标代理机构：见投标人须知前附表。</w:t>
      </w:r>
    </w:p>
    <w:p w14:paraId="2250FED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1.1.4  本招标项目名称：见投标人须知前附表。</w:t>
      </w:r>
    </w:p>
    <w:p w14:paraId="370589E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1.1.5  本标段建设地点：见投标人须知前附表。</w:t>
      </w:r>
    </w:p>
    <w:p w14:paraId="0A3E4D0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1.1.6  本招标项目现场管理机构：见</w:t>
      </w:r>
      <w:r>
        <w:rPr>
          <w:rFonts w:hint="eastAsia" w:ascii="宋体" w:hAnsi="宋体" w:eastAsia="宋体" w:cs="宋体"/>
          <w:color w:val="auto"/>
          <w:spacing w:val="-2"/>
          <w:sz w:val="24"/>
          <w:szCs w:val="24"/>
          <w:highlight w:val="none"/>
        </w:rPr>
        <w:t>投标人须知前附表。</w:t>
      </w:r>
    </w:p>
    <w:p w14:paraId="0253F44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1.1.7  本招标项目设计人：见投标人须知前附表。</w:t>
      </w:r>
    </w:p>
    <w:p w14:paraId="113CA3F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1.1.8  本招标项目监理人：见投标人须知前附表。</w:t>
      </w:r>
    </w:p>
    <w:p w14:paraId="4D70B4F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4"/>
          <w:szCs w:val="24"/>
          <w:highlight w:val="none"/>
        </w:rPr>
        <w:t>1.1.9  本招标项目代建机构：见投标人须知前附表。</w:t>
      </w:r>
    </w:p>
    <w:p w14:paraId="734EC2E6">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50" w:name="_Toc11693"/>
      <w:bookmarkStart w:id="51" w:name="_Toc21513"/>
      <w:bookmarkStart w:id="52" w:name="_Toc24953"/>
      <w:r>
        <w:rPr>
          <w:rFonts w:hint="eastAsia" w:ascii="黑体" w:hAnsi="黑体" w:eastAsia="黑体" w:cs="黑体"/>
          <w:b/>
          <w:bCs w:val="0"/>
          <w:snapToGrid/>
          <w:color w:val="auto"/>
          <w:kern w:val="2"/>
          <w:highlight w:val="none"/>
          <w:lang w:eastAsia="zh-CN"/>
        </w:rPr>
        <w:t>1.2  资金来源和落实情况</w:t>
      </w:r>
      <w:bookmarkEnd w:id="50"/>
      <w:bookmarkEnd w:id="51"/>
      <w:bookmarkEnd w:id="52"/>
    </w:p>
    <w:p w14:paraId="69762F8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1.2.1  本招标项目的资金来源和出资比例：见投标人须知前附表。</w:t>
      </w:r>
    </w:p>
    <w:p w14:paraId="0CBAE11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1.2.2  本招标项目的资金落实情况：见投标人须知前附表。</w:t>
      </w:r>
    </w:p>
    <w:p w14:paraId="7FA38487">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53" w:name="_Toc25896"/>
      <w:bookmarkStart w:id="54" w:name="_Toc20968"/>
      <w:bookmarkStart w:id="55" w:name="_Toc4497"/>
      <w:r>
        <w:rPr>
          <w:rFonts w:hint="eastAsia" w:ascii="黑体" w:hAnsi="黑体" w:eastAsia="黑体" w:cs="黑体"/>
          <w:b/>
          <w:bCs w:val="0"/>
          <w:snapToGrid/>
          <w:color w:val="auto"/>
          <w:kern w:val="2"/>
          <w:highlight w:val="none"/>
          <w:lang w:eastAsia="zh-CN"/>
        </w:rPr>
        <w:t>1.3  招标范围、计划工期、质量要求、安全目标和环保目标</w:t>
      </w:r>
      <w:bookmarkEnd w:id="53"/>
      <w:bookmarkEnd w:id="54"/>
      <w:bookmarkEnd w:id="55"/>
    </w:p>
    <w:p w14:paraId="6682CC1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1.3.1  本次招标范围：见投标人须知前附表。</w:t>
      </w:r>
    </w:p>
    <w:p w14:paraId="0E5DB1F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1.3.2  本招标项目的计划工期：见投标人须知前附表。</w:t>
      </w:r>
    </w:p>
    <w:p w14:paraId="50C99AF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1.3.3  本招标项目的质量要求：见投标人须知前附表。</w:t>
      </w:r>
    </w:p>
    <w:p w14:paraId="3F227A6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1.3.4  本招标项目的安全目标：见投标人须知前附表。</w:t>
      </w:r>
    </w:p>
    <w:p w14:paraId="28D5F06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pacing w:val="-2"/>
          <w:sz w:val="24"/>
          <w:szCs w:val="24"/>
          <w:highlight w:val="none"/>
        </w:rPr>
        <w:t>1.3.5  本招标项目的环保目标：见投标人须知前附表。</w:t>
      </w:r>
    </w:p>
    <w:p w14:paraId="7BCD8671">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56" w:name="_Toc15172"/>
      <w:bookmarkStart w:id="57" w:name="_Toc10876"/>
      <w:bookmarkStart w:id="58" w:name="_Toc14795"/>
      <w:r>
        <w:rPr>
          <w:rFonts w:hint="eastAsia" w:ascii="黑体" w:hAnsi="黑体" w:eastAsia="黑体" w:cs="黑体"/>
          <w:b/>
          <w:bCs w:val="0"/>
          <w:snapToGrid/>
          <w:color w:val="auto"/>
          <w:kern w:val="2"/>
          <w:highlight w:val="none"/>
          <w:lang w:eastAsia="zh-CN"/>
        </w:rPr>
        <w:t>1.4  投标人资格要求</w:t>
      </w:r>
      <w:bookmarkEnd w:id="56"/>
      <w:bookmarkEnd w:id="57"/>
      <w:bookmarkEnd w:id="58"/>
    </w:p>
    <w:p w14:paraId="0C23A1E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1.4.1  投标人应具备承担本标段施工的资质条件、能力和信誉：</w:t>
      </w:r>
    </w:p>
    <w:p w14:paraId="3210CCC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（1）资质要求：见投标人须知前附表；</w:t>
      </w:r>
    </w:p>
    <w:p w14:paraId="5CB272D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（2）财务要求：见投标人须知前附表；</w:t>
      </w:r>
    </w:p>
    <w:p w14:paraId="2460403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（3）业绩要求：见投标人须知前附表；</w:t>
      </w:r>
    </w:p>
    <w:p w14:paraId="42549B7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（4）信誉要求：见投标人须知前附表；</w:t>
      </w:r>
    </w:p>
    <w:p w14:paraId="4801BE9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（5）项目经理资格：见投标人须知前附表；</w:t>
      </w:r>
    </w:p>
    <w:p w14:paraId="00013D4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（6）其他主要人员资格：见投标人须知前附表；</w:t>
      </w:r>
    </w:p>
    <w:p w14:paraId="04609D1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（7）其他要求：见投标人须知前附表。</w:t>
      </w:r>
    </w:p>
    <w:p w14:paraId="6335653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1.4.2 投标人须知前附表规定接受联合体投标的，联合体除应符合本章第 1.4.1项和投标人须知前附表的要求外，还应遵守以下规定：</w:t>
      </w:r>
    </w:p>
    <w:p w14:paraId="5828CF6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（1）联合体各方应按招标文件提供的格式签订联合体协议书，明确联合体牵头人和各方权利义务，并承诺就中标项目向招标人承担连带责任；</w:t>
      </w:r>
    </w:p>
    <w:p w14:paraId="3C62F25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（2）由同一专业的单位组成的联合体，按照资质等级较低的单位确定资质等级；</w:t>
      </w:r>
    </w:p>
    <w:p w14:paraId="460E296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（3）联合体各方不得再以自己名义单独或参加其他联合体在同一标段中投标，否则各相关投标均无效。</w:t>
      </w:r>
    </w:p>
    <w:p w14:paraId="13AC71D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1.4.3  投标人（包括联合体各成员）不得存在下列情形之一：</w:t>
      </w:r>
    </w:p>
    <w:p w14:paraId="6E84FAF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（1）为招标人不具有独立法人资格的附属机构（单位）；</w:t>
      </w:r>
    </w:p>
    <w:p w14:paraId="318DCD3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（2）与招标人存在利害关系且可能影响招标公正性；</w:t>
      </w:r>
    </w:p>
    <w:p w14:paraId="2CC4E13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（3）与本标段的其他投标人为同一个单位负责人；</w:t>
      </w:r>
    </w:p>
    <w:p w14:paraId="6ED09C9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（4）与本标段的其他投标人存在控股、管理关系；</w:t>
      </w:r>
    </w:p>
    <w:p w14:paraId="2DAFD3A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（5）为本标段前期准备提供设计或咨询服务的法人或其任何附属机构（单位），但工程总承包的除外；</w:t>
      </w:r>
    </w:p>
    <w:p w14:paraId="29965F4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（6）为本标段监理人；</w:t>
      </w:r>
    </w:p>
    <w:p w14:paraId="519DFD6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（7）为本标段代建人；</w:t>
      </w:r>
    </w:p>
    <w:p w14:paraId="754EC2B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（8）为本标段的招标代理机构；</w:t>
      </w:r>
    </w:p>
    <w:p w14:paraId="10FF665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（9）与本标段的监理人或代建人或招标代理机构同为一个法定代表人；</w:t>
      </w:r>
    </w:p>
    <w:p w14:paraId="185EE44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（10）与本标段的监理人或代建人或招标代理机构存在控股或参股关系；</w:t>
      </w:r>
    </w:p>
    <w:p w14:paraId="263F6BA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（11）被依法暂停或者取消投标资格（以相关行业主管部门的行政处理决定为准）；</w:t>
      </w:r>
    </w:p>
    <w:p w14:paraId="1566F3E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（12）被责令停业，暂扣或者吊销执照，或吊销资质证书；</w:t>
      </w:r>
    </w:p>
    <w:p w14:paraId="0D9EEE4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（13）进入清算程序，或被宣告破产，或其他丧失履约能力的情形；</w:t>
      </w:r>
    </w:p>
    <w:p w14:paraId="3E1507D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（14）在近三年内有骗取中标或严重违约或重大工程质量事故或重大生产安全事故的（以相关行业主管部门的行政处罚决定或司法机关出具的有关法律文书为准）；</w:t>
      </w:r>
    </w:p>
    <w:p w14:paraId="2682616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（15）在国家企业信用信息公示系统（</w:t>
      </w:r>
      <w:r>
        <w:rPr>
          <w:rFonts w:hint="eastAsia" w:ascii="宋体" w:hAnsi="宋体" w:eastAsia="宋体" w:cs="宋体"/>
          <w:color w:val="auto"/>
          <w:spacing w:val="-2"/>
          <w:sz w:val="24"/>
          <w:szCs w:val="24"/>
          <w:highlight w:val="none"/>
        </w:rPr>
        <w:fldChar w:fldCharType="begin"/>
      </w:r>
      <w:r>
        <w:rPr>
          <w:rFonts w:hint="eastAsia" w:ascii="宋体" w:hAnsi="宋体" w:eastAsia="宋体" w:cs="宋体"/>
          <w:color w:val="auto"/>
          <w:spacing w:val="-2"/>
          <w:sz w:val="24"/>
          <w:szCs w:val="24"/>
          <w:highlight w:val="none"/>
        </w:rPr>
        <w:instrText xml:space="preserve"> HYPERLINK "http://www.gsxt.gov.cn/" </w:instrText>
      </w:r>
      <w:r>
        <w:rPr>
          <w:rFonts w:hint="eastAsia" w:ascii="宋体" w:hAnsi="宋体" w:eastAsia="宋体" w:cs="宋体"/>
          <w:color w:val="auto"/>
          <w:spacing w:val="-2"/>
          <w:sz w:val="24"/>
          <w:szCs w:val="24"/>
          <w:highlight w:val="none"/>
        </w:rPr>
        <w:fldChar w:fldCharType="separate"/>
      </w:r>
      <w:r>
        <w:rPr>
          <w:rFonts w:hint="eastAsia" w:ascii="宋体" w:hAnsi="宋体" w:eastAsia="宋体" w:cs="宋体"/>
          <w:color w:val="auto"/>
          <w:spacing w:val="-2"/>
          <w:sz w:val="24"/>
          <w:szCs w:val="24"/>
          <w:highlight w:val="none"/>
        </w:rPr>
        <w:t>http://www.gsxt.gov.cn/</w:t>
      </w:r>
      <w:r>
        <w:rPr>
          <w:rFonts w:hint="eastAsia" w:ascii="宋体" w:hAnsi="宋体" w:eastAsia="宋体" w:cs="宋体"/>
          <w:color w:val="auto"/>
          <w:spacing w:val="-2"/>
          <w:sz w:val="24"/>
          <w:szCs w:val="24"/>
          <w:highlight w:val="none"/>
        </w:rPr>
        <w:fldChar w:fldCharType="end"/>
      </w:r>
      <w:r>
        <w:rPr>
          <w:rFonts w:hint="eastAsia" w:ascii="宋体" w:hAnsi="宋体" w:eastAsia="宋体" w:cs="宋体"/>
          <w:color w:val="auto"/>
          <w:spacing w:val="-2"/>
          <w:sz w:val="24"/>
          <w:szCs w:val="24"/>
          <w:highlight w:val="none"/>
        </w:rPr>
        <w:t xml:space="preserve"> ）中被列入严重违法失信企业名单；</w:t>
      </w:r>
    </w:p>
    <w:p w14:paraId="61801D8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（16）在“信用中国 ”网站（http://www.creditchina.gov.cn/）中被列入失信被执行人名单；</w:t>
      </w:r>
    </w:p>
    <w:p w14:paraId="42F9634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（17）在“信用中国 ”网站（http://www.creditchina.gov.cn/）中被列入重大税收违法失信主体；</w:t>
      </w:r>
    </w:p>
    <w:p w14:paraId="12C68A7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（18）在“信用中国”网站（</w:t>
      </w:r>
      <w:r>
        <w:rPr>
          <w:rFonts w:hint="eastAsia" w:ascii="宋体" w:hAnsi="宋体" w:eastAsia="宋体" w:cs="宋体"/>
          <w:color w:val="auto"/>
          <w:spacing w:val="-2"/>
          <w:sz w:val="24"/>
          <w:szCs w:val="24"/>
          <w:highlight w:val="none"/>
        </w:rPr>
        <w:fldChar w:fldCharType="begin"/>
      </w:r>
      <w:r>
        <w:rPr>
          <w:rFonts w:hint="eastAsia" w:ascii="宋体" w:hAnsi="宋体" w:eastAsia="宋体" w:cs="宋体"/>
          <w:color w:val="auto"/>
          <w:spacing w:val="-2"/>
          <w:sz w:val="24"/>
          <w:szCs w:val="24"/>
          <w:highlight w:val="none"/>
        </w:rPr>
        <w:instrText xml:space="preserve"> HYPERLINK "http://www.creditchina.gov.cn/" </w:instrText>
      </w:r>
      <w:r>
        <w:rPr>
          <w:rFonts w:hint="eastAsia" w:ascii="宋体" w:hAnsi="宋体" w:eastAsia="宋体" w:cs="宋体"/>
          <w:color w:val="auto"/>
          <w:spacing w:val="-2"/>
          <w:sz w:val="24"/>
          <w:szCs w:val="24"/>
          <w:highlight w:val="none"/>
        </w:rPr>
        <w:fldChar w:fldCharType="separate"/>
      </w:r>
      <w:r>
        <w:rPr>
          <w:rFonts w:hint="eastAsia" w:ascii="宋体" w:hAnsi="宋体" w:eastAsia="宋体" w:cs="宋体"/>
          <w:color w:val="auto"/>
          <w:spacing w:val="-2"/>
          <w:sz w:val="24"/>
          <w:szCs w:val="24"/>
          <w:highlight w:val="none"/>
        </w:rPr>
        <w:t>http://www.creditchina.gov.cn/</w:t>
      </w:r>
      <w:r>
        <w:rPr>
          <w:rFonts w:hint="eastAsia" w:ascii="宋体" w:hAnsi="宋体" w:eastAsia="宋体" w:cs="宋体"/>
          <w:color w:val="auto"/>
          <w:spacing w:val="-2"/>
          <w:sz w:val="24"/>
          <w:szCs w:val="24"/>
          <w:highlight w:val="none"/>
        </w:rPr>
        <w:fldChar w:fldCharType="end"/>
      </w:r>
      <w:r>
        <w:rPr>
          <w:rFonts w:hint="eastAsia" w:ascii="宋体" w:hAnsi="宋体" w:eastAsia="宋体" w:cs="宋体"/>
          <w:color w:val="auto"/>
          <w:spacing w:val="-2"/>
          <w:sz w:val="24"/>
          <w:szCs w:val="24"/>
          <w:highlight w:val="none"/>
        </w:rPr>
        <w:t xml:space="preserve"> ）中被列入拖欠农民工工资失信 联合惩戒对象名单；</w:t>
      </w:r>
    </w:p>
    <w:p w14:paraId="33386A3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（19）在近三年内投标人或其法定代表人、拟任项目负责人有行贿犯罪行为的；</w:t>
      </w:r>
    </w:p>
    <w:p w14:paraId="545F0F5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（20）投标时（以投标截止时间为准），有被项目所在地市级及县区各行业主管部门或公共资源交易监管部门限制投标的不良行为记录（有效期内）；</w:t>
      </w:r>
    </w:p>
    <w:p w14:paraId="7CFF904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（21）法律法规或投标人须知前附表规定的其他情形。</w:t>
      </w:r>
    </w:p>
    <w:p w14:paraId="16802703">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59" w:name="_Toc23605"/>
      <w:bookmarkStart w:id="60" w:name="_Toc11070"/>
      <w:bookmarkStart w:id="61" w:name="_Toc28836"/>
      <w:r>
        <w:rPr>
          <w:rFonts w:hint="eastAsia" w:ascii="黑体" w:hAnsi="黑体" w:eastAsia="黑体" w:cs="黑体"/>
          <w:b/>
          <w:bCs w:val="0"/>
          <w:snapToGrid/>
          <w:color w:val="auto"/>
          <w:kern w:val="2"/>
          <w:highlight w:val="none"/>
          <w:lang w:eastAsia="zh-CN"/>
        </w:rPr>
        <w:t>1.5  费用承担</w:t>
      </w:r>
      <w:bookmarkEnd w:id="59"/>
      <w:bookmarkEnd w:id="60"/>
      <w:bookmarkEnd w:id="61"/>
    </w:p>
    <w:p w14:paraId="7DA70B7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投标人准备和参加投标活动发生的费用自理。</w:t>
      </w:r>
    </w:p>
    <w:p w14:paraId="66E668F8">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62" w:name="_Toc7549"/>
      <w:bookmarkStart w:id="63" w:name="_Toc6949"/>
      <w:bookmarkStart w:id="64" w:name="_Toc1218"/>
      <w:r>
        <w:rPr>
          <w:rFonts w:hint="eastAsia" w:ascii="黑体" w:hAnsi="黑体" w:eastAsia="黑体" w:cs="黑体"/>
          <w:b/>
          <w:bCs w:val="0"/>
          <w:snapToGrid/>
          <w:color w:val="auto"/>
          <w:kern w:val="2"/>
          <w:highlight w:val="none"/>
          <w:lang w:eastAsia="zh-CN"/>
        </w:rPr>
        <w:t>1.6  保密</w:t>
      </w:r>
      <w:bookmarkEnd w:id="62"/>
      <w:bookmarkEnd w:id="63"/>
      <w:bookmarkEnd w:id="64"/>
    </w:p>
    <w:p w14:paraId="668495B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参与招标投标活动的各方应对招标文件和投标文件中的商业和技术等秘密保密，否则应承担相应的法律责任。</w:t>
      </w:r>
    </w:p>
    <w:p w14:paraId="726BEEF9">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65" w:name="_Toc9515"/>
      <w:bookmarkStart w:id="66" w:name="_Toc16816"/>
      <w:bookmarkStart w:id="67" w:name="_Toc29929"/>
      <w:r>
        <w:rPr>
          <w:rFonts w:hint="eastAsia" w:ascii="黑体" w:hAnsi="黑体" w:eastAsia="黑体" w:cs="黑体"/>
          <w:b/>
          <w:bCs w:val="0"/>
          <w:snapToGrid/>
          <w:color w:val="auto"/>
          <w:kern w:val="2"/>
          <w:highlight w:val="none"/>
          <w:lang w:eastAsia="zh-CN"/>
        </w:rPr>
        <w:t>1.7  语言文字</w:t>
      </w:r>
      <w:bookmarkEnd w:id="65"/>
      <w:bookmarkEnd w:id="66"/>
      <w:bookmarkEnd w:id="67"/>
    </w:p>
    <w:p w14:paraId="72D95A2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招标投标文件使用的语言文字为中文。专用术语使用外文的，应附有中文注释。</w:t>
      </w:r>
    </w:p>
    <w:p w14:paraId="08C0017D">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68" w:name="_Toc29154"/>
      <w:bookmarkStart w:id="69" w:name="_Toc7771"/>
      <w:bookmarkStart w:id="70" w:name="_Toc7447"/>
      <w:r>
        <w:rPr>
          <w:rFonts w:hint="eastAsia" w:ascii="黑体" w:hAnsi="黑体" w:eastAsia="黑体" w:cs="黑体"/>
          <w:b/>
          <w:bCs w:val="0"/>
          <w:snapToGrid/>
          <w:color w:val="auto"/>
          <w:kern w:val="2"/>
          <w:highlight w:val="none"/>
          <w:lang w:eastAsia="zh-CN"/>
        </w:rPr>
        <w:t>1.8  计量单位</w:t>
      </w:r>
      <w:bookmarkEnd w:id="68"/>
      <w:bookmarkEnd w:id="69"/>
      <w:bookmarkEnd w:id="70"/>
    </w:p>
    <w:p w14:paraId="56B3591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所有计量均采用中华人民共和国法定计量单位。</w:t>
      </w:r>
    </w:p>
    <w:p w14:paraId="4E9FE850">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71" w:name="_Toc28875"/>
      <w:bookmarkStart w:id="72" w:name="_Toc9300"/>
      <w:bookmarkStart w:id="73" w:name="_Toc29310"/>
      <w:r>
        <w:rPr>
          <w:rFonts w:hint="eastAsia" w:ascii="黑体" w:hAnsi="黑体" w:eastAsia="黑体" w:cs="黑体"/>
          <w:b/>
          <w:bCs w:val="0"/>
          <w:snapToGrid/>
          <w:color w:val="auto"/>
          <w:kern w:val="2"/>
          <w:highlight w:val="none"/>
          <w:lang w:eastAsia="zh-CN"/>
        </w:rPr>
        <w:t>1.9  踏勘现场</w:t>
      </w:r>
      <w:bookmarkEnd w:id="71"/>
      <w:bookmarkEnd w:id="72"/>
      <w:bookmarkEnd w:id="73"/>
    </w:p>
    <w:p w14:paraId="2592EEB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14:paraId="11C4529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1.9.2  投标人踏勘现场发生的费用自理。</w:t>
      </w:r>
    </w:p>
    <w:p w14:paraId="49F4212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1.9.3  除招标人的原因外，投标人自行负责在踏勘现场中所发生的人员伤亡和财产损失</w:t>
      </w:r>
      <w:r>
        <w:rPr>
          <w:rFonts w:hint="eastAsia" w:ascii="宋体" w:hAnsi="宋体" w:eastAsia="宋体" w:cs="宋体"/>
          <w:color w:val="auto"/>
          <w:spacing w:val="-2"/>
          <w:sz w:val="24"/>
          <w:szCs w:val="24"/>
          <w:highlight w:val="none"/>
          <w:lang w:eastAsia="zh-CN"/>
        </w:rPr>
        <w:t>。</w:t>
      </w:r>
    </w:p>
    <w:p w14:paraId="7A419B3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1.9.4  招标人在踏勘现场中介绍的工程场地和相关的周边环境情况，供投标人在编制投标文件时参考，招标人不对投标人据此作出的判断和决策负责。</w:t>
      </w:r>
    </w:p>
    <w:p w14:paraId="72E3DF3B">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74" w:name="_Toc16597"/>
      <w:bookmarkStart w:id="75" w:name="_Toc8425"/>
      <w:bookmarkStart w:id="76" w:name="_Toc5932"/>
      <w:r>
        <w:rPr>
          <w:rFonts w:hint="eastAsia" w:ascii="黑体" w:hAnsi="黑体" w:eastAsia="黑体" w:cs="黑体"/>
          <w:b/>
          <w:bCs w:val="0"/>
          <w:snapToGrid/>
          <w:color w:val="auto"/>
          <w:kern w:val="2"/>
          <w:highlight w:val="none"/>
          <w:lang w:eastAsia="zh-CN"/>
        </w:rPr>
        <w:t>1.10  投标预备会</w:t>
      </w:r>
      <w:bookmarkEnd w:id="74"/>
      <w:bookmarkEnd w:id="75"/>
      <w:bookmarkEnd w:id="76"/>
    </w:p>
    <w:p w14:paraId="0CDCB4C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1.10.1  投标人须知前附表规定召开投标预备会的，招标人按投标人须知前附表规定的时间和地点召开投标预备会，澄清投标人提出的问题。</w:t>
      </w:r>
    </w:p>
    <w:p w14:paraId="0102E9B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1.10.2  投标人应按投标人须知前附表规定的时间和形式将提出的问题送达招标人，以便招标人在会议期间澄清。</w:t>
      </w:r>
    </w:p>
    <w:p w14:paraId="75367C15">
      <w:pPr>
        <w:keepNext w:val="0"/>
        <w:keepLines w:val="0"/>
        <w:pageBreakBefore w:val="0"/>
        <w:widowControl/>
        <w:kinsoku w:val="0"/>
        <w:wordWrap w:val="0"/>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4"/>
          <w:szCs w:val="24"/>
          <w:highlight w:val="none"/>
        </w:rPr>
        <w:t>1.10.3  投标预备会后，招标人将对投标人所提问题的澄清，以投标人须知前附表规定的形式通知所有购买招标文件的投标人。该澄清内容为招标文件的组成部分。</w:t>
      </w:r>
    </w:p>
    <w:p w14:paraId="06130A67">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77" w:name="_Toc13974"/>
      <w:bookmarkStart w:id="78" w:name="_Toc19789"/>
      <w:bookmarkStart w:id="79" w:name="_Toc6518"/>
      <w:r>
        <w:rPr>
          <w:rFonts w:hint="eastAsia" w:ascii="黑体" w:hAnsi="黑体" w:eastAsia="黑体" w:cs="黑体"/>
          <w:b/>
          <w:bCs w:val="0"/>
          <w:snapToGrid/>
          <w:color w:val="auto"/>
          <w:kern w:val="2"/>
          <w:highlight w:val="none"/>
          <w:lang w:eastAsia="zh-CN"/>
        </w:rPr>
        <w:t>1.11  分包</w:t>
      </w:r>
      <w:bookmarkEnd w:id="77"/>
      <w:bookmarkEnd w:id="78"/>
      <w:bookmarkEnd w:id="79"/>
    </w:p>
    <w:p w14:paraId="6ECF28C8">
      <w:pPr>
        <w:keepNext/>
        <w:keepLines/>
        <w:pageBreakBefore w:val="0"/>
        <w:widowControl/>
        <w:kinsoku w:val="0"/>
        <w:wordWrap w:val="0"/>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1.11.1  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14:paraId="1422AF65">
      <w:pPr>
        <w:keepNext w:val="0"/>
        <w:keepLines w:val="0"/>
        <w:pageBreakBefore w:val="0"/>
        <w:widowControl/>
        <w:kinsoku w:val="0"/>
        <w:wordWrap w:val="0"/>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4"/>
          <w:szCs w:val="24"/>
          <w:highlight w:val="none"/>
        </w:rPr>
        <w:t>1.11.2  中标人不得向他人转让中标项目，接受分包的人不得再次分包。中标人应当就分包项目向招标人负责，接受分包的人就分包项目承担连带责任。</w:t>
      </w:r>
    </w:p>
    <w:p w14:paraId="31A45564">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80" w:name="_Toc13648"/>
      <w:bookmarkStart w:id="81" w:name="_Toc26654"/>
      <w:bookmarkStart w:id="82" w:name="_Toc32547"/>
      <w:r>
        <w:rPr>
          <w:rFonts w:hint="eastAsia" w:ascii="黑体" w:hAnsi="黑体" w:eastAsia="黑体" w:cs="黑体"/>
          <w:b/>
          <w:bCs w:val="0"/>
          <w:snapToGrid/>
          <w:color w:val="auto"/>
          <w:kern w:val="2"/>
          <w:highlight w:val="none"/>
          <w:lang w:eastAsia="zh-CN"/>
        </w:rPr>
        <w:t>1.12  响应与偏差</w:t>
      </w:r>
      <w:bookmarkEnd w:id="80"/>
      <w:bookmarkEnd w:id="81"/>
      <w:bookmarkEnd w:id="82"/>
    </w:p>
    <w:p w14:paraId="0D74C49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1.12.1</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投标文件应当对招标文件的实质性要求和条件作出满足性或更有利于招标人的响应，否则，投标人的投标将被否决。实质性要求和条件见投标人须知前附表。</w:t>
      </w:r>
    </w:p>
    <w:p w14:paraId="013007B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1.12.2  投标人应根据招标文件的要求提供投标技术标准和要求等内容以对招标文件作出响应。</w:t>
      </w:r>
    </w:p>
    <w:p w14:paraId="00D1968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1.12.3  投标人须知前附表允许投标文件偏离招标文件某些要求的，偏差应当符合招标文件规定的偏差范围和幅度。</w:t>
      </w:r>
    </w:p>
    <w:p w14:paraId="05FED824">
      <w:pPr>
        <w:pStyle w:val="36"/>
        <w:pageBreakBefore w:val="0"/>
        <w:widowControl w:val="0"/>
        <w:kinsoku/>
        <w:overflowPunct/>
        <w:topLinePunct/>
        <w:autoSpaceDE/>
        <w:autoSpaceDN/>
        <w:bidi w:val="0"/>
        <w:adjustRightInd/>
        <w:snapToGrid/>
        <w:spacing w:before="240" w:after="240" w:line="360" w:lineRule="auto"/>
        <w:jc w:val="left"/>
        <w:textAlignment w:val="auto"/>
        <w:outlineLvl w:val="1"/>
        <w:rPr>
          <w:rFonts w:hint="eastAsia" w:ascii="黑体" w:hAnsi="黑体" w:eastAsia="黑体" w:cs="黑体"/>
          <w:b/>
          <w:bCs w:val="0"/>
          <w:snapToGrid/>
          <w:color w:val="auto"/>
          <w:kern w:val="2"/>
          <w:highlight w:val="none"/>
          <w:lang w:eastAsia="zh-CN"/>
        </w:rPr>
      </w:pPr>
      <w:bookmarkStart w:id="83" w:name="_Toc24176"/>
      <w:r>
        <w:rPr>
          <w:rFonts w:hint="eastAsia" w:ascii="黑体" w:hAnsi="黑体" w:eastAsia="黑体" w:cs="黑体"/>
          <w:b/>
          <w:bCs w:val="0"/>
          <w:snapToGrid/>
          <w:color w:val="auto"/>
          <w:kern w:val="2"/>
          <w:sz w:val="32"/>
          <w:highlight w:val="none"/>
          <w:lang w:eastAsia="zh-CN"/>
        </w:rPr>
        <w:t>2．招标文件</w:t>
      </w:r>
      <w:bookmarkEnd w:id="83"/>
    </w:p>
    <w:p w14:paraId="304E032F">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color w:val="auto"/>
          <w:sz w:val="21"/>
          <w:highlight w:val="none"/>
        </w:rPr>
      </w:pPr>
      <w:bookmarkStart w:id="84" w:name="_Toc30747"/>
      <w:bookmarkStart w:id="85" w:name="_Toc15284"/>
      <w:bookmarkStart w:id="86" w:name="_Toc1405"/>
      <w:r>
        <w:rPr>
          <w:rFonts w:hint="eastAsia" w:ascii="黑体" w:hAnsi="黑体" w:eastAsia="黑体" w:cs="黑体"/>
          <w:b/>
          <w:bCs/>
          <w:snapToGrid/>
          <w:color w:val="auto"/>
          <w:kern w:val="2"/>
          <w:highlight w:val="none"/>
          <w:lang w:eastAsia="zh-CN"/>
        </w:rPr>
        <w:t>2.1  招标文件的组成</w:t>
      </w:r>
      <w:bookmarkEnd w:id="84"/>
      <w:bookmarkEnd w:id="85"/>
      <w:bookmarkEnd w:id="86"/>
    </w:p>
    <w:p w14:paraId="25EAA01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本招标文件包括：</w:t>
      </w:r>
    </w:p>
    <w:p w14:paraId="3AEF7F5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 招标公告；</w:t>
      </w:r>
    </w:p>
    <w:p w14:paraId="7B81498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 投标人须知；</w:t>
      </w:r>
    </w:p>
    <w:p w14:paraId="42C7E3B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 评标办法；</w:t>
      </w:r>
    </w:p>
    <w:p w14:paraId="6E4E017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 合同条款及格式；</w:t>
      </w:r>
    </w:p>
    <w:p w14:paraId="314F979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 工程量清单；</w:t>
      </w:r>
    </w:p>
    <w:p w14:paraId="084A40E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（6） 图纸；</w:t>
      </w:r>
    </w:p>
    <w:p w14:paraId="3850FE8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 技术标准和要求；</w:t>
      </w:r>
    </w:p>
    <w:p w14:paraId="0F98D30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（8） 投标文件格式；</w:t>
      </w:r>
    </w:p>
    <w:p w14:paraId="63DDB40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（9） 投标人须知前附表规定的其他材料。</w:t>
      </w:r>
    </w:p>
    <w:p w14:paraId="647FDA3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根据本章第 1.10 款、第 2.2 款和第 2.3 款对招标文件所作的澄清、修改，构成招标文件的组成部分。</w:t>
      </w:r>
    </w:p>
    <w:p w14:paraId="79E2E496">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87" w:name="_Toc30996"/>
      <w:bookmarkStart w:id="88" w:name="_Toc14765"/>
      <w:bookmarkStart w:id="89" w:name="_Toc8122"/>
      <w:r>
        <w:rPr>
          <w:rFonts w:hint="eastAsia" w:ascii="黑体" w:hAnsi="黑体" w:eastAsia="黑体" w:cs="黑体"/>
          <w:b/>
          <w:bCs/>
          <w:snapToGrid/>
          <w:color w:val="auto"/>
          <w:kern w:val="2"/>
          <w:highlight w:val="none"/>
          <w:lang w:eastAsia="zh-CN"/>
        </w:rPr>
        <w:t>2.2  招标文件的澄清</w:t>
      </w:r>
      <w:bookmarkEnd w:id="87"/>
      <w:bookmarkEnd w:id="88"/>
      <w:bookmarkEnd w:id="89"/>
    </w:p>
    <w:p w14:paraId="4DDFF44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7A9EEF5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2.2.2 招标文件的澄清以投标人须知前附表规定的形式发给所有购买招标文件的投标人，但不指明澄清问题的来源。澄清发出的时间距本章第 4.2.1 项规定的投标截止时间不足 15日的</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并且澄清内容可能影响投标文件编制的，将相应延长投标截止时间。</w:t>
      </w:r>
    </w:p>
    <w:p w14:paraId="0723A8E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2.2.3  投标人在收到澄清后，应按投标人须知前附表规定的时间和形式通知招标人，确认已收到该澄清。</w:t>
      </w:r>
    </w:p>
    <w:p w14:paraId="45EC3D5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2.2.4  除非招标人认为确有必要答复，否则，招标人有权拒绝回复投标人在本章第 2.2.1项规定的时间后提出的任何澄清要求。</w:t>
      </w:r>
    </w:p>
    <w:p w14:paraId="2C82EF91">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90" w:name="_Toc32449"/>
      <w:bookmarkStart w:id="91" w:name="_Toc16360"/>
      <w:bookmarkStart w:id="92" w:name="_Toc26988"/>
      <w:r>
        <w:rPr>
          <w:rFonts w:hint="eastAsia" w:ascii="黑体" w:hAnsi="黑体" w:eastAsia="黑体" w:cs="黑体"/>
          <w:b/>
          <w:bCs/>
          <w:snapToGrid/>
          <w:color w:val="auto"/>
          <w:kern w:val="2"/>
          <w:highlight w:val="none"/>
          <w:lang w:eastAsia="zh-CN"/>
        </w:rPr>
        <w:t>2.3  招标文件的修改</w:t>
      </w:r>
      <w:bookmarkEnd w:id="90"/>
      <w:bookmarkEnd w:id="91"/>
      <w:bookmarkEnd w:id="92"/>
    </w:p>
    <w:p w14:paraId="2555811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2.3.1 招标人以投标人须知前附表规定的形式修改招标文件，并通知所有已购买招标文件的投标人。修改招标文件的时间距本章第 4.2.1项规定的投标截止时间不足 15 日的，并且修改内容可能影响投标文件编制的，将相应延长投标截止时间。</w:t>
      </w:r>
    </w:p>
    <w:p w14:paraId="5D0EFE2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2.3.2  投标人收到修改内容后，应按投标人须知前附表规定的时间和形式通知招标人，确认已收到该修改。</w:t>
      </w:r>
    </w:p>
    <w:p w14:paraId="137C6561">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93" w:name="_Toc1189"/>
      <w:bookmarkStart w:id="94" w:name="_Toc29053"/>
      <w:bookmarkStart w:id="95" w:name="_Toc22018"/>
      <w:r>
        <w:rPr>
          <w:rFonts w:hint="eastAsia" w:ascii="黑体" w:hAnsi="黑体" w:eastAsia="黑体" w:cs="黑体"/>
          <w:b/>
          <w:bCs/>
          <w:snapToGrid/>
          <w:color w:val="auto"/>
          <w:kern w:val="2"/>
          <w:highlight w:val="none"/>
          <w:lang w:eastAsia="zh-CN"/>
        </w:rPr>
        <w:t>2.4  招标文件的异议</w:t>
      </w:r>
      <w:bookmarkEnd w:id="93"/>
      <w:bookmarkEnd w:id="94"/>
      <w:bookmarkEnd w:id="95"/>
    </w:p>
    <w:p w14:paraId="3C0CFB3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投标人或者其他利害关系人对招标文件有异议的，应当在投标截止时间 10日前以投标人须知前附表规定的形式提出。招标人将在收到异议之日起 3日内作出答复；作出答复前，将暂停招标投标活动。</w:t>
      </w:r>
    </w:p>
    <w:p w14:paraId="34FFB306">
      <w:pPr>
        <w:pStyle w:val="36"/>
        <w:pageBreakBefore w:val="0"/>
        <w:widowControl w:val="0"/>
        <w:kinsoku/>
        <w:overflowPunct/>
        <w:topLinePunct/>
        <w:autoSpaceDE/>
        <w:autoSpaceDN/>
        <w:bidi w:val="0"/>
        <w:adjustRightInd/>
        <w:snapToGrid/>
        <w:spacing w:before="240" w:after="240" w:line="360" w:lineRule="auto"/>
        <w:jc w:val="left"/>
        <w:textAlignment w:val="auto"/>
        <w:outlineLvl w:val="1"/>
        <w:rPr>
          <w:rFonts w:hint="eastAsia" w:ascii="黑体" w:hAnsi="黑体" w:eastAsia="黑体" w:cs="黑体"/>
          <w:b/>
          <w:bCs w:val="0"/>
          <w:snapToGrid/>
          <w:color w:val="auto"/>
          <w:kern w:val="2"/>
          <w:highlight w:val="none"/>
          <w:lang w:eastAsia="zh-CN"/>
        </w:rPr>
      </w:pPr>
      <w:bookmarkStart w:id="96" w:name="_Toc17793"/>
      <w:r>
        <w:rPr>
          <w:rFonts w:hint="eastAsia" w:ascii="黑体" w:hAnsi="黑体" w:eastAsia="黑体" w:cs="黑体"/>
          <w:b/>
          <w:bCs w:val="0"/>
          <w:snapToGrid/>
          <w:color w:val="auto"/>
          <w:kern w:val="2"/>
          <w:sz w:val="32"/>
          <w:highlight w:val="none"/>
          <w:lang w:eastAsia="zh-CN"/>
        </w:rPr>
        <w:t>3．投标文件</w:t>
      </w:r>
      <w:bookmarkEnd w:id="96"/>
    </w:p>
    <w:p w14:paraId="0FD65016">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97" w:name="_Toc12300"/>
      <w:bookmarkStart w:id="98" w:name="_Toc3053"/>
      <w:bookmarkStart w:id="99" w:name="_Toc6405"/>
      <w:r>
        <w:rPr>
          <w:rFonts w:hint="eastAsia" w:ascii="黑体" w:hAnsi="黑体" w:eastAsia="黑体" w:cs="黑体"/>
          <w:b/>
          <w:bCs/>
          <w:snapToGrid/>
          <w:color w:val="auto"/>
          <w:kern w:val="2"/>
          <w:highlight w:val="none"/>
          <w:lang w:eastAsia="zh-CN"/>
        </w:rPr>
        <w:t>3.1  投标文件的组成</w:t>
      </w:r>
      <w:bookmarkEnd w:id="97"/>
      <w:bookmarkEnd w:id="98"/>
      <w:bookmarkEnd w:id="99"/>
    </w:p>
    <w:p w14:paraId="4B43327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3.1.1  投标文件应包括下列内容：</w:t>
      </w:r>
    </w:p>
    <w:p w14:paraId="0CEF094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（l）投标函及投标函附录；</w:t>
      </w:r>
    </w:p>
    <w:p w14:paraId="4B03E5A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（2）法定代表人身份证明或授权委托书；</w:t>
      </w:r>
    </w:p>
    <w:p w14:paraId="441CC94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（3）联合体协议书；</w:t>
      </w:r>
    </w:p>
    <w:p w14:paraId="23ED58B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（4）投标保证金；</w:t>
      </w:r>
    </w:p>
    <w:p w14:paraId="2B94423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（5）已标价的工程量清单；</w:t>
      </w:r>
    </w:p>
    <w:p w14:paraId="7707381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（6）施工组织设计；</w:t>
      </w:r>
    </w:p>
    <w:p w14:paraId="00EE791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（7）项目管理机构；</w:t>
      </w:r>
    </w:p>
    <w:p w14:paraId="30C5F83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（8）拟分包项目情况表；</w:t>
      </w:r>
    </w:p>
    <w:p w14:paraId="3CABC2E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（9）资格审查资料；</w:t>
      </w:r>
    </w:p>
    <w:p w14:paraId="0465C9A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（10）投标人须知前附表规定的其他资料。</w:t>
      </w:r>
    </w:p>
    <w:p w14:paraId="5EA11AF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投标人在评标过程中作出的符合法律法规和招标文件规定的澄清确认，构成投标文件的组成部 分。</w:t>
      </w:r>
    </w:p>
    <w:p w14:paraId="690FD2E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3.1.2  投标人须知前附表规定不接受联合体投标的，或投标人没有组成联合体的，投标文件不包 括本章第 3.1.1（3） 目所指的联合体协议书。</w:t>
      </w:r>
    </w:p>
    <w:p w14:paraId="3E9E2C9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3.1.3  投标人须知前附表未要求提交投标保证金的，投标文件不包括本章第 3.1.1（4） 目所指的投标保证金。</w:t>
      </w:r>
    </w:p>
    <w:p w14:paraId="48D5C84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4"/>
          <w:szCs w:val="24"/>
          <w:highlight w:val="none"/>
        </w:rPr>
        <w:t>3.1.4  投标人须知前附表规定不允许分包的，投标文件不包括本章第 3.1.1（8）目所指的拟分包项目情况表。</w:t>
      </w:r>
    </w:p>
    <w:p w14:paraId="0549DD3A">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00" w:name="_Toc7858"/>
      <w:bookmarkStart w:id="101" w:name="_Toc2232"/>
      <w:bookmarkStart w:id="102" w:name="_Toc29470"/>
      <w:r>
        <w:rPr>
          <w:rFonts w:hint="eastAsia" w:ascii="黑体" w:hAnsi="黑体" w:eastAsia="黑体" w:cs="黑体"/>
          <w:b/>
          <w:bCs/>
          <w:snapToGrid/>
          <w:color w:val="auto"/>
          <w:kern w:val="2"/>
          <w:highlight w:val="none"/>
          <w:lang w:eastAsia="zh-CN"/>
        </w:rPr>
        <w:t>3.2  投标报价</w:t>
      </w:r>
      <w:bookmarkEnd w:id="100"/>
      <w:bookmarkEnd w:id="101"/>
      <w:bookmarkEnd w:id="102"/>
    </w:p>
    <w:p w14:paraId="0A64084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3.2.1 投标人应按第五章“工程量清单”的要求填写相应表格。投标报价应包括国家规定的增值税税金，除投标人须知前附表另有规定外，增值税税金按一般计税方法计算。</w:t>
      </w:r>
    </w:p>
    <w:p w14:paraId="1697D6F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3.2.2 投标人应充分了解本标段工程的总体情况以及影响投标报价的其他要素。</w:t>
      </w:r>
    </w:p>
    <w:p w14:paraId="3ECEA4D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3.2.3  投标人在投标截止时间前修改投标函中的投标总报价，应同时修改第五章“工程量清单” 中的相应报价。此修改须符合本章第 4.3 款的有关要求。</w:t>
      </w:r>
    </w:p>
    <w:p w14:paraId="3C6D8D2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3.2.4  招标人设有最高投标限价的，投标人的投标报价不得超过最高投标限价，最高投标限价在投标人须知前附表中载明。</w:t>
      </w:r>
    </w:p>
    <w:p w14:paraId="2D12E36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pacing w:val="-2"/>
          <w:sz w:val="24"/>
          <w:szCs w:val="24"/>
          <w:highlight w:val="none"/>
        </w:rPr>
        <w:t>3.2.5  投标报价的其他要求见投标人须知前附表。</w:t>
      </w:r>
    </w:p>
    <w:p w14:paraId="3221CC8F">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03" w:name="_Toc25018"/>
      <w:bookmarkStart w:id="104" w:name="_Toc25107"/>
      <w:bookmarkStart w:id="105" w:name="_Toc13763"/>
      <w:r>
        <w:rPr>
          <w:rFonts w:hint="eastAsia" w:ascii="黑体" w:hAnsi="黑体" w:eastAsia="黑体" w:cs="黑体"/>
          <w:b/>
          <w:bCs/>
          <w:snapToGrid/>
          <w:color w:val="auto"/>
          <w:kern w:val="2"/>
          <w:highlight w:val="none"/>
          <w:lang w:eastAsia="zh-CN"/>
        </w:rPr>
        <w:t>3.3  投标有效期</w:t>
      </w:r>
      <w:bookmarkEnd w:id="103"/>
      <w:bookmarkEnd w:id="104"/>
      <w:bookmarkEnd w:id="105"/>
    </w:p>
    <w:p w14:paraId="10975D5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3.3.1  除投标人须知前附表另有规定外，投标有效期为</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2"/>
          <w:sz w:val="24"/>
          <w:szCs w:val="24"/>
          <w:highlight w:val="none"/>
        </w:rPr>
        <w:t>90日。</w:t>
      </w:r>
    </w:p>
    <w:p w14:paraId="677FC4F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在投标有效期内，投标人撤销投标文件的，应承担招标文件和法律规定</w:t>
      </w:r>
      <w:r>
        <w:rPr>
          <w:rFonts w:hint="eastAsia" w:ascii="宋体" w:hAnsi="宋体" w:eastAsia="宋体" w:cs="宋体"/>
          <w:color w:val="auto"/>
          <w:spacing w:val="-1"/>
          <w:sz w:val="24"/>
          <w:szCs w:val="24"/>
          <w:highlight w:val="none"/>
        </w:rPr>
        <w:t>的责任</w:t>
      </w:r>
      <w:r>
        <w:rPr>
          <w:rFonts w:hint="eastAsia" w:ascii="宋体" w:hAnsi="宋体" w:eastAsia="宋体" w:cs="宋体"/>
          <w:color w:val="auto"/>
          <w:spacing w:val="-1"/>
          <w:sz w:val="24"/>
          <w:szCs w:val="24"/>
          <w:highlight w:val="none"/>
          <w:lang w:eastAsia="zh-CN"/>
        </w:rPr>
        <w:t>。</w:t>
      </w:r>
    </w:p>
    <w:p w14:paraId="78986DB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3.3.3  出现特殊情况需要延长投标有效期的，招标人以书面形式通知所有投标人延</w:t>
      </w:r>
      <w:r>
        <w:rPr>
          <w:rFonts w:hint="eastAsia" w:ascii="宋体" w:hAnsi="宋体" w:eastAsia="宋体" w:cs="宋体"/>
          <w:color w:val="auto"/>
          <w:spacing w:val="-3"/>
          <w:sz w:val="24"/>
          <w:szCs w:val="24"/>
          <w:highlight w:val="none"/>
        </w:rPr>
        <w:t>长投标有效期。</w:t>
      </w:r>
      <w:r>
        <w:rPr>
          <w:rFonts w:hint="eastAsia" w:ascii="宋体" w:hAnsi="宋体" w:eastAsia="宋体" w:cs="宋体"/>
          <w:color w:val="auto"/>
          <w:spacing w:val="1"/>
          <w:sz w:val="24"/>
          <w:szCs w:val="24"/>
          <w:highlight w:val="none"/>
        </w:rPr>
        <w:t>投标人应予以书面答复，同意延长的，应相应延长其投标保证金的有效期，</w:t>
      </w:r>
      <w:r>
        <w:rPr>
          <w:rFonts w:hint="eastAsia" w:ascii="宋体" w:hAnsi="宋体" w:eastAsia="宋体" w:cs="宋体"/>
          <w:color w:val="auto"/>
          <w:sz w:val="24"/>
          <w:szCs w:val="24"/>
          <w:highlight w:val="none"/>
        </w:rPr>
        <w:t>但不得要求或被允许修</w:t>
      </w:r>
      <w:r>
        <w:rPr>
          <w:rFonts w:hint="eastAsia" w:ascii="宋体" w:hAnsi="宋体" w:eastAsia="宋体" w:cs="宋体"/>
          <w:color w:val="auto"/>
          <w:spacing w:val="1"/>
          <w:sz w:val="24"/>
          <w:szCs w:val="24"/>
          <w:highlight w:val="none"/>
        </w:rPr>
        <w:t>改其投标文件；投标人拒绝延长的，其投标失效，但投标人有权收回其投标保</w:t>
      </w:r>
      <w:r>
        <w:rPr>
          <w:rFonts w:hint="eastAsia" w:ascii="宋体" w:hAnsi="宋体" w:eastAsia="宋体" w:cs="宋体"/>
          <w:color w:val="auto"/>
          <w:sz w:val="24"/>
          <w:szCs w:val="24"/>
          <w:highlight w:val="none"/>
        </w:rPr>
        <w:t>证金及以现金或者支</w:t>
      </w:r>
      <w:r>
        <w:rPr>
          <w:rFonts w:hint="eastAsia" w:ascii="宋体" w:hAnsi="宋体" w:eastAsia="宋体" w:cs="宋体"/>
          <w:color w:val="auto"/>
          <w:spacing w:val="-1"/>
          <w:sz w:val="24"/>
          <w:szCs w:val="24"/>
          <w:highlight w:val="none"/>
        </w:rPr>
        <w:t>票形式递交的投标保证金的银行同期存款利息。</w:t>
      </w:r>
    </w:p>
    <w:p w14:paraId="5E14FD94">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06" w:name="_Toc21773"/>
      <w:bookmarkStart w:id="107" w:name="_Toc26787"/>
      <w:bookmarkStart w:id="108" w:name="_Toc27618"/>
      <w:r>
        <w:rPr>
          <w:rFonts w:hint="eastAsia" w:ascii="黑体" w:hAnsi="黑体" w:eastAsia="黑体" w:cs="黑体"/>
          <w:b/>
          <w:bCs/>
          <w:snapToGrid/>
          <w:color w:val="auto"/>
          <w:kern w:val="2"/>
          <w:highlight w:val="none"/>
          <w:lang w:eastAsia="zh-CN"/>
        </w:rPr>
        <w:t>3.4  投标保证金</w:t>
      </w:r>
      <w:bookmarkEnd w:id="106"/>
      <w:bookmarkEnd w:id="107"/>
      <w:bookmarkEnd w:id="108"/>
    </w:p>
    <w:p w14:paraId="7A06571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3.4.1  投标人在递交投标文件的同时，应</w:t>
      </w:r>
      <w:r>
        <w:rPr>
          <w:rFonts w:hint="eastAsia" w:ascii="宋体" w:hAnsi="宋体" w:eastAsia="宋体" w:cs="宋体"/>
          <w:color w:val="auto"/>
          <w:spacing w:val="-2"/>
          <w:sz w:val="24"/>
          <w:szCs w:val="24"/>
          <w:highlight w:val="none"/>
        </w:rPr>
        <w:t>按投标人须知前附表规定的金额、形式和第八章“投标</w:t>
      </w:r>
      <w:r>
        <w:rPr>
          <w:rFonts w:hint="eastAsia" w:ascii="宋体" w:hAnsi="宋体" w:eastAsia="宋体" w:cs="宋体"/>
          <w:color w:val="auto"/>
          <w:spacing w:val="1"/>
          <w:sz w:val="24"/>
          <w:szCs w:val="24"/>
          <w:highlight w:val="none"/>
        </w:rPr>
        <w:t>文件格式”规定的投标保证金格式递交投标保证金，并作为其投标文件的组</w:t>
      </w:r>
      <w:r>
        <w:rPr>
          <w:rFonts w:hint="eastAsia" w:ascii="宋体" w:hAnsi="宋体" w:eastAsia="宋体" w:cs="宋体"/>
          <w:color w:val="auto"/>
          <w:sz w:val="24"/>
          <w:szCs w:val="24"/>
          <w:highlight w:val="none"/>
        </w:rPr>
        <w:t xml:space="preserve">成部分。境内投标人以 </w:t>
      </w:r>
      <w:r>
        <w:rPr>
          <w:rFonts w:hint="eastAsia" w:ascii="宋体" w:hAnsi="宋体" w:eastAsia="宋体" w:cs="宋体"/>
          <w:color w:val="auto"/>
          <w:spacing w:val="1"/>
          <w:sz w:val="24"/>
          <w:szCs w:val="24"/>
          <w:highlight w:val="none"/>
        </w:rPr>
        <w:t>现金或者支票形式提交的投标保证金，应当从其基本账户转出并在投标文件</w:t>
      </w:r>
      <w:r>
        <w:rPr>
          <w:rFonts w:hint="eastAsia" w:ascii="宋体" w:hAnsi="宋体" w:eastAsia="宋体" w:cs="宋体"/>
          <w:color w:val="auto"/>
          <w:sz w:val="24"/>
          <w:szCs w:val="24"/>
          <w:highlight w:val="none"/>
        </w:rPr>
        <w:t>中附上基本账户开户证明。联合体投标的，其投标保证金可以由牵头人递</w:t>
      </w:r>
      <w:r>
        <w:rPr>
          <w:rFonts w:hint="eastAsia" w:ascii="宋体" w:hAnsi="宋体" w:eastAsia="宋体" w:cs="宋体"/>
          <w:color w:val="auto"/>
          <w:spacing w:val="-1"/>
          <w:sz w:val="24"/>
          <w:szCs w:val="24"/>
          <w:highlight w:val="none"/>
        </w:rPr>
        <w:t>交，并应符合投标人须知前附表的规定</w:t>
      </w:r>
      <w:r>
        <w:rPr>
          <w:rFonts w:hint="eastAsia" w:ascii="宋体" w:hAnsi="宋体" w:eastAsia="宋体" w:cs="宋体"/>
          <w:color w:val="auto"/>
          <w:spacing w:val="-1"/>
          <w:sz w:val="24"/>
          <w:szCs w:val="24"/>
          <w:highlight w:val="none"/>
          <w:lang w:eastAsia="zh-CN"/>
        </w:rPr>
        <w:t>。</w:t>
      </w:r>
    </w:p>
    <w:p w14:paraId="52B0427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3.4.2  投标人不按本章第</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1"/>
          <w:sz w:val="24"/>
          <w:szCs w:val="24"/>
          <w:highlight w:val="none"/>
        </w:rPr>
        <w:t>3.4.1 项要求提交投标保证金的，评标委员会将否决其投标</w:t>
      </w:r>
      <w:r>
        <w:rPr>
          <w:rFonts w:hint="eastAsia" w:ascii="宋体" w:hAnsi="宋体" w:eastAsia="宋体" w:cs="宋体"/>
          <w:color w:val="auto"/>
          <w:spacing w:val="-1"/>
          <w:sz w:val="24"/>
          <w:szCs w:val="24"/>
          <w:highlight w:val="none"/>
          <w:lang w:eastAsia="zh-CN"/>
        </w:rPr>
        <w:t>。</w:t>
      </w:r>
    </w:p>
    <w:p w14:paraId="150DD84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3.4.3 招标人最迟将在与中标人签订合同后</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4"/>
          <w:sz w:val="24"/>
          <w:szCs w:val="24"/>
          <w:highlight w:val="none"/>
        </w:rPr>
        <w:t>5日内，向未中标的投标人和</w:t>
      </w:r>
      <w:r>
        <w:rPr>
          <w:rFonts w:hint="eastAsia" w:ascii="宋体" w:hAnsi="宋体" w:eastAsia="宋体" w:cs="宋体"/>
          <w:color w:val="auto"/>
          <w:spacing w:val="-5"/>
          <w:sz w:val="24"/>
          <w:szCs w:val="24"/>
          <w:highlight w:val="none"/>
        </w:rPr>
        <w:t>中标人退还投标保证金。</w:t>
      </w:r>
      <w:r>
        <w:rPr>
          <w:rFonts w:hint="eastAsia" w:ascii="宋体" w:hAnsi="宋体" w:eastAsia="宋体" w:cs="宋体"/>
          <w:color w:val="auto"/>
          <w:sz w:val="24"/>
          <w:szCs w:val="24"/>
          <w:highlight w:val="none"/>
        </w:rPr>
        <w:t>投标保证金以现金或支票形式递交的，还应退还银行同期</w:t>
      </w:r>
      <w:r>
        <w:rPr>
          <w:rFonts w:hint="eastAsia" w:ascii="宋体" w:hAnsi="宋体" w:eastAsia="宋体" w:cs="宋体"/>
          <w:color w:val="auto"/>
          <w:spacing w:val="-1"/>
          <w:sz w:val="24"/>
          <w:szCs w:val="24"/>
          <w:highlight w:val="none"/>
        </w:rPr>
        <w:t>存款利息。</w:t>
      </w:r>
    </w:p>
    <w:p w14:paraId="7098804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3.4.4  有下列情形之一的，投标保证金将不</w:t>
      </w:r>
      <w:r>
        <w:rPr>
          <w:rFonts w:hint="eastAsia" w:ascii="宋体" w:hAnsi="宋体" w:eastAsia="宋体" w:cs="宋体"/>
          <w:color w:val="auto"/>
          <w:spacing w:val="-2"/>
          <w:sz w:val="24"/>
          <w:szCs w:val="24"/>
          <w:highlight w:val="none"/>
        </w:rPr>
        <w:t>予退还：</w:t>
      </w:r>
    </w:p>
    <w:p w14:paraId="4F96739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（1）投标人在投标有效期内撤销投标文件；</w:t>
      </w:r>
    </w:p>
    <w:p w14:paraId="0B7CDF1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（2）中标人在收到中标通知书后，无正当理由不与招标人订立合同，在签订合同时向招标人提出附加条件，或者不按照招标文件要求提交履约</w:t>
      </w:r>
      <w:r>
        <w:rPr>
          <w:rFonts w:hint="eastAsia" w:ascii="宋体" w:hAnsi="宋体" w:eastAsia="宋体" w:cs="宋体"/>
          <w:color w:val="auto"/>
          <w:spacing w:val="-3"/>
          <w:sz w:val="24"/>
          <w:szCs w:val="24"/>
          <w:highlight w:val="none"/>
        </w:rPr>
        <w:t>保证金；</w:t>
      </w:r>
    </w:p>
    <w:p w14:paraId="13DE4C4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z w:val="24"/>
          <w:szCs w:val="24"/>
          <w:highlight w:val="none"/>
        </w:rPr>
        <w:t>（3）发生投标人须知前附表规定的其他可以不予</w:t>
      </w:r>
      <w:r>
        <w:rPr>
          <w:rFonts w:hint="eastAsia" w:ascii="宋体" w:hAnsi="宋体" w:eastAsia="宋体" w:cs="宋体"/>
          <w:color w:val="auto"/>
          <w:spacing w:val="-1"/>
          <w:sz w:val="24"/>
          <w:szCs w:val="24"/>
          <w:highlight w:val="none"/>
        </w:rPr>
        <w:t>退还投标保证金的情形。</w:t>
      </w:r>
    </w:p>
    <w:p w14:paraId="03A11EBF">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09" w:name="_Toc11544"/>
      <w:bookmarkStart w:id="110" w:name="_Toc7967"/>
      <w:bookmarkStart w:id="111" w:name="_Toc4574"/>
      <w:r>
        <w:rPr>
          <w:rFonts w:hint="eastAsia" w:ascii="黑体" w:hAnsi="黑体" w:eastAsia="黑体" w:cs="黑体"/>
          <w:b/>
          <w:bCs/>
          <w:snapToGrid/>
          <w:color w:val="auto"/>
          <w:kern w:val="2"/>
          <w:highlight w:val="none"/>
          <w:lang w:eastAsia="zh-CN"/>
        </w:rPr>
        <w:t>3.5  资格审查资料</w:t>
      </w:r>
      <w:bookmarkEnd w:id="109"/>
      <w:bookmarkEnd w:id="110"/>
      <w:bookmarkEnd w:id="111"/>
    </w:p>
    <w:p w14:paraId="51178C9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除投标人须知前附表另有规定外，投标人应按</w:t>
      </w:r>
      <w:r>
        <w:rPr>
          <w:rFonts w:hint="eastAsia" w:ascii="宋体" w:hAnsi="宋体" w:eastAsia="宋体" w:cs="宋体"/>
          <w:color w:val="auto"/>
          <w:sz w:val="24"/>
          <w:szCs w:val="24"/>
          <w:highlight w:val="none"/>
        </w:rPr>
        <w:t>下列规定提供资格审查资料，以证明其满足本章</w:t>
      </w:r>
      <w:r>
        <w:rPr>
          <w:rFonts w:hint="eastAsia" w:ascii="宋体" w:hAnsi="宋体" w:eastAsia="宋体" w:cs="宋体"/>
          <w:color w:val="auto"/>
          <w:spacing w:val="-2"/>
          <w:sz w:val="24"/>
          <w:szCs w:val="24"/>
          <w:highlight w:val="none"/>
        </w:rPr>
        <w:t>第</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2"/>
          <w:sz w:val="24"/>
          <w:szCs w:val="24"/>
          <w:highlight w:val="none"/>
        </w:rPr>
        <w:t>1.4 款规定的资质、财务、业绩、信誉等要求。</w:t>
      </w:r>
    </w:p>
    <w:p w14:paraId="6481C4C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3.5.1“投标人基本情况表”应附投标人营业执照和组织机构代码证的扫描件（按照</w:t>
      </w:r>
      <w:r>
        <w:rPr>
          <w:rFonts w:hint="eastAsia" w:ascii="宋体" w:hAnsi="宋体" w:eastAsia="宋体" w:cs="宋体"/>
          <w:color w:val="auto"/>
          <w:spacing w:val="-3"/>
          <w:sz w:val="24"/>
          <w:szCs w:val="24"/>
          <w:highlight w:val="none"/>
        </w:rPr>
        <w:t>“三证合一</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或“五证合一”登记制度进行登记的，可仅提供营业执照扫描件）、施工资质证书、安全生产许可证</w:t>
      </w:r>
      <w:r>
        <w:rPr>
          <w:rFonts w:hint="eastAsia" w:ascii="宋体" w:hAnsi="宋体" w:eastAsia="宋体" w:cs="宋体"/>
          <w:color w:val="auto"/>
          <w:spacing w:val="-1"/>
          <w:sz w:val="24"/>
          <w:szCs w:val="24"/>
          <w:highlight w:val="none"/>
        </w:rPr>
        <w:t>等材料的扫描件。</w:t>
      </w:r>
    </w:p>
    <w:p w14:paraId="2D7D7B4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3.5.2“近年财务状况表”应附经会计师事务所或审计机构审计的财</w:t>
      </w:r>
      <w:r>
        <w:rPr>
          <w:rFonts w:hint="eastAsia" w:ascii="宋体" w:hAnsi="宋体" w:eastAsia="宋体" w:cs="宋体"/>
          <w:color w:val="auto"/>
          <w:sz w:val="24"/>
          <w:szCs w:val="24"/>
          <w:highlight w:val="none"/>
        </w:rPr>
        <w:t>务会计报表，包括资产负债</w:t>
      </w:r>
      <w:r>
        <w:rPr>
          <w:rFonts w:hint="eastAsia" w:ascii="宋体" w:hAnsi="宋体" w:eastAsia="宋体" w:cs="宋体"/>
          <w:color w:val="auto"/>
          <w:spacing w:val="1"/>
          <w:sz w:val="24"/>
          <w:szCs w:val="24"/>
          <w:highlight w:val="none"/>
        </w:rPr>
        <w:t>表、现金流量表、利润表和财务情况说明书的扫描件，具体年份要求见投标人须知</w:t>
      </w:r>
      <w:r>
        <w:rPr>
          <w:rFonts w:hint="eastAsia" w:ascii="宋体" w:hAnsi="宋体" w:eastAsia="宋体" w:cs="宋体"/>
          <w:color w:val="auto"/>
          <w:sz w:val="24"/>
          <w:szCs w:val="24"/>
          <w:highlight w:val="none"/>
        </w:rPr>
        <w:t>前附表。投标人</w:t>
      </w:r>
      <w:r>
        <w:rPr>
          <w:rFonts w:hint="eastAsia" w:ascii="宋体" w:hAnsi="宋体" w:eastAsia="宋体" w:cs="宋体"/>
          <w:color w:val="auto"/>
          <w:spacing w:val="-1"/>
          <w:sz w:val="24"/>
          <w:szCs w:val="24"/>
          <w:highlight w:val="none"/>
        </w:rPr>
        <w:t>的成立时间少于投标人须知前附表规定年份的，应提供成立以来的财务状况表。</w:t>
      </w:r>
    </w:p>
    <w:p w14:paraId="6B03D3E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3.5.3</w:t>
      </w:r>
      <w:r>
        <w:rPr>
          <w:rFonts w:hint="eastAsia" w:ascii="宋体" w:hAnsi="宋体" w:eastAsia="宋体" w:cs="宋体"/>
          <w:color w:val="auto"/>
          <w:spacing w:val="40"/>
          <w:w w:val="101"/>
          <w:sz w:val="24"/>
          <w:szCs w:val="24"/>
          <w:highlight w:val="none"/>
        </w:rPr>
        <w:t xml:space="preserve"> </w:t>
      </w:r>
      <w:r>
        <w:rPr>
          <w:rFonts w:hint="eastAsia" w:ascii="宋体" w:hAnsi="宋体" w:eastAsia="宋体" w:cs="宋体"/>
          <w:color w:val="auto"/>
          <w:spacing w:val="-1"/>
          <w:sz w:val="24"/>
          <w:szCs w:val="24"/>
          <w:highlight w:val="none"/>
        </w:rPr>
        <w:t>“近年完成的类似项目情况表”应附合同协议书、工程接收</w:t>
      </w:r>
      <w:r>
        <w:rPr>
          <w:rFonts w:hint="eastAsia" w:ascii="宋体" w:hAnsi="宋体" w:eastAsia="宋体" w:cs="宋体"/>
          <w:color w:val="auto"/>
          <w:spacing w:val="-2"/>
          <w:sz w:val="24"/>
          <w:szCs w:val="24"/>
          <w:highlight w:val="none"/>
        </w:rPr>
        <w:t>证书（工程竣工验收证书）的</w:t>
      </w:r>
      <w:r>
        <w:rPr>
          <w:rFonts w:hint="eastAsia" w:ascii="宋体" w:hAnsi="宋体" w:eastAsia="宋体" w:cs="宋体"/>
          <w:color w:val="auto"/>
          <w:sz w:val="24"/>
          <w:szCs w:val="24"/>
          <w:highlight w:val="none"/>
        </w:rPr>
        <w:t>扫描件，具体时间要求见投标人须知前附表。每张表格只填写一个项目，并</w:t>
      </w:r>
      <w:r>
        <w:rPr>
          <w:rFonts w:hint="eastAsia" w:ascii="宋体" w:hAnsi="宋体" w:eastAsia="宋体" w:cs="宋体"/>
          <w:color w:val="auto"/>
          <w:spacing w:val="-1"/>
          <w:sz w:val="24"/>
          <w:szCs w:val="24"/>
          <w:highlight w:val="none"/>
        </w:rPr>
        <w:t>标明序号。</w:t>
      </w:r>
    </w:p>
    <w:p w14:paraId="3C979E7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3.5.4“拟委任的项目经理资历表”应附项目经理的身份证、职称资</w:t>
      </w:r>
      <w:r>
        <w:rPr>
          <w:rFonts w:hint="eastAsia" w:ascii="宋体" w:hAnsi="宋体" w:eastAsia="宋体" w:cs="宋体"/>
          <w:color w:val="auto"/>
          <w:sz w:val="24"/>
          <w:szCs w:val="24"/>
          <w:highlight w:val="none"/>
        </w:rPr>
        <w:t>格证书以及资格审查条件所</w:t>
      </w:r>
      <w:r>
        <w:rPr>
          <w:rFonts w:hint="eastAsia" w:ascii="宋体" w:hAnsi="宋体" w:eastAsia="宋体" w:cs="宋体"/>
          <w:color w:val="auto"/>
          <w:spacing w:val="1"/>
          <w:sz w:val="24"/>
          <w:szCs w:val="24"/>
          <w:highlight w:val="none"/>
        </w:rPr>
        <w:t>要求的其他相关证书（如建造师注册证书、安全生产考核合格证书等）的扫描</w:t>
      </w:r>
      <w:r>
        <w:rPr>
          <w:rFonts w:hint="eastAsia" w:ascii="宋体" w:hAnsi="宋体" w:eastAsia="宋体" w:cs="宋体"/>
          <w:color w:val="auto"/>
          <w:sz w:val="24"/>
          <w:szCs w:val="24"/>
          <w:highlight w:val="none"/>
        </w:rPr>
        <w:t>件，以及投标人所属</w:t>
      </w:r>
      <w:r>
        <w:rPr>
          <w:rFonts w:hint="eastAsia" w:ascii="宋体" w:hAnsi="宋体" w:eastAsia="宋体" w:cs="宋体"/>
          <w:color w:val="auto"/>
          <w:spacing w:val="1"/>
          <w:sz w:val="24"/>
          <w:szCs w:val="24"/>
          <w:highlight w:val="none"/>
        </w:rPr>
        <w:t>社保机构出具的拟委任的项目经理的社保缴费证明或其他能够证明拟委任的项</w:t>
      </w:r>
      <w:r>
        <w:rPr>
          <w:rFonts w:hint="eastAsia" w:ascii="宋体" w:hAnsi="宋体" w:eastAsia="宋体" w:cs="宋体"/>
          <w:color w:val="auto"/>
          <w:sz w:val="24"/>
          <w:szCs w:val="24"/>
          <w:highlight w:val="none"/>
        </w:rPr>
        <w:t>目经理参加社保的有</w:t>
      </w:r>
      <w:r>
        <w:rPr>
          <w:rFonts w:hint="eastAsia" w:ascii="宋体" w:hAnsi="宋体" w:eastAsia="宋体" w:cs="宋体"/>
          <w:color w:val="auto"/>
          <w:spacing w:val="-3"/>
          <w:sz w:val="24"/>
          <w:szCs w:val="24"/>
          <w:highlight w:val="none"/>
        </w:rPr>
        <w:t>效证明材料扫描件。</w:t>
      </w:r>
    </w:p>
    <w:p w14:paraId="2C033FB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 xml:space="preserve">3.5.5“近年发生的诉讼及仲裁情况表” </w:t>
      </w:r>
      <w:r>
        <w:rPr>
          <w:rFonts w:hint="eastAsia" w:ascii="宋体" w:hAnsi="宋体" w:eastAsia="宋体" w:cs="宋体"/>
          <w:color w:val="auto"/>
          <w:spacing w:val="-2"/>
          <w:sz w:val="24"/>
          <w:szCs w:val="24"/>
          <w:highlight w:val="none"/>
        </w:rPr>
        <w:t>应说明投标人败诉的施工合同的相关情况，并附法院或</w:t>
      </w:r>
      <w:r>
        <w:rPr>
          <w:rFonts w:hint="eastAsia" w:ascii="宋体" w:hAnsi="宋体" w:eastAsia="宋体" w:cs="宋体"/>
          <w:color w:val="auto"/>
          <w:sz w:val="24"/>
          <w:szCs w:val="24"/>
          <w:highlight w:val="none"/>
        </w:rPr>
        <w:t>仲裁机构作出的判决、裁决等有关法律文书扫描件，具体时间要求见投标人须知前附表。</w:t>
      </w:r>
    </w:p>
    <w:p w14:paraId="44ECA8B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3.5.6 投标人须知前附表规定接受联合体投标的，本章第</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2"/>
          <w:sz w:val="24"/>
          <w:szCs w:val="24"/>
          <w:highlight w:val="none"/>
        </w:rPr>
        <w:t>3.5.1 项至第</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2"/>
          <w:sz w:val="24"/>
          <w:szCs w:val="24"/>
          <w:highlight w:val="none"/>
        </w:rPr>
        <w:t>3.5.5 项规定的表格和资料应包括联合体各方相关情况。</w:t>
      </w:r>
    </w:p>
    <w:p w14:paraId="28AEF85C">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12" w:name="_Toc21856"/>
      <w:bookmarkStart w:id="113" w:name="_Toc14493"/>
      <w:bookmarkStart w:id="114" w:name="_Toc8589"/>
      <w:r>
        <w:rPr>
          <w:rFonts w:hint="eastAsia" w:ascii="黑体" w:hAnsi="黑体" w:eastAsia="黑体" w:cs="黑体"/>
          <w:b/>
          <w:bCs/>
          <w:snapToGrid/>
          <w:color w:val="auto"/>
          <w:kern w:val="2"/>
          <w:highlight w:val="none"/>
          <w:lang w:eastAsia="zh-CN"/>
        </w:rPr>
        <w:t>3.6  备选投标方案</w:t>
      </w:r>
      <w:bookmarkEnd w:id="112"/>
      <w:bookmarkEnd w:id="113"/>
      <w:bookmarkEnd w:id="114"/>
    </w:p>
    <w:p w14:paraId="3C2B8C1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除投标人须知前附表规定允许外，投标人不得递交备选投标方案，否则其投标将被否决。</w:t>
      </w:r>
    </w:p>
    <w:p w14:paraId="035D4B2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3.6.2  允许投标人递交备选投标方案的，只</w:t>
      </w:r>
      <w:r>
        <w:rPr>
          <w:rFonts w:hint="eastAsia" w:ascii="宋体" w:hAnsi="宋体" w:eastAsia="宋体" w:cs="宋体"/>
          <w:color w:val="auto"/>
          <w:spacing w:val="-2"/>
          <w:sz w:val="24"/>
          <w:szCs w:val="24"/>
          <w:highlight w:val="none"/>
        </w:rPr>
        <w:t>有中标人所递交的备选投标方案方可予以考虑。评标</w:t>
      </w:r>
      <w:r>
        <w:rPr>
          <w:rFonts w:hint="eastAsia" w:ascii="宋体" w:hAnsi="宋体" w:eastAsia="宋体" w:cs="宋体"/>
          <w:color w:val="auto"/>
          <w:spacing w:val="1"/>
          <w:sz w:val="24"/>
          <w:szCs w:val="24"/>
          <w:highlight w:val="none"/>
        </w:rPr>
        <w:t>委员会认为中标人的备选投标方案优于其按照招标文件要求编制的投标方案的，招</w:t>
      </w:r>
      <w:r>
        <w:rPr>
          <w:rFonts w:hint="eastAsia" w:ascii="宋体" w:hAnsi="宋体" w:eastAsia="宋体" w:cs="宋体"/>
          <w:color w:val="auto"/>
          <w:sz w:val="24"/>
          <w:szCs w:val="24"/>
          <w:highlight w:val="none"/>
        </w:rPr>
        <w:t>标人可以接受该</w:t>
      </w:r>
      <w:r>
        <w:rPr>
          <w:rFonts w:hint="eastAsia" w:ascii="宋体" w:hAnsi="宋体" w:eastAsia="宋体" w:cs="宋体"/>
          <w:color w:val="auto"/>
          <w:spacing w:val="-3"/>
          <w:sz w:val="24"/>
          <w:szCs w:val="24"/>
          <w:highlight w:val="none"/>
        </w:rPr>
        <w:t>备选投标方案。</w:t>
      </w:r>
    </w:p>
    <w:p w14:paraId="29417BC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pacing w:val="-1"/>
          <w:sz w:val="24"/>
          <w:szCs w:val="24"/>
          <w:highlight w:val="none"/>
        </w:rPr>
        <w:t>3.6.3  投标人提供两个或两个以上报价</w:t>
      </w:r>
      <w:r>
        <w:rPr>
          <w:rFonts w:hint="eastAsia" w:ascii="宋体" w:hAnsi="宋体" w:eastAsia="宋体" w:cs="宋体"/>
          <w:color w:val="auto"/>
          <w:spacing w:val="-2"/>
          <w:sz w:val="24"/>
          <w:szCs w:val="24"/>
          <w:highlight w:val="none"/>
        </w:rPr>
        <w:t>，或者在投标文件中提供一个报价，但同时提供两个或两</w:t>
      </w:r>
      <w:r>
        <w:rPr>
          <w:rFonts w:hint="eastAsia" w:ascii="宋体" w:hAnsi="宋体" w:eastAsia="宋体" w:cs="宋体"/>
          <w:color w:val="auto"/>
          <w:spacing w:val="-1"/>
          <w:sz w:val="24"/>
          <w:szCs w:val="24"/>
          <w:highlight w:val="none"/>
        </w:rPr>
        <w:t>个以上施工组织设计的，视为提供备选方案。</w:t>
      </w:r>
    </w:p>
    <w:p w14:paraId="1C0B79A2">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15" w:name="_Toc7695"/>
      <w:bookmarkStart w:id="116" w:name="_Toc7566"/>
      <w:bookmarkStart w:id="117" w:name="_Toc15586"/>
      <w:r>
        <w:rPr>
          <w:rFonts w:hint="eastAsia" w:ascii="黑体" w:hAnsi="黑体" w:eastAsia="黑体" w:cs="黑体"/>
          <w:b/>
          <w:bCs/>
          <w:snapToGrid/>
          <w:color w:val="auto"/>
          <w:kern w:val="2"/>
          <w:highlight w:val="none"/>
          <w:lang w:eastAsia="zh-CN"/>
        </w:rPr>
        <w:t>3.7  投标文件的编制</w:t>
      </w:r>
      <w:bookmarkEnd w:id="115"/>
      <w:bookmarkEnd w:id="116"/>
      <w:bookmarkEnd w:id="117"/>
    </w:p>
    <w:p w14:paraId="3D14D91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3.7.1  投标文件应按第八章“投标文件格式</w:t>
      </w:r>
      <w:r>
        <w:rPr>
          <w:rFonts w:hint="eastAsia" w:ascii="宋体" w:hAnsi="宋体" w:eastAsia="宋体" w:cs="宋体"/>
          <w:color w:val="auto"/>
          <w:spacing w:val="-2"/>
          <w:sz w:val="24"/>
          <w:szCs w:val="24"/>
          <w:highlight w:val="none"/>
        </w:rPr>
        <w:t>”进行编写，如有必要，可以增加附页，作为投标文</w:t>
      </w:r>
      <w:r>
        <w:rPr>
          <w:rFonts w:hint="eastAsia" w:ascii="宋体" w:hAnsi="宋体" w:eastAsia="宋体" w:cs="宋体"/>
          <w:color w:val="auto"/>
          <w:spacing w:val="1"/>
          <w:sz w:val="24"/>
          <w:szCs w:val="24"/>
          <w:highlight w:val="none"/>
        </w:rPr>
        <w:t>件的组成部分。其中，投标函附录在满足招标文件实质性要求的基础上，可以提出</w:t>
      </w:r>
      <w:r>
        <w:rPr>
          <w:rFonts w:hint="eastAsia" w:ascii="宋体" w:hAnsi="宋体" w:eastAsia="宋体" w:cs="宋体"/>
          <w:color w:val="auto"/>
          <w:sz w:val="24"/>
          <w:szCs w:val="24"/>
          <w:highlight w:val="none"/>
        </w:rPr>
        <w:t xml:space="preserve">比招标文件要求 </w:t>
      </w:r>
      <w:r>
        <w:rPr>
          <w:rFonts w:hint="eastAsia" w:ascii="宋体" w:hAnsi="宋体" w:eastAsia="宋体" w:cs="宋体"/>
          <w:color w:val="auto"/>
          <w:spacing w:val="-2"/>
          <w:sz w:val="24"/>
          <w:szCs w:val="24"/>
          <w:highlight w:val="none"/>
        </w:rPr>
        <w:t>更有利于招标人的承诺。</w:t>
      </w:r>
    </w:p>
    <w:p w14:paraId="1995895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3.7.2  投标文件应当对招标文件有关</w:t>
      </w:r>
      <w:r>
        <w:rPr>
          <w:rFonts w:hint="eastAsia" w:ascii="宋体" w:hAnsi="宋体" w:eastAsia="宋体" w:cs="宋体"/>
          <w:color w:val="auto"/>
          <w:spacing w:val="-2"/>
          <w:sz w:val="24"/>
          <w:szCs w:val="24"/>
          <w:highlight w:val="none"/>
        </w:rPr>
        <w:t>工期、投标有效期、质量要求、安全目标、环保目标、技术标准和要求、招标范围等实质性内容作出响应。</w:t>
      </w:r>
    </w:p>
    <w:p w14:paraId="7268DD7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3.7.3  投标文件的制作应满足以下规定：</w:t>
      </w:r>
    </w:p>
    <w:p w14:paraId="5E120B3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（1）投标文件由投标人使用电子交易系统提供的“投标文件制作工具”制作生成。“投标文件</w:t>
      </w:r>
      <w:r>
        <w:rPr>
          <w:rFonts w:hint="eastAsia" w:ascii="宋体" w:hAnsi="宋体" w:eastAsia="宋体" w:cs="宋体"/>
          <w:color w:val="auto"/>
          <w:spacing w:val="1"/>
          <w:sz w:val="24"/>
          <w:szCs w:val="24"/>
          <w:highlight w:val="none"/>
        </w:rPr>
        <w:t>制作工具”可以通过电子交易系统下载。投标人应当在互联网络通畅状态下启</w:t>
      </w:r>
      <w:r>
        <w:rPr>
          <w:rFonts w:hint="eastAsia" w:ascii="宋体" w:hAnsi="宋体" w:eastAsia="宋体" w:cs="宋体"/>
          <w:color w:val="auto"/>
          <w:sz w:val="24"/>
          <w:szCs w:val="24"/>
          <w:highlight w:val="none"/>
        </w:rPr>
        <w:t xml:space="preserve">用最新版投标文件制 </w:t>
      </w:r>
      <w:r>
        <w:rPr>
          <w:rFonts w:hint="eastAsia" w:ascii="宋体" w:hAnsi="宋体" w:eastAsia="宋体" w:cs="宋体"/>
          <w:color w:val="auto"/>
          <w:spacing w:val="-1"/>
          <w:sz w:val="24"/>
          <w:szCs w:val="24"/>
          <w:highlight w:val="none"/>
        </w:rPr>
        <w:t>作工具制作投标文件。</w:t>
      </w:r>
    </w:p>
    <w:p w14:paraId="3F7202E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（2）第八章“投标文件格式”中要求盖单位章和（或）签字的地方，投标人均应加盖投标人单</w:t>
      </w:r>
      <w:r>
        <w:rPr>
          <w:rFonts w:hint="eastAsia" w:ascii="宋体" w:hAnsi="宋体" w:eastAsia="宋体" w:cs="宋体"/>
          <w:color w:val="auto"/>
          <w:spacing w:val="1"/>
          <w:sz w:val="24"/>
          <w:szCs w:val="24"/>
          <w:highlight w:val="none"/>
        </w:rPr>
        <w:t>位电子印章和（或）法定代表人的个人电子印章或电子签名章。联合体投标的，</w:t>
      </w:r>
      <w:r>
        <w:rPr>
          <w:rFonts w:hint="eastAsia" w:ascii="宋体" w:hAnsi="宋体" w:eastAsia="宋体" w:cs="宋体"/>
          <w:color w:val="auto"/>
          <w:sz w:val="24"/>
          <w:szCs w:val="24"/>
          <w:highlight w:val="none"/>
        </w:rPr>
        <w:t xml:space="preserve">除联合体协议书外 </w:t>
      </w:r>
      <w:r>
        <w:rPr>
          <w:rFonts w:hint="eastAsia" w:ascii="宋体" w:hAnsi="宋体" w:eastAsia="宋体" w:cs="宋体"/>
          <w:color w:val="auto"/>
          <w:spacing w:val="1"/>
          <w:sz w:val="24"/>
          <w:szCs w:val="24"/>
          <w:highlight w:val="none"/>
        </w:rPr>
        <w:t>（联合体各方均应加盖单位章并由法定代表人或其委托代理人签字），投标文件</w:t>
      </w:r>
      <w:r>
        <w:rPr>
          <w:rFonts w:hint="eastAsia" w:ascii="宋体" w:hAnsi="宋体" w:eastAsia="宋体" w:cs="宋体"/>
          <w:color w:val="auto"/>
          <w:sz w:val="24"/>
          <w:szCs w:val="24"/>
          <w:highlight w:val="none"/>
        </w:rPr>
        <w:t>由联合体牵头人按上述规定加盖联合体牵头人单位电子印章和（或）法定代表人的个人电子印章或电子签名章。</w:t>
      </w:r>
    </w:p>
    <w:p w14:paraId="520A9D3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（3）投标文件制作完成后，投标人应对投标文件进行文件加密，形成加密的投标文件。采用数</w:t>
      </w:r>
      <w:r>
        <w:rPr>
          <w:rFonts w:hint="eastAsia" w:ascii="宋体" w:hAnsi="宋体" w:eastAsia="宋体" w:cs="宋体"/>
          <w:color w:val="auto"/>
          <w:spacing w:val="1"/>
          <w:sz w:val="24"/>
          <w:szCs w:val="24"/>
          <w:highlight w:val="none"/>
        </w:rPr>
        <w:t>字证书加密的，加密时投标文件的所有内容均只能使用同一张数字证书进行加</w:t>
      </w:r>
      <w:r>
        <w:rPr>
          <w:rFonts w:hint="eastAsia" w:ascii="宋体" w:hAnsi="宋体" w:eastAsia="宋体" w:cs="宋体"/>
          <w:color w:val="auto"/>
          <w:sz w:val="24"/>
          <w:szCs w:val="24"/>
          <w:highlight w:val="none"/>
        </w:rPr>
        <w:t>密，否则引起的解密</w:t>
      </w:r>
      <w:r>
        <w:rPr>
          <w:rFonts w:hint="eastAsia" w:ascii="宋体" w:hAnsi="宋体" w:eastAsia="宋体" w:cs="宋体"/>
          <w:color w:val="auto"/>
          <w:spacing w:val="-2"/>
          <w:sz w:val="24"/>
          <w:szCs w:val="24"/>
          <w:highlight w:val="none"/>
        </w:rPr>
        <w:t>失败责任由投标人自行承担。</w:t>
      </w:r>
    </w:p>
    <w:p w14:paraId="66AA0A7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（4）投标文件制作的具体方法详见“投标文件制</w:t>
      </w:r>
      <w:r>
        <w:rPr>
          <w:rFonts w:hint="eastAsia" w:ascii="宋体" w:hAnsi="宋体" w:eastAsia="宋体" w:cs="宋体"/>
          <w:color w:val="auto"/>
          <w:spacing w:val="-1"/>
          <w:sz w:val="24"/>
          <w:szCs w:val="24"/>
          <w:highlight w:val="none"/>
        </w:rPr>
        <w:t>作工具”中的帮助文档。</w:t>
      </w:r>
    </w:p>
    <w:p w14:paraId="28D9ECD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3.7.4  投标文件制作软件生成加密投</w:t>
      </w:r>
      <w:r>
        <w:rPr>
          <w:rFonts w:hint="eastAsia" w:ascii="宋体" w:hAnsi="宋体" w:eastAsia="宋体" w:cs="宋体"/>
          <w:color w:val="auto"/>
          <w:spacing w:val="-2"/>
          <w:sz w:val="24"/>
          <w:szCs w:val="24"/>
          <w:highlight w:val="none"/>
        </w:rPr>
        <w:t>标文件时，同时生成非加密投标文件，作为加密投标文件无</w:t>
      </w:r>
      <w:r>
        <w:rPr>
          <w:rFonts w:hint="eastAsia" w:ascii="宋体" w:hAnsi="宋体" w:eastAsia="宋体" w:cs="宋体"/>
          <w:color w:val="auto"/>
          <w:sz w:val="24"/>
          <w:szCs w:val="24"/>
          <w:highlight w:val="none"/>
        </w:rPr>
        <w:t>法解密、导入时的补救措施。如递交，相关要求详见投标人须知</w:t>
      </w:r>
      <w:r>
        <w:rPr>
          <w:rFonts w:hint="eastAsia" w:ascii="宋体" w:hAnsi="宋体" w:eastAsia="宋体" w:cs="宋体"/>
          <w:color w:val="auto"/>
          <w:spacing w:val="-1"/>
          <w:sz w:val="24"/>
          <w:szCs w:val="24"/>
          <w:highlight w:val="none"/>
        </w:rPr>
        <w:t>前附表。</w:t>
      </w:r>
    </w:p>
    <w:p w14:paraId="4B5C9F1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3.7.5</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1"/>
          <w:sz w:val="24"/>
          <w:szCs w:val="24"/>
          <w:highlight w:val="none"/>
        </w:rPr>
        <w:t>因投标人自身原因而导致投标文件无法导入电子交易系统电子开标、评标系统，该投标视</w:t>
      </w:r>
      <w:r>
        <w:rPr>
          <w:rFonts w:hint="eastAsia" w:ascii="宋体" w:hAnsi="宋体" w:eastAsia="宋体" w:cs="宋体"/>
          <w:color w:val="auto"/>
          <w:spacing w:val="1"/>
          <w:sz w:val="24"/>
          <w:szCs w:val="24"/>
          <w:highlight w:val="none"/>
        </w:rPr>
        <w:t>为无效投标，投标人自行承担由此导致的全部责任。（该投标文件是指解密</w:t>
      </w:r>
      <w:r>
        <w:rPr>
          <w:rFonts w:hint="eastAsia" w:ascii="宋体" w:hAnsi="宋体" w:eastAsia="宋体" w:cs="宋体"/>
          <w:color w:val="auto"/>
          <w:sz w:val="24"/>
          <w:szCs w:val="24"/>
          <w:highlight w:val="none"/>
        </w:rPr>
        <w:t>后的投标文件或启用补</w:t>
      </w:r>
      <w:r>
        <w:rPr>
          <w:rFonts w:hint="eastAsia" w:ascii="宋体" w:hAnsi="宋体" w:eastAsia="宋体" w:cs="宋体"/>
          <w:color w:val="auto"/>
          <w:spacing w:val="-1"/>
          <w:sz w:val="24"/>
          <w:szCs w:val="24"/>
          <w:highlight w:val="none"/>
        </w:rPr>
        <w:t>救措施下的非加密电子投标文件。）</w:t>
      </w:r>
    </w:p>
    <w:p w14:paraId="48CB360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3.7.6 施工组织设计评审采用暗标评审的，投标人应</w:t>
      </w:r>
      <w:r>
        <w:rPr>
          <w:rFonts w:hint="eastAsia" w:ascii="宋体" w:hAnsi="宋体" w:eastAsia="宋体" w:cs="宋体"/>
          <w:color w:val="auto"/>
          <w:spacing w:val="-1"/>
          <w:sz w:val="24"/>
          <w:szCs w:val="24"/>
          <w:highlight w:val="none"/>
        </w:rPr>
        <w:t>按照投标人须知前附表规定制作电子投标文</w:t>
      </w:r>
      <w:r>
        <w:rPr>
          <w:rFonts w:hint="eastAsia" w:ascii="宋体" w:hAnsi="宋体" w:eastAsia="宋体" w:cs="宋体"/>
          <w:color w:val="auto"/>
          <w:spacing w:val="-9"/>
          <w:sz w:val="24"/>
          <w:szCs w:val="24"/>
          <w:highlight w:val="none"/>
        </w:rPr>
        <w:t>件。</w:t>
      </w:r>
    </w:p>
    <w:p w14:paraId="3715FA09">
      <w:pPr>
        <w:pStyle w:val="36"/>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color w:val="auto"/>
          <w:kern w:val="2"/>
          <w:sz w:val="32"/>
          <w:highlight w:val="none"/>
          <w:lang w:eastAsia="zh-CN"/>
        </w:rPr>
      </w:pPr>
      <w:bookmarkStart w:id="118" w:name="_Toc14587"/>
      <w:r>
        <w:rPr>
          <w:rFonts w:hint="eastAsia" w:ascii="黑体" w:hAnsi="黑体" w:eastAsia="黑体" w:cs="黑体"/>
          <w:b/>
          <w:bCs w:val="0"/>
          <w:snapToGrid/>
          <w:color w:val="auto"/>
          <w:kern w:val="2"/>
          <w:sz w:val="32"/>
          <w:highlight w:val="none"/>
          <w:lang w:eastAsia="zh-CN"/>
        </w:rPr>
        <w:t>4．投标</w:t>
      </w:r>
      <w:bookmarkEnd w:id="118"/>
    </w:p>
    <w:p w14:paraId="182842AE">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19" w:name="_Toc3557"/>
      <w:bookmarkStart w:id="120" w:name="_Toc30849"/>
      <w:bookmarkStart w:id="121" w:name="_Toc30539"/>
      <w:r>
        <w:rPr>
          <w:rFonts w:hint="eastAsia" w:ascii="黑体" w:hAnsi="黑体" w:eastAsia="黑体" w:cs="黑体"/>
          <w:b/>
          <w:bCs/>
          <w:snapToGrid/>
          <w:color w:val="auto"/>
          <w:kern w:val="2"/>
          <w:highlight w:val="none"/>
          <w:lang w:eastAsia="zh-CN"/>
        </w:rPr>
        <w:t>4.1  投标文件的加密（密封）和标记</w:t>
      </w:r>
      <w:bookmarkEnd w:id="119"/>
      <w:bookmarkEnd w:id="120"/>
      <w:bookmarkEnd w:id="121"/>
    </w:p>
    <w:p w14:paraId="55876CE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投标文件应按照本章第 3.7.3</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z w:val="24"/>
          <w:szCs w:val="24"/>
          <w:highlight w:val="none"/>
        </w:rPr>
        <w:t>项要求制作并</w:t>
      </w:r>
      <w:r>
        <w:rPr>
          <w:rFonts w:hint="eastAsia" w:ascii="宋体" w:hAnsi="宋体" w:eastAsia="宋体" w:cs="宋体"/>
          <w:color w:val="auto"/>
          <w:spacing w:val="-1"/>
          <w:sz w:val="24"/>
          <w:szCs w:val="24"/>
          <w:highlight w:val="none"/>
        </w:rPr>
        <w:t>加密，未按要求加密的投标文件，电子交易系统将拒绝接收并提示。</w:t>
      </w:r>
    </w:p>
    <w:p w14:paraId="2C755C59">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22" w:name="_Toc31592"/>
      <w:bookmarkStart w:id="123" w:name="_Toc26764"/>
      <w:bookmarkStart w:id="124" w:name="_Toc31099"/>
      <w:r>
        <w:rPr>
          <w:rFonts w:hint="eastAsia" w:ascii="黑体" w:hAnsi="黑体" w:eastAsia="黑体" w:cs="黑体"/>
          <w:b/>
          <w:bCs/>
          <w:snapToGrid/>
          <w:color w:val="auto"/>
          <w:kern w:val="2"/>
          <w:highlight w:val="none"/>
          <w:lang w:eastAsia="zh-CN"/>
        </w:rPr>
        <w:t>4.2  投标文件的递交</w:t>
      </w:r>
      <w:bookmarkEnd w:id="122"/>
      <w:bookmarkEnd w:id="123"/>
      <w:bookmarkEnd w:id="124"/>
    </w:p>
    <w:p w14:paraId="2C4A005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 投标人应在投标人须知前附表规定的投标截止时间前，将</w:t>
      </w:r>
      <w:r>
        <w:rPr>
          <w:rFonts w:hint="eastAsia" w:ascii="宋体" w:hAnsi="宋体" w:eastAsia="宋体" w:cs="宋体"/>
          <w:color w:val="auto"/>
          <w:spacing w:val="-1"/>
          <w:sz w:val="24"/>
          <w:szCs w:val="24"/>
          <w:highlight w:val="none"/>
        </w:rPr>
        <w:t>加密的投标文件在电子交易系统</w:t>
      </w:r>
      <w:r>
        <w:rPr>
          <w:rFonts w:hint="eastAsia" w:ascii="宋体" w:hAnsi="宋体" w:eastAsia="宋体" w:cs="宋体"/>
          <w:color w:val="auto"/>
          <w:sz w:val="24"/>
          <w:szCs w:val="24"/>
          <w:highlight w:val="none"/>
        </w:rPr>
        <w:t>上传，并保存上传成功后系统自动生成的电子签收</w:t>
      </w:r>
      <w:r>
        <w:rPr>
          <w:rFonts w:hint="eastAsia" w:ascii="宋体" w:hAnsi="宋体" w:eastAsia="宋体" w:cs="宋体"/>
          <w:color w:val="auto"/>
          <w:spacing w:val="-1"/>
          <w:sz w:val="24"/>
          <w:szCs w:val="24"/>
          <w:highlight w:val="none"/>
        </w:rPr>
        <w:t>凭证，递交时间即为电子签收凭证时间。</w:t>
      </w:r>
    </w:p>
    <w:p w14:paraId="4D772D9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4.2.2  投标人递交非加密电子投标文件的地点：</w:t>
      </w:r>
      <w:r>
        <w:rPr>
          <w:rFonts w:hint="eastAsia" w:ascii="宋体" w:hAnsi="宋体" w:eastAsia="宋体" w:cs="宋体"/>
          <w:color w:val="auto"/>
          <w:spacing w:val="-2"/>
          <w:sz w:val="24"/>
          <w:szCs w:val="24"/>
          <w:highlight w:val="none"/>
        </w:rPr>
        <w:t>见投标人须知前附表。招标人收到非加密投标文</w:t>
      </w:r>
      <w:r>
        <w:rPr>
          <w:rFonts w:hint="eastAsia" w:ascii="宋体" w:hAnsi="宋体" w:eastAsia="宋体" w:cs="宋体"/>
          <w:color w:val="auto"/>
          <w:spacing w:val="-1"/>
          <w:sz w:val="24"/>
          <w:szCs w:val="24"/>
          <w:highlight w:val="none"/>
        </w:rPr>
        <w:t>件后由投标人代表登记或向投标人出具签收凭证。</w:t>
      </w:r>
    </w:p>
    <w:p w14:paraId="46B231E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  除投标人须知前附表另有规定外，投</w:t>
      </w:r>
      <w:r>
        <w:rPr>
          <w:rFonts w:hint="eastAsia" w:ascii="宋体" w:hAnsi="宋体" w:eastAsia="宋体" w:cs="宋体"/>
          <w:color w:val="auto"/>
          <w:spacing w:val="-1"/>
          <w:sz w:val="24"/>
          <w:szCs w:val="24"/>
          <w:highlight w:val="none"/>
        </w:rPr>
        <w:t>标人所递交的投标文件不予退还。</w:t>
      </w:r>
    </w:p>
    <w:p w14:paraId="2712647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4.2.4  投标人应当在投标截止时间前完</w:t>
      </w:r>
      <w:r>
        <w:rPr>
          <w:rFonts w:hint="eastAsia" w:ascii="宋体" w:hAnsi="宋体" w:eastAsia="宋体" w:cs="宋体"/>
          <w:color w:val="auto"/>
          <w:spacing w:val="-2"/>
          <w:sz w:val="24"/>
          <w:szCs w:val="24"/>
          <w:highlight w:val="none"/>
        </w:rPr>
        <w:t>成投标文件的传输递交（以接收到电子签收凭证为准</w:t>
      </w: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5"/>
          <w:sz w:val="24"/>
          <w:szCs w:val="24"/>
          <w:highlight w:val="none"/>
        </w:rPr>
        <w:t>并可以补充、修改或者撤回投标文件。投标截止时间前未完成投标文件传输的，视为撤回投标文件。</w:t>
      </w:r>
      <w:r>
        <w:rPr>
          <w:rFonts w:hint="eastAsia" w:ascii="宋体" w:hAnsi="宋体" w:eastAsia="宋体" w:cs="宋体"/>
          <w:color w:val="auto"/>
          <w:spacing w:val="-1"/>
          <w:sz w:val="24"/>
          <w:szCs w:val="24"/>
          <w:highlight w:val="none"/>
        </w:rPr>
        <w:t>未按规定加密或投标截止时间后送达的投标文件，电子交易系统应当拒收</w:t>
      </w:r>
      <w:r>
        <w:rPr>
          <w:rFonts w:hint="eastAsia" w:ascii="宋体" w:hAnsi="宋体" w:eastAsia="宋体" w:cs="宋体"/>
          <w:color w:val="auto"/>
          <w:spacing w:val="-1"/>
          <w:sz w:val="24"/>
          <w:szCs w:val="24"/>
          <w:highlight w:val="none"/>
          <w:lang w:eastAsia="zh-CN"/>
        </w:rPr>
        <w:t>。</w:t>
      </w:r>
    </w:p>
    <w:p w14:paraId="2C67B04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 逾期送达的或者未送达指定地点的非加密投标文件电子介</w:t>
      </w:r>
      <w:r>
        <w:rPr>
          <w:rFonts w:hint="eastAsia" w:ascii="宋体" w:hAnsi="宋体" w:eastAsia="宋体" w:cs="宋体"/>
          <w:color w:val="auto"/>
          <w:spacing w:val="-1"/>
          <w:sz w:val="24"/>
          <w:szCs w:val="24"/>
          <w:highlight w:val="none"/>
        </w:rPr>
        <w:t>质，招标人不予接收，但不影响</w:t>
      </w:r>
      <w:r>
        <w:rPr>
          <w:rFonts w:hint="eastAsia" w:ascii="宋体" w:hAnsi="宋体" w:eastAsia="宋体" w:cs="宋体"/>
          <w:color w:val="auto"/>
          <w:spacing w:val="1"/>
          <w:sz w:val="24"/>
          <w:szCs w:val="24"/>
          <w:highlight w:val="none"/>
        </w:rPr>
        <w:t>其已按招标文件要求从电子交易系统递交的加密电子投标文件的有效性。未从</w:t>
      </w:r>
      <w:r>
        <w:rPr>
          <w:rFonts w:hint="eastAsia" w:ascii="宋体" w:hAnsi="宋体" w:eastAsia="宋体" w:cs="宋体"/>
          <w:color w:val="auto"/>
          <w:sz w:val="24"/>
          <w:szCs w:val="24"/>
          <w:highlight w:val="none"/>
        </w:rPr>
        <w:t>电子交易系统递交加</w:t>
      </w:r>
      <w:r>
        <w:rPr>
          <w:rFonts w:hint="eastAsia" w:ascii="宋体" w:hAnsi="宋体" w:eastAsia="宋体" w:cs="宋体"/>
          <w:color w:val="auto"/>
          <w:spacing w:val="-1"/>
          <w:sz w:val="24"/>
          <w:szCs w:val="24"/>
          <w:highlight w:val="none"/>
        </w:rPr>
        <w:t>密电子投标文件的，投标人递交的非加密投标文件电子介质将被视为无效。</w:t>
      </w:r>
    </w:p>
    <w:p w14:paraId="277809E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4.2.6  投标人在本章第</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z w:val="24"/>
          <w:szCs w:val="24"/>
          <w:highlight w:val="none"/>
        </w:rPr>
        <w:t>5.2 款规定的解密</w:t>
      </w:r>
      <w:r>
        <w:rPr>
          <w:rFonts w:hint="eastAsia" w:ascii="宋体" w:hAnsi="宋体" w:eastAsia="宋体" w:cs="宋体"/>
          <w:color w:val="auto"/>
          <w:spacing w:val="-1"/>
          <w:sz w:val="24"/>
          <w:szCs w:val="24"/>
          <w:highlight w:val="none"/>
        </w:rPr>
        <w:t>开始规定时间（以电子交易系统解密倒计时为准）内完</w:t>
      </w:r>
      <w:r>
        <w:rPr>
          <w:rFonts w:hint="eastAsia" w:ascii="宋体" w:hAnsi="宋体" w:eastAsia="宋体" w:cs="宋体"/>
          <w:color w:val="auto"/>
          <w:spacing w:val="1"/>
          <w:sz w:val="24"/>
          <w:szCs w:val="24"/>
          <w:highlight w:val="none"/>
        </w:rPr>
        <w:t>成投标文件的解密工作，未能成功解密的投标人，如投标人须知前附表允许使</w:t>
      </w:r>
      <w:r>
        <w:rPr>
          <w:rFonts w:hint="eastAsia" w:ascii="宋体" w:hAnsi="宋体" w:eastAsia="宋体" w:cs="宋体"/>
          <w:color w:val="auto"/>
          <w:sz w:val="24"/>
          <w:szCs w:val="24"/>
          <w:highlight w:val="none"/>
        </w:rPr>
        <w:t>用非加密投标文件作</w:t>
      </w:r>
      <w:r>
        <w:rPr>
          <w:rFonts w:hint="eastAsia" w:ascii="宋体" w:hAnsi="宋体" w:eastAsia="宋体" w:cs="宋体"/>
          <w:color w:val="auto"/>
          <w:spacing w:val="1"/>
          <w:sz w:val="24"/>
          <w:szCs w:val="24"/>
          <w:highlight w:val="none"/>
        </w:rPr>
        <w:t>为备份，并且投标人在投标截止时间之前到达开标现场并递交非加密投标文件</w:t>
      </w:r>
      <w:r>
        <w:rPr>
          <w:rFonts w:hint="eastAsia" w:ascii="宋体" w:hAnsi="宋体" w:eastAsia="宋体" w:cs="宋体"/>
          <w:color w:val="auto"/>
          <w:sz w:val="24"/>
          <w:szCs w:val="24"/>
          <w:highlight w:val="none"/>
        </w:rPr>
        <w:t>，则可导入非加密投</w:t>
      </w:r>
      <w:r>
        <w:rPr>
          <w:rFonts w:hint="eastAsia" w:ascii="宋体" w:hAnsi="宋体" w:eastAsia="宋体" w:cs="宋体"/>
          <w:color w:val="auto"/>
          <w:spacing w:val="1"/>
          <w:sz w:val="24"/>
          <w:szCs w:val="24"/>
          <w:highlight w:val="none"/>
        </w:rPr>
        <w:t>标文件继续开标。若电子交易系统识别出非加密投标文件和加密投标文件识别</w:t>
      </w:r>
      <w:r>
        <w:rPr>
          <w:rFonts w:hint="eastAsia" w:ascii="宋体" w:hAnsi="宋体" w:eastAsia="宋体" w:cs="宋体"/>
          <w:color w:val="auto"/>
          <w:sz w:val="24"/>
          <w:szCs w:val="24"/>
          <w:highlight w:val="none"/>
        </w:rPr>
        <w:t>码不一致，电子交易</w:t>
      </w:r>
      <w:r>
        <w:rPr>
          <w:rFonts w:hint="eastAsia" w:ascii="宋体" w:hAnsi="宋体" w:eastAsia="宋体" w:cs="宋体"/>
          <w:color w:val="auto"/>
          <w:spacing w:val="-1"/>
          <w:sz w:val="24"/>
          <w:szCs w:val="24"/>
          <w:highlight w:val="none"/>
        </w:rPr>
        <w:t>系统将拒绝导入。</w:t>
      </w:r>
    </w:p>
    <w:p w14:paraId="5084DD35">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25" w:name="_Toc22395"/>
      <w:bookmarkStart w:id="126" w:name="_Toc17389"/>
      <w:bookmarkStart w:id="127" w:name="_Toc6134"/>
      <w:r>
        <w:rPr>
          <w:rFonts w:hint="eastAsia" w:ascii="黑体" w:hAnsi="黑体" w:eastAsia="黑体" w:cs="黑体"/>
          <w:b/>
          <w:bCs/>
          <w:snapToGrid/>
          <w:color w:val="auto"/>
          <w:kern w:val="2"/>
          <w:highlight w:val="none"/>
          <w:lang w:eastAsia="zh-CN"/>
        </w:rPr>
        <w:t>4.3  投标文件的修改与撤回</w:t>
      </w:r>
      <w:bookmarkEnd w:id="125"/>
      <w:bookmarkEnd w:id="126"/>
      <w:bookmarkEnd w:id="127"/>
    </w:p>
    <w:p w14:paraId="697C9E3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  在本章第</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4.2.1</w:t>
      </w:r>
      <w:r>
        <w:rPr>
          <w:rFonts w:hint="eastAsia" w:ascii="宋体" w:hAnsi="宋体" w:eastAsia="宋体" w:cs="宋体"/>
          <w:color w:val="auto"/>
          <w:spacing w:val="31"/>
          <w:w w:val="101"/>
          <w:sz w:val="24"/>
          <w:szCs w:val="24"/>
          <w:highlight w:val="none"/>
        </w:rPr>
        <w:t xml:space="preserve"> </w:t>
      </w:r>
      <w:r>
        <w:rPr>
          <w:rFonts w:hint="eastAsia" w:ascii="宋体" w:hAnsi="宋体" w:eastAsia="宋体" w:cs="宋体"/>
          <w:color w:val="auto"/>
          <w:sz w:val="24"/>
          <w:szCs w:val="24"/>
          <w:highlight w:val="none"/>
        </w:rPr>
        <w:t>项规定的投标截止时间前，投标人可以修改</w:t>
      </w:r>
      <w:r>
        <w:rPr>
          <w:rFonts w:hint="eastAsia" w:ascii="宋体" w:hAnsi="宋体" w:eastAsia="宋体" w:cs="宋体"/>
          <w:color w:val="auto"/>
          <w:spacing w:val="-1"/>
          <w:sz w:val="24"/>
          <w:szCs w:val="24"/>
          <w:highlight w:val="none"/>
        </w:rPr>
        <w:t>或撤回已递交的投标文件。投</w:t>
      </w:r>
      <w:r>
        <w:rPr>
          <w:rFonts w:hint="eastAsia" w:ascii="宋体" w:hAnsi="宋体" w:eastAsia="宋体" w:cs="宋体"/>
          <w:color w:val="auto"/>
          <w:spacing w:val="1"/>
          <w:sz w:val="24"/>
          <w:szCs w:val="24"/>
          <w:highlight w:val="none"/>
        </w:rPr>
        <w:t>标人对加密的投标文件进行撤回的，应在电子交易系统直接进行撤回操作；投标人</w:t>
      </w:r>
      <w:r>
        <w:rPr>
          <w:rFonts w:hint="eastAsia" w:ascii="宋体" w:hAnsi="宋体" w:eastAsia="宋体" w:cs="宋体"/>
          <w:color w:val="auto"/>
          <w:sz w:val="24"/>
          <w:szCs w:val="24"/>
          <w:highlight w:val="none"/>
        </w:rPr>
        <w:t>对加密的投标文</w:t>
      </w:r>
      <w:r>
        <w:rPr>
          <w:rFonts w:hint="eastAsia" w:ascii="宋体" w:hAnsi="宋体" w:eastAsia="宋体" w:cs="宋体"/>
          <w:color w:val="auto"/>
          <w:spacing w:val="1"/>
          <w:sz w:val="24"/>
          <w:szCs w:val="24"/>
          <w:highlight w:val="none"/>
        </w:rPr>
        <w:t>件进行修改的，应在投标截止时间前完成上传。投标人修改投标文件的，应使用“</w:t>
      </w:r>
      <w:r>
        <w:rPr>
          <w:rFonts w:hint="eastAsia" w:ascii="宋体" w:hAnsi="宋体" w:eastAsia="宋体" w:cs="宋体"/>
          <w:color w:val="auto"/>
          <w:sz w:val="24"/>
          <w:szCs w:val="24"/>
          <w:highlight w:val="none"/>
        </w:rPr>
        <w:t>投标文件制作工</w:t>
      </w:r>
      <w:r>
        <w:rPr>
          <w:rFonts w:hint="eastAsia" w:ascii="宋体" w:hAnsi="宋体" w:eastAsia="宋体" w:cs="宋体"/>
          <w:color w:val="auto"/>
          <w:spacing w:val="-1"/>
          <w:sz w:val="24"/>
          <w:szCs w:val="24"/>
          <w:highlight w:val="none"/>
        </w:rPr>
        <w:t>具”制作成完整的投标文件，并按照本章第</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1"/>
          <w:sz w:val="24"/>
          <w:szCs w:val="24"/>
          <w:highlight w:val="none"/>
        </w:rPr>
        <w:t>3 条、第</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
          <w:sz w:val="24"/>
          <w:szCs w:val="24"/>
          <w:highlight w:val="none"/>
        </w:rPr>
        <w:t>4 条规定进行编制、加密和递交。</w:t>
      </w:r>
    </w:p>
    <w:p w14:paraId="75857B5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4"/>
          <w:szCs w:val="24"/>
          <w:highlight w:val="none"/>
        </w:rPr>
        <w:t>4.3.2  投标人修改或撤回已递交的非加密投标文件的，</w:t>
      </w:r>
      <w:r>
        <w:rPr>
          <w:rFonts w:hint="eastAsia" w:ascii="宋体" w:hAnsi="宋体" w:eastAsia="宋体" w:cs="宋体"/>
          <w:color w:val="auto"/>
          <w:spacing w:val="-2"/>
          <w:sz w:val="24"/>
          <w:szCs w:val="24"/>
          <w:highlight w:val="none"/>
        </w:rPr>
        <w:t>应当以书面形式通知招标人。书面通知应</w:t>
      </w:r>
      <w:r>
        <w:rPr>
          <w:rFonts w:hint="eastAsia" w:ascii="宋体" w:hAnsi="宋体" w:eastAsia="宋体" w:cs="宋体"/>
          <w:color w:val="auto"/>
          <w:spacing w:val="1"/>
          <w:sz w:val="24"/>
          <w:szCs w:val="24"/>
          <w:highlight w:val="none"/>
        </w:rPr>
        <w:t>由投标人的法定代表人或其授权的代理人签字或盖单位章。招标人收到书面通知</w:t>
      </w:r>
      <w:r>
        <w:rPr>
          <w:rFonts w:hint="eastAsia" w:ascii="宋体" w:hAnsi="宋体" w:eastAsia="宋体" w:cs="宋体"/>
          <w:color w:val="auto"/>
          <w:sz w:val="24"/>
          <w:szCs w:val="24"/>
          <w:highlight w:val="none"/>
        </w:rPr>
        <w:t>后，向投标人出具</w:t>
      </w:r>
      <w:r>
        <w:rPr>
          <w:rFonts w:hint="eastAsia" w:ascii="宋体" w:hAnsi="宋体" w:eastAsia="宋体" w:cs="宋体"/>
          <w:color w:val="auto"/>
          <w:spacing w:val="-4"/>
          <w:sz w:val="24"/>
          <w:szCs w:val="24"/>
          <w:highlight w:val="none"/>
        </w:rPr>
        <w:t>签收凭证。</w:t>
      </w:r>
    </w:p>
    <w:p w14:paraId="39094413">
      <w:pPr>
        <w:pStyle w:val="36"/>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color w:val="auto"/>
          <w:sz w:val="21"/>
          <w:highlight w:val="none"/>
        </w:rPr>
      </w:pPr>
      <w:bookmarkStart w:id="128" w:name="_Toc22878"/>
      <w:r>
        <w:rPr>
          <w:rFonts w:hint="eastAsia" w:ascii="黑体" w:hAnsi="黑体" w:eastAsia="黑体" w:cs="黑体"/>
          <w:b/>
          <w:bCs w:val="0"/>
          <w:snapToGrid/>
          <w:color w:val="auto"/>
          <w:kern w:val="2"/>
          <w:sz w:val="32"/>
          <w:highlight w:val="none"/>
          <w:lang w:eastAsia="zh-CN"/>
        </w:rPr>
        <w:t>5．开标</w:t>
      </w:r>
      <w:bookmarkEnd w:id="128"/>
    </w:p>
    <w:p w14:paraId="33AEF764">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29" w:name="_Toc1037"/>
      <w:bookmarkStart w:id="130" w:name="_Toc21452"/>
      <w:bookmarkStart w:id="131" w:name="_Toc19424"/>
      <w:r>
        <w:rPr>
          <w:rFonts w:hint="eastAsia" w:ascii="黑体" w:hAnsi="黑体" w:eastAsia="黑体" w:cs="黑体"/>
          <w:b/>
          <w:bCs/>
          <w:snapToGrid/>
          <w:color w:val="auto"/>
          <w:kern w:val="2"/>
          <w:highlight w:val="none"/>
          <w:lang w:eastAsia="zh-CN"/>
        </w:rPr>
        <w:t>5.1  开标时间和地点</w:t>
      </w:r>
      <w:bookmarkEnd w:id="129"/>
      <w:bookmarkEnd w:id="130"/>
      <w:bookmarkEnd w:id="131"/>
    </w:p>
    <w:p w14:paraId="4177CAE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招标人在本章第 4.2.1 项规定的投标截止时间（开标时间），通过电子交易系统公开开标，所有投标人的法定代表人或其委托代理人应当准时参加。</w:t>
      </w:r>
    </w:p>
    <w:p w14:paraId="13BA315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投标人若未派法定代表人或其委托代理人参加开标活动，视为该投标人默认开标结果</w:t>
      </w:r>
      <w:r>
        <w:rPr>
          <w:rFonts w:hint="eastAsia" w:ascii="宋体" w:hAnsi="宋体" w:eastAsia="宋体" w:cs="宋体"/>
          <w:color w:val="auto"/>
          <w:sz w:val="24"/>
          <w:szCs w:val="24"/>
          <w:highlight w:val="none"/>
          <w:lang w:eastAsia="zh-CN"/>
        </w:rPr>
        <w:t>。</w:t>
      </w:r>
    </w:p>
    <w:p w14:paraId="38C0BF48">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32" w:name="_Toc10749"/>
      <w:bookmarkStart w:id="133" w:name="_Toc25817"/>
      <w:bookmarkStart w:id="134" w:name="_Toc23269"/>
      <w:r>
        <w:rPr>
          <w:rFonts w:hint="eastAsia" w:ascii="黑体" w:hAnsi="黑体" w:eastAsia="黑体" w:cs="黑体"/>
          <w:b/>
          <w:bCs/>
          <w:snapToGrid/>
          <w:color w:val="auto"/>
          <w:kern w:val="2"/>
          <w:highlight w:val="none"/>
          <w:lang w:eastAsia="zh-CN"/>
        </w:rPr>
        <w:t>5.2  开标程序</w:t>
      </w:r>
      <w:bookmarkEnd w:id="132"/>
      <w:bookmarkEnd w:id="133"/>
      <w:bookmarkEnd w:id="134"/>
    </w:p>
    <w:p w14:paraId="0427D32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主持人按下列程序进行开标：</w:t>
      </w:r>
    </w:p>
    <w:p w14:paraId="2DE5139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（1）公布在投标截止时间前通过电子交易系统完成投标文件递交的投标人名称；</w:t>
      </w:r>
    </w:p>
    <w:p w14:paraId="79B2E8E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（2）由投标人推选的代表检查非加密投标文件电子介质及投标保函原件的密封情况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w:t>
      </w:r>
      <w:r>
        <w:rPr>
          <w:rFonts w:hint="eastAsia" w:ascii="宋体" w:hAnsi="宋体" w:eastAsia="宋体" w:cs="宋体"/>
          <w:color w:val="auto"/>
          <w:sz w:val="24"/>
          <w:szCs w:val="24"/>
          <w:highlight w:val="none"/>
          <w:lang w:eastAsia="zh-CN"/>
        </w:rPr>
        <w:t>；</w:t>
      </w:r>
    </w:p>
    <w:p w14:paraId="3EF1BBC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（3）投标人在投标截止时间后在投标人须知前附表规定的解密时间内完成投标文件的解密工作；</w:t>
      </w:r>
    </w:p>
    <w:p w14:paraId="623D25A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（4）招标人完成解密工作，导入并读取所有成功解密的投标文件，或招标人成功导入现场递交的非加密投标文件；</w:t>
      </w:r>
    </w:p>
    <w:p w14:paraId="7E6FA92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（5）公布投标人名称、标段名称、投标报价、质量要求、计划工期及其他内容；</w:t>
      </w:r>
    </w:p>
    <w:p w14:paraId="470D64A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（6）开标结束。</w:t>
      </w:r>
    </w:p>
    <w:p w14:paraId="7319907D">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35" w:name="_Toc8538"/>
      <w:bookmarkStart w:id="136" w:name="_Toc24277"/>
      <w:bookmarkStart w:id="137" w:name="_Toc23010"/>
      <w:r>
        <w:rPr>
          <w:rFonts w:hint="eastAsia" w:ascii="黑体" w:hAnsi="黑体" w:eastAsia="黑体" w:cs="黑体"/>
          <w:b/>
          <w:bCs/>
          <w:snapToGrid/>
          <w:color w:val="auto"/>
          <w:kern w:val="2"/>
          <w:highlight w:val="none"/>
          <w:lang w:eastAsia="zh-CN"/>
        </w:rPr>
        <w:t>5.3 开标异议</w:t>
      </w:r>
      <w:bookmarkEnd w:id="135"/>
      <w:bookmarkEnd w:id="136"/>
      <w:bookmarkEnd w:id="137"/>
    </w:p>
    <w:p w14:paraId="3D7FBE5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投标人对开标有异议的，应当在开标过程中提出，招标人当场作出答复，并制作记录。异议与答复应通过电子交易系统进行。</w:t>
      </w:r>
    </w:p>
    <w:p w14:paraId="4311B1A5">
      <w:pPr>
        <w:pStyle w:val="36"/>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color w:val="auto"/>
          <w:kern w:val="2"/>
          <w:sz w:val="32"/>
          <w:highlight w:val="none"/>
          <w:lang w:eastAsia="zh-CN"/>
        </w:rPr>
      </w:pPr>
      <w:bookmarkStart w:id="138" w:name="_Toc31186"/>
      <w:r>
        <w:rPr>
          <w:rFonts w:hint="eastAsia" w:ascii="黑体" w:hAnsi="黑体" w:eastAsia="黑体" w:cs="黑体"/>
          <w:b/>
          <w:bCs w:val="0"/>
          <w:snapToGrid/>
          <w:color w:val="auto"/>
          <w:kern w:val="2"/>
          <w:sz w:val="32"/>
          <w:highlight w:val="none"/>
          <w:lang w:eastAsia="zh-CN"/>
        </w:rPr>
        <w:t>6．评标</w:t>
      </w:r>
      <w:bookmarkEnd w:id="138"/>
    </w:p>
    <w:p w14:paraId="0E2934B4">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39" w:name="_Toc12355"/>
      <w:bookmarkStart w:id="140" w:name="_Toc3325"/>
      <w:bookmarkStart w:id="141" w:name="_Toc2474"/>
      <w:r>
        <w:rPr>
          <w:rFonts w:hint="eastAsia" w:ascii="黑体" w:hAnsi="黑体" w:eastAsia="黑体" w:cs="黑体"/>
          <w:b/>
          <w:bCs w:val="0"/>
          <w:snapToGrid/>
          <w:color w:val="auto"/>
          <w:kern w:val="2"/>
          <w:highlight w:val="none"/>
          <w:lang w:eastAsia="zh-CN"/>
        </w:rPr>
        <w:t>6.1  评标委员会</w:t>
      </w:r>
      <w:bookmarkEnd w:id="139"/>
      <w:bookmarkEnd w:id="140"/>
      <w:bookmarkEnd w:id="141"/>
    </w:p>
    <w:p w14:paraId="25E0FEF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评标由招标人依法组建的评标委员会负责。评标委员会由招标人或其委托的招标代理机构 熟悉相关业务的代表，以及有关技术、经济等方面的专家组成。评标委员会成员人数以及技术、经济等方面专家的确定方式见投标人须知前附表。</w:t>
      </w:r>
    </w:p>
    <w:p w14:paraId="59D1FED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评标委员会成员有下列情形之一的，应当回避：</w:t>
      </w:r>
    </w:p>
    <w:p w14:paraId="1B15067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（1）投标人或投标人主要负责人的近亲属；</w:t>
      </w:r>
    </w:p>
    <w:p w14:paraId="4DBCC21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14:paraId="1249CEC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（3）参加招标活动前三年内，与投标人存在劳动关系；</w:t>
      </w:r>
    </w:p>
    <w:p w14:paraId="325263E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（4）与投标人有经济利益关系，可能影响对投标公正评审的；</w:t>
      </w:r>
    </w:p>
    <w:p w14:paraId="3E9A3C2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（5）曾因在招标、评标以及其他与招标投标有关活动中从事违法行为而受过行政处罚或刑事处罚的；</w:t>
      </w:r>
    </w:p>
    <w:p w14:paraId="57EB1C7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（6）与投标人有其他利害关系。</w:t>
      </w:r>
    </w:p>
    <w:p w14:paraId="6FFF2D5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61D5BCD6">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42" w:name="_Toc15198"/>
      <w:bookmarkStart w:id="143" w:name="_Toc23927"/>
      <w:bookmarkStart w:id="144" w:name="_Toc2957"/>
      <w:r>
        <w:rPr>
          <w:rFonts w:hint="eastAsia" w:ascii="黑体" w:hAnsi="黑体" w:eastAsia="黑体" w:cs="黑体"/>
          <w:b/>
          <w:bCs w:val="0"/>
          <w:snapToGrid/>
          <w:color w:val="auto"/>
          <w:kern w:val="2"/>
          <w:highlight w:val="none"/>
          <w:lang w:eastAsia="zh-CN"/>
        </w:rPr>
        <w:t>6.2  评标原则</w:t>
      </w:r>
      <w:bookmarkEnd w:id="142"/>
      <w:bookmarkEnd w:id="143"/>
      <w:bookmarkEnd w:id="144"/>
    </w:p>
    <w:p w14:paraId="42DCD19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14:paraId="64A9E620">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45" w:name="_Toc25925"/>
      <w:bookmarkStart w:id="146" w:name="_Toc202"/>
      <w:bookmarkStart w:id="147" w:name="_Toc14879"/>
      <w:r>
        <w:rPr>
          <w:rFonts w:hint="eastAsia" w:ascii="黑体" w:hAnsi="黑体" w:eastAsia="黑体" w:cs="黑体"/>
          <w:b/>
          <w:bCs w:val="0"/>
          <w:snapToGrid/>
          <w:color w:val="auto"/>
          <w:kern w:val="2"/>
          <w:highlight w:val="none"/>
          <w:lang w:eastAsia="zh-CN"/>
        </w:rPr>
        <w:t>6.3  评标</w:t>
      </w:r>
      <w:bookmarkEnd w:id="145"/>
      <w:bookmarkEnd w:id="146"/>
      <w:bookmarkEnd w:id="147"/>
    </w:p>
    <w:p w14:paraId="571692F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评标委员会按照第三章“评标办法”规定的方法、评审因素、标准和程序对投标文件进行评审。第三章“评标办法”没有规定的方法、评审因素和标准，不作为评标依据</w:t>
      </w:r>
      <w:r>
        <w:rPr>
          <w:rFonts w:hint="eastAsia" w:ascii="宋体" w:hAnsi="宋体" w:eastAsia="宋体" w:cs="宋体"/>
          <w:color w:val="auto"/>
          <w:sz w:val="24"/>
          <w:szCs w:val="24"/>
          <w:highlight w:val="none"/>
          <w:lang w:eastAsia="zh-CN"/>
        </w:rPr>
        <w:t>。</w:t>
      </w:r>
    </w:p>
    <w:p w14:paraId="46905BB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评标完成后，评标委员会应当向招标人提交书面评标报告和中标候选人名单。评标委员会推荐中标候选人的人数见投标人须知前附表。</w:t>
      </w:r>
    </w:p>
    <w:p w14:paraId="08FDD243">
      <w:pPr>
        <w:pStyle w:val="36"/>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color w:val="auto"/>
          <w:kern w:val="2"/>
          <w:sz w:val="32"/>
          <w:highlight w:val="none"/>
          <w:lang w:eastAsia="zh-CN"/>
        </w:rPr>
      </w:pPr>
      <w:bookmarkStart w:id="148" w:name="_Toc23704"/>
      <w:r>
        <w:rPr>
          <w:rFonts w:hint="eastAsia" w:ascii="黑体" w:hAnsi="黑体" w:eastAsia="黑体" w:cs="黑体"/>
          <w:b/>
          <w:bCs w:val="0"/>
          <w:snapToGrid/>
          <w:color w:val="auto"/>
          <w:kern w:val="2"/>
          <w:sz w:val="32"/>
          <w:highlight w:val="none"/>
          <w:lang w:eastAsia="zh-CN"/>
        </w:rPr>
        <w:t>7．合同授予</w:t>
      </w:r>
      <w:bookmarkEnd w:id="148"/>
    </w:p>
    <w:p w14:paraId="7B0C2201">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49" w:name="_Toc6938"/>
      <w:bookmarkStart w:id="150" w:name="_Toc7915"/>
      <w:bookmarkStart w:id="151" w:name="_Toc15239"/>
      <w:r>
        <w:rPr>
          <w:rFonts w:hint="eastAsia" w:ascii="黑体" w:hAnsi="黑体" w:eastAsia="黑体" w:cs="黑体"/>
          <w:b/>
          <w:bCs w:val="0"/>
          <w:snapToGrid/>
          <w:color w:val="auto"/>
          <w:kern w:val="2"/>
          <w:highlight w:val="none"/>
          <w:lang w:eastAsia="zh-CN"/>
        </w:rPr>
        <w:t>7.1  中标候选人公示</w:t>
      </w:r>
      <w:bookmarkEnd w:id="149"/>
      <w:bookmarkEnd w:id="150"/>
      <w:bookmarkEnd w:id="151"/>
    </w:p>
    <w:p w14:paraId="363AEEA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招标人在收到评标报告之日起 3日内，按照投标人须知前附表规定的公示媒介和期限公示中标候选人，公示期不得少于 3日，公示内容包括：</w:t>
      </w:r>
    </w:p>
    <w:p w14:paraId="61F59FA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（1）中标候选人排序、名称、投标报价、质量、安全、环保、工期，以及评标情况；</w:t>
      </w:r>
    </w:p>
    <w:p w14:paraId="48BF02E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（2）中标候选人在投标文件中承诺的项目经理姓名及其相关证书名称和编号；</w:t>
      </w:r>
    </w:p>
    <w:p w14:paraId="142ED6C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（3）中标候选人响应招标文件要求的资格能力条件；</w:t>
      </w:r>
    </w:p>
    <w:p w14:paraId="6F3AB3B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（4）被否决投标的投标人名称、否决依据和原因；</w:t>
      </w:r>
    </w:p>
    <w:p w14:paraId="25A2E02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（5）提出异议的渠道和方式；</w:t>
      </w:r>
    </w:p>
    <w:p w14:paraId="3882201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（6）投标人须知前附表规定公示的其他内容。</w:t>
      </w:r>
    </w:p>
    <w:p w14:paraId="3A856B4B">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52" w:name="_Toc30834"/>
      <w:bookmarkStart w:id="153" w:name="_Toc11576"/>
      <w:bookmarkStart w:id="154" w:name="_Toc16405"/>
      <w:r>
        <w:rPr>
          <w:rFonts w:hint="eastAsia" w:ascii="黑体" w:hAnsi="黑体" w:eastAsia="黑体" w:cs="黑体"/>
          <w:b/>
          <w:bCs w:val="0"/>
          <w:snapToGrid/>
          <w:color w:val="auto"/>
          <w:kern w:val="2"/>
          <w:highlight w:val="none"/>
          <w:lang w:eastAsia="zh-CN"/>
        </w:rPr>
        <w:t>7.2  评标结果异议</w:t>
      </w:r>
      <w:bookmarkEnd w:id="152"/>
      <w:bookmarkEnd w:id="153"/>
      <w:bookmarkEnd w:id="154"/>
    </w:p>
    <w:p w14:paraId="17610A4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投标人或者其他利害关系人对评标结果有异议的，应当在中标候选人公示期间提出。招标人将在收到异议之日起 3日内作出答复；作出答复前，将暂停招标投标活动。</w:t>
      </w:r>
    </w:p>
    <w:p w14:paraId="22B76801">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55" w:name="_Toc1493"/>
      <w:bookmarkStart w:id="156" w:name="_Toc28221"/>
      <w:bookmarkStart w:id="157" w:name="_Toc16134"/>
      <w:r>
        <w:rPr>
          <w:rFonts w:hint="eastAsia" w:ascii="黑体" w:hAnsi="黑体" w:eastAsia="黑体" w:cs="黑体"/>
          <w:b/>
          <w:bCs w:val="0"/>
          <w:snapToGrid/>
          <w:color w:val="auto"/>
          <w:kern w:val="2"/>
          <w:highlight w:val="none"/>
          <w:lang w:eastAsia="zh-CN"/>
        </w:rPr>
        <w:t>7.3  中标候选人履约能力审查</w:t>
      </w:r>
      <w:bookmarkEnd w:id="155"/>
      <w:bookmarkEnd w:id="156"/>
      <w:bookmarkEnd w:id="157"/>
    </w:p>
    <w:p w14:paraId="2114C5C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78CA041E">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58" w:name="_Toc26479"/>
      <w:bookmarkStart w:id="159" w:name="_Toc2790"/>
      <w:bookmarkStart w:id="160" w:name="_Toc21491"/>
      <w:r>
        <w:rPr>
          <w:rFonts w:hint="eastAsia" w:ascii="黑体" w:hAnsi="黑体" w:eastAsia="黑体" w:cs="黑体"/>
          <w:b/>
          <w:bCs w:val="0"/>
          <w:snapToGrid/>
          <w:color w:val="auto"/>
          <w:kern w:val="2"/>
          <w:highlight w:val="none"/>
          <w:lang w:eastAsia="zh-CN"/>
        </w:rPr>
        <w:t>7.4  定标</w:t>
      </w:r>
      <w:bookmarkEnd w:id="158"/>
      <w:bookmarkEnd w:id="159"/>
      <w:bookmarkEnd w:id="160"/>
    </w:p>
    <w:p w14:paraId="7853C2F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按照投标人须知前附表的规定，招标人或招标人授权的评标委员会依法确定中标人。</w:t>
      </w:r>
    </w:p>
    <w:p w14:paraId="2A91595A">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61" w:name="_Toc4910"/>
      <w:bookmarkStart w:id="162" w:name="_Toc28610"/>
      <w:bookmarkStart w:id="163" w:name="_Toc22761"/>
      <w:r>
        <w:rPr>
          <w:rFonts w:hint="eastAsia" w:ascii="黑体" w:hAnsi="黑体" w:eastAsia="黑体" w:cs="黑体"/>
          <w:b/>
          <w:bCs w:val="0"/>
          <w:snapToGrid/>
          <w:color w:val="auto"/>
          <w:kern w:val="2"/>
          <w:highlight w:val="none"/>
          <w:lang w:eastAsia="zh-CN"/>
        </w:rPr>
        <w:t>7.5  中标结果公示</w:t>
      </w:r>
      <w:bookmarkEnd w:id="161"/>
      <w:bookmarkEnd w:id="162"/>
      <w:bookmarkEnd w:id="163"/>
    </w:p>
    <w:p w14:paraId="66452EE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招标人在确定中标人之日起 3 日内，按照投标人须知前附表规定的公示媒介依法公示中标结果。</w:t>
      </w:r>
    </w:p>
    <w:p w14:paraId="1656137D">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64" w:name="_Toc12762"/>
      <w:bookmarkStart w:id="165" w:name="_Toc428"/>
      <w:bookmarkStart w:id="166" w:name="_Toc30666"/>
      <w:r>
        <w:rPr>
          <w:rFonts w:hint="eastAsia" w:ascii="黑体" w:hAnsi="黑体" w:eastAsia="黑体" w:cs="黑体"/>
          <w:b/>
          <w:bCs w:val="0"/>
          <w:snapToGrid/>
          <w:color w:val="auto"/>
          <w:kern w:val="2"/>
          <w:highlight w:val="none"/>
          <w:lang w:eastAsia="zh-CN"/>
        </w:rPr>
        <w:t>7.6  中标通知</w:t>
      </w:r>
      <w:bookmarkEnd w:id="164"/>
      <w:bookmarkEnd w:id="165"/>
      <w:bookmarkEnd w:id="166"/>
    </w:p>
    <w:p w14:paraId="165D903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在本章第 3.3 款规定的投标有效期内，招标人以书面形式向中标人发出中标通知书，同时将中标结果通知未中标的投标人。</w:t>
      </w:r>
    </w:p>
    <w:p w14:paraId="640DFC87">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67" w:name="_Toc30205"/>
      <w:bookmarkStart w:id="168" w:name="_Toc30420"/>
      <w:bookmarkStart w:id="169" w:name="_Toc26348"/>
      <w:r>
        <w:rPr>
          <w:rFonts w:hint="eastAsia" w:ascii="黑体" w:hAnsi="黑体" w:eastAsia="黑体" w:cs="黑体"/>
          <w:b/>
          <w:bCs w:val="0"/>
          <w:snapToGrid/>
          <w:color w:val="auto"/>
          <w:kern w:val="2"/>
          <w:highlight w:val="none"/>
          <w:lang w:eastAsia="zh-CN"/>
        </w:rPr>
        <w:t>7.7  履约保证金</w:t>
      </w:r>
      <w:bookmarkEnd w:id="167"/>
      <w:bookmarkEnd w:id="168"/>
      <w:bookmarkEnd w:id="169"/>
    </w:p>
    <w:p w14:paraId="6AF60E2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14:paraId="513B72C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7.7.2  中标人不能按本章第 7.7.1项要求提交履约保证金的，视为放弃中标，其投标保证金不予退还，给招标人造成的损失超过投标保证金数额的，中标人还应当对超过部分予以赔偿。</w:t>
      </w:r>
    </w:p>
    <w:p w14:paraId="451260B6">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70" w:name="_Toc13570"/>
      <w:bookmarkStart w:id="171" w:name="_Toc17895"/>
      <w:bookmarkStart w:id="172" w:name="_Toc1315"/>
      <w:r>
        <w:rPr>
          <w:rFonts w:hint="eastAsia" w:ascii="黑体" w:hAnsi="黑体" w:eastAsia="黑体" w:cs="黑体"/>
          <w:b/>
          <w:bCs w:val="0"/>
          <w:snapToGrid/>
          <w:color w:val="auto"/>
          <w:kern w:val="2"/>
          <w:highlight w:val="none"/>
          <w:lang w:eastAsia="zh-CN"/>
        </w:rPr>
        <w:t>7.8  签订合同</w:t>
      </w:r>
      <w:bookmarkEnd w:id="170"/>
      <w:bookmarkEnd w:id="171"/>
      <w:bookmarkEnd w:id="172"/>
    </w:p>
    <w:p w14:paraId="140D77A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2CC739F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7.8.2  发出中标通知书后，招标人无正当理由拒签合同，或者在签订合同时向中标人提出附加条件的，招标人向中标人退还投标保证金；给中标人造成损失的，还应当赔偿损失</w:t>
      </w:r>
      <w:r>
        <w:rPr>
          <w:rFonts w:hint="eastAsia" w:ascii="宋体" w:hAnsi="宋体" w:eastAsia="宋体" w:cs="宋体"/>
          <w:color w:val="auto"/>
          <w:sz w:val="24"/>
          <w:szCs w:val="24"/>
          <w:highlight w:val="none"/>
          <w:lang w:eastAsia="zh-CN"/>
        </w:rPr>
        <w:t>。</w:t>
      </w:r>
    </w:p>
    <w:p w14:paraId="1A3F787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7.8.3 联合体中标的，联合体各方应当共同与招标人签订合同，就中标项目向招标人承担连带责任。</w:t>
      </w:r>
    </w:p>
    <w:p w14:paraId="0BCC77DA">
      <w:pPr>
        <w:pStyle w:val="36"/>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color w:val="auto"/>
          <w:kern w:val="2"/>
          <w:sz w:val="32"/>
          <w:highlight w:val="none"/>
          <w:lang w:eastAsia="zh-CN"/>
        </w:rPr>
      </w:pPr>
      <w:bookmarkStart w:id="173" w:name="_Toc15291"/>
      <w:r>
        <w:rPr>
          <w:rFonts w:hint="eastAsia" w:ascii="黑体" w:hAnsi="黑体" w:eastAsia="黑体" w:cs="黑体"/>
          <w:b/>
          <w:bCs w:val="0"/>
          <w:snapToGrid/>
          <w:color w:val="auto"/>
          <w:kern w:val="2"/>
          <w:sz w:val="32"/>
          <w:highlight w:val="none"/>
          <w:lang w:eastAsia="zh-CN"/>
        </w:rPr>
        <w:t>8．重新招标和不再招标</w:t>
      </w:r>
      <w:bookmarkEnd w:id="173"/>
    </w:p>
    <w:p w14:paraId="5C674353">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74" w:name="_Toc12037"/>
      <w:bookmarkStart w:id="175" w:name="_Toc6952"/>
      <w:bookmarkStart w:id="176" w:name="_Toc9480"/>
      <w:r>
        <w:rPr>
          <w:rFonts w:hint="eastAsia" w:ascii="黑体" w:hAnsi="黑体" w:eastAsia="黑体" w:cs="黑体"/>
          <w:b/>
          <w:bCs w:val="0"/>
          <w:snapToGrid/>
          <w:color w:val="auto"/>
          <w:kern w:val="2"/>
          <w:highlight w:val="none"/>
          <w:lang w:eastAsia="zh-CN"/>
        </w:rPr>
        <w:t>8.1  重新招标</w:t>
      </w:r>
      <w:bookmarkEnd w:id="174"/>
      <w:bookmarkEnd w:id="175"/>
      <w:bookmarkEnd w:id="176"/>
    </w:p>
    <w:p w14:paraId="2F15219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有下列情形之一的，招标人将重新招标：</w:t>
      </w:r>
    </w:p>
    <w:p w14:paraId="6696F01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（l）投标截止时间止，投标人少于 3个的；</w:t>
      </w:r>
    </w:p>
    <w:p w14:paraId="4E7FD5B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（2）经评标委员会评审后否决所有投标的；</w:t>
      </w:r>
    </w:p>
    <w:p w14:paraId="0DEBDC9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（3）评标委员会否决不合格投标后，因有效投标不足三个使得投标明显缺乏竞争，评标委员会决定否决全部投标的；</w:t>
      </w:r>
    </w:p>
    <w:p w14:paraId="022F941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（4）同意延长投标有效期的投标人少于 3 个的；</w:t>
      </w:r>
    </w:p>
    <w:p w14:paraId="513B25F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（5）中标候选人均未与招标人签订合同的；</w:t>
      </w:r>
    </w:p>
    <w:p w14:paraId="2C14620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（6）经查实，中标候选人均不具备中标资格或存在违规行为的。</w:t>
      </w:r>
    </w:p>
    <w:p w14:paraId="68653A20">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77" w:name="_Toc32574"/>
      <w:bookmarkStart w:id="178" w:name="_Toc27887"/>
      <w:bookmarkStart w:id="179" w:name="_Toc21505"/>
      <w:r>
        <w:rPr>
          <w:rFonts w:hint="eastAsia" w:ascii="黑体" w:hAnsi="黑体" w:eastAsia="黑体" w:cs="黑体"/>
          <w:b/>
          <w:bCs w:val="0"/>
          <w:snapToGrid/>
          <w:color w:val="auto"/>
          <w:kern w:val="2"/>
          <w:highlight w:val="none"/>
          <w:lang w:eastAsia="zh-CN"/>
        </w:rPr>
        <w:t>8.2  不再招标</w:t>
      </w:r>
      <w:bookmarkEnd w:id="177"/>
      <w:bookmarkEnd w:id="178"/>
      <w:bookmarkEnd w:id="179"/>
    </w:p>
    <w:p w14:paraId="35B1EAA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重新招标后，仍出现本章第 8.1 款规定情形之一的，属于必须审批、核准的工程建设项目，报 经原审批、核准部门审批、核准后可以不再进行招标。涉及政府采购的，按照政府采购法律法规规定执行。</w:t>
      </w:r>
    </w:p>
    <w:p w14:paraId="75950780">
      <w:pPr>
        <w:pStyle w:val="36"/>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color w:val="auto"/>
          <w:sz w:val="21"/>
          <w:highlight w:val="none"/>
        </w:rPr>
      </w:pPr>
      <w:bookmarkStart w:id="180" w:name="_Toc7488"/>
      <w:r>
        <w:rPr>
          <w:rFonts w:hint="eastAsia" w:ascii="黑体" w:hAnsi="黑体" w:eastAsia="黑体" w:cs="黑体"/>
          <w:b/>
          <w:bCs w:val="0"/>
          <w:snapToGrid/>
          <w:color w:val="auto"/>
          <w:kern w:val="2"/>
          <w:sz w:val="32"/>
          <w:highlight w:val="none"/>
          <w:lang w:eastAsia="zh-CN"/>
        </w:rPr>
        <w:t>9．纪律和监督</w:t>
      </w:r>
      <w:bookmarkEnd w:id="180"/>
    </w:p>
    <w:p w14:paraId="72324FBF">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81" w:name="_Toc28597"/>
      <w:bookmarkStart w:id="182" w:name="_Toc31213"/>
      <w:bookmarkStart w:id="183" w:name="_Toc11080"/>
      <w:r>
        <w:rPr>
          <w:rFonts w:hint="eastAsia" w:ascii="黑体" w:hAnsi="黑体" w:eastAsia="黑体" w:cs="黑体"/>
          <w:b/>
          <w:bCs w:val="0"/>
          <w:snapToGrid/>
          <w:color w:val="auto"/>
          <w:kern w:val="2"/>
          <w:highlight w:val="none"/>
          <w:lang w:eastAsia="zh-CN"/>
        </w:rPr>
        <w:t>9.1  对招标人的纪律要求</w:t>
      </w:r>
      <w:bookmarkEnd w:id="181"/>
      <w:bookmarkEnd w:id="182"/>
      <w:bookmarkEnd w:id="183"/>
    </w:p>
    <w:p w14:paraId="36A4439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招标人不得泄露招标投标活动中应当保密的情况和资料，不得与投标人串通损害国家利益、社会公共利益或者他人合法权益。</w:t>
      </w:r>
    </w:p>
    <w:p w14:paraId="1E450527">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84" w:name="_Toc18936"/>
      <w:bookmarkStart w:id="185" w:name="_Toc16271"/>
      <w:bookmarkStart w:id="186" w:name="_Toc3303"/>
      <w:r>
        <w:rPr>
          <w:rFonts w:hint="eastAsia" w:ascii="黑体" w:hAnsi="黑体" w:eastAsia="黑体" w:cs="黑体"/>
          <w:b/>
          <w:bCs w:val="0"/>
          <w:snapToGrid/>
          <w:color w:val="auto"/>
          <w:kern w:val="2"/>
          <w:highlight w:val="none"/>
          <w:lang w:eastAsia="zh-CN"/>
        </w:rPr>
        <w:t>9.2  对投标人的纪律要求</w:t>
      </w:r>
      <w:bookmarkEnd w:id="184"/>
      <w:bookmarkEnd w:id="185"/>
      <w:bookmarkEnd w:id="186"/>
    </w:p>
    <w:p w14:paraId="63E6CBE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 评标工作。</w:t>
      </w:r>
    </w:p>
    <w:p w14:paraId="1688E479">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87" w:name="_Toc5252"/>
      <w:bookmarkStart w:id="188" w:name="_Toc27024"/>
      <w:bookmarkStart w:id="189" w:name="_Toc23247"/>
      <w:r>
        <w:rPr>
          <w:rFonts w:hint="eastAsia" w:ascii="黑体" w:hAnsi="黑体" w:eastAsia="黑体" w:cs="黑体"/>
          <w:b/>
          <w:bCs w:val="0"/>
          <w:snapToGrid/>
          <w:color w:val="auto"/>
          <w:kern w:val="2"/>
          <w:highlight w:val="none"/>
          <w:lang w:eastAsia="zh-CN"/>
        </w:rPr>
        <w:t>9.3  对评标委员会成员的纪律要求</w:t>
      </w:r>
      <w:bookmarkEnd w:id="187"/>
      <w:bookmarkEnd w:id="188"/>
      <w:bookmarkEnd w:id="189"/>
    </w:p>
    <w:p w14:paraId="3497B05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  地履行职责，遵守职业道德，不得擅离职守，影响评标程序正常进行，不得使用第三章“评标办法” 没有规定的评审因素和标准进行评标。</w:t>
      </w:r>
    </w:p>
    <w:p w14:paraId="6CFFA6CA">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90" w:name="_Toc19398"/>
      <w:bookmarkStart w:id="191" w:name="_Toc19414"/>
      <w:bookmarkStart w:id="192" w:name="_Toc26870"/>
      <w:r>
        <w:rPr>
          <w:rFonts w:hint="eastAsia" w:ascii="黑体" w:hAnsi="黑体" w:eastAsia="黑体" w:cs="黑体"/>
          <w:b/>
          <w:bCs w:val="0"/>
          <w:snapToGrid/>
          <w:color w:val="auto"/>
          <w:kern w:val="2"/>
          <w:highlight w:val="none"/>
          <w:lang w:eastAsia="zh-CN"/>
        </w:rPr>
        <w:t>9.4  对与评标活动有关的工作人员的纪律要求</w:t>
      </w:r>
      <w:bookmarkEnd w:id="190"/>
      <w:bookmarkEnd w:id="191"/>
      <w:bookmarkEnd w:id="192"/>
    </w:p>
    <w:p w14:paraId="685F56D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DA4E06D">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93" w:name="_Toc15817"/>
      <w:bookmarkStart w:id="194" w:name="_Toc6045"/>
      <w:bookmarkStart w:id="195" w:name="_Toc23246"/>
      <w:r>
        <w:rPr>
          <w:rFonts w:hint="eastAsia" w:ascii="黑体" w:hAnsi="黑体" w:eastAsia="黑体" w:cs="黑体"/>
          <w:b/>
          <w:bCs w:val="0"/>
          <w:snapToGrid/>
          <w:color w:val="auto"/>
          <w:kern w:val="2"/>
          <w:highlight w:val="none"/>
          <w:lang w:eastAsia="zh-CN"/>
        </w:rPr>
        <w:t>9.5 异议、投诉的解决</w:t>
      </w:r>
      <w:bookmarkEnd w:id="193"/>
      <w:bookmarkEnd w:id="194"/>
      <w:bookmarkEnd w:id="195"/>
    </w:p>
    <w:p w14:paraId="1B72E49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9.5.1  投标人或者其他利害关系人认为招标投标活动不符合法律、行政法规规定的，可以自知道或者应当知道之日起 10 日内通过网上投诉系统或以其他书面形式向投标人须知前附表规定的招标 投标行政监督部门投诉。投诉应当有明确的请求和必要的证明材料。</w:t>
      </w:r>
    </w:p>
    <w:p w14:paraId="2B5EBE3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9.5.2  投标人或者其他利害关系人对招标文件、开标和评标结果提出投诉的，应当按照投标人须知第 2.4 款、第 5.3 款和第 7.2 款的规定先向招标人提出异议。异议答复期间不计算在第 9.5.1项规定的期限内。</w:t>
      </w:r>
    </w:p>
    <w:p w14:paraId="1C4FE52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9.5.3 当事人对招标投标行政监督部门的投诉处理决定不服或者招标投标行政监督部门逾期未作处理的，可以依法向行政复议机关申请行政复议或者向项目所在地人民法院提起行政诉讼。</w:t>
      </w:r>
    </w:p>
    <w:p w14:paraId="0FCA804B">
      <w:pPr>
        <w:pStyle w:val="36"/>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color w:val="auto"/>
          <w:kern w:val="2"/>
          <w:sz w:val="32"/>
          <w:highlight w:val="none"/>
          <w:lang w:eastAsia="zh-CN"/>
        </w:rPr>
      </w:pPr>
      <w:bookmarkStart w:id="196" w:name="_Toc25005"/>
      <w:r>
        <w:rPr>
          <w:rFonts w:hint="eastAsia" w:ascii="黑体" w:hAnsi="黑体" w:eastAsia="黑体" w:cs="黑体"/>
          <w:b/>
          <w:bCs w:val="0"/>
          <w:snapToGrid/>
          <w:color w:val="auto"/>
          <w:kern w:val="2"/>
          <w:sz w:val="32"/>
          <w:highlight w:val="none"/>
          <w:lang w:eastAsia="zh-CN"/>
        </w:rPr>
        <w:t>10．需要补充的其他内容</w:t>
      </w:r>
      <w:bookmarkEnd w:id="196"/>
    </w:p>
    <w:p w14:paraId="559EECC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需要补充的其他内容：见投标人须知前附表。</w:t>
      </w:r>
    </w:p>
    <w:p w14:paraId="6DC03AFF">
      <w:pPr>
        <w:rPr>
          <w:rFonts w:hint="eastAsia" w:ascii="宋体" w:hAnsi="宋体" w:eastAsia="宋体" w:cs="宋体"/>
          <w:b/>
          <w:bCs/>
          <w:color w:val="auto"/>
          <w:spacing w:val="-6"/>
          <w:sz w:val="28"/>
          <w:szCs w:val="28"/>
          <w:highlight w:val="none"/>
        </w:rPr>
      </w:pPr>
      <w:r>
        <w:rPr>
          <w:rFonts w:hint="eastAsia" w:ascii="宋体" w:hAnsi="宋体" w:eastAsia="宋体" w:cs="宋体"/>
          <w:b/>
          <w:bCs/>
          <w:color w:val="auto"/>
          <w:spacing w:val="-6"/>
          <w:sz w:val="28"/>
          <w:szCs w:val="28"/>
          <w:highlight w:val="none"/>
        </w:rPr>
        <w:br w:type="page"/>
      </w:r>
    </w:p>
    <w:p w14:paraId="3DA991B7">
      <w:pPr>
        <w:spacing w:before="147" w:line="219" w:lineRule="auto"/>
        <w:outlineLvl w:val="2"/>
        <w:rPr>
          <w:rFonts w:ascii="宋体" w:hAnsi="宋体" w:eastAsia="宋体" w:cs="宋体"/>
          <w:color w:val="auto"/>
          <w:sz w:val="28"/>
          <w:szCs w:val="28"/>
          <w:highlight w:val="none"/>
        </w:rPr>
      </w:pPr>
      <w:bookmarkStart w:id="197" w:name="_Toc25579"/>
      <w:r>
        <w:rPr>
          <w:rFonts w:ascii="宋体" w:hAnsi="宋体" w:eastAsia="宋体" w:cs="宋体"/>
          <w:b/>
          <w:bCs/>
          <w:color w:val="auto"/>
          <w:spacing w:val="-6"/>
          <w:sz w:val="28"/>
          <w:szCs w:val="28"/>
          <w:highlight w:val="none"/>
        </w:rPr>
        <w:t>附件一：电子招标投标操作要求</w:t>
      </w:r>
      <w:bookmarkEnd w:id="197"/>
    </w:p>
    <w:p w14:paraId="73698A32">
      <w:pPr>
        <w:spacing w:line="468" w:lineRule="auto"/>
        <w:rPr>
          <w:rFonts w:ascii="Arial"/>
          <w:color w:val="auto"/>
          <w:sz w:val="21"/>
          <w:highlight w:val="none"/>
        </w:rPr>
      </w:pPr>
    </w:p>
    <w:p w14:paraId="7759469D">
      <w:pPr>
        <w:spacing w:before="147" w:line="219" w:lineRule="auto"/>
        <w:jc w:val="center"/>
        <w:outlineLvl w:val="9"/>
        <w:rPr>
          <w:rFonts w:hint="eastAsia" w:ascii="宋体" w:hAnsi="宋体" w:eastAsia="宋体" w:cs="宋体"/>
          <w:b/>
          <w:bCs/>
          <w:color w:val="auto"/>
          <w:spacing w:val="-6"/>
          <w:sz w:val="28"/>
          <w:szCs w:val="28"/>
          <w:highlight w:val="none"/>
          <w:lang w:eastAsia="zh-CN"/>
        </w:rPr>
      </w:pPr>
      <w:bookmarkStart w:id="198" w:name="_Toc9545"/>
      <w:bookmarkStart w:id="199" w:name="_Toc14629"/>
      <w:r>
        <w:rPr>
          <w:rFonts w:hint="eastAsia" w:ascii="宋体" w:hAnsi="宋体" w:eastAsia="宋体" w:cs="宋体"/>
          <w:b/>
          <w:bCs/>
          <w:color w:val="auto"/>
          <w:spacing w:val="-6"/>
          <w:sz w:val="28"/>
          <w:szCs w:val="28"/>
          <w:highlight w:val="none"/>
          <w:lang w:eastAsia="zh-CN"/>
        </w:rPr>
        <w:t>合肥市公共资源交易电子招标投标操作规程</w:t>
      </w:r>
      <w:bookmarkEnd w:id="198"/>
      <w:bookmarkEnd w:id="199"/>
    </w:p>
    <w:p w14:paraId="63A584FD">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第一条  为进一步规范招标投标行为，提高招标投标效率，充分利用信息网络技术，根据《中华人民共和国招标投标法》《中华人民共和国政府采购法》《中华人民共和国电子签名法》《合肥市公共资源交易管理条例》和《电子招标投标办法》（八部委20号令）等有关规定，结合工作实际，制定本规程。</w:t>
      </w:r>
    </w:p>
    <w:p w14:paraId="7B95747C">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第二条  本规程适用于进入安徽合肥公共资源交易平台交易的项目。行业主管部门另有规定的，从其规定。</w:t>
      </w:r>
    </w:p>
    <w:p w14:paraId="59AACF8A">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第三条  本规程所称的电子招标投标，是指以数据电文形式，依托电子交易系统和电子服务系统完成的全部或者部分招标投标交易活动。</w:t>
      </w:r>
    </w:p>
    <w:p w14:paraId="0531BDAF">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第四条  电子交易系统是招标投标当事人通过数据电文形式完成招标投标交易活动的系统。</w:t>
      </w:r>
    </w:p>
    <w:p w14:paraId="5E4DD322">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电子交易系统要具备在线完成招标投标全部交易过程，编辑、生成、对接、交换和发布有关招标投标数据信息的功能，并为行政监督部门依法实施监督和受理投诉提供所需的信息通道。</w:t>
      </w:r>
    </w:p>
    <w:p w14:paraId="7F1E0460">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第五条  电子服务系统是满足与各电子交易系统之间电子招标投标信息对接交换、资源共享需要，并为市场主体、行政监督部门和社会公众提供信息交换、整合和发布的系统。</w:t>
      </w:r>
    </w:p>
    <w:p w14:paraId="4EAC5FF5">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电子服务系统要具备与各电子交易系统之间招标投标相关信息对接、交换、发布、资格信誉和业绩公开、行业统计分析、连接评标专家库、提供行政监督通道等服务功能。</w:t>
      </w:r>
    </w:p>
    <w:p w14:paraId="5DAC2F7F">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第六条  招标人或招标代理机构负责电子招标投标的组织实施，电子交易系统建设单位负责电子交易系统的服务保障，电子服务系统建设单位负责电子服务系统的服务保障。</w:t>
      </w:r>
    </w:p>
    <w:p w14:paraId="1E4EE6C3">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第七条  电子招标投标各方主体（招标人、投标人、招标代理机构等）应当按照相关规定取得和使用数字证书及电子签章，通过数字证书登录电子交易系统或电子服务系统进行操作。各方主体在系统中所有操作都具有法律效力,并承担法律责任。</w:t>
      </w:r>
    </w:p>
    <w:p w14:paraId="6E76350E">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投标人应妥善保管数字证书，由于数字证书遗失、损坏、更换、续期等情况导致投标文件无法上传或解密，由投标人自行承担责任。</w:t>
      </w:r>
    </w:p>
    <w:p w14:paraId="61469A0F">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 xml:space="preserve">第八条  招标人或招标代理机构应在招标公告和招标文件中明确招标项目采取电子招标投标方式，并按相关流程通过电子交易系统制作招标文件。 </w:t>
      </w:r>
    </w:p>
    <w:p w14:paraId="71DE8938">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第九条  招标公告、招标文件应由招标人或招标代理机构通过电子服务系统在安徽合肥公共资源交易中心网站发布，其中招标文件须加盖电子签章。</w:t>
      </w:r>
    </w:p>
    <w:p w14:paraId="0DC13B9C">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第十条  投标人登录安徽合肥公共资源交易中心电子服务系统获取招标文件。</w:t>
      </w:r>
    </w:p>
    <w:p w14:paraId="5D35D396">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第十一条  澄清、修改文件应由招标人或招标代理机构通过电子服务系统在安徽合肥公共资源交易中心网站发布，投标人应及时查阅相关澄清、修改信息。</w:t>
      </w:r>
    </w:p>
    <w:p w14:paraId="65E96BFF">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第十二条  投标人应使用电子标书制作软件制作投标文件，电子标书制作软件应允许投标人离线制作投标文件，并且具备分段或整体加密、解密功能。</w:t>
      </w:r>
    </w:p>
    <w:p w14:paraId="5BB28FB2">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第十三条  投标人必须对投标文件进行电子签章并使用数字证书加密，并于招标文件规定的投标截止时间前通过电子交易系统完成上传。</w:t>
      </w:r>
    </w:p>
    <w:p w14:paraId="5D62EF38">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投标人对加密的投标文件进行撤回的，应通过电子交易系统在投标截止时间前进行撤回操作；投标人对加密的投标文件进行修改的，应在投标截止时间前完成上传。</w:t>
      </w:r>
    </w:p>
    <w:p w14:paraId="38FAF2BB">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第十四条  投标截止时间以电子交易系统显示的时间为准，逾期系统将自动关闭, 未完成上传的投标文件将被拒绝。</w:t>
      </w:r>
    </w:p>
    <w:p w14:paraId="111DDDD2">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第十五条  投标人在投标截止时间后按招标文件规定的解密时间完成投标文件解密，加密和解密须用同一数字证书。投标人未在招标文件规定的时间内完成解密的视为其放弃投标。</w:t>
      </w:r>
    </w:p>
    <w:p w14:paraId="797E8D96">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招标人或招标代理机构完成解密，导入并读取所有成功解密的投标文件，电子交易系统应自动记录开标过程。</w:t>
      </w:r>
    </w:p>
    <w:p w14:paraId="248D6702">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招标文件约定须到达指定地点或线上进行演示、答辩、磋商、谈判等情形的，投标人应按照招标文件规定的时间到达指定地点或登录电子交易系统保持在线。</w:t>
      </w:r>
    </w:p>
    <w:p w14:paraId="100C515F">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第十六条  未能成功解密的投标文件，如招标文件中允许使用电子光盘或U盘作为投标文件解密失败的补救方案，并且投标人在投标截止时间之前到达开标现场并成功递交，招标人或招标代理机构可导入电子光盘或U盘中非加密投标文件继续开标。若系统识别出电子光盘或U盘中未加密的投标文件和网上递交的加密投标文件识别码不一致，电子交易系统应拒绝导入。</w:t>
      </w:r>
    </w:p>
    <w:p w14:paraId="47B14A03">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第十七条  招标人或招标代理机构组织评标，评标委员会依据招标文件规定的评标办法进行电子评标，并对评标结果签字或电子签名确认。</w:t>
      </w:r>
    </w:p>
    <w:p w14:paraId="67E85633">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多次报价应按招标文件的要求提交。</w:t>
      </w:r>
    </w:p>
    <w:p w14:paraId="4F5FBF87">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第十八条  评标委员会通过电子交易系统将需要澄清、说明或补正的内容以询标函的形式发送给投标人，投标人应登录电子交易系统并保持在线状态，以便及时接收评标委员会可能发出的询标函，并在规定时间内回复，若投标人未及时回复，视为放弃澄清、说明或补正。</w:t>
      </w:r>
    </w:p>
    <w:p w14:paraId="69CF70ED">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第十九条  评标委员会完成评标后，应通过电子交易系统提交评标报告。招标人或招标代理机构将评标报告及时交互至电子服务系统。</w:t>
      </w:r>
    </w:p>
    <w:p w14:paraId="2BEE361B">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第二十条  招标人或招标代理机构应通过电子服务系统在安徽合肥公共资源交易中心网站公示和公布中标候选人及中标结果。</w:t>
      </w:r>
    </w:p>
    <w:p w14:paraId="5E118920">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第二十一条  投标人如对招标投标活动有异议（质疑），在规定时限内，可以通过电子交易系统在线提交异议（质疑）材料。投标人对招标人、招标代理机构异议（质疑）答复不满意或者招标人、招标代理机构未在规定时间内作出答复的，可以在规定时间内在线向行政监督部门提出投诉。</w:t>
      </w:r>
    </w:p>
    <w:p w14:paraId="5C0273F7">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 xml:space="preserve">第二十二条  招标人确定中标人后，应通过电子交易系统向中标人发出中标通知书，中标通知书发出即视为送达。 </w:t>
      </w:r>
    </w:p>
    <w:p w14:paraId="04943B23">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第二十三条  出现下列情形导致电子服务系统或电子交易系统无法正常运行，影响招标投标过程的公平、公正和信息安全，经第三方机构认定后，各方当事人免责：</w:t>
      </w:r>
    </w:p>
    <w:p w14:paraId="506CD502">
      <w:pPr>
        <w:keepNext w:val="0"/>
        <w:keepLines w:val="0"/>
        <w:widowControl w:val="0"/>
        <w:suppressLineNumbers w:val="0"/>
        <w:wordWrap w:val="0"/>
        <w:snapToGrid w:val="0"/>
        <w:spacing w:before="0" w:beforeAutospacing="0" w:after="0" w:afterAutospacing="0" w:line="360" w:lineRule="auto"/>
        <w:ind w:left="0" w:right="0" w:firstLine="480" w:firstLineChars="200"/>
        <w:jc w:val="both"/>
        <w:outlineLvl w:val="9"/>
        <w:rPr>
          <w:rFonts w:hint="eastAsia" w:ascii="宋体" w:hAnsi="宋体" w:eastAsia="宋体" w:cs="宋体"/>
          <w:color w:val="auto"/>
          <w:sz w:val="24"/>
          <w:szCs w:val="24"/>
          <w:highlight w:val="none"/>
          <w:lang w:val="en-US"/>
        </w:rPr>
      </w:pPr>
      <w:bookmarkStart w:id="200" w:name="_Toc10788"/>
      <w:bookmarkStart w:id="201" w:name="_Toc12908"/>
      <w:r>
        <w:rPr>
          <w:rFonts w:hint="eastAsia" w:ascii="宋体" w:hAnsi="宋体" w:eastAsia="宋体" w:cs="宋体"/>
          <w:snapToGrid w:val="0"/>
          <w:color w:val="auto"/>
          <w:kern w:val="2"/>
          <w:sz w:val="24"/>
          <w:szCs w:val="24"/>
          <w:highlight w:val="none"/>
          <w:lang w:val="en-US" w:eastAsia="zh-CN" w:bidi="ar"/>
        </w:rPr>
        <w:t>（一）网络、服务器、数据库发生故障造成无法访问或使用的；</w:t>
      </w:r>
      <w:bookmarkEnd w:id="200"/>
      <w:bookmarkEnd w:id="201"/>
    </w:p>
    <w:p w14:paraId="554E65DD">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（二）电力系统发生故障导致电子服务系统或电子交易系统无法运行的；</w:t>
      </w:r>
    </w:p>
    <w:p w14:paraId="6821970C">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（三）出现网络攻击、病毒入侵以及电子服务系统或电子交易系统安全漏洞导致无法正常提供服务的；</w:t>
      </w:r>
    </w:p>
    <w:p w14:paraId="16799955">
      <w:pPr>
        <w:keepNext w:val="0"/>
        <w:keepLines w:val="0"/>
        <w:widowControl w:val="0"/>
        <w:suppressLineNumbers w:val="0"/>
        <w:wordWrap w:val="0"/>
        <w:snapToGrid w:val="0"/>
        <w:spacing w:before="0" w:beforeAutospacing="0" w:after="0" w:afterAutospacing="0" w:line="360" w:lineRule="auto"/>
        <w:ind w:left="0" w:right="0" w:firstLine="480" w:firstLineChars="200"/>
        <w:jc w:val="both"/>
        <w:outlineLvl w:val="9"/>
        <w:rPr>
          <w:rFonts w:hint="eastAsia" w:ascii="宋体" w:hAnsi="宋体" w:eastAsia="宋体" w:cs="宋体"/>
          <w:color w:val="auto"/>
          <w:sz w:val="24"/>
          <w:szCs w:val="24"/>
          <w:highlight w:val="none"/>
          <w:lang w:val="en-US"/>
        </w:rPr>
      </w:pPr>
      <w:bookmarkStart w:id="202" w:name="_Toc21695"/>
      <w:bookmarkStart w:id="203" w:name="_Toc13984"/>
      <w:r>
        <w:rPr>
          <w:rFonts w:hint="eastAsia" w:ascii="宋体" w:hAnsi="宋体" w:eastAsia="宋体" w:cs="宋体"/>
          <w:snapToGrid w:val="0"/>
          <w:color w:val="auto"/>
          <w:kern w:val="2"/>
          <w:sz w:val="24"/>
          <w:szCs w:val="24"/>
          <w:highlight w:val="none"/>
          <w:lang w:val="en-US" w:eastAsia="zh-CN" w:bidi="ar"/>
        </w:rPr>
        <w:t>（四）其他无法保证招标投标过程公平、公正和信息安全的情形。</w:t>
      </w:r>
      <w:bookmarkEnd w:id="202"/>
      <w:bookmarkEnd w:id="203"/>
    </w:p>
    <w:p w14:paraId="399B7BD8">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第二十四条  出现上述情形，系统建设方应及时组织相关方查明原因，排除故障。若能保证在开标前恢复系统运行的，招投标程序继续进行；若导致开评标程序无法按时开展，但能在原开标时间后1小时内恢复系统运行的，招投标程序继续进行；若导致开评标程序无法按时开展，在原开标时间后1小时内无法恢复系统运行的，按以下程序操作：</w:t>
      </w:r>
    </w:p>
    <w:p w14:paraId="286E2D64">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一）项目中止，中止期限由招标人或招标代理机构根据项目具体情况确定。中止期限届满后中止情形尚未消除的，招标人或招标代理机构可以根据实际情况决定延长中止期限。决定延长中止期限的，应向投标人发出延长中止期限通知，并在安徽合肥公共资源交易中心网站进行公布。</w:t>
      </w:r>
    </w:p>
    <w:p w14:paraId="5D622590">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二）项目恢复，导致项目中止的情形消除后，招标人或招标代理机构应当尽快恢复招投标程序，向投标人发出恢复交易通知，并在安徽合肥公共资源交易中心网站进行公布；已发出延长中止期限通知的，按通知执行。</w:t>
      </w:r>
    </w:p>
    <w:p w14:paraId="653FD253">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第二十五条  在招标文件规定的解密时间内出现第二十三条规定的意外情形时，如部分投标人未完成投标文件解密的，系统恢复后，允许投标人继续解密，解密时限重新计时；在规定的解密时间外出现上述情况的，系统恢复后，除原已解密文件无法恢复外，将不再允许未解密的投标人进行解密。</w:t>
      </w:r>
    </w:p>
    <w:p w14:paraId="4E22A8E0">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第二十六条  本规程由合肥市公共资源交易监督管理局负责解释。</w:t>
      </w:r>
    </w:p>
    <w:p w14:paraId="29C6FA40">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仿宋_GB2312" w:eastAsia="仿宋_GB2312" w:cs="仿宋_GB2312"/>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第二十七条  本规程自发布之日起施行，有效期2年。原《合肥市公共资源交易电子招标投标操作规程》（合公法〔2020〕16号）同时废止。</w:t>
      </w:r>
    </w:p>
    <w:p w14:paraId="75D66549">
      <w:pPr>
        <w:spacing w:line="296" w:lineRule="auto"/>
        <w:rPr>
          <w:rFonts w:ascii="Arial"/>
          <w:color w:val="auto"/>
          <w:sz w:val="21"/>
          <w:highlight w:val="none"/>
        </w:rPr>
      </w:pPr>
    </w:p>
    <w:p w14:paraId="3D96DB35">
      <w:pPr>
        <w:rPr>
          <w:rFonts w:ascii="宋体" w:hAnsi="宋体" w:eastAsia="宋体" w:cs="宋体"/>
          <w:b/>
          <w:bCs/>
          <w:color w:val="auto"/>
          <w:spacing w:val="-7"/>
          <w:sz w:val="43"/>
          <w:szCs w:val="43"/>
          <w:highlight w:val="none"/>
        </w:rPr>
      </w:pPr>
      <w:bookmarkStart w:id="204" w:name="bookmark219"/>
      <w:bookmarkEnd w:id="204"/>
      <w:r>
        <w:rPr>
          <w:rFonts w:ascii="宋体" w:hAnsi="宋体" w:eastAsia="宋体" w:cs="宋体"/>
          <w:b/>
          <w:bCs/>
          <w:color w:val="auto"/>
          <w:spacing w:val="-7"/>
          <w:sz w:val="43"/>
          <w:szCs w:val="43"/>
          <w:highlight w:val="none"/>
        </w:rPr>
        <w:br w:type="page"/>
      </w:r>
    </w:p>
    <w:p w14:paraId="08794CC4">
      <w:pPr>
        <w:spacing w:before="87" w:line="222" w:lineRule="auto"/>
        <w:ind w:left="84"/>
        <w:outlineLvl w:val="0"/>
        <w:rPr>
          <w:rFonts w:ascii="宋体" w:hAnsi="宋体" w:eastAsia="宋体" w:cs="宋体"/>
          <w:color w:val="auto"/>
          <w:sz w:val="43"/>
          <w:szCs w:val="43"/>
          <w:highlight w:val="none"/>
        </w:rPr>
      </w:pPr>
      <w:bookmarkStart w:id="205" w:name="_Toc16912"/>
      <w:r>
        <w:rPr>
          <w:rFonts w:ascii="宋体" w:hAnsi="宋体" w:eastAsia="宋体" w:cs="宋体"/>
          <w:b/>
          <w:bCs/>
          <w:color w:val="auto"/>
          <w:spacing w:val="-6"/>
          <w:sz w:val="43"/>
          <w:szCs w:val="43"/>
          <w:highlight w:val="none"/>
        </w:rPr>
        <w:t>第三章</w:t>
      </w:r>
      <w:r>
        <w:rPr>
          <w:rFonts w:ascii="宋体" w:hAnsi="宋体" w:eastAsia="宋体" w:cs="宋体"/>
          <w:color w:val="auto"/>
          <w:spacing w:val="-6"/>
          <w:sz w:val="43"/>
          <w:szCs w:val="43"/>
          <w:highlight w:val="none"/>
        </w:rPr>
        <w:t xml:space="preserve">  </w:t>
      </w:r>
      <w:r>
        <w:rPr>
          <w:rFonts w:ascii="宋体" w:hAnsi="宋体" w:eastAsia="宋体" w:cs="宋体"/>
          <w:b/>
          <w:bCs/>
          <w:color w:val="auto"/>
          <w:spacing w:val="-6"/>
          <w:sz w:val="43"/>
          <w:szCs w:val="43"/>
          <w:highlight w:val="none"/>
        </w:rPr>
        <w:t>评标办法（综合评估法（合理低价</w:t>
      </w:r>
      <w:r>
        <w:rPr>
          <w:rFonts w:ascii="宋体" w:hAnsi="宋体" w:eastAsia="宋体" w:cs="宋体"/>
          <w:b/>
          <w:bCs/>
          <w:color w:val="auto"/>
          <w:spacing w:val="-1"/>
          <w:sz w:val="43"/>
          <w:szCs w:val="43"/>
          <w:highlight w:val="none"/>
        </w:rPr>
        <w:t>））</w:t>
      </w:r>
      <w:bookmarkEnd w:id="205"/>
    </w:p>
    <w:p w14:paraId="01C21AC5">
      <w:pPr>
        <w:spacing w:before="39" w:line="213" w:lineRule="auto"/>
        <w:ind w:left="3346"/>
        <w:outlineLvl w:val="1"/>
        <w:rPr>
          <w:rFonts w:ascii="宋体" w:hAnsi="宋体" w:eastAsia="宋体" w:cs="宋体"/>
          <w:color w:val="auto"/>
          <w:sz w:val="36"/>
          <w:szCs w:val="36"/>
          <w:highlight w:val="none"/>
        </w:rPr>
      </w:pPr>
      <w:bookmarkStart w:id="206" w:name="_Toc15545"/>
      <w:r>
        <w:rPr>
          <w:rFonts w:ascii="宋体" w:hAnsi="宋体" w:eastAsia="宋体" w:cs="宋体"/>
          <w:color w:val="auto"/>
          <w:spacing w:val="-2"/>
          <w:sz w:val="36"/>
          <w:szCs w:val="36"/>
          <w:highlight w:val="none"/>
        </w:rPr>
        <w:t>评标办法前附表</w:t>
      </w:r>
      <w:bookmarkEnd w:id="206"/>
    </w:p>
    <w:tbl>
      <w:tblPr>
        <w:tblStyle w:val="29"/>
        <w:tblW w:w="91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3"/>
        <w:gridCol w:w="2144"/>
        <w:gridCol w:w="5015"/>
      </w:tblGrid>
      <w:tr w14:paraId="657FA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027" w:type="dxa"/>
            <w:gridSpan w:val="2"/>
            <w:vAlign w:val="top"/>
          </w:tcPr>
          <w:p w14:paraId="5F7382E8">
            <w:pPr>
              <w:pStyle w:val="30"/>
              <w:spacing w:before="175" w:line="221" w:lineRule="auto"/>
              <w:ind w:left="703"/>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条款号</w:t>
            </w:r>
          </w:p>
        </w:tc>
        <w:tc>
          <w:tcPr>
            <w:tcW w:w="2144" w:type="dxa"/>
            <w:vAlign w:val="top"/>
          </w:tcPr>
          <w:p w14:paraId="36A28515">
            <w:pPr>
              <w:pStyle w:val="30"/>
              <w:spacing w:before="175" w:line="221" w:lineRule="auto"/>
              <w:ind w:left="81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评审因素</w:t>
            </w:r>
          </w:p>
        </w:tc>
        <w:tc>
          <w:tcPr>
            <w:tcW w:w="5015" w:type="dxa"/>
            <w:vAlign w:val="top"/>
          </w:tcPr>
          <w:p w14:paraId="32875B8A">
            <w:pPr>
              <w:pStyle w:val="30"/>
              <w:spacing w:before="176" w:line="221" w:lineRule="auto"/>
              <w:ind w:left="192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评审标准</w:t>
            </w:r>
          </w:p>
        </w:tc>
      </w:tr>
      <w:tr w14:paraId="49CC4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904" w:type="dxa"/>
            <w:vMerge w:val="restart"/>
            <w:tcBorders>
              <w:bottom w:val="nil"/>
            </w:tcBorders>
            <w:vAlign w:val="top"/>
          </w:tcPr>
          <w:p w14:paraId="01D939F1">
            <w:pPr>
              <w:spacing w:line="274" w:lineRule="auto"/>
              <w:rPr>
                <w:rFonts w:hint="eastAsia" w:ascii="宋体" w:hAnsi="宋体" w:eastAsia="宋体" w:cs="宋体"/>
                <w:color w:val="auto"/>
                <w:sz w:val="24"/>
                <w:szCs w:val="24"/>
                <w:highlight w:val="none"/>
              </w:rPr>
            </w:pPr>
          </w:p>
          <w:p w14:paraId="2970F793">
            <w:pPr>
              <w:spacing w:line="274" w:lineRule="auto"/>
              <w:rPr>
                <w:rFonts w:hint="eastAsia" w:ascii="宋体" w:hAnsi="宋体" w:eastAsia="宋体" w:cs="宋体"/>
                <w:color w:val="auto"/>
                <w:sz w:val="24"/>
                <w:szCs w:val="24"/>
                <w:highlight w:val="none"/>
              </w:rPr>
            </w:pPr>
          </w:p>
          <w:p w14:paraId="72CB7BFE">
            <w:pPr>
              <w:spacing w:line="275" w:lineRule="auto"/>
              <w:rPr>
                <w:rFonts w:hint="eastAsia" w:ascii="宋体" w:hAnsi="宋体" w:eastAsia="宋体" w:cs="宋体"/>
                <w:color w:val="auto"/>
                <w:sz w:val="24"/>
                <w:szCs w:val="24"/>
                <w:highlight w:val="none"/>
              </w:rPr>
            </w:pPr>
          </w:p>
          <w:p w14:paraId="2FB7EFA7">
            <w:pPr>
              <w:pStyle w:val="30"/>
              <w:spacing w:before="68" w:line="183" w:lineRule="auto"/>
              <w:ind w:left="4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23" w:type="dxa"/>
            <w:vMerge w:val="restart"/>
            <w:tcBorders>
              <w:bottom w:val="nil"/>
            </w:tcBorders>
            <w:vAlign w:val="top"/>
          </w:tcPr>
          <w:p w14:paraId="4420894F">
            <w:pPr>
              <w:spacing w:line="263" w:lineRule="auto"/>
              <w:rPr>
                <w:rFonts w:hint="eastAsia" w:ascii="宋体" w:hAnsi="宋体" w:eastAsia="宋体" w:cs="宋体"/>
                <w:color w:val="auto"/>
                <w:sz w:val="24"/>
                <w:szCs w:val="24"/>
                <w:highlight w:val="none"/>
              </w:rPr>
            </w:pPr>
          </w:p>
          <w:p w14:paraId="6AE30FA0">
            <w:pPr>
              <w:spacing w:line="263" w:lineRule="auto"/>
              <w:rPr>
                <w:rFonts w:hint="eastAsia" w:ascii="宋体" w:hAnsi="宋体" w:eastAsia="宋体" w:cs="宋体"/>
                <w:color w:val="auto"/>
                <w:sz w:val="24"/>
                <w:szCs w:val="24"/>
                <w:highlight w:val="none"/>
              </w:rPr>
            </w:pPr>
          </w:p>
          <w:p w14:paraId="630D4F1C">
            <w:pPr>
              <w:spacing w:line="263" w:lineRule="auto"/>
              <w:rPr>
                <w:rFonts w:hint="eastAsia" w:ascii="宋体" w:hAnsi="宋体" w:eastAsia="宋体" w:cs="宋体"/>
                <w:color w:val="auto"/>
                <w:sz w:val="24"/>
                <w:szCs w:val="24"/>
                <w:highlight w:val="none"/>
              </w:rPr>
            </w:pPr>
          </w:p>
          <w:p w14:paraId="3433C5BA">
            <w:pPr>
              <w:pStyle w:val="30"/>
              <w:spacing w:before="68" w:line="221" w:lineRule="auto"/>
              <w:ind w:left="14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评标方法</w:t>
            </w:r>
          </w:p>
        </w:tc>
        <w:tc>
          <w:tcPr>
            <w:tcW w:w="2144" w:type="dxa"/>
            <w:vAlign w:val="top"/>
          </w:tcPr>
          <w:p w14:paraId="0142EA9D">
            <w:pPr>
              <w:pStyle w:val="30"/>
              <w:spacing w:before="121" w:line="265" w:lineRule="auto"/>
              <w:ind w:left="118" w:right="167"/>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（1）得分相等时确定评审顺序的方法</w:t>
            </w:r>
          </w:p>
        </w:tc>
        <w:tc>
          <w:tcPr>
            <w:tcW w:w="5015" w:type="dxa"/>
            <w:vAlign w:val="top"/>
          </w:tcPr>
          <w:p w14:paraId="41A67D8B">
            <w:pPr>
              <w:pStyle w:val="30"/>
              <w:spacing w:before="72" w:line="219"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由评标委员会根据投标文件投票，按照少数服从多数的原则确定中标候选人顺序。</w:t>
            </w:r>
          </w:p>
        </w:tc>
      </w:tr>
      <w:tr w14:paraId="12586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tcBorders>
              <w:top w:val="nil"/>
              <w:bottom w:val="nil"/>
            </w:tcBorders>
            <w:vAlign w:val="top"/>
          </w:tcPr>
          <w:p w14:paraId="6253DF3F">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2B163948">
            <w:pPr>
              <w:rPr>
                <w:rFonts w:hint="eastAsia" w:ascii="宋体" w:hAnsi="宋体" w:eastAsia="宋体" w:cs="宋体"/>
                <w:color w:val="auto"/>
                <w:sz w:val="24"/>
                <w:szCs w:val="24"/>
                <w:highlight w:val="none"/>
              </w:rPr>
            </w:pPr>
          </w:p>
        </w:tc>
        <w:tc>
          <w:tcPr>
            <w:tcW w:w="2144" w:type="dxa"/>
            <w:vAlign w:val="top"/>
          </w:tcPr>
          <w:p w14:paraId="32E0B6FD">
            <w:pPr>
              <w:pStyle w:val="30"/>
              <w:numPr>
                <w:ilvl w:val="0"/>
                <w:numId w:val="2"/>
              </w:numPr>
              <w:spacing w:before="75" w:line="246" w:lineRule="auto"/>
              <w:ind w:left="826" w:right="148" w:hanging="682"/>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推荐中标候</w:t>
            </w:r>
          </w:p>
          <w:p w14:paraId="06164104">
            <w:pPr>
              <w:pStyle w:val="30"/>
              <w:numPr>
                <w:ilvl w:val="0"/>
                <w:numId w:val="0"/>
              </w:numPr>
              <w:spacing w:before="75" w:line="246" w:lineRule="auto"/>
              <w:ind w:left="144" w:leftChars="0" w:right="148" w:rightChars="0"/>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选人的先后顺序</w:t>
            </w:r>
          </w:p>
        </w:tc>
        <w:tc>
          <w:tcPr>
            <w:tcW w:w="5015" w:type="dxa"/>
            <w:vAlign w:val="top"/>
          </w:tcPr>
          <w:p w14:paraId="03154116">
            <w:pPr>
              <w:pStyle w:val="30"/>
              <w:spacing w:before="72" w:line="219"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仅适用于多标段项目（本招标项目仅1个标段，本条不适用）</w:t>
            </w:r>
          </w:p>
        </w:tc>
      </w:tr>
      <w:tr w14:paraId="3C360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04" w:type="dxa"/>
            <w:vMerge w:val="continue"/>
            <w:tcBorders>
              <w:top w:val="nil"/>
            </w:tcBorders>
            <w:vAlign w:val="top"/>
          </w:tcPr>
          <w:p w14:paraId="4FBF2B9B">
            <w:pPr>
              <w:rPr>
                <w:rFonts w:hint="eastAsia" w:ascii="宋体" w:hAnsi="宋体" w:eastAsia="宋体" w:cs="宋体"/>
                <w:color w:val="auto"/>
                <w:sz w:val="24"/>
                <w:szCs w:val="24"/>
                <w:highlight w:val="none"/>
              </w:rPr>
            </w:pPr>
          </w:p>
        </w:tc>
        <w:tc>
          <w:tcPr>
            <w:tcW w:w="1123" w:type="dxa"/>
            <w:vMerge w:val="continue"/>
            <w:tcBorders>
              <w:top w:val="nil"/>
            </w:tcBorders>
            <w:vAlign w:val="top"/>
          </w:tcPr>
          <w:p w14:paraId="47CEDBF9">
            <w:pPr>
              <w:rPr>
                <w:rFonts w:hint="eastAsia" w:ascii="宋体" w:hAnsi="宋体" w:eastAsia="宋体" w:cs="宋体"/>
                <w:color w:val="auto"/>
                <w:sz w:val="24"/>
                <w:szCs w:val="24"/>
                <w:highlight w:val="none"/>
              </w:rPr>
            </w:pPr>
          </w:p>
        </w:tc>
        <w:tc>
          <w:tcPr>
            <w:tcW w:w="2144" w:type="dxa"/>
            <w:vAlign w:val="top"/>
          </w:tcPr>
          <w:p w14:paraId="2CB68948">
            <w:pPr>
              <w:pStyle w:val="30"/>
              <w:spacing w:before="168" w:line="221" w:lineRule="auto"/>
              <w:ind w:left="144"/>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（3）最多可中标段数量</w:t>
            </w:r>
          </w:p>
        </w:tc>
        <w:tc>
          <w:tcPr>
            <w:tcW w:w="5015" w:type="dxa"/>
            <w:vAlign w:val="top"/>
          </w:tcPr>
          <w:p w14:paraId="20567047">
            <w:pPr>
              <w:pStyle w:val="30"/>
              <w:spacing w:before="168" w:line="221"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仅适用于多标段项目（本招标项目仅1个标段，本条不适用）</w:t>
            </w:r>
          </w:p>
        </w:tc>
      </w:tr>
      <w:tr w14:paraId="5CDDF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027" w:type="dxa"/>
            <w:gridSpan w:val="2"/>
            <w:vAlign w:val="top"/>
          </w:tcPr>
          <w:p w14:paraId="4D411327">
            <w:pPr>
              <w:pStyle w:val="30"/>
              <w:spacing w:before="168" w:line="221" w:lineRule="auto"/>
              <w:ind w:left="703"/>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条款号</w:t>
            </w:r>
          </w:p>
        </w:tc>
        <w:tc>
          <w:tcPr>
            <w:tcW w:w="2144" w:type="dxa"/>
            <w:vAlign w:val="top"/>
          </w:tcPr>
          <w:p w14:paraId="7F9E7174">
            <w:pPr>
              <w:pStyle w:val="30"/>
              <w:spacing w:before="168" w:line="221" w:lineRule="auto"/>
              <w:ind w:left="822"/>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条款内容</w:t>
            </w:r>
          </w:p>
        </w:tc>
        <w:tc>
          <w:tcPr>
            <w:tcW w:w="5015" w:type="dxa"/>
            <w:vAlign w:val="top"/>
          </w:tcPr>
          <w:p w14:paraId="00CC7105">
            <w:pPr>
              <w:pStyle w:val="30"/>
              <w:spacing w:before="168" w:line="221" w:lineRule="auto"/>
              <w:ind w:left="1925"/>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编列内容</w:t>
            </w:r>
          </w:p>
        </w:tc>
      </w:tr>
      <w:tr w14:paraId="2DEA7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2027" w:type="dxa"/>
            <w:gridSpan w:val="2"/>
            <w:vAlign w:val="top"/>
          </w:tcPr>
          <w:p w14:paraId="11A085D6">
            <w:pPr>
              <w:spacing w:line="249" w:lineRule="auto"/>
              <w:rPr>
                <w:rFonts w:hint="eastAsia" w:ascii="宋体" w:hAnsi="宋体" w:eastAsia="宋体" w:cs="宋体"/>
                <w:color w:val="auto"/>
                <w:sz w:val="24"/>
                <w:szCs w:val="24"/>
                <w:highlight w:val="none"/>
              </w:rPr>
            </w:pPr>
          </w:p>
          <w:p w14:paraId="11DB0153">
            <w:pPr>
              <w:pStyle w:val="30"/>
              <w:spacing w:before="68" w:line="18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2.1.1</w:t>
            </w:r>
          </w:p>
        </w:tc>
        <w:tc>
          <w:tcPr>
            <w:tcW w:w="2144" w:type="dxa"/>
            <w:vAlign w:val="top"/>
          </w:tcPr>
          <w:p w14:paraId="7FBED49C">
            <w:pPr>
              <w:pStyle w:val="30"/>
              <w:spacing w:before="68" w:line="221"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分值构成</w:t>
            </w:r>
            <w:r>
              <w:rPr>
                <w:rFonts w:hint="eastAsia" w:ascii="宋体" w:hAnsi="宋体" w:eastAsia="宋体" w:cs="宋体"/>
                <w:color w:val="auto"/>
                <w:spacing w:val="-7"/>
                <w:sz w:val="24"/>
                <w:szCs w:val="24"/>
                <w:highlight w:val="none"/>
              </w:rPr>
              <w:t>(总分100</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7"/>
                <w:sz w:val="24"/>
                <w:szCs w:val="24"/>
                <w:highlight w:val="none"/>
              </w:rPr>
              <w:t>分，在总分得</w:t>
            </w:r>
            <w:r>
              <w:rPr>
                <w:rFonts w:hint="eastAsia" w:ascii="宋体" w:hAnsi="宋体" w:eastAsia="宋体" w:cs="宋体"/>
                <w:color w:val="auto"/>
                <w:spacing w:val="-1"/>
                <w:sz w:val="24"/>
                <w:szCs w:val="24"/>
                <w:highlight w:val="none"/>
              </w:rPr>
              <w:t>分基础上单独进行不良</w:t>
            </w:r>
            <w:r>
              <w:rPr>
                <w:rFonts w:hint="eastAsia" w:ascii="宋体" w:hAnsi="宋体" w:eastAsia="宋体" w:cs="宋体"/>
                <w:color w:val="auto"/>
                <w:spacing w:val="-3"/>
                <w:sz w:val="24"/>
                <w:szCs w:val="24"/>
                <w:highlight w:val="none"/>
              </w:rPr>
              <w:t>行为记录扣分）</w:t>
            </w:r>
          </w:p>
        </w:tc>
        <w:tc>
          <w:tcPr>
            <w:tcW w:w="5015" w:type="dxa"/>
            <w:vAlign w:val="top"/>
          </w:tcPr>
          <w:p w14:paraId="55F341EF">
            <w:pPr>
              <w:pStyle w:val="30"/>
              <w:spacing w:before="76" w:line="219"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评标价：100</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4"/>
                <w:sz w:val="24"/>
                <w:szCs w:val="24"/>
                <w:highlight w:val="none"/>
              </w:rPr>
              <w:t>分；</w:t>
            </w:r>
          </w:p>
          <w:p w14:paraId="60243EAE">
            <w:pPr>
              <w:pStyle w:val="30"/>
              <w:spacing w:before="69" w:line="22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不良行为记录扣分：每项扣</w:t>
            </w:r>
            <w:r>
              <w:rPr>
                <w:rFonts w:hint="eastAsia" w:ascii="宋体" w:hAnsi="宋体" w:eastAsia="宋体" w:cs="宋体"/>
                <w:color w:val="auto"/>
                <w:spacing w:val="-93"/>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94"/>
                <w:sz w:val="24"/>
                <w:szCs w:val="24"/>
                <w:highlight w:val="none"/>
              </w:rPr>
              <w:t xml:space="preserve"> </w:t>
            </w:r>
            <w:r>
              <w:rPr>
                <w:rFonts w:hint="eastAsia" w:ascii="宋体" w:hAnsi="宋体" w:eastAsia="宋体" w:cs="宋体"/>
                <w:color w:val="auto"/>
                <w:spacing w:val="-3"/>
                <w:sz w:val="24"/>
                <w:szCs w:val="24"/>
                <w:highlight w:val="none"/>
              </w:rPr>
              <w:t>分。</w:t>
            </w:r>
          </w:p>
          <w:p w14:paraId="2DB42C72">
            <w:pPr>
              <w:pStyle w:val="30"/>
              <w:spacing w:before="73" w:line="254" w:lineRule="auto"/>
              <w:ind w:left="103" w:right="44" w:firstLine="1"/>
              <w:rPr>
                <w:rFonts w:hint="eastAsia" w:ascii="宋体" w:hAnsi="宋体" w:eastAsia="宋体" w:cs="宋体"/>
                <w:color w:val="auto"/>
                <w:sz w:val="24"/>
                <w:szCs w:val="24"/>
                <w:highlight w:val="none"/>
              </w:rPr>
            </w:pPr>
          </w:p>
        </w:tc>
      </w:tr>
      <w:tr w14:paraId="65D32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2027" w:type="dxa"/>
            <w:gridSpan w:val="2"/>
            <w:vAlign w:val="top"/>
          </w:tcPr>
          <w:p w14:paraId="20F47F9A">
            <w:pPr>
              <w:spacing w:line="246" w:lineRule="auto"/>
              <w:rPr>
                <w:rFonts w:hint="eastAsia" w:ascii="宋体" w:hAnsi="宋体" w:eastAsia="宋体" w:cs="宋体"/>
                <w:color w:val="auto"/>
                <w:sz w:val="24"/>
                <w:szCs w:val="24"/>
                <w:highlight w:val="none"/>
              </w:rPr>
            </w:pPr>
          </w:p>
          <w:p w14:paraId="6F96DD54">
            <w:pPr>
              <w:spacing w:line="246" w:lineRule="auto"/>
              <w:rPr>
                <w:rFonts w:hint="eastAsia" w:ascii="宋体" w:hAnsi="宋体" w:eastAsia="宋体" w:cs="宋体"/>
                <w:color w:val="auto"/>
                <w:sz w:val="24"/>
                <w:szCs w:val="24"/>
                <w:highlight w:val="none"/>
              </w:rPr>
            </w:pPr>
          </w:p>
          <w:p w14:paraId="30CF46B7">
            <w:pPr>
              <w:spacing w:line="246" w:lineRule="auto"/>
              <w:rPr>
                <w:rFonts w:hint="eastAsia" w:ascii="宋体" w:hAnsi="宋体" w:eastAsia="宋体" w:cs="宋体"/>
                <w:color w:val="auto"/>
                <w:sz w:val="24"/>
                <w:szCs w:val="24"/>
                <w:highlight w:val="none"/>
              </w:rPr>
            </w:pPr>
          </w:p>
          <w:p w14:paraId="3EA9DBE6">
            <w:pPr>
              <w:spacing w:line="247" w:lineRule="auto"/>
              <w:rPr>
                <w:rFonts w:hint="eastAsia" w:ascii="宋体" w:hAnsi="宋体" w:eastAsia="宋体" w:cs="宋体"/>
                <w:color w:val="auto"/>
                <w:sz w:val="24"/>
                <w:szCs w:val="24"/>
                <w:highlight w:val="none"/>
              </w:rPr>
            </w:pPr>
          </w:p>
          <w:p w14:paraId="78AE7072">
            <w:pPr>
              <w:spacing w:line="247" w:lineRule="auto"/>
              <w:rPr>
                <w:rFonts w:hint="eastAsia" w:ascii="宋体" w:hAnsi="宋体" w:eastAsia="宋体" w:cs="宋体"/>
                <w:color w:val="auto"/>
                <w:sz w:val="24"/>
                <w:szCs w:val="24"/>
                <w:highlight w:val="none"/>
              </w:rPr>
            </w:pPr>
          </w:p>
          <w:p w14:paraId="3463ADC6">
            <w:pPr>
              <w:spacing w:line="247" w:lineRule="auto"/>
              <w:rPr>
                <w:rFonts w:hint="eastAsia" w:ascii="宋体" w:hAnsi="宋体" w:eastAsia="宋体" w:cs="宋体"/>
                <w:color w:val="auto"/>
                <w:sz w:val="24"/>
                <w:szCs w:val="24"/>
                <w:highlight w:val="none"/>
              </w:rPr>
            </w:pPr>
          </w:p>
          <w:p w14:paraId="6D1C57A9">
            <w:pPr>
              <w:spacing w:line="247" w:lineRule="auto"/>
              <w:rPr>
                <w:rFonts w:hint="eastAsia" w:ascii="宋体" w:hAnsi="宋体" w:eastAsia="宋体" w:cs="宋体"/>
                <w:color w:val="auto"/>
                <w:sz w:val="24"/>
                <w:szCs w:val="24"/>
                <w:highlight w:val="none"/>
              </w:rPr>
            </w:pPr>
          </w:p>
          <w:p w14:paraId="787A0F1F">
            <w:pPr>
              <w:spacing w:line="247" w:lineRule="auto"/>
              <w:rPr>
                <w:rFonts w:hint="eastAsia" w:ascii="宋体" w:hAnsi="宋体" w:eastAsia="宋体" w:cs="宋体"/>
                <w:color w:val="auto"/>
                <w:sz w:val="24"/>
                <w:szCs w:val="24"/>
                <w:highlight w:val="none"/>
              </w:rPr>
            </w:pPr>
          </w:p>
          <w:p w14:paraId="1A1C2185">
            <w:pPr>
              <w:spacing w:line="247" w:lineRule="auto"/>
              <w:rPr>
                <w:rFonts w:hint="eastAsia" w:ascii="宋体" w:hAnsi="宋体" w:eastAsia="宋体" w:cs="宋体"/>
                <w:color w:val="auto"/>
                <w:sz w:val="24"/>
                <w:szCs w:val="24"/>
                <w:highlight w:val="none"/>
              </w:rPr>
            </w:pPr>
          </w:p>
          <w:p w14:paraId="691BD598">
            <w:pPr>
              <w:spacing w:line="247" w:lineRule="auto"/>
              <w:rPr>
                <w:rFonts w:hint="eastAsia" w:ascii="宋体" w:hAnsi="宋体" w:eastAsia="宋体" w:cs="宋体"/>
                <w:color w:val="auto"/>
                <w:sz w:val="24"/>
                <w:szCs w:val="24"/>
                <w:highlight w:val="none"/>
              </w:rPr>
            </w:pPr>
          </w:p>
          <w:p w14:paraId="776054E1">
            <w:pPr>
              <w:spacing w:line="247" w:lineRule="auto"/>
              <w:rPr>
                <w:rFonts w:hint="eastAsia" w:ascii="宋体" w:hAnsi="宋体" w:eastAsia="宋体" w:cs="宋体"/>
                <w:color w:val="auto"/>
                <w:sz w:val="24"/>
                <w:szCs w:val="24"/>
                <w:highlight w:val="none"/>
              </w:rPr>
            </w:pPr>
          </w:p>
          <w:p w14:paraId="546A12B0">
            <w:pPr>
              <w:spacing w:line="247" w:lineRule="auto"/>
              <w:rPr>
                <w:rFonts w:hint="eastAsia" w:ascii="宋体" w:hAnsi="宋体" w:eastAsia="宋体" w:cs="宋体"/>
                <w:color w:val="auto"/>
                <w:sz w:val="24"/>
                <w:szCs w:val="24"/>
                <w:highlight w:val="none"/>
              </w:rPr>
            </w:pPr>
          </w:p>
          <w:p w14:paraId="074B4DD0">
            <w:pPr>
              <w:spacing w:line="247" w:lineRule="auto"/>
              <w:rPr>
                <w:rFonts w:hint="eastAsia" w:ascii="宋体" w:hAnsi="宋体" w:eastAsia="宋体" w:cs="宋体"/>
                <w:color w:val="auto"/>
                <w:sz w:val="24"/>
                <w:szCs w:val="24"/>
                <w:highlight w:val="none"/>
              </w:rPr>
            </w:pPr>
          </w:p>
          <w:p w14:paraId="53F0174F">
            <w:pPr>
              <w:spacing w:line="247" w:lineRule="auto"/>
              <w:rPr>
                <w:rFonts w:hint="eastAsia" w:ascii="宋体" w:hAnsi="宋体" w:eastAsia="宋体" w:cs="宋体"/>
                <w:color w:val="auto"/>
                <w:sz w:val="24"/>
                <w:szCs w:val="24"/>
                <w:highlight w:val="none"/>
              </w:rPr>
            </w:pPr>
          </w:p>
          <w:p w14:paraId="4A92B505">
            <w:pPr>
              <w:spacing w:line="247" w:lineRule="auto"/>
              <w:rPr>
                <w:rFonts w:hint="eastAsia" w:ascii="宋体" w:hAnsi="宋体" w:eastAsia="宋体" w:cs="宋体"/>
                <w:color w:val="auto"/>
                <w:sz w:val="24"/>
                <w:szCs w:val="24"/>
                <w:highlight w:val="none"/>
              </w:rPr>
            </w:pPr>
          </w:p>
          <w:p w14:paraId="62A432D2">
            <w:pPr>
              <w:pStyle w:val="30"/>
              <w:spacing w:before="68" w:line="183" w:lineRule="auto"/>
              <w:ind w:left="75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2.1.2</w:t>
            </w:r>
          </w:p>
        </w:tc>
        <w:tc>
          <w:tcPr>
            <w:tcW w:w="2144" w:type="dxa"/>
            <w:vAlign w:val="top"/>
          </w:tcPr>
          <w:p w14:paraId="5EC19E3D">
            <w:pPr>
              <w:spacing w:line="244" w:lineRule="auto"/>
              <w:rPr>
                <w:rFonts w:hint="eastAsia" w:ascii="宋体" w:hAnsi="宋体" w:eastAsia="宋体" w:cs="宋体"/>
                <w:color w:val="auto"/>
                <w:sz w:val="24"/>
                <w:szCs w:val="24"/>
                <w:highlight w:val="none"/>
              </w:rPr>
            </w:pPr>
          </w:p>
          <w:p w14:paraId="3BAFE456">
            <w:pPr>
              <w:spacing w:line="244" w:lineRule="auto"/>
              <w:rPr>
                <w:rFonts w:hint="eastAsia" w:ascii="宋体" w:hAnsi="宋体" w:eastAsia="宋体" w:cs="宋体"/>
                <w:color w:val="auto"/>
                <w:sz w:val="24"/>
                <w:szCs w:val="24"/>
                <w:highlight w:val="none"/>
              </w:rPr>
            </w:pPr>
          </w:p>
          <w:p w14:paraId="47B65D80">
            <w:pPr>
              <w:spacing w:line="244" w:lineRule="auto"/>
              <w:rPr>
                <w:rFonts w:hint="eastAsia" w:ascii="宋体" w:hAnsi="宋体" w:eastAsia="宋体" w:cs="宋体"/>
                <w:color w:val="auto"/>
                <w:sz w:val="24"/>
                <w:szCs w:val="24"/>
                <w:highlight w:val="none"/>
              </w:rPr>
            </w:pPr>
          </w:p>
          <w:p w14:paraId="58391E9C">
            <w:pPr>
              <w:spacing w:line="244" w:lineRule="auto"/>
              <w:rPr>
                <w:rFonts w:hint="eastAsia" w:ascii="宋体" w:hAnsi="宋体" w:eastAsia="宋体" w:cs="宋体"/>
                <w:color w:val="auto"/>
                <w:sz w:val="24"/>
                <w:szCs w:val="24"/>
                <w:highlight w:val="none"/>
              </w:rPr>
            </w:pPr>
          </w:p>
          <w:p w14:paraId="32C600D8">
            <w:pPr>
              <w:spacing w:line="244" w:lineRule="auto"/>
              <w:rPr>
                <w:rFonts w:hint="eastAsia" w:ascii="宋体" w:hAnsi="宋体" w:eastAsia="宋体" w:cs="宋体"/>
                <w:color w:val="auto"/>
                <w:sz w:val="24"/>
                <w:szCs w:val="24"/>
                <w:highlight w:val="none"/>
              </w:rPr>
            </w:pPr>
          </w:p>
          <w:p w14:paraId="1E9C088B">
            <w:pPr>
              <w:spacing w:line="244" w:lineRule="auto"/>
              <w:rPr>
                <w:rFonts w:hint="eastAsia" w:ascii="宋体" w:hAnsi="宋体" w:eastAsia="宋体" w:cs="宋体"/>
                <w:color w:val="auto"/>
                <w:sz w:val="24"/>
                <w:szCs w:val="24"/>
                <w:highlight w:val="none"/>
              </w:rPr>
            </w:pPr>
          </w:p>
          <w:p w14:paraId="7E216058">
            <w:pPr>
              <w:spacing w:line="244" w:lineRule="auto"/>
              <w:rPr>
                <w:rFonts w:hint="eastAsia" w:ascii="宋体" w:hAnsi="宋体" w:eastAsia="宋体" w:cs="宋体"/>
                <w:color w:val="auto"/>
                <w:sz w:val="24"/>
                <w:szCs w:val="24"/>
                <w:highlight w:val="none"/>
              </w:rPr>
            </w:pPr>
          </w:p>
          <w:p w14:paraId="09B6AD07">
            <w:pPr>
              <w:spacing w:line="245" w:lineRule="auto"/>
              <w:rPr>
                <w:rFonts w:hint="eastAsia" w:ascii="宋体" w:hAnsi="宋体" w:eastAsia="宋体" w:cs="宋体"/>
                <w:color w:val="auto"/>
                <w:sz w:val="24"/>
                <w:szCs w:val="24"/>
                <w:highlight w:val="none"/>
              </w:rPr>
            </w:pPr>
          </w:p>
          <w:p w14:paraId="7334A162">
            <w:pPr>
              <w:spacing w:line="245" w:lineRule="auto"/>
              <w:rPr>
                <w:rFonts w:hint="eastAsia" w:ascii="宋体" w:hAnsi="宋体" w:eastAsia="宋体" w:cs="宋体"/>
                <w:color w:val="auto"/>
                <w:sz w:val="24"/>
                <w:szCs w:val="24"/>
                <w:highlight w:val="none"/>
              </w:rPr>
            </w:pPr>
          </w:p>
          <w:p w14:paraId="085A14A0">
            <w:pPr>
              <w:spacing w:line="245" w:lineRule="auto"/>
              <w:rPr>
                <w:rFonts w:hint="eastAsia" w:ascii="宋体" w:hAnsi="宋体" w:eastAsia="宋体" w:cs="宋体"/>
                <w:color w:val="auto"/>
                <w:sz w:val="24"/>
                <w:szCs w:val="24"/>
                <w:highlight w:val="none"/>
              </w:rPr>
            </w:pPr>
          </w:p>
          <w:p w14:paraId="5F0467BA">
            <w:pPr>
              <w:spacing w:line="245" w:lineRule="auto"/>
              <w:rPr>
                <w:rFonts w:hint="eastAsia" w:ascii="宋体" w:hAnsi="宋体" w:eastAsia="宋体" w:cs="宋体"/>
                <w:color w:val="auto"/>
                <w:sz w:val="24"/>
                <w:szCs w:val="24"/>
                <w:highlight w:val="none"/>
              </w:rPr>
            </w:pPr>
          </w:p>
          <w:p w14:paraId="7D46D85F">
            <w:pPr>
              <w:spacing w:line="245" w:lineRule="auto"/>
              <w:rPr>
                <w:rFonts w:hint="eastAsia" w:ascii="宋体" w:hAnsi="宋体" w:eastAsia="宋体" w:cs="宋体"/>
                <w:color w:val="auto"/>
                <w:sz w:val="24"/>
                <w:szCs w:val="24"/>
                <w:highlight w:val="none"/>
              </w:rPr>
            </w:pPr>
          </w:p>
          <w:p w14:paraId="5572FAC6">
            <w:pPr>
              <w:spacing w:line="245" w:lineRule="auto"/>
              <w:rPr>
                <w:rFonts w:hint="eastAsia" w:ascii="宋体" w:hAnsi="宋体" w:eastAsia="宋体" w:cs="宋体"/>
                <w:color w:val="auto"/>
                <w:sz w:val="24"/>
                <w:szCs w:val="24"/>
                <w:highlight w:val="none"/>
              </w:rPr>
            </w:pPr>
          </w:p>
          <w:p w14:paraId="2228F1DB">
            <w:pPr>
              <w:spacing w:line="245" w:lineRule="auto"/>
              <w:rPr>
                <w:rFonts w:hint="eastAsia" w:ascii="宋体" w:hAnsi="宋体" w:eastAsia="宋体" w:cs="宋体"/>
                <w:color w:val="auto"/>
                <w:sz w:val="24"/>
                <w:szCs w:val="24"/>
                <w:highlight w:val="none"/>
              </w:rPr>
            </w:pPr>
          </w:p>
          <w:p w14:paraId="49E99653">
            <w:pPr>
              <w:spacing w:line="245" w:lineRule="auto"/>
              <w:rPr>
                <w:rFonts w:hint="eastAsia" w:ascii="宋体" w:hAnsi="宋体" w:eastAsia="宋体" w:cs="宋体"/>
                <w:color w:val="auto"/>
                <w:sz w:val="24"/>
                <w:szCs w:val="24"/>
                <w:highlight w:val="none"/>
              </w:rPr>
            </w:pPr>
          </w:p>
          <w:p w14:paraId="16B4E2A1">
            <w:pPr>
              <w:pStyle w:val="30"/>
              <w:spacing w:before="68" w:line="219" w:lineRule="auto"/>
              <w:ind w:left="296"/>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评标基准价计算方法</w:t>
            </w:r>
          </w:p>
        </w:tc>
        <w:tc>
          <w:tcPr>
            <w:tcW w:w="5015" w:type="dxa"/>
            <w:vAlign w:val="top"/>
          </w:tcPr>
          <w:p w14:paraId="6B54A13C">
            <w:pPr>
              <w:pStyle w:val="30"/>
              <w:spacing w:before="77" w:line="219"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（1）评标价=投标函文字报价；</w:t>
            </w:r>
          </w:p>
          <w:p w14:paraId="43951D28">
            <w:pPr>
              <w:pStyle w:val="30"/>
              <w:spacing w:before="72" w:line="219"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（2）评标价平均值的计算：</w:t>
            </w:r>
          </w:p>
          <w:p w14:paraId="7F241C0D">
            <w:pPr>
              <w:pStyle w:val="30"/>
              <w:spacing w:before="77" w:line="219" w:lineRule="auto"/>
              <w:ind w:left="119"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方法一 纳入评标价平均值计算范围需满足以下条件：</w:t>
            </w:r>
          </w:p>
          <w:p w14:paraId="4D8CC92B">
            <w:pPr>
              <w:pStyle w:val="30"/>
              <w:spacing w:before="77" w:line="219" w:lineRule="auto"/>
              <w:ind w:left="119"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1）评标价位于招标人编制的最高投标限价的</w:t>
            </w:r>
            <w:r>
              <w:rPr>
                <w:rFonts w:hint="eastAsia" w:ascii="宋体" w:hAnsi="宋体" w:eastAsia="宋体" w:cs="宋体"/>
                <w:color w:val="auto"/>
                <w:spacing w:val="-2"/>
                <w:sz w:val="24"/>
                <w:szCs w:val="24"/>
                <w:highlight w:val="none"/>
              </w:rPr>
              <w:t>A1～A2</w:t>
            </w:r>
            <w:r>
              <w:rPr>
                <w:rFonts w:hint="eastAsia" w:ascii="宋体" w:hAnsi="宋体" w:eastAsia="宋体" w:cs="宋体"/>
                <w:color w:val="auto"/>
                <w:spacing w:val="-1"/>
                <w:sz w:val="24"/>
                <w:szCs w:val="24"/>
                <w:highlight w:val="none"/>
              </w:rPr>
              <w:t>范围内；</w:t>
            </w:r>
          </w:p>
          <w:p w14:paraId="74058108">
            <w:pPr>
              <w:pStyle w:val="30"/>
              <w:spacing w:before="69" w:line="260" w:lineRule="auto"/>
              <w:ind w:left="115" w:right="30" w:firstLine="42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2）</w:t>
            </w:r>
            <w:r>
              <w:rPr>
                <w:rFonts w:hint="eastAsia" w:ascii="宋体" w:hAnsi="宋体" w:eastAsia="宋体" w:cs="宋体"/>
                <w:color w:val="auto"/>
                <w:spacing w:val="-1"/>
                <w:sz w:val="24"/>
                <w:szCs w:val="24"/>
                <w:highlight w:val="none"/>
              </w:rPr>
              <w:t>投标人资质、投标人业绩、项目经理资格符合本章第2.2.2项要求。</w:t>
            </w:r>
          </w:p>
          <w:p w14:paraId="7DD61CB3">
            <w:pPr>
              <w:pStyle w:val="30"/>
              <w:spacing w:before="70" w:line="251" w:lineRule="auto"/>
              <w:ind w:left="130" w:right="110" w:firstLine="418"/>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将纳入评标价平均值计算范围的评标价按照 由低到高进行排序，去除n个较高评标价和n个较低评标价，取其他评标价进行算术平均得出评标价平均值。设符合上款1）条件的投标人数量为</w:t>
            </w:r>
            <w:r>
              <w:rPr>
                <w:rFonts w:hint="eastAsia" w:ascii="宋体" w:hAnsi="宋体" w:eastAsia="宋体" w:cs="宋体"/>
                <w:color w:val="auto"/>
                <w:spacing w:val="-4"/>
                <w:sz w:val="24"/>
                <w:szCs w:val="24"/>
                <w:highlight w:val="none"/>
              </w:rPr>
              <w:t>X0</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7"/>
                <w:sz w:val="24"/>
                <w:szCs w:val="24"/>
                <w:highlight w:val="none"/>
              </w:rPr>
              <w:t>，同时符合上款1）和2）条件的投标人数量为X，当</w:t>
            </w:r>
            <w:r>
              <w:rPr>
                <w:rFonts w:hint="eastAsia" w:ascii="宋体" w:hAnsi="宋体" w:eastAsia="宋体" w:cs="宋体"/>
                <w:color w:val="auto"/>
                <w:spacing w:val="-4"/>
                <w:sz w:val="24"/>
                <w:szCs w:val="24"/>
                <w:highlight w:val="none"/>
              </w:rPr>
              <w:t>X0</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7"/>
                <w:sz w:val="24"/>
                <w:szCs w:val="24"/>
                <w:highlight w:val="none"/>
              </w:rPr>
              <w:t>≤30时，按照上款2）的规定进行资格审查求出X；当</w:t>
            </w:r>
            <w:r>
              <w:rPr>
                <w:rFonts w:hint="eastAsia" w:ascii="宋体" w:hAnsi="宋体" w:eastAsia="宋体" w:cs="宋体"/>
                <w:color w:val="auto"/>
                <w:spacing w:val="-4"/>
                <w:sz w:val="24"/>
                <w:szCs w:val="24"/>
                <w:highlight w:val="none"/>
              </w:rPr>
              <w:t>X0</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7"/>
                <w:sz w:val="24"/>
                <w:szCs w:val="24"/>
                <w:highlight w:val="none"/>
              </w:rPr>
              <w:t>&gt;30时，按照评标价由低到高顺序对前30个投标人进行资格审查，如前30个投标人中有不符合上款2）条件的，按照评标价由低到高的顺序依次递补至直至全部递补并据此求出X。排序最末且评标价相等的，按照投标文件递交的时间先后顺序依次进行</w:t>
            </w:r>
            <w:r>
              <w:rPr>
                <w:rFonts w:hint="eastAsia" w:cs="宋体"/>
                <w:color w:val="auto"/>
                <w:spacing w:val="7"/>
                <w:sz w:val="24"/>
                <w:szCs w:val="24"/>
                <w:highlight w:val="none"/>
                <w:lang w:val="en-US" w:eastAsia="zh-CN"/>
              </w:rPr>
              <w:t>递补（</w:t>
            </w:r>
            <w:r>
              <w:rPr>
                <w:rFonts w:hint="eastAsia" w:ascii="宋体" w:hAnsi="宋体" w:eastAsia="宋体" w:cs="宋体"/>
                <w:color w:val="auto"/>
                <w:spacing w:val="7"/>
                <w:sz w:val="24"/>
                <w:szCs w:val="24"/>
                <w:highlight w:val="none"/>
                <w:lang w:val="en-US" w:eastAsia="zh-CN"/>
              </w:rPr>
              <w:t>选取</w:t>
            </w:r>
            <w:r>
              <w:rPr>
                <w:rFonts w:hint="eastAsia" w:cs="宋体"/>
                <w:color w:val="auto"/>
                <w:spacing w:val="7"/>
                <w:sz w:val="24"/>
                <w:szCs w:val="24"/>
                <w:highlight w:val="none"/>
                <w:lang w:val="en-US" w:eastAsia="zh-CN"/>
              </w:rPr>
              <w:t>）</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lang w:val="en-US" w:eastAsia="zh-CN"/>
              </w:rPr>
              <w:t>投标文件递交时间相同的，按照系统随机产生的签号由小到大的顺序依次进行</w:t>
            </w:r>
            <w:r>
              <w:rPr>
                <w:rFonts w:hint="eastAsia" w:cs="宋体"/>
                <w:color w:val="auto"/>
                <w:spacing w:val="7"/>
                <w:sz w:val="24"/>
                <w:szCs w:val="24"/>
                <w:highlight w:val="none"/>
                <w:lang w:val="en-US" w:eastAsia="zh-CN"/>
              </w:rPr>
              <w:t>递补（</w:t>
            </w:r>
            <w:r>
              <w:rPr>
                <w:rFonts w:hint="eastAsia" w:ascii="宋体" w:hAnsi="宋体" w:eastAsia="宋体" w:cs="宋体"/>
                <w:color w:val="auto"/>
                <w:spacing w:val="7"/>
                <w:sz w:val="24"/>
                <w:szCs w:val="24"/>
                <w:highlight w:val="none"/>
                <w:lang w:val="en-US" w:eastAsia="zh-CN"/>
              </w:rPr>
              <w:t>选取</w:t>
            </w:r>
            <w:r>
              <w:rPr>
                <w:rFonts w:hint="eastAsia" w:cs="宋体"/>
                <w:color w:val="auto"/>
                <w:spacing w:val="7"/>
                <w:sz w:val="24"/>
                <w:szCs w:val="24"/>
                <w:highlight w:val="none"/>
                <w:lang w:val="en-US" w:eastAsia="zh-CN"/>
              </w:rPr>
              <w:t>）</w:t>
            </w:r>
            <w:r>
              <w:rPr>
                <w:rFonts w:hint="eastAsia" w:ascii="宋体" w:hAnsi="宋体" w:eastAsia="宋体" w:cs="宋体"/>
                <w:color w:val="auto"/>
                <w:spacing w:val="7"/>
                <w:sz w:val="24"/>
                <w:szCs w:val="24"/>
                <w:highlight w:val="none"/>
              </w:rPr>
              <w:t>。</w:t>
            </w:r>
          </w:p>
          <w:p w14:paraId="4F724C78">
            <w:pPr>
              <w:pStyle w:val="30"/>
              <w:spacing w:before="70" w:line="251" w:lineRule="auto"/>
              <w:ind w:left="130" w:right="110" w:firstLine="418"/>
              <w:rPr>
                <w:rFonts w:hint="eastAsia" w:ascii="宋体" w:hAnsi="宋体" w:eastAsia="宋体" w:cs="宋体"/>
                <w:b/>
                <w:bCs/>
                <w:color w:val="auto"/>
                <w:spacing w:val="7"/>
                <w:sz w:val="24"/>
                <w:szCs w:val="24"/>
                <w:highlight w:val="none"/>
                <w:lang w:val="en-US" w:eastAsia="zh-CN"/>
              </w:rPr>
            </w:pPr>
            <w:r>
              <w:rPr>
                <w:rFonts w:hint="eastAsia" w:ascii="宋体" w:hAnsi="宋体" w:eastAsia="宋体" w:cs="宋体"/>
                <w:b/>
                <w:bCs/>
                <w:color w:val="auto"/>
                <w:spacing w:val="7"/>
                <w:sz w:val="24"/>
                <w:szCs w:val="24"/>
                <w:highlight w:val="none"/>
                <w:lang w:val="en-US" w:eastAsia="zh-CN"/>
              </w:rPr>
              <w:t>注：系统随机产生的各投标人签号具体为：对投标截止时间后系统成功接收投标文件的投标人随机一次性发放签号，签号为1~A, A为投标截止时间后系统成功接收投标文件的投标人数量,并公布给各投标人，无论投标人是否成功解密都将进行签号的发放）。</w:t>
            </w:r>
          </w:p>
          <w:p w14:paraId="7763638C">
            <w:pPr>
              <w:pStyle w:val="30"/>
              <w:spacing w:before="160" w:line="220" w:lineRule="auto"/>
              <w:ind w:left="1" w:firstLine="472"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n 按照以下规定取值：</w:t>
            </w:r>
          </w:p>
          <w:p w14:paraId="25CEAB5C">
            <w:pPr>
              <w:pStyle w:val="30"/>
              <w:spacing w:before="160" w:line="220" w:lineRule="auto"/>
              <w:ind w:left="1" w:firstLine="472"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①当 3≤X≤5，n=0；</w:t>
            </w:r>
          </w:p>
          <w:p w14:paraId="5B507C09">
            <w:pPr>
              <w:pStyle w:val="30"/>
              <w:spacing w:before="160" w:line="220" w:lineRule="auto"/>
              <w:ind w:left="1" w:firstLine="472"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②当 5＜X≤10，n=1；</w:t>
            </w:r>
          </w:p>
          <w:p w14:paraId="3B14181E">
            <w:pPr>
              <w:pStyle w:val="30"/>
              <w:spacing w:before="160" w:line="220" w:lineRule="auto"/>
              <w:ind w:left="1" w:firstLine="472"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③当 10＜X≤20，n=2；</w:t>
            </w:r>
          </w:p>
          <w:p w14:paraId="4C1EA64D">
            <w:pPr>
              <w:pStyle w:val="30"/>
              <w:spacing w:before="160" w:line="220" w:lineRule="auto"/>
              <w:ind w:left="1" w:firstLine="472"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④当 20＜X≤30，n=3。</w:t>
            </w:r>
          </w:p>
          <w:p w14:paraId="30265A7D">
            <w:pPr>
              <w:pStyle w:val="30"/>
              <w:spacing w:before="160" w:line="220" w:lineRule="auto"/>
              <w:ind w:left="1" w:firstLine="472"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如出现 X＜3 的，评标委员会将否决所有投标。</w:t>
            </w:r>
          </w:p>
          <w:p w14:paraId="6C0FB314">
            <w:pPr>
              <w:pStyle w:val="30"/>
              <w:spacing w:before="160" w:line="220" w:lineRule="auto"/>
              <w:ind w:left="1" w:firstLine="474" w:firstLineChars="200"/>
              <w:jc w:val="left"/>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lang w:val="en-US" w:eastAsia="zh-CN"/>
              </w:rPr>
              <w:t>注：</w:t>
            </w:r>
            <w:r>
              <w:rPr>
                <w:rFonts w:hint="eastAsia" w:ascii="宋体" w:hAnsi="宋体" w:eastAsia="宋体" w:cs="宋体"/>
                <w:b/>
                <w:bCs/>
                <w:color w:val="auto"/>
                <w:spacing w:val="-2"/>
                <w:sz w:val="24"/>
                <w:szCs w:val="24"/>
                <w:highlight w:val="none"/>
              </w:rPr>
              <w:t>A1值为0.98、A2值</w:t>
            </w:r>
            <w:r>
              <w:rPr>
                <w:rFonts w:hint="eastAsia" w:ascii="宋体" w:hAnsi="宋体" w:eastAsia="宋体" w:cs="宋体"/>
                <w:b/>
                <w:bCs/>
                <w:color w:val="auto"/>
                <w:spacing w:val="-2"/>
                <w:sz w:val="24"/>
                <w:szCs w:val="24"/>
                <w:highlight w:val="none"/>
                <w:lang w:val="en-US" w:eastAsia="zh-CN"/>
              </w:rPr>
              <w:t>为</w:t>
            </w:r>
            <w:r>
              <w:rPr>
                <w:rFonts w:hint="eastAsia" w:ascii="宋体" w:hAnsi="宋体" w:eastAsia="宋体" w:cs="宋体"/>
                <w:b/>
                <w:bCs/>
                <w:color w:val="auto"/>
                <w:spacing w:val="-2"/>
                <w:sz w:val="24"/>
                <w:szCs w:val="24"/>
                <w:highlight w:val="none"/>
              </w:rPr>
              <w:t>0.85</w:t>
            </w:r>
          </w:p>
          <w:p w14:paraId="67CD35B1">
            <w:pPr>
              <w:pStyle w:val="30"/>
              <w:spacing w:before="30" w:line="222" w:lineRule="auto"/>
              <w:ind w:left="55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□方法二</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7"/>
                <w:sz w:val="24"/>
                <w:szCs w:val="24"/>
                <w:highlight w:val="none"/>
              </w:rPr>
              <w:t>……</w:t>
            </w:r>
          </w:p>
          <w:p w14:paraId="2A2C9227">
            <w:pPr>
              <w:pStyle w:val="30"/>
              <w:spacing w:before="67" w:line="219"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（3）评标基准价的确定：</w:t>
            </w:r>
          </w:p>
          <w:p w14:paraId="45118F6A">
            <w:pPr>
              <w:pStyle w:val="30"/>
              <w:spacing w:before="71" w:line="219" w:lineRule="auto"/>
              <w:ind w:left="55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□将评标价平均值直接作为评标基准价。</w:t>
            </w:r>
          </w:p>
          <w:p w14:paraId="7B982A9C">
            <w:pPr>
              <w:pStyle w:val="30"/>
              <w:spacing w:before="72" w:line="250" w:lineRule="auto"/>
              <w:ind w:left="114" w:right="115" w:firstLine="44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□将评标价平均值下浮</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3"/>
                <w:sz w:val="24"/>
                <w:szCs w:val="24"/>
                <w:highlight w:val="none"/>
              </w:rPr>
              <w:t>作为评标基准</w:t>
            </w:r>
            <w:r>
              <w:rPr>
                <w:rFonts w:hint="eastAsia" w:ascii="宋体" w:hAnsi="宋体" w:eastAsia="宋体" w:cs="宋体"/>
                <w:color w:val="auto"/>
                <w:spacing w:val="-10"/>
                <w:sz w:val="24"/>
                <w:szCs w:val="24"/>
                <w:highlight w:val="none"/>
              </w:rPr>
              <w:t>价。</w:t>
            </w:r>
          </w:p>
          <w:p w14:paraId="3F6ABC1B">
            <w:pPr>
              <w:pStyle w:val="30"/>
              <w:spacing w:before="70" w:line="251" w:lineRule="auto"/>
              <w:ind w:left="130" w:right="110" w:firstLine="418"/>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招标人设置评标基准价系数C值，评标价平均值乘以评标基准价系数作为评标基准价。C值的计算方法如下：设在投标截止时间后系统成功接收投标文件的投标人总数为 Y（无论是否成功解密），将 Y 除以5，根据余数对应取 C 值，见下表（多标段按各自标段X值计算选取）。</w:t>
            </w:r>
          </w:p>
          <w:tbl>
            <w:tblPr>
              <w:tblStyle w:val="29"/>
              <w:tblW w:w="4457"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3"/>
              <w:gridCol w:w="2594"/>
            </w:tblGrid>
            <w:tr w14:paraId="2AF22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863" w:type="dxa"/>
                  <w:tcBorders>
                    <w:tl2br w:val="single" w:color="000000" w:sz="2" w:space="0"/>
                  </w:tcBorders>
                  <w:vAlign w:val="top"/>
                </w:tcPr>
                <w:p w14:paraId="555ACF20">
                  <w:pPr>
                    <w:pStyle w:val="30"/>
                    <w:spacing w:before="141" w:line="289" w:lineRule="auto"/>
                    <w:ind w:left="313" w:right="103" w:firstLine="430"/>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对应的C值</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4"/>
                      <w:sz w:val="24"/>
                      <w:szCs w:val="24"/>
                      <w:highlight w:val="none"/>
                    </w:rPr>
                    <w:t>余数</w:t>
                  </w:r>
                </w:p>
              </w:tc>
              <w:tc>
                <w:tcPr>
                  <w:tcW w:w="2594" w:type="dxa"/>
                  <w:vAlign w:val="top"/>
                </w:tcPr>
                <w:p w14:paraId="56607BC3">
                  <w:pPr>
                    <w:spacing w:line="273" w:lineRule="auto"/>
                    <w:rPr>
                      <w:rFonts w:hint="eastAsia" w:ascii="宋体" w:hAnsi="宋体" w:eastAsia="宋体" w:cs="宋体"/>
                      <w:color w:val="auto"/>
                      <w:sz w:val="24"/>
                      <w:szCs w:val="24"/>
                      <w:highlight w:val="none"/>
                    </w:rPr>
                  </w:pPr>
                </w:p>
                <w:p w14:paraId="0332CE55">
                  <w:pPr>
                    <w:pStyle w:val="30"/>
                    <w:spacing w:before="68" w:line="221" w:lineRule="auto"/>
                    <w:ind w:left="1112"/>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C</w:t>
                  </w:r>
                  <w:r>
                    <w:rPr>
                      <w:rFonts w:hint="eastAsia" w:ascii="宋体" w:hAnsi="宋体" w:eastAsia="宋体" w:cs="宋体"/>
                      <w:color w:val="auto"/>
                      <w:spacing w:val="-44"/>
                      <w:sz w:val="24"/>
                      <w:szCs w:val="24"/>
                      <w:highlight w:val="none"/>
                    </w:rPr>
                    <w:t xml:space="preserve"> </w:t>
                  </w:r>
                  <w:r>
                    <w:rPr>
                      <w:rFonts w:hint="eastAsia" w:ascii="宋体" w:hAnsi="宋体" w:eastAsia="宋体" w:cs="宋体"/>
                      <w:b/>
                      <w:bCs/>
                      <w:color w:val="auto"/>
                      <w:spacing w:val="-6"/>
                      <w:sz w:val="24"/>
                      <w:szCs w:val="24"/>
                      <w:highlight w:val="none"/>
                    </w:rPr>
                    <w:t>值</w:t>
                  </w:r>
                </w:p>
              </w:tc>
            </w:tr>
            <w:tr w14:paraId="77251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863" w:type="dxa"/>
                  <w:vAlign w:val="top"/>
                </w:tcPr>
                <w:p w14:paraId="37525944">
                  <w:pPr>
                    <w:pStyle w:val="30"/>
                    <w:spacing w:before="244" w:line="182" w:lineRule="auto"/>
                    <w:ind w:left="886"/>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0</w:t>
                  </w:r>
                </w:p>
              </w:tc>
              <w:tc>
                <w:tcPr>
                  <w:tcW w:w="2594" w:type="dxa"/>
                  <w:vAlign w:val="top"/>
                </w:tcPr>
                <w:p w14:paraId="22715DDA">
                  <w:pPr>
                    <w:pStyle w:val="30"/>
                    <w:spacing w:before="244" w:line="182" w:lineRule="auto"/>
                    <w:ind w:left="103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0.980</w:t>
                  </w:r>
                </w:p>
              </w:tc>
            </w:tr>
            <w:tr w14:paraId="7942A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63" w:type="dxa"/>
                  <w:vAlign w:val="top"/>
                </w:tcPr>
                <w:p w14:paraId="5CDD9BFE">
                  <w:pPr>
                    <w:pStyle w:val="30"/>
                    <w:spacing w:before="174" w:line="183" w:lineRule="auto"/>
                    <w:ind w:left="900"/>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1</w:t>
                  </w:r>
                </w:p>
              </w:tc>
              <w:tc>
                <w:tcPr>
                  <w:tcW w:w="2594" w:type="dxa"/>
                  <w:vAlign w:val="top"/>
                </w:tcPr>
                <w:p w14:paraId="0693A569">
                  <w:pPr>
                    <w:pStyle w:val="30"/>
                    <w:spacing w:before="175" w:line="182" w:lineRule="auto"/>
                    <w:ind w:left="103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0.985</w:t>
                  </w:r>
                </w:p>
              </w:tc>
            </w:tr>
            <w:tr w14:paraId="5C6A7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63" w:type="dxa"/>
                  <w:vAlign w:val="top"/>
                </w:tcPr>
                <w:p w14:paraId="2A1E41F1">
                  <w:pPr>
                    <w:pStyle w:val="30"/>
                    <w:spacing w:before="176" w:line="182" w:lineRule="auto"/>
                    <w:ind w:left="886"/>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2</w:t>
                  </w:r>
                </w:p>
              </w:tc>
              <w:tc>
                <w:tcPr>
                  <w:tcW w:w="2594" w:type="dxa"/>
                  <w:vAlign w:val="top"/>
                </w:tcPr>
                <w:p w14:paraId="0E1C3EB5">
                  <w:pPr>
                    <w:pStyle w:val="30"/>
                    <w:spacing w:before="176" w:line="182" w:lineRule="auto"/>
                    <w:ind w:left="103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0.990</w:t>
                  </w:r>
                </w:p>
              </w:tc>
            </w:tr>
            <w:tr w14:paraId="41BFD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63" w:type="dxa"/>
                  <w:vAlign w:val="top"/>
                </w:tcPr>
                <w:p w14:paraId="342B3AC8">
                  <w:pPr>
                    <w:pStyle w:val="30"/>
                    <w:spacing w:before="180" w:line="182" w:lineRule="auto"/>
                    <w:ind w:left="883"/>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2594" w:type="dxa"/>
                  <w:vAlign w:val="top"/>
                </w:tcPr>
                <w:p w14:paraId="252E6DD8">
                  <w:pPr>
                    <w:pStyle w:val="30"/>
                    <w:spacing w:before="176" w:line="182" w:lineRule="auto"/>
                    <w:ind w:left="103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0.995</w:t>
                  </w:r>
                </w:p>
              </w:tc>
            </w:tr>
            <w:tr w14:paraId="080D5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863" w:type="dxa"/>
                  <w:vAlign w:val="top"/>
                </w:tcPr>
                <w:p w14:paraId="662CF6A9">
                  <w:pPr>
                    <w:pStyle w:val="30"/>
                    <w:spacing w:before="180" w:line="182" w:lineRule="auto"/>
                    <w:ind w:left="883"/>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4</w:t>
                  </w:r>
                </w:p>
              </w:tc>
              <w:tc>
                <w:tcPr>
                  <w:tcW w:w="2594" w:type="dxa"/>
                  <w:vAlign w:val="top"/>
                </w:tcPr>
                <w:p w14:paraId="332AE973">
                  <w:pPr>
                    <w:pStyle w:val="30"/>
                    <w:spacing w:before="179" w:line="183" w:lineRule="auto"/>
                    <w:ind w:left="1050"/>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1.000</w:t>
                  </w:r>
                </w:p>
              </w:tc>
            </w:tr>
          </w:tbl>
          <w:p w14:paraId="05F79900">
            <w:pPr>
              <w:pStyle w:val="30"/>
              <w:spacing w:before="4" w:line="387" w:lineRule="auto"/>
              <w:ind w:left="102" w:right="47" w:firstLine="2"/>
              <w:jc w:val="both"/>
              <w:rPr>
                <w:rFonts w:hint="eastAsia" w:ascii="宋体" w:hAnsi="宋体" w:eastAsia="宋体" w:cs="宋体"/>
                <w:color w:val="auto"/>
                <w:spacing w:val="-3"/>
                <w:sz w:val="24"/>
                <w:szCs w:val="24"/>
                <w:highlight w:val="none"/>
              </w:rPr>
            </w:pPr>
            <w:r>
              <w:rPr>
                <w:rFonts w:hint="eastAsia" w:ascii="宋体" w:hAnsi="宋体" w:eastAsia="宋体" w:cs="宋体"/>
                <w:b/>
                <w:bCs/>
                <w:color w:val="auto"/>
                <w:spacing w:val="3"/>
                <w:sz w:val="24"/>
                <w:szCs w:val="24"/>
                <w:highlight w:val="none"/>
                <w:lang w:val="en-US" w:eastAsia="zh-CN"/>
              </w:rPr>
              <w:t>注：评标价平均值及</w:t>
            </w:r>
            <w:r>
              <w:rPr>
                <w:rFonts w:hint="eastAsia" w:ascii="宋体" w:hAnsi="宋体" w:eastAsia="宋体" w:cs="宋体"/>
                <w:b/>
                <w:bCs/>
                <w:color w:val="auto"/>
                <w:spacing w:val="3"/>
                <w:sz w:val="24"/>
                <w:szCs w:val="24"/>
                <w:highlight w:val="none"/>
              </w:rPr>
              <w:t>评标基准价</w:t>
            </w:r>
            <w:r>
              <w:rPr>
                <w:rFonts w:hint="eastAsia" w:ascii="宋体" w:hAnsi="宋体" w:eastAsia="宋体" w:cs="宋体"/>
                <w:b/>
                <w:bCs/>
                <w:color w:val="auto"/>
                <w:spacing w:val="3"/>
                <w:sz w:val="24"/>
                <w:szCs w:val="24"/>
                <w:highlight w:val="none"/>
                <w:lang w:val="en-US" w:eastAsia="zh-CN"/>
              </w:rPr>
              <w:t>计算结果保留小数点后两位，小数点后第三位“四舍五入”。</w:t>
            </w:r>
            <w:r>
              <w:rPr>
                <w:rFonts w:hint="eastAsia" w:ascii="宋体" w:hAnsi="宋体" w:eastAsia="宋体" w:cs="宋体"/>
                <w:b/>
                <w:bCs/>
                <w:color w:val="auto"/>
                <w:spacing w:val="3"/>
                <w:sz w:val="24"/>
                <w:szCs w:val="24"/>
                <w:highlight w:val="none"/>
              </w:rPr>
              <w:t>评标基准价除存在计算错误之外，不随任何因素发生变</w:t>
            </w:r>
            <w:r>
              <w:rPr>
                <w:rFonts w:hint="eastAsia" w:ascii="宋体" w:hAnsi="宋体" w:eastAsia="宋体" w:cs="宋体"/>
                <w:b/>
                <w:bCs/>
                <w:color w:val="auto"/>
                <w:spacing w:val="-12"/>
                <w:sz w:val="24"/>
                <w:szCs w:val="24"/>
                <w:highlight w:val="none"/>
              </w:rPr>
              <w:t>化。</w:t>
            </w:r>
          </w:p>
        </w:tc>
      </w:tr>
    </w:tbl>
    <w:p w14:paraId="5F5CA5D7">
      <w:pPr>
        <w:pStyle w:val="8"/>
        <w:spacing w:line="185" w:lineRule="exact"/>
        <w:rPr>
          <w:rFonts w:hint="eastAsia" w:ascii="宋体" w:hAnsi="宋体" w:eastAsia="宋体" w:cs="宋体"/>
          <w:color w:val="auto"/>
          <w:sz w:val="24"/>
          <w:szCs w:val="24"/>
          <w:highlight w:val="none"/>
        </w:rPr>
      </w:pPr>
    </w:p>
    <w:p w14:paraId="42144A56">
      <w:pPr>
        <w:spacing w:line="185" w:lineRule="exact"/>
        <w:rPr>
          <w:rFonts w:hint="eastAsia" w:ascii="宋体" w:hAnsi="宋体" w:eastAsia="宋体" w:cs="宋体"/>
          <w:color w:val="auto"/>
          <w:sz w:val="24"/>
          <w:szCs w:val="24"/>
          <w:highlight w:val="none"/>
        </w:rPr>
        <w:sectPr>
          <w:headerReference r:id="rId5" w:type="default"/>
          <w:footerReference r:id="rId6" w:type="default"/>
          <w:pgSz w:w="11907" w:h="16839"/>
          <w:pgMar w:top="1395" w:right="1356" w:bottom="1362" w:left="1358" w:header="0" w:footer="1202" w:gutter="0"/>
          <w:pgNumType w:fmt="decimal"/>
          <w:cols w:space="720" w:num="1"/>
        </w:sectPr>
      </w:pPr>
    </w:p>
    <w:tbl>
      <w:tblPr>
        <w:tblStyle w:val="29"/>
        <w:tblW w:w="91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3"/>
        <w:gridCol w:w="1882"/>
        <w:gridCol w:w="5277"/>
      </w:tblGrid>
      <w:tr w14:paraId="65AEC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2027" w:type="dxa"/>
            <w:gridSpan w:val="2"/>
            <w:vAlign w:val="top"/>
          </w:tcPr>
          <w:p w14:paraId="701C1F15">
            <w:pPr>
              <w:spacing w:line="262" w:lineRule="auto"/>
              <w:rPr>
                <w:rFonts w:hint="eastAsia" w:ascii="宋体" w:hAnsi="宋体" w:eastAsia="宋体" w:cs="宋体"/>
                <w:color w:val="auto"/>
                <w:sz w:val="24"/>
                <w:szCs w:val="24"/>
                <w:highlight w:val="none"/>
              </w:rPr>
            </w:pPr>
          </w:p>
          <w:p w14:paraId="7CB82553">
            <w:pPr>
              <w:spacing w:line="263" w:lineRule="auto"/>
              <w:rPr>
                <w:rFonts w:hint="eastAsia" w:ascii="宋体" w:hAnsi="宋体" w:eastAsia="宋体" w:cs="宋体"/>
                <w:color w:val="auto"/>
                <w:sz w:val="24"/>
                <w:szCs w:val="24"/>
                <w:highlight w:val="none"/>
              </w:rPr>
            </w:pPr>
          </w:p>
          <w:p w14:paraId="36927CF8">
            <w:pPr>
              <w:pStyle w:val="30"/>
              <w:spacing w:before="68" w:line="183" w:lineRule="auto"/>
              <w:ind w:left="75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2.1.3</w:t>
            </w:r>
          </w:p>
        </w:tc>
        <w:tc>
          <w:tcPr>
            <w:tcW w:w="1882" w:type="dxa"/>
            <w:vAlign w:val="top"/>
          </w:tcPr>
          <w:p w14:paraId="6D314345">
            <w:pPr>
              <w:spacing w:line="245" w:lineRule="auto"/>
              <w:rPr>
                <w:rFonts w:hint="eastAsia" w:ascii="宋体" w:hAnsi="宋体" w:eastAsia="宋体" w:cs="宋体"/>
                <w:color w:val="auto"/>
                <w:sz w:val="24"/>
                <w:szCs w:val="24"/>
                <w:highlight w:val="none"/>
              </w:rPr>
            </w:pPr>
          </w:p>
          <w:p w14:paraId="53F866FC">
            <w:pPr>
              <w:spacing w:line="246" w:lineRule="auto"/>
              <w:rPr>
                <w:rFonts w:hint="eastAsia" w:ascii="宋体" w:hAnsi="宋体" w:eastAsia="宋体" w:cs="宋体"/>
                <w:color w:val="auto"/>
                <w:sz w:val="24"/>
                <w:szCs w:val="24"/>
                <w:highlight w:val="none"/>
              </w:rPr>
            </w:pPr>
          </w:p>
          <w:p w14:paraId="1C00148C">
            <w:pPr>
              <w:pStyle w:val="30"/>
              <w:spacing w:before="68" w:line="219" w:lineRule="auto"/>
              <w:ind w:left="193"/>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投标报价的偏差率公式</w:t>
            </w:r>
          </w:p>
        </w:tc>
        <w:tc>
          <w:tcPr>
            <w:tcW w:w="5277" w:type="dxa"/>
            <w:vAlign w:val="top"/>
          </w:tcPr>
          <w:p w14:paraId="4B6CE151">
            <w:pPr>
              <w:pStyle w:val="30"/>
              <w:spacing w:before="70" w:line="251" w:lineRule="auto"/>
              <w:ind w:right="110"/>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偏差率=100%*（投标人评标价－评标基准价）/评标基准价；</w:t>
            </w:r>
          </w:p>
          <w:p w14:paraId="7D62B0F5">
            <w:pPr>
              <w:pStyle w:val="30"/>
              <w:spacing w:before="70" w:line="251" w:lineRule="auto"/>
              <w:ind w:right="11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偏差率保留两位小数（小数点后第三位“四舍五入”），即为*.**%。</w:t>
            </w:r>
          </w:p>
        </w:tc>
      </w:tr>
      <w:tr w14:paraId="35F18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2027" w:type="dxa"/>
            <w:gridSpan w:val="2"/>
            <w:shd w:val="clear" w:color="auto" w:fill="auto"/>
            <w:vAlign w:val="top"/>
          </w:tcPr>
          <w:p w14:paraId="0076D9F0">
            <w:pPr>
              <w:spacing w:line="254" w:lineRule="auto"/>
              <w:rPr>
                <w:rFonts w:hint="eastAsia" w:ascii="宋体" w:hAnsi="宋体" w:eastAsia="宋体" w:cs="宋体"/>
                <w:color w:val="auto"/>
                <w:sz w:val="24"/>
                <w:szCs w:val="24"/>
                <w:highlight w:val="none"/>
              </w:rPr>
            </w:pPr>
          </w:p>
          <w:p w14:paraId="1C34474E">
            <w:pPr>
              <w:spacing w:line="254" w:lineRule="auto"/>
              <w:rPr>
                <w:rFonts w:hint="eastAsia" w:ascii="宋体" w:hAnsi="宋体" w:eastAsia="宋体" w:cs="宋体"/>
                <w:color w:val="auto"/>
                <w:sz w:val="24"/>
                <w:szCs w:val="24"/>
                <w:highlight w:val="none"/>
              </w:rPr>
            </w:pPr>
          </w:p>
          <w:p w14:paraId="5477A064">
            <w:pPr>
              <w:spacing w:line="254" w:lineRule="auto"/>
              <w:rPr>
                <w:rFonts w:hint="eastAsia" w:ascii="宋体" w:hAnsi="宋体" w:eastAsia="宋体" w:cs="宋体"/>
                <w:color w:val="auto"/>
                <w:sz w:val="24"/>
                <w:szCs w:val="24"/>
                <w:highlight w:val="none"/>
              </w:rPr>
            </w:pPr>
          </w:p>
          <w:p w14:paraId="2C69F542">
            <w:pPr>
              <w:spacing w:line="255" w:lineRule="auto"/>
              <w:rPr>
                <w:rFonts w:hint="eastAsia" w:ascii="宋体" w:hAnsi="宋体" w:eastAsia="宋体" w:cs="宋体"/>
                <w:color w:val="auto"/>
                <w:sz w:val="24"/>
                <w:szCs w:val="24"/>
                <w:highlight w:val="none"/>
              </w:rPr>
            </w:pPr>
          </w:p>
          <w:p w14:paraId="37DD8E55">
            <w:pPr>
              <w:spacing w:line="255" w:lineRule="auto"/>
              <w:rPr>
                <w:rFonts w:hint="eastAsia" w:ascii="宋体" w:hAnsi="宋体" w:eastAsia="宋体" w:cs="宋体"/>
                <w:color w:val="auto"/>
                <w:sz w:val="24"/>
                <w:szCs w:val="24"/>
                <w:highlight w:val="none"/>
              </w:rPr>
            </w:pPr>
          </w:p>
          <w:p w14:paraId="67C4667F">
            <w:pPr>
              <w:spacing w:line="255" w:lineRule="auto"/>
              <w:rPr>
                <w:rFonts w:hint="eastAsia" w:ascii="宋体" w:hAnsi="宋体" w:eastAsia="宋体" w:cs="宋体"/>
                <w:color w:val="auto"/>
                <w:sz w:val="24"/>
                <w:szCs w:val="24"/>
                <w:highlight w:val="none"/>
              </w:rPr>
            </w:pPr>
          </w:p>
          <w:p w14:paraId="674BA830">
            <w:pPr>
              <w:spacing w:line="255" w:lineRule="auto"/>
              <w:rPr>
                <w:rFonts w:hint="eastAsia" w:ascii="宋体" w:hAnsi="宋体" w:eastAsia="宋体" w:cs="宋体"/>
                <w:color w:val="auto"/>
                <w:sz w:val="24"/>
                <w:szCs w:val="24"/>
                <w:highlight w:val="none"/>
              </w:rPr>
            </w:pPr>
          </w:p>
          <w:p w14:paraId="37114BAB">
            <w:pPr>
              <w:spacing w:line="255" w:lineRule="auto"/>
              <w:rPr>
                <w:rFonts w:hint="eastAsia" w:ascii="宋体" w:hAnsi="宋体" w:eastAsia="宋体" w:cs="宋体"/>
                <w:color w:val="auto"/>
                <w:sz w:val="24"/>
                <w:szCs w:val="24"/>
                <w:highlight w:val="none"/>
              </w:rPr>
            </w:pPr>
          </w:p>
          <w:p w14:paraId="60486041">
            <w:pPr>
              <w:spacing w:line="255" w:lineRule="auto"/>
              <w:rPr>
                <w:rFonts w:hint="eastAsia" w:ascii="宋体" w:hAnsi="宋体" w:eastAsia="宋体" w:cs="宋体"/>
                <w:color w:val="auto"/>
                <w:sz w:val="24"/>
                <w:szCs w:val="24"/>
                <w:highlight w:val="none"/>
              </w:rPr>
            </w:pPr>
          </w:p>
          <w:p w14:paraId="17F4E86F">
            <w:pPr>
              <w:spacing w:line="255" w:lineRule="auto"/>
              <w:rPr>
                <w:rFonts w:hint="eastAsia" w:ascii="宋体" w:hAnsi="宋体" w:eastAsia="宋体" w:cs="宋体"/>
                <w:color w:val="auto"/>
                <w:sz w:val="24"/>
                <w:szCs w:val="24"/>
                <w:highlight w:val="none"/>
              </w:rPr>
            </w:pPr>
          </w:p>
          <w:p w14:paraId="1DD11CE4">
            <w:pPr>
              <w:spacing w:line="255" w:lineRule="auto"/>
              <w:rPr>
                <w:rFonts w:hint="eastAsia" w:ascii="宋体" w:hAnsi="宋体" w:eastAsia="宋体" w:cs="宋体"/>
                <w:color w:val="auto"/>
                <w:sz w:val="24"/>
                <w:szCs w:val="24"/>
                <w:highlight w:val="none"/>
              </w:rPr>
            </w:pPr>
          </w:p>
          <w:p w14:paraId="79EAAA7F">
            <w:pPr>
              <w:spacing w:line="255" w:lineRule="auto"/>
              <w:rPr>
                <w:rFonts w:hint="eastAsia" w:ascii="宋体" w:hAnsi="宋体" w:eastAsia="宋体" w:cs="宋体"/>
                <w:color w:val="auto"/>
                <w:sz w:val="24"/>
                <w:szCs w:val="24"/>
                <w:highlight w:val="none"/>
              </w:rPr>
            </w:pPr>
          </w:p>
          <w:p w14:paraId="51D485E3">
            <w:pPr>
              <w:spacing w:line="255" w:lineRule="auto"/>
              <w:rPr>
                <w:rFonts w:hint="eastAsia" w:ascii="宋体" w:hAnsi="宋体" w:eastAsia="宋体" w:cs="宋体"/>
                <w:color w:val="auto"/>
                <w:sz w:val="24"/>
                <w:szCs w:val="24"/>
                <w:highlight w:val="none"/>
              </w:rPr>
            </w:pPr>
          </w:p>
          <w:p w14:paraId="565548EE">
            <w:pPr>
              <w:spacing w:line="255" w:lineRule="auto"/>
              <w:rPr>
                <w:rFonts w:hint="eastAsia" w:ascii="宋体" w:hAnsi="宋体" w:eastAsia="宋体" w:cs="宋体"/>
                <w:color w:val="auto"/>
                <w:sz w:val="24"/>
                <w:szCs w:val="24"/>
                <w:highlight w:val="none"/>
              </w:rPr>
            </w:pPr>
          </w:p>
          <w:p w14:paraId="699A708C">
            <w:pPr>
              <w:spacing w:line="255" w:lineRule="auto"/>
              <w:rPr>
                <w:rFonts w:hint="eastAsia" w:ascii="宋体" w:hAnsi="宋体" w:eastAsia="宋体" w:cs="宋体"/>
                <w:color w:val="auto"/>
                <w:sz w:val="24"/>
                <w:szCs w:val="24"/>
                <w:highlight w:val="none"/>
              </w:rPr>
            </w:pPr>
          </w:p>
          <w:p w14:paraId="56B3C2D6">
            <w:pPr>
              <w:pStyle w:val="30"/>
              <w:spacing w:before="68" w:line="183" w:lineRule="auto"/>
              <w:ind w:left="759"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2"/>
                <w:sz w:val="24"/>
                <w:szCs w:val="24"/>
                <w:highlight w:val="none"/>
              </w:rPr>
              <w:t>2.1.4</w:t>
            </w:r>
          </w:p>
        </w:tc>
        <w:tc>
          <w:tcPr>
            <w:tcW w:w="1882" w:type="dxa"/>
            <w:shd w:val="clear" w:color="auto" w:fill="auto"/>
            <w:vAlign w:val="top"/>
          </w:tcPr>
          <w:p w14:paraId="7169AD6A">
            <w:pPr>
              <w:spacing w:line="242" w:lineRule="auto"/>
              <w:rPr>
                <w:rFonts w:hint="eastAsia" w:ascii="宋体" w:hAnsi="宋体" w:eastAsia="宋体" w:cs="宋体"/>
                <w:color w:val="auto"/>
                <w:sz w:val="24"/>
                <w:szCs w:val="24"/>
                <w:highlight w:val="none"/>
              </w:rPr>
            </w:pPr>
          </w:p>
          <w:p w14:paraId="263B4BA7">
            <w:pPr>
              <w:spacing w:line="242" w:lineRule="auto"/>
              <w:rPr>
                <w:rFonts w:hint="eastAsia" w:ascii="宋体" w:hAnsi="宋体" w:eastAsia="宋体" w:cs="宋体"/>
                <w:color w:val="auto"/>
                <w:sz w:val="24"/>
                <w:szCs w:val="24"/>
                <w:highlight w:val="none"/>
              </w:rPr>
            </w:pPr>
          </w:p>
          <w:p w14:paraId="406E0A76">
            <w:pPr>
              <w:spacing w:line="242" w:lineRule="auto"/>
              <w:rPr>
                <w:rFonts w:hint="eastAsia" w:ascii="宋体" w:hAnsi="宋体" w:eastAsia="宋体" w:cs="宋体"/>
                <w:color w:val="auto"/>
                <w:sz w:val="24"/>
                <w:szCs w:val="24"/>
                <w:highlight w:val="none"/>
              </w:rPr>
            </w:pPr>
          </w:p>
          <w:p w14:paraId="42601EC1">
            <w:pPr>
              <w:spacing w:line="242" w:lineRule="auto"/>
              <w:rPr>
                <w:rFonts w:hint="eastAsia" w:ascii="宋体" w:hAnsi="宋体" w:eastAsia="宋体" w:cs="宋体"/>
                <w:color w:val="auto"/>
                <w:sz w:val="24"/>
                <w:szCs w:val="24"/>
                <w:highlight w:val="none"/>
              </w:rPr>
            </w:pPr>
          </w:p>
          <w:p w14:paraId="56E2AA8D">
            <w:pPr>
              <w:spacing w:line="242" w:lineRule="auto"/>
              <w:rPr>
                <w:rFonts w:hint="eastAsia" w:ascii="宋体" w:hAnsi="宋体" w:eastAsia="宋体" w:cs="宋体"/>
                <w:color w:val="auto"/>
                <w:sz w:val="24"/>
                <w:szCs w:val="24"/>
                <w:highlight w:val="none"/>
              </w:rPr>
            </w:pPr>
          </w:p>
          <w:p w14:paraId="09FD1BB6">
            <w:pPr>
              <w:spacing w:line="242" w:lineRule="auto"/>
              <w:rPr>
                <w:rFonts w:hint="eastAsia" w:ascii="宋体" w:hAnsi="宋体" w:eastAsia="宋体" w:cs="宋体"/>
                <w:color w:val="auto"/>
                <w:sz w:val="24"/>
                <w:szCs w:val="24"/>
                <w:highlight w:val="none"/>
              </w:rPr>
            </w:pPr>
          </w:p>
          <w:p w14:paraId="6D2178DA">
            <w:pPr>
              <w:spacing w:line="242" w:lineRule="auto"/>
              <w:rPr>
                <w:rFonts w:hint="eastAsia" w:ascii="宋体" w:hAnsi="宋体" w:eastAsia="宋体" w:cs="宋体"/>
                <w:color w:val="auto"/>
                <w:sz w:val="24"/>
                <w:szCs w:val="24"/>
                <w:highlight w:val="none"/>
              </w:rPr>
            </w:pPr>
          </w:p>
          <w:p w14:paraId="11945792">
            <w:pPr>
              <w:spacing w:line="242" w:lineRule="auto"/>
              <w:rPr>
                <w:rFonts w:hint="eastAsia" w:ascii="宋体" w:hAnsi="宋体" w:eastAsia="宋体" w:cs="宋体"/>
                <w:color w:val="auto"/>
                <w:sz w:val="24"/>
                <w:szCs w:val="24"/>
                <w:highlight w:val="none"/>
              </w:rPr>
            </w:pPr>
          </w:p>
          <w:p w14:paraId="3C26A01F">
            <w:pPr>
              <w:spacing w:line="242" w:lineRule="auto"/>
              <w:rPr>
                <w:rFonts w:hint="eastAsia" w:ascii="宋体" w:hAnsi="宋体" w:eastAsia="宋体" w:cs="宋体"/>
                <w:color w:val="auto"/>
                <w:sz w:val="24"/>
                <w:szCs w:val="24"/>
                <w:highlight w:val="none"/>
              </w:rPr>
            </w:pPr>
          </w:p>
          <w:p w14:paraId="42AA82FF">
            <w:pPr>
              <w:spacing w:line="242" w:lineRule="auto"/>
              <w:rPr>
                <w:rFonts w:hint="eastAsia" w:ascii="宋体" w:hAnsi="宋体" w:eastAsia="宋体" w:cs="宋体"/>
                <w:color w:val="auto"/>
                <w:sz w:val="24"/>
                <w:szCs w:val="24"/>
                <w:highlight w:val="none"/>
              </w:rPr>
            </w:pPr>
          </w:p>
          <w:p w14:paraId="274C9F07">
            <w:pPr>
              <w:spacing w:line="242" w:lineRule="auto"/>
              <w:rPr>
                <w:rFonts w:hint="eastAsia" w:ascii="宋体" w:hAnsi="宋体" w:eastAsia="宋体" w:cs="宋体"/>
                <w:color w:val="auto"/>
                <w:sz w:val="24"/>
                <w:szCs w:val="24"/>
                <w:highlight w:val="none"/>
              </w:rPr>
            </w:pPr>
          </w:p>
          <w:p w14:paraId="6540FCF1">
            <w:pPr>
              <w:spacing w:line="242" w:lineRule="auto"/>
              <w:rPr>
                <w:rFonts w:hint="eastAsia" w:ascii="宋体" w:hAnsi="宋体" w:eastAsia="宋体" w:cs="宋体"/>
                <w:color w:val="auto"/>
                <w:sz w:val="24"/>
                <w:szCs w:val="24"/>
                <w:highlight w:val="none"/>
              </w:rPr>
            </w:pPr>
          </w:p>
          <w:p w14:paraId="37E5B96B">
            <w:pPr>
              <w:spacing w:line="242" w:lineRule="auto"/>
              <w:rPr>
                <w:rFonts w:hint="eastAsia" w:ascii="宋体" w:hAnsi="宋体" w:eastAsia="宋体" w:cs="宋体"/>
                <w:color w:val="auto"/>
                <w:sz w:val="24"/>
                <w:szCs w:val="24"/>
                <w:highlight w:val="none"/>
              </w:rPr>
            </w:pPr>
          </w:p>
          <w:p w14:paraId="7C31AC06">
            <w:pPr>
              <w:spacing w:line="242" w:lineRule="auto"/>
              <w:rPr>
                <w:rFonts w:hint="eastAsia" w:ascii="宋体" w:hAnsi="宋体" w:eastAsia="宋体" w:cs="宋体"/>
                <w:color w:val="auto"/>
                <w:sz w:val="24"/>
                <w:szCs w:val="24"/>
                <w:highlight w:val="none"/>
              </w:rPr>
            </w:pPr>
          </w:p>
          <w:p w14:paraId="052F65AE">
            <w:pPr>
              <w:spacing w:line="242" w:lineRule="auto"/>
              <w:rPr>
                <w:rFonts w:hint="eastAsia" w:ascii="宋体" w:hAnsi="宋体" w:eastAsia="宋体" w:cs="宋体"/>
                <w:color w:val="auto"/>
                <w:sz w:val="24"/>
                <w:szCs w:val="24"/>
                <w:highlight w:val="none"/>
              </w:rPr>
            </w:pPr>
          </w:p>
          <w:p w14:paraId="3DB039AC">
            <w:pPr>
              <w:pStyle w:val="30"/>
              <w:spacing w:before="122" w:line="266" w:lineRule="auto"/>
              <w:ind w:left="114" w:right="106" w:firstLine="5"/>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评标价 (100分)</w:t>
            </w:r>
          </w:p>
        </w:tc>
        <w:tc>
          <w:tcPr>
            <w:tcW w:w="5277" w:type="dxa"/>
            <w:shd w:val="clear" w:color="auto" w:fill="auto"/>
            <w:vAlign w:val="top"/>
          </w:tcPr>
          <w:p w14:paraId="3D5272E1">
            <w:pPr>
              <w:pStyle w:val="30"/>
              <w:spacing w:before="70" w:line="251" w:lineRule="auto"/>
              <w:ind w:right="110"/>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（1）如果投标人的评标价&gt;评标基准价，则评标价得分＝100－偏差率×100×</w:t>
            </w:r>
            <w:r>
              <w:rPr>
                <w:rFonts w:hint="eastAsia" w:ascii="宋体" w:hAnsi="宋体" w:eastAsia="宋体" w:cs="宋体"/>
                <w:color w:val="auto"/>
                <w:spacing w:val="-1"/>
                <w:sz w:val="24"/>
                <w:szCs w:val="24"/>
                <w:highlight w:val="none"/>
              </w:rPr>
              <w:t>E</w:t>
            </w:r>
            <w:r>
              <w:rPr>
                <w:rFonts w:hint="eastAsia" w:ascii="宋体" w:hAnsi="宋体" w:eastAsia="宋体" w:cs="宋体"/>
                <w:color w:val="auto"/>
                <w:spacing w:val="-1"/>
                <w:position w:val="-3"/>
                <w:sz w:val="24"/>
                <w:szCs w:val="24"/>
                <w:highlight w:val="none"/>
              </w:rPr>
              <w:t>1</w:t>
            </w:r>
            <w:r>
              <w:rPr>
                <w:rFonts w:hint="eastAsia" w:ascii="宋体" w:hAnsi="宋体" w:eastAsia="宋体" w:cs="宋体"/>
                <w:color w:val="auto"/>
                <w:spacing w:val="7"/>
                <w:sz w:val="24"/>
                <w:szCs w:val="24"/>
                <w:highlight w:val="none"/>
              </w:rPr>
              <w:t>；</w:t>
            </w:r>
          </w:p>
          <w:p w14:paraId="28AFBB1A">
            <w:pPr>
              <w:pStyle w:val="30"/>
              <w:spacing w:before="70" w:line="251" w:lineRule="auto"/>
              <w:ind w:right="110"/>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（2）如果投标人的评标价≤评标基准价，则评标价得分＝100＋偏差率×100×</w:t>
            </w:r>
            <w:r>
              <w:rPr>
                <w:rFonts w:hint="eastAsia" w:ascii="宋体" w:hAnsi="宋体" w:eastAsia="宋体" w:cs="宋体"/>
                <w:color w:val="auto"/>
                <w:spacing w:val="-1"/>
                <w:sz w:val="24"/>
                <w:szCs w:val="24"/>
                <w:highlight w:val="none"/>
              </w:rPr>
              <w:t>E</w:t>
            </w:r>
            <w:r>
              <w:rPr>
                <w:rFonts w:hint="eastAsia" w:ascii="宋体" w:hAnsi="宋体" w:eastAsia="宋体" w:cs="宋体"/>
                <w:color w:val="auto"/>
                <w:spacing w:val="-1"/>
                <w:position w:val="-3"/>
                <w:sz w:val="24"/>
                <w:szCs w:val="24"/>
                <w:highlight w:val="none"/>
              </w:rPr>
              <w:t>2</w:t>
            </w:r>
            <w:r>
              <w:rPr>
                <w:rFonts w:hint="eastAsia" w:ascii="宋体" w:hAnsi="宋体" w:eastAsia="宋体" w:cs="宋体"/>
                <w:color w:val="auto"/>
                <w:spacing w:val="7"/>
                <w:sz w:val="24"/>
                <w:szCs w:val="24"/>
                <w:highlight w:val="none"/>
              </w:rPr>
              <w:t>。</w:t>
            </w:r>
          </w:p>
          <w:p w14:paraId="2C2BF865">
            <w:pPr>
              <w:pStyle w:val="30"/>
              <w:spacing w:before="115" w:line="284" w:lineRule="auto"/>
              <w:ind w:left="101" w:right="26" w:firstLine="432"/>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本招标项目</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1"/>
                <w:sz w:val="24"/>
                <w:szCs w:val="24"/>
                <w:highlight w:val="none"/>
              </w:rPr>
              <w:t>E</w:t>
            </w:r>
            <w:r>
              <w:rPr>
                <w:rFonts w:hint="eastAsia" w:ascii="宋体" w:hAnsi="宋体" w:eastAsia="宋体" w:cs="宋体"/>
                <w:color w:val="auto"/>
                <w:spacing w:val="-1"/>
                <w:position w:val="-3"/>
                <w:sz w:val="24"/>
                <w:szCs w:val="24"/>
                <w:highlight w:val="none"/>
              </w:rPr>
              <w:t>1</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u w:val="single" w:color="auto"/>
                <w:lang w:val="en-US" w:eastAsia="zh-CN"/>
              </w:rPr>
              <w:t>1</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1"/>
                <w:sz w:val="24"/>
                <w:szCs w:val="24"/>
                <w:highlight w:val="none"/>
              </w:rPr>
              <w:t>；E</w:t>
            </w:r>
            <w:r>
              <w:rPr>
                <w:rFonts w:hint="eastAsia" w:ascii="宋体" w:hAnsi="宋体" w:eastAsia="宋体" w:cs="宋体"/>
                <w:color w:val="auto"/>
                <w:spacing w:val="-1"/>
                <w:position w:val="-3"/>
                <w:sz w:val="24"/>
                <w:szCs w:val="24"/>
                <w:highlight w:val="none"/>
              </w:rPr>
              <w:t>2</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0.5</w:t>
            </w:r>
            <w:r>
              <w:rPr>
                <w:rFonts w:hint="eastAsia" w:ascii="宋体" w:hAnsi="宋体" w:eastAsia="宋体" w:cs="宋体"/>
                <w:color w:val="auto"/>
                <w:spacing w:val="-1"/>
                <w:sz w:val="24"/>
                <w:szCs w:val="24"/>
                <w:highlight w:val="none"/>
                <w:u w:val="single" w:color="auto"/>
              </w:rPr>
              <w:t xml:space="preserve"> </w:t>
            </w:r>
          </w:p>
          <w:p w14:paraId="03DFC587">
            <w:pPr>
              <w:pStyle w:val="30"/>
              <w:spacing w:before="25" w:line="307" w:lineRule="auto"/>
              <w:ind w:left="115" w:right="105" w:hanging="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其中：E</w:t>
            </w:r>
            <w:r>
              <w:rPr>
                <w:rFonts w:hint="eastAsia" w:ascii="宋体" w:hAnsi="宋体" w:eastAsia="宋体" w:cs="宋体"/>
                <w:color w:val="auto"/>
                <w:position w:val="-3"/>
                <w:sz w:val="24"/>
                <w:szCs w:val="24"/>
                <w:highlight w:val="none"/>
              </w:rPr>
              <w:t>1</w:t>
            </w:r>
            <w:r>
              <w:rPr>
                <w:rFonts w:hint="eastAsia" w:ascii="宋体" w:hAnsi="宋体" w:eastAsia="宋体" w:cs="宋体"/>
                <w:color w:val="auto"/>
                <w:sz w:val="24"/>
                <w:szCs w:val="24"/>
                <w:highlight w:val="none"/>
              </w:rPr>
              <w:t>是评标价每高于评标基准价一个百分点的扣分值，E</w:t>
            </w:r>
            <w:r>
              <w:rPr>
                <w:rFonts w:hint="eastAsia" w:ascii="宋体" w:hAnsi="宋体" w:eastAsia="宋体" w:cs="宋体"/>
                <w:color w:val="auto"/>
                <w:position w:val="-3"/>
                <w:sz w:val="24"/>
                <w:szCs w:val="24"/>
                <w:highlight w:val="none"/>
              </w:rPr>
              <w:t>2</w:t>
            </w:r>
            <w:r>
              <w:rPr>
                <w:rFonts w:hint="eastAsia" w:ascii="宋体" w:hAnsi="宋体" w:eastAsia="宋体" w:cs="宋体"/>
                <w:color w:val="auto"/>
                <w:sz w:val="24"/>
                <w:szCs w:val="24"/>
                <w:highlight w:val="none"/>
              </w:rPr>
              <w:t>是评标价每低于评标基准价</w:t>
            </w:r>
            <w:r>
              <w:rPr>
                <w:rFonts w:hint="eastAsia" w:ascii="宋体" w:hAnsi="宋体" w:eastAsia="宋体" w:cs="宋体"/>
                <w:color w:val="auto"/>
                <w:spacing w:val="-1"/>
                <w:sz w:val="24"/>
                <w:szCs w:val="24"/>
                <w:highlight w:val="none"/>
              </w:rPr>
              <w:t>一个百</w:t>
            </w:r>
            <w:r>
              <w:rPr>
                <w:rFonts w:hint="eastAsia" w:ascii="宋体" w:hAnsi="宋体" w:eastAsia="宋体" w:cs="宋体"/>
                <w:color w:val="auto"/>
                <w:spacing w:val="-2"/>
                <w:sz w:val="24"/>
                <w:szCs w:val="24"/>
                <w:highlight w:val="none"/>
              </w:rPr>
              <w:t>分点的扣分值。</w:t>
            </w:r>
          </w:p>
          <w:p w14:paraId="43A0C0D5">
            <w:pPr>
              <w:pStyle w:val="30"/>
              <w:spacing w:before="33" w:line="219" w:lineRule="auto"/>
              <w:ind w:firstLine="46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当投标报价得分为负时，均按</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0 分计算</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得分计算结果保留小数点后两位，小数点后第三位“四舍五入”</w:t>
            </w:r>
            <w:r>
              <w:rPr>
                <w:rFonts w:hint="eastAsia" w:ascii="宋体" w:hAnsi="宋体" w:eastAsia="宋体" w:cs="宋体"/>
                <w:color w:val="auto"/>
                <w:spacing w:val="-3"/>
                <w:sz w:val="24"/>
                <w:szCs w:val="24"/>
                <w:highlight w:val="none"/>
              </w:rPr>
              <w:t>。</w:t>
            </w:r>
          </w:p>
          <w:p w14:paraId="1BA160DC">
            <w:pPr>
              <w:pStyle w:val="30"/>
              <w:spacing w:before="108" w:line="304" w:lineRule="auto"/>
              <w:ind w:left="111" w:leftChars="0" w:right="9" w:rightChars="0" w:firstLine="23" w:firstLine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5"/>
                <w:sz w:val="24"/>
                <w:szCs w:val="24"/>
                <w:highlight w:val="none"/>
              </w:rPr>
              <w:t>□符合《政府采购促进中小企业发展管理办法》</w:t>
            </w:r>
            <w:r>
              <w:rPr>
                <w:rFonts w:hint="eastAsia" w:ascii="宋体" w:hAnsi="宋体" w:eastAsia="宋体" w:cs="宋体"/>
                <w:color w:val="auto"/>
                <w:spacing w:val="-1"/>
                <w:sz w:val="24"/>
                <w:szCs w:val="24"/>
                <w:highlight w:val="none"/>
              </w:rPr>
              <w:t>（财库〔2020〕46</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1"/>
                <w:sz w:val="24"/>
                <w:szCs w:val="24"/>
                <w:highlight w:val="none"/>
              </w:rPr>
              <w:t>号）第九条第一款情形时，对</w:t>
            </w:r>
            <w:r>
              <w:rPr>
                <w:rFonts w:hint="eastAsia" w:ascii="宋体" w:hAnsi="宋体" w:eastAsia="宋体" w:cs="宋体"/>
                <w:color w:val="auto"/>
                <w:spacing w:val="2"/>
                <w:sz w:val="24"/>
                <w:szCs w:val="24"/>
                <w:highlight w:val="none"/>
              </w:rPr>
              <w:t>于小微企业，评标时应当在采用原报价进行评分</w:t>
            </w:r>
            <w:r>
              <w:rPr>
                <w:rFonts w:hint="eastAsia" w:ascii="宋体" w:hAnsi="宋体" w:eastAsia="宋体" w:cs="宋体"/>
                <w:color w:val="auto"/>
                <w:spacing w:val="1"/>
                <w:sz w:val="24"/>
                <w:szCs w:val="24"/>
                <w:highlight w:val="none"/>
              </w:rPr>
              <w:t>的基础上增加其价格得分的</w:t>
            </w:r>
            <w:r>
              <w:rPr>
                <w:rFonts w:hint="eastAsia" w:ascii="宋体" w:hAnsi="宋体" w:eastAsia="宋体" w:cs="宋体"/>
                <w:color w:val="auto"/>
                <w:spacing w:val="-94"/>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     </w:t>
            </w:r>
            <w:r>
              <w:rPr>
                <w:rFonts w:hint="eastAsia" w:cs="宋体"/>
                <w:color w:val="auto"/>
                <w:spacing w:val="1"/>
                <w:sz w:val="24"/>
                <w:szCs w:val="24"/>
                <w:highlight w:val="none"/>
                <w:u w:val="single" w:color="auto"/>
                <w:lang w:val="en-US" w:eastAsia="zh-CN"/>
              </w:rPr>
              <w:t>/</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32"/>
                <w:sz w:val="24"/>
                <w:szCs w:val="24"/>
                <w:highlight w:val="none"/>
              </w:rPr>
              <w:t xml:space="preserve"> </w:t>
            </w:r>
            <w:r>
              <w:rPr>
                <w:rFonts w:hint="eastAsia" w:ascii="宋体" w:hAnsi="宋体" w:eastAsia="宋体" w:cs="宋体"/>
                <w:b/>
                <w:bCs/>
                <w:i/>
                <w:iCs/>
                <w:color w:val="auto"/>
                <w:spacing w:val="1"/>
                <w:sz w:val="24"/>
                <w:szCs w:val="24"/>
                <w:highlight w:val="none"/>
              </w:rPr>
              <w:t>（3%—5%）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作为其价格分；符合《政府采购促进中小企业发</w:t>
            </w:r>
            <w:r>
              <w:rPr>
                <w:rFonts w:hint="eastAsia" w:ascii="宋体" w:hAnsi="宋体" w:eastAsia="宋体" w:cs="宋体"/>
                <w:color w:val="auto"/>
                <w:spacing w:val="-9"/>
                <w:sz w:val="24"/>
                <w:szCs w:val="24"/>
                <w:highlight w:val="none"/>
              </w:rPr>
              <w:t>展管理办法》（财库〔2020〕46</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9"/>
                <w:sz w:val="24"/>
                <w:szCs w:val="24"/>
                <w:highlight w:val="none"/>
              </w:rPr>
              <w:t>号）第九条第</w:t>
            </w:r>
            <w:r>
              <w:rPr>
                <w:rFonts w:hint="eastAsia" w:ascii="宋体" w:hAnsi="宋体" w:eastAsia="宋体" w:cs="宋体"/>
                <w:color w:val="auto"/>
                <w:spacing w:val="-10"/>
                <w:sz w:val="24"/>
                <w:szCs w:val="24"/>
                <w:highlight w:val="none"/>
              </w:rPr>
              <w:t>二款</w:t>
            </w:r>
            <w:r>
              <w:rPr>
                <w:rFonts w:hint="eastAsia" w:ascii="宋体" w:hAnsi="宋体" w:eastAsia="宋体" w:cs="宋体"/>
                <w:color w:val="auto"/>
                <w:spacing w:val="2"/>
                <w:sz w:val="24"/>
                <w:szCs w:val="24"/>
                <w:highlight w:val="none"/>
              </w:rPr>
              <w:t>情形时，对于联合协议或者分包意向协议约定小</w:t>
            </w:r>
            <w:r>
              <w:rPr>
                <w:rFonts w:hint="eastAsia" w:ascii="宋体" w:hAnsi="宋体" w:eastAsia="宋体" w:cs="宋体"/>
                <w:color w:val="auto"/>
                <w:spacing w:val="-1"/>
                <w:sz w:val="24"/>
                <w:szCs w:val="24"/>
                <w:highlight w:val="none"/>
              </w:rPr>
              <w:t>微企业的合同份额占到合同总金额 30%以上的投</w:t>
            </w:r>
            <w:r>
              <w:rPr>
                <w:rFonts w:hint="eastAsia" w:ascii="宋体" w:hAnsi="宋体" w:eastAsia="宋体" w:cs="宋体"/>
                <w:color w:val="auto"/>
                <w:spacing w:val="2"/>
                <w:sz w:val="24"/>
                <w:szCs w:val="24"/>
                <w:highlight w:val="none"/>
              </w:rPr>
              <w:t>标人，评标时应当在采用原报价进行评分的基础</w:t>
            </w:r>
            <w:r>
              <w:rPr>
                <w:rFonts w:hint="eastAsia" w:ascii="宋体" w:hAnsi="宋体" w:eastAsia="宋体" w:cs="宋体"/>
                <w:color w:val="auto"/>
                <w:spacing w:val="-1"/>
                <w:sz w:val="24"/>
                <w:szCs w:val="24"/>
                <w:highlight w:val="none"/>
              </w:rPr>
              <w:t>上增加其价格得分的</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     </w:t>
            </w:r>
            <w:r>
              <w:rPr>
                <w:rFonts w:hint="eastAsia" w:cs="宋体"/>
                <w:color w:val="auto"/>
                <w:spacing w:val="-1"/>
                <w:sz w:val="24"/>
                <w:szCs w:val="24"/>
                <w:highlight w:val="none"/>
                <w:u w:val="single" w:color="auto"/>
                <w:lang w:val="en-US" w:eastAsia="zh-CN"/>
              </w:rPr>
              <w:t>/</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30"/>
                <w:sz w:val="24"/>
                <w:szCs w:val="24"/>
                <w:highlight w:val="none"/>
              </w:rPr>
              <w:t xml:space="preserve"> </w:t>
            </w:r>
            <w:r>
              <w:rPr>
                <w:rFonts w:hint="eastAsia" w:ascii="宋体" w:hAnsi="宋体" w:eastAsia="宋体" w:cs="宋体"/>
                <w:b/>
                <w:bCs/>
                <w:i/>
                <w:iCs/>
                <w:color w:val="auto"/>
                <w:spacing w:val="-1"/>
                <w:sz w:val="24"/>
                <w:szCs w:val="24"/>
                <w:highlight w:val="none"/>
              </w:rPr>
              <w:t>（1%—2%）</w:t>
            </w:r>
            <w:r>
              <w:rPr>
                <w:rFonts w:hint="eastAsia" w:ascii="宋体" w:hAnsi="宋体" w:eastAsia="宋体" w:cs="宋体"/>
                <w:color w:val="auto"/>
                <w:spacing w:val="-1"/>
                <w:sz w:val="24"/>
                <w:szCs w:val="24"/>
                <w:highlight w:val="none"/>
              </w:rPr>
              <w:t>作为其价格分。</w:t>
            </w:r>
          </w:p>
        </w:tc>
      </w:tr>
      <w:tr w14:paraId="6B798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04" w:type="dxa"/>
            <w:vMerge w:val="restart"/>
            <w:tcBorders>
              <w:bottom w:val="nil"/>
            </w:tcBorders>
            <w:vAlign w:val="top"/>
          </w:tcPr>
          <w:p w14:paraId="290E4D6D">
            <w:pPr>
              <w:spacing w:line="242" w:lineRule="auto"/>
              <w:rPr>
                <w:rFonts w:hint="eastAsia" w:ascii="宋体" w:hAnsi="宋体" w:eastAsia="宋体" w:cs="宋体"/>
                <w:color w:val="auto"/>
                <w:sz w:val="24"/>
                <w:szCs w:val="24"/>
                <w:highlight w:val="none"/>
              </w:rPr>
            </w:pPr>
          </w:p>
          <w:p w14:paraId="0888FB32">
            <w:pPr>
              <w:spacing w:line="242" w:lineRule="auto"/>
              <w:rPr>
                <w:rFonts w:hint="eastAsia" w:ascii="宋体" w:hAnsi="宋体" w:eastAsia="宋体" w:cs="宋体"/>
                <w:color w:val="auto"/>
                <w:sz w:val="24"/>
                <w:szCs w:val="24"/>
                <w:highlight w:val="none"/>
              </w:rPr>
            </w:pPr>
          </w:p>
          <w:p w14:paraId="2495D871">
            <w:pPr>
              <w:spacing w:line="242" w:lineRule="auto"/>
              <w:rPr>
                <w:rFonts w:hint="eastAsia" w:ascii="宋体" w:hAnsi="宋体" w:eastAsia="宋体" w:cs="宋体"/>
                <w:color w:val="auto"/>
                <w:sz w:val="24"/>
                <w:szCs w:val="24"/>
                <w:highlight w:val="none"/>
              </w:rPr>
            </w:pPr>
          </w:p>
          <w:p w14:paraId="4DCCC4DB">
            <w:pPr>
              <w:spacing w:line="242" w:lineRule="auto"/>
              <w:rPr>
                <w:rFonts w:hint="eastAsia" w:ascii="宋体" w:hAnsi="宋体" w:eastAsia="宋体" w:cs="宋体"/>
                <w:color w:val="auto"/>
                <w:sz w:val="24"/>
                <w:szCs w:val="24"/>
                <w:highlight w:val="none"/>
              </w:rPr>
            </w:pPr>
          </w:p>
          <w:p w14:paraId="74F3453C">
            <w:pPr>
              <w:spacing w:line="243" w:lineRule="auto"/>
              <w:rPr>
                <w:rFonts w:hint="eastAsia" w:ascii="宋体" w:hAnsi="宋体" w:eastAsia="宋体" w:cs="宋体"/>
                <w:color w:val="auto"/>
                <w:sz w:val="24"/>
                <w:szCs w:val="24"/>
                <w:highlight w:val="none"/>
              </w:rPr>
            </w:pPr>
          </w:p>
          <w:p w14:paraId="216322F2">
            <w:pPr>
              <w:spacing w:line="243" w:lineRule="auto"/>
              <w:rPr>
                <w:rFonts w:hint="eastAsia" w:ascii="宋体" w:hAnsi="宋体" w:eastAsia="宋体" w:cs="宋体"/>
                <w:color w:val="auto"/>
                <w:sz w:val="24"/>
                <w:szCs w:val="24"/>
                <w:highlight w:val="none"/>
              </w:rPr>
            </w:pPr>
          </w:p>
          <w:p w14:paraId="0C277426">
            <w:pPr>
              <w:spacing w:line="243" w:lineRule="auto"/>
              <w:rPr>
                <w:rFonts w:hint="eastAsia" w:ascii="宋体" w:hAnsi="宋体" w:eastAsia="宋体" w:cs="宋体"/>
                <w:color w:val="auto"/>
                <w:sz w:val="24"/>
                <w:szCs w:val="24"/>
                <w:highlight w:val="none"/>
              </w:rPr>
            </w:pPr>
          </w:p>
          <w:p w14:paraId="4315C26D">
            <w:pPr>
              <w:spacing w:line="243" w:lineRule="auto"/>
              <w:rPr>
                <w:rFonts w:hint="eastAsia" w:ascii="宋体" w:hAnsi="宋体" w:eastAsia="宋体" w:cs="宋体"/>
                <w:color w:val="auto"/>
                <w:sz w:val="24"/>
                <w:szCs w:val="24"/>
                <w:highlight w:val="none"/>
              </w:rPr>
            </w:pPr>
          </w:p>
          <w:p w14:paraId="109C9A38">
            <w:pPr>
              <w:pStyle w:val="30"/>
              <w:spacing w:before="68" w:line="183" w:lineRule="auto"/>
              <w:ind w:left="19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2.2.1</w:t>
            </w:r>
          </w:p>
        </w:tc>
        <w:tc>
          <w:tcPr>
            <w:tcW w:w="1123" w:type="dxa"/>
            <w:vMerge w:val="restart"/>
            <w:tcBorders>
              <w:bottom w:val="nil"/>
            </w:tcBorders>
            <w:vAlign w:val="top"/>
          </w:tcPr>
          <w:p w14:paraId="00E05EB6">
            <w:pPr>
              <w:spacing w:line="249" w:lineRule="auto"/>
              <w:rPr>
                <w:rFonts w:hint="eastAsia" w:ascii="宋体" w:hAnsi="宋体" w:eastAsia="宋体" w:cs="宋体"/>
                <w:color w:val="auto"/>
                <w:sz w:val="24"/>
                <w:szCs w:val="24"/>
                <w:highlight w:val="none"/>
              </w:rPr>
            </w:pPr>
          </w:p>
          <w:p w14:paraId="149DBF23">
            <w:pPr>
              <w:spacing w:line="249" w:lineRule="auto"/>
              <w:rPr>
                <w:rFonts w:hint="eastAsia" w:ascii="宋体" w:hAnsi="宋体" w:eastAsia="宋体" w:cs="宋体"/>
                <w:color w:val="auto"/>
                <w:sz w:val="24"/>
                <w:szCs w:val="24"/>
                <w:highlight w:val="none"/>
              </w:rPr>
            </w:pPr>
          </w:p>
          <w:p w14:paraId="293DE933">
            <w:pPr>
              <w:spacing w:line="249" w:lineRule="auto"/>
              <w:rPr>
                <w:rFonts w:hint="eastAsia" w:ascii="宋体" w:hAnsi="宋体" w:eastAsia="宋体" w:cs="宋体"/>
                <w:color w:val="auto"/>
                <w:sz w:val="24"/>
                <w:szCs w:val="24"/>
                <w:highlight w:val="none"/>
              </w:rPr>
            </w:pPr>
          </w:p>
          <w:p w14:paraId="38E0E8C6">
            <w:pPr>
              <w:spacing w:line="250" w:lineRule="auto"/>
              <w:rPr>
                <w:rFonts w:hint="eastAsia" w:ascii="宋体" w:hAnsi="宋体" w:eastAsia="宋体" w:cs="宋体"/>
                <w:color w:val="auto"/>
                <w:sz w:val="24"/>
                <w:szCs w:val="24"/>
                <w:highlight w:val="none"/>
              </w:rPr>
            </w:pPr>
          </w:p>
          <w:p w14:paraId="73A8F98D">
            <w:pPr>
              <w:spacing w:line="250" w:lineRule="auto"/>
              <w:rPr>
                <w:rFonts w:hint="eastAsia" w:ascii="宋体" w:hAnsi="宋体" w:eastAsia="宋体" w:cs="宋体"/>
                <w:color w:val="auto"/>
                <w:sz w:val="24"/>
                <w:szCs w:val="24"/>
                <w:highlight w:val="none"/>
              </w:rPr>
            </w:pPr>
          </w:p>
          <w:p w14:paraId="6A8AA135">
            <w:pPr>
              <w:spacing w:line="250" w:lineRule="auto"/>
              <w:rPr>
                <w:rFonts w:hint="eastAsia" w:ascii="宋体" w:hAnsi="宋体" w:eastAsia="宋体" w:cs="宋体"/>
                <w:color w:val="auto"/>
                <w:sz w:val="24"/>
                <w:szCs w:val="24"/>
                <w:highlight w:val="none"/>
              </w:rPr>
            </w:pPr>
          </w:p>
          <w:p w14:paraId="4940B133">
            <w:pPr>
              <w:spacing w:line="250" w:lineRule="auto"/>
              <w:rPr>
                <w:rFonts w:hint="eastAsia" w:ascii="宋体" w:hAnsi="宋体" w:eastAsia="宋体" w:cs="宋体"/>
                <w:color w:val="auto"/>
                <w:sz w:val="24"/>
                <w:szCs w:val="24"/>
                <w:highlight w:val="none"/>
              </w:rPr>
            </w:pPr>
          </w:p>
          <w:p w14:paraId="1CAE3689">
            <w:pPr>
              <w:pStyle w:val="30"/>
              <w:spacing w:before="68" w:line="267" w:lineRule="auto"/>
              <w:ind w:left="355" w:right="138" w:hanging="20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形式评审</w:t>
            </w:r>
            <w:r>
              <w:rPr>
                <w:rFonts w:hint="eastAsia" w:ascii="宋体" w:hAnsi="宋体" w:eastAsia="宋体" w:cs="宋体"/>
                <w:color w:val="auto"/>
                <w:spacing w:val="-2"/>
                <w:sz w:val="24"/>
                <w:szCs w:val="24"/>
                <w:highlight w:val="none"/>
              </w:rPr>
              <w:t>标准</w:t>
            </w:r>
          </w:p>
        </w:tc>
        <w:tc>
          <w:tcPr>
            <w:tcW w:w="1882" w:type="dxa"/>
            <w:vAlign w:val="center"/>
          </w:tcPr>
          <w:p w14:paraId="26CD58FA">
            <w:pPr>
              <w:pStyle w:val="30"/>
              <w:spacing w:before="125"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投标文件</w:t>
            </w:r>
          </w:p>
        </w:tc>
        <w:tc>
          <w:tcPr>
            <w:tcW w:w="5277" w:type="dxa"/>
            <w:vAlign w:val="top"/>
          </w:tcPr>
          <w:p w14:paraId="1A337FD9">
            <w:pPr>
              <w:pStyle w:val="30"/>
              <w:spacing w:before="125" w:line="22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投标文件能正常打开</w:t>
            </w:r>
          </w:p>
        </w:tc>
      </w:tr>
      <w:tr w14:paraId="231B4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04" w:type="dxa"/>
            <w:vMerge w:val="continue"/>
            <w:tcBorders>
              <w:top w:val="nil"/>
              <w:bottom w:val="nil"/>
            </w:tcBorders>
            <w:vAlign w:val="top"/>
          </w:tcPr>
          <w:p w14:paraId="000BD3CD">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5554823A">
            <w:pPr>
              <w:rPr>
                <w:rFonts w:hint="eastAsia" w:ascii="宋体" w:hAnsi="宋体" w:eastAsia="宋体" w:cs="宋体"/>
                <w:color w:val="auto"/>
                <w:sz w:val="24"/>
                <w:szCs w:val="24"/>
                <w:highlight w:val="none"/>
              </w:rPr>
            </w:pPr>
          </w:p>
        </w:tc>
        <w:tc>
          <w:tcPr>
            <w:tcW w:w="1882" w:type="dxa"/>
            <w:vAlign w:val="center"/>
          </w:tcPr>
          <w:p w14:paraId="08729391">
            <w:pPr>
              <w:pStyle w:val="30"/>
              <w:spacing w:before="127"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w:t>
            </w:r>
          </w:p>
        </w:tc>
        <w:tc>
          <w:tcPr>
            <w:tcW w:w="5277" w:type="dxa"/>
            <w:vAlign w:val="top"/>
          </w:tcPr>
          <w:p w14:paraId="721D0BBE">
            <w:pPr>
              <w:pStyle w:val="30"/>
              <w:spacing w:before="126" w:line="220"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与营业执照、资质证书、安全生产许可证一致</w:t>
            </w:r>
          </w:p>
        </w:tc>
      </w:tr>
      <w:tr w14:paraId="798D9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tcBorders>
              <w:top w:val="nil"/>
              <w:bottom w:val="nil"/>
            </w:tcBorders>
            <w:vAlign w:val="top"/>
          </w:tcPr>
          <w:p w14:paraId="4ED9FD26">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6748A3B5">
            <w:pPr>
              <w:rPr>
                <w:rFonts w:hint="eastAsia" w:ascii="宋体" w:hAnsi="宋体" w:eastAsia="宋体" w:cs="宋体"/>
                <w:color w:val="auto"/>
                <w:sz w:val="24"/>
                <w:szCs w:val="24"/>
                <w:highlight w:val="none"/>
              </w:rPr>
            </w:pPr>
          </w:p>
        </w:tc>
        <w:tc>
          <w:tcPr>
            <w:tcW w:w="1882" w:type="dxa"/>
            <w:vAlign w:val="center"/>
          </w:tcPr>
          <w:p w14:paraId="5F559AC1">
            <w:pPr>
              <w:pStyle w:val="30"/>
              <w:spacing w:before="78" w:line="20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签字盖章</w:t>
            </w:r>
          </w:p>
        </w:tc>
        <w:tc>
          <w:tcPr>
            <w:tcW w:w="5277" w:type="dxa"/>
            <w:vAlign w:val="top"/>
          </w:tcPr>
          <w:p w14:paraId="1F8E3959">
            <w:pPr>
              <w:pStyle w:val="30"/>
              <w:spacing w:before="78" w:line="209"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签字盖章符合第二章投标人须知第</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1"/>
                <w:sz w:val="24"/>
                <w:szCs w:val="24"/>
                <w:highlight w:val="none"/>
              </w:rPr>
              <w:t>3.7.</w:t>
            </w: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2"/>
                <w:sz w:val="24"/>
                <w:szCs w:val="24"/>
                <w:highlight w:val="none"/>
              </w:rPr>
              <w:t>项规定</w:t>
            </w:r>
          </w:p>
        </w:tc>
      </w:tr>
      <w:tr w14:paraId="3E6FA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04" w:type="dxa"/>
            <w:vMerge w:val="continue"/>
            <w:tcBorders>
              <w:top w:val="nil"/>
              <w:bottom w:val="nil"/>
            </w:tcBorders>
            <w:vAlign w:val="top"/>
          </w:tcPr>
          <w:p w14:paraId="23C7CE62">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582C952A">
            <w:pPr>
              <w:rPr>
                <w:rFonts w:hint="eastAsia" w:ascii="宋体" w:hAnsi="宋体" w:eastAsia="宋体" w:cs="宋体"/>
                <w:color w:val="auto"/>
                <w:sz w:val="24"/>
                <w:szCs w:val="24"/>
                <w:highlight w:val="none"/>
              </w:rPr>
            </w:pPr>
          </w:p>
        </w:tc>
        <w:tc>
          <w:tcPr>
            <w:tcW w:w="1882" w:type="dxa"/>
            <w:vAlign w:val="center"/>
          </w:tcPr>
          <w:p w14:paraId="3DC8F7EB">
            <w:pPr>
              <w:pStyle w:val="30"/>
              <w:spacing w:before="236"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投标文件格式</w:t>
            </w:r>
          </w:p>
        </w:tc>
        <w:tc>
          <w:tcPr>
            <w:tcW w:w="5277" w:type="dxa"/>
            <w:vAlign w:val="top"/>
          </w:tcPr>
          <w:p w14:paraId="366BD043">
            <w:pPr>
              <w:pStyle w:val="30"/>
              <w:spacing w:before="77" w:line="244" w:lineRule="auto"/>
              <w:ind w:left="115" w:right="1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符合第八章“投标文件格式</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”的规定，实质性内</w:t>
            </w:r>
            <w:r>
              <w:rPr>
                <w:rFonts w:hint="eastAsia" w:ascii="宋体" w:hAnsi="宋体" w:eastAsia="宋体" w:cs="宋体"/>
                <w:color w:val="auto"/>
                <w:spacing w:val="-1"/>
                <w:sz w:val="24"/>
                <w:szCs w:val="24"/>
                <w:highlight w:val="none"/>
              </w:rPr>
              <w:t>容齐全、关键字迹清晰可辨</w:t>
            </w:r>
          </w:p>
        </w:tc>
      </w:tr>
      <w:tr w14:paraId="04903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tcBorders>
              <w:top w:val="nil"/>
              <w:bottom w:val="nil"/>
            </w:tcBorders>
            <w:vAlign w:val="top"/>
          </w:tcPr>
          <w:p w14:paraId="5B244274">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3DD82D5B">
            <w:pPr>
              <w:rPr>
                <w:rFonts w:hint="eastAsia" w:ascii="宋体" w:hAnsi="宋体" w:eastAsia="宋体" w:cs="宋体"/>
                <w:color w:val="auto"/>
                <w:sz w:val="24"/>
                <w:szCs w:val="24"/>
                <w:highlight w:val="none"/>
              </w:rPr>
            </w:pPr>
          </w:p>
        </w:tc>
        <w:tc>
          <w:tcPr>
            <w:tcW w:w="1882" w:type="dxa"/>
            <w:vAlign w:val="center"/>
          </w:tcPr>
          <w:p w14:paraId="2FD0BA57">
            <w:pPr>
              <w:pStyle w:val="30"/>
              <w:spacing w:before="239"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联合体投标人</w:t>
            </w:r>
          </w:p>
        </w:tc>
        <w:tc>
          <w:tcPr>
            <w:tcW w:w="5277" w:type="dxa"/>
            <w:vAlign w:val="top"/>
          </w:tcPr>
          <w:p w14:paraId="6CD8F1F5">
            <w:pPr>
              <w:pStyle w:val="30"/>
              <w:spacing w:before="82" w:line="243" w:lineRule="auto"/>
              <w:ind w:left="114" w:right="1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提交符合招标文件要求的联合体协议书，明确各</w:t>
            </w:r>
            <w:r>
              <w:rPr>
                <w:rFonts w:hint="eastAsia" w:ascii="宋体" w:hAnsi="宋体" w:eastAsia="宋体" w:cs="宋体"/>
                <w:color w:val="auto"/>
                <w:spacing w:val="-1"/>
                <w:sz w:val="24"/>
                <w:szCs w:val="24"/>
                <w:highlight w:val="none"/>
              </w:rPr>
              <w:t>方承担连带责任，并明确联合体牵头人</w:t>
            </w:r>
          </w:p>
        </w:tc>
      </w:tr>
      <w:tr w14:paraId="1AA40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tcBorders>
              <w:top w:val="nil"/>
              <w:bottom w:val="nil"/>
            </w:tcBorders>
            <w:vAlign w:val="top"/>
          </w:tcPr>
          <w:p w14:paraId="3EAF9B94">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143F28CB">
            <w:pPr>
              <w:rPr>
                <w:rFonts w:hint="eastAsia" w:ascii="宋体" w:hAnsi="宋体" w:eastAsia="宋体" w:cs="宋体"/>
                <w:color w:val="auto"/>
                <w:sz w:val="24"/>
                <w:szCs w:val="24"/>
                <w:highlight w:val="none"/>
              </w:rPr>
            </w:pPr>
          </w:p>
        </w:tc>
        <w:tc>
          <w:tcPr>
            <w:tcW w:w="1882" w:type="dxa"/>
            <w:vAlign w:val="center"/>
          </w:tcPr>
          <w:p w14:paraId="6A9A99E2">
            <w:pPr>
              <w:pStyle w:val="30"/>
              <w:spacing w:before="240"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备选投标方案</w:t>
            </w:r>
          </w:p>
        </w:tc>
        <w:tc>
          <w:tcPr>
            <w:tcW w:w="5277" w:type="dxa"/>
            <w:vAlign w:val="top"/>
          </w:tcPr>
          <w:p w14:paraId="5DE1B236">
            <w:pPr>
              <w:pStyle w:val="30"/>
              <w:spacing w:before="79" w:line="244" w:lineRule="auto"/>
              <w:ind w:left="115" w:right="110" w:firstLine="1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除招标文件明确允许提交备选投标方案外，投标</w:t>
            </w:r>
            <w:r>
              <w:rPr>
                <w:rFonts w:hint="eastAsia" w:ascii="宋体" w:hAnsi="宋体" w:eastAsia="宋体" w:cs="宋体"/>
                <w:color w:val="auto"/>
                <w:spacing w:val="-1"/>
                <w:sz w:val="24"/>
                <w:szCs w:val="24"/>
                <w:highlight w:val="none"/>
              </w:rPr>
              <w:t>人不得提交备选投标方案</w:t>
            </w:r>
          </w:p>
        </w:tc>
      </w:tr>
      <w:tr w14:paraId="6DF9B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904" w:type="dxa"/>
            <w:vMerge w:val="continue"/>
            <w:tcBorders>
              <w:top w:val="nil"/>
              <w:bottom w:val="nil"/>
            </w:tcBorders>
            <w:vAlign w:val="top"/>
          </w:tcPr>
          <w:p w14:paraId="6FFEF42B">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5D5205A2">
            <w:pPr>
              <w:rPr>
                <w:rFonts w:hint="eastAsia" w:ascii="宋体" w:hAnsi="宋体" w:eastAsia="宋体" w:cs="宋体"/>
                <w:color w:val="auto"/>
                <w:sz w:val="24"/>
                <w:szCs w:val="24"/>
                <w:highlight w:val="none"/>
              </w:rPr>
            </w:pPr>
          </w:p>
        </w:tc>
        <w:tc>
          <w:tcPr>
            <w:tcW w:w="1882" w:type="dxa"/>
            <w:vAlign w:val="center"/>
          </w:tcPr>
          <w:p w14:paraId="3739764A">
            <w:pPr>
              <w:pStyle w:val="30"/>
              <w:spacing w:before="239"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未出现异常情形</w:t>
            </w:r>
          </w:p>
        </w:tc>
        <w:tc>
          <w:tcPr>
            <w:tcW w:w="5277" w:type="dxa"/>
            <w:vAlign w:val="top"/>
          </w:tcPr>
          <w:p w14:paraId="53F94B02">
            <w:pPr>
              <w:pStyle w:val="30"/>
              <w:spacing w:before="78" w:line="245" w:lineRule="auto"/>
              <w:ind w:left="112" w:right="110" w:firstLine="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不同投标人未出现使用相同的投标文件制作</w:t>
            </w:r>
            <w:r>
              <w:rPr>
                <w:rFonts w:hint="eastAsia" w:ascii="宋体" w:hAnsi="宋体" w:eastAsia="宋体" w:cs="宋体"/>
                <w:color w:val="auto"/>
                <w:spacing w:val="1"/>
                <w:sz w:val="24"/>
                <w:szCs w:val="24"/>
                <w:highlight w:val="none"/>
              </w:rPr>
              <w:t>机器</w:t>
            </w:r>
            <w:r>
              <w:rPr>
                <w:rFonts w:hint="eastAsia" w:ascii="宋体" w:hAnsi="宋体" w:eastAsia="宋体" w:cs="宋体"/>
                <w:color w:val="auto"/>
                <w:spacing w:val="-3"/>
                <w:sz w:val="24"/>
                <w:szCs w:val="24"/>
                <w:highlight w:val="none"/>
              </w:rPr>
              <w:t>码进行投标的情形。</w:t>
            </w:r>
          </w:p>
        </w:tc>
      </w:tr>
      <w:tr w14:paraId="52E31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04" w:type="dxa"/>
            <w:vMerge w:val="restart"/>
            <w:vAlign w:val="center"/>
          </w:tcPr>
          <w:p w14:paraId="47EAD608">
            <w:pPr>
              <w:spacing w:line="346" w:lineRule="auto"/>
              <w:jc w:val="center"/>
              <w:rPr>
                <w:rFonts w:hint="eastAsia" w:ascii="宋体" w:hAnsi="宋体" w:eastAsia="宋体" w:cs="宋体"/>
                <w:color w:val="auto"/>
                <w:sz w:val="24"/>
                <w:szCs w:val="24"/>
                <w:highlight w:val="none"/>
              </w:rPr>
            </w:pPr>
          </w:p>
          <w:p w14:paraId="0E4893BD">
            <w:pPr>
              <w:spacing w:line="347" w:lineRule="auto"/>
              <w:jc w:val="center"/>
              <w:rPr>
                <w:rFonts w:hint="eastAsia" w:ascii="宋体" w:hAnsi="宋体" w:eastAsia="宋体" w:cs="宋体"/>
                <w:color w:val="auto"/>
                <w:sz w:val="24"/>
                <w:szCs w:val="24"/>
                <w:highlight w:val="none"/>
              </w:rPr>
            </w:pPr>
          </w:p>
          <w:p w14:paraId="4D8062FB">
            <w:pPr>
              <w:pStyle w:val="30"/>
              <w:spacing w:before="68" w:line="182" w:lineRule="auto"/>
              <w:ind w:left="197"/>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2.2.2</w:t>
            </w:r>
          </w:p>
        </w:tc>
        <w:tc>
          <w:tcPr>
            <w:tcW w:w="1123" w:type="dxa"/>
            <w:vMerge w:val="restart"/>
            <w:vAlign w:val="center"/>
          </w:tcPr>
          <w:p w14:paraId="152674A8">
            <w:pPr>
              <w:spacing w:line="250" w:lineRule="auto"/>
              <w:jc w:val="center"/>
              <w:rPr>
                <w:rFonts w:hint="eastAsia" w:ascii="宋体" w:hAnsi="宋体" w:eastAsia="宋体" w:cs="宋体"/>
                <w:color w:val="auto"/>
                <w:sz w:val="24"/>
                <w:szCs w:val="24"/>
                <w:highlight w:val="none"/>
              </w:rPr>
            </w:pPr>
          </w:p>
          <w:p w14:paraId="4744612F">
            <w:pPr>
              <w:spacing w:line="251" w:lineRule="auto"/>
              <w:jc w:val="center"/>
              <w:rPr>
                <w:rFonts w:hint="eastAsia" w:ascii="宋体" w:hAnsi="宋体" w:eastAsia="宋体" w:cs="宋体"/>
                <w:color w:val="auto"/>
                <w:sz w:val="24"/>
                <w:szCs w:val="24"/>
                <w:highlight w:val="none"/>
              </w:rPr>
            </w:pPr>
          </w:p>
          <w:p w14:paraId="1D135B58">
            <w:pPr>
              <w:pStyle w:val="30"/>
              <w:spacing w:before="68" w:line="267" w:lineRule="auto"/>
              <w:ind w:left="354" w:right="138" w:hanging="2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资格评审</w:t>
            </w:r>
            <w:r>
              <w:rPr>
                <w:rFonts w:hint="eastAsia" w:ascii="宋体" w:hAnsi="宋体" w:eastAsia="宋体" w:cs="宋体"/>
                <w:color w:val="auto"/>
                <w:spacing w:val="-2"/>
                <w:sz w:val="24"/>
                <w:szCs w:val="24"/>
                <w:highlight w:val="none"/>
              </w:rPr>
              <w:t>标准</w:t>
            </w:r>
          </w:p>
        </w:tc>
        <w:tc>
          <w:tcPr>
            <w:tcW w:w="1882" w:type="dxa"/>
            <w:vAlign w:val="center"/>
          </w:tcPr>
          <w:p w14:paraId="68E6FCF1">
            <w:pPr>
              <w:pStyle w:val="30"/>
              <w:spacing w:before="241" w:line="267" w:lineRule="auto"/>
              <w:ind w:right="185"/>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营业执照和组织机构代</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1"/>
                <w:sz w:val="24"/>
                <w:szCs w:val="24"/>
                <w:highlight w:val="none"/>
              </w:rPr>
              <w:t>码证、安全生产许可证</w:t>
            </w:r>
          </w:p>
        </w:tc>
        <w:tc>
          <w:tcPr>
            <w:tcW w:w="5277" w:type="dxa"/>
            <w:vAlign w:val="top"/>
          </w:tcPr>
          <w:p w14:paraId="5A0C2A6C">
            <w:pPr>
              <w:pStyle w:val="30"/>
              <w:spacing w:before="80" w:line="256" w:lineRule="auto"/>
              <w:ind w:left="114" w:right="11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符合第二章“投标人须知</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4"/>
                <w:sz w:val="24"/>
                <w:szCs w:val="24"/>
                <w:highlight w:val="none"/>
              </w:rPr>
              <w:t>”第 3.5.1 项规定，具</w:t>
            </w:r>
            <w:r>
              <w:rPr>
                <w:rFonts w:hint="eastAsia" w:ascii="宋体" w:hAnsi="宋体" w:eastAsia="宋体" w:cs="宋体"/>
                <w:color w:val="auto"/>
                <w:spacing w:val="2"/>
                <w:sz w:val="24"/>
                <w:szCs w:val="24"/>
                <w:highlight w:val="none"/>
              </w:rPr>
              <w:t>备有效的营业执照和组织机构代码证、安全生产</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许可证</w:t>
            </w:r>
          </w:p>
        </w:tc>
      </w:tr>
      <w:tr w14:paraId="4DF25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vAlign w:val="top"/>
          </w:tcPr>
          <w:p w14:paraId="28052665">
            <w:pPr>
              <w:rPr>
                <w:rFonts w:hint="eastAsia" w:ascii="宋体" w:hAnsi="宋体" w:eastAsia="宋体" w:cs="宋体"/>
                <w:color w:val="auto"/>
                <w:sz w:val="24"/>
                <w:szCs w:val="24"/>
                <w:highlight w:val="none"/>
              </w:rPr>
            </w:pPr>
          </w:p>
        </w:tc>
        <w:tc>
          <w:tcPr>
            <w:tcW w:w="1123" w:type="dxa"/>
            <w:vMerge w:val="continue"/>
            <w:vAlign w:val="top"/>
          </w:tcPr>
          <w:p w14:paraId="343ADE14">
            <w:pPr>
              <w:rPr>
                <w:rFonts w:hint="eastAsia" w:ascii="宋体" w:hAnsi="宋体" w:eastAsia="宋体" w:cs="宋体"/>
                <w:color w:val="auto"/>
                <w:sz w:val="24"/>
                <w:szCs w:val="24"/>
                <w:highlight w:val="none"/>
              </w:rPr>
            </w:pPr>
          </w:p>
        </w:tc>
        <w:tc>
          <w:tcPr>
            <w:tcW w:w="1882" w:type="dxa"/>
            <w:vAlign w:val="center"/>
          </w:tcPr>
          <w:p w14:paraId="56BDB590">
            <w:pPr>
              <w:pStyle w:val="30"/>
              <w:spacing w:before="82" w:line="205"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资质要求</w:t>
            </w:r>
          </w:p>
        </w:tc>
        <w:tc>
          <w:tcPr>
            <w:tcW w:w="5277" w:type="dxa"/>
            <w:vAlign w:val="top"/>
          </w:tcPr>
          <w:p w14:paraId="4111B447">
            <w:pPr>
              <w:pStyle w:val="30"/>
              <w:spacing w:before="82" w:line="205"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73DCC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14:paraId="6A39C697">
            <w:pPr>
              <w:rPr>
                <w:rFonts w:hint="eastAsia" w:ascii="宋体" w:hAnsi="宋体" w:eastAsia="宋体" w:cs="宋体"/>
                <w:color w:val="auto"/>
                <w:sz w:val="24"/>
                <w:szCs w:val="24"/>
                <w:highlight w:val="none"/>
              </w:rPr>
            </w:pPr>
          </w:p>
        </w:tc>
        <w:tc>
          <w:tcPr>
            <w:tcW w:w="1123" w:type="dxa"/>
            <w:vMerge w:val="continue"/>
            <w:vAlign w:val="top"/>
          </w:tcPr>
          <w:p w14:paraId="17D2A588">
            <w:pPr>
              <w:rPr>
                <w:rFonts w:hint="eastAsia" w:ascii="宋体" w:hAnsi="宋体" w:eastAsia="宋体" w:cs="宋体"/>
                <w:color w:val="auto"/>
                <w:sz w:val="24"/>
                <w:szCs w:val="24"/>
                <w:highlight w:val="none"/>
              </w:rPr>
            </w:pPr>
          </w:p>
        </w:tc>
        <w:tc>
          <w:tcPr>
            <w:tcW w:w="1882" w:type="dxa"/>
            <w:vAlign w:val="center"/>
          </w:tcPr>
          <w:p w14:paraId="6C58292B">
            <w:pPr>
              <w:pStyle w:val="30"/>
              <w:spacing w:before="80" w:line="21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财务要求</w:t>
            </w:r>
          </w:p>
        </w:tc>
        <w:tc>
          <w:tcPr>
            <w:tcW w:w="5277" w:type="dxa"/>
            <w:vAlign w:val="top"/>
          </w:tcPr>
          <w:p w14:paraId="026D6F69">
            <w:pPr>
              <w:pStyle w:val="30"/>
              <w:spacing w:before="80" w:line="21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49EA7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14:paraId="2B64F941">
            <w:pPr>
              <w:rPr>
                <w:rFonts w:hint="eastAsia" w:ascii="宋体" w:hAnsi="宋体" w:eastAsia="宋体" w:cs="宋体"/>
                <w:color w:val="auto"/>
                <w:sz w:val="24"/>
                <w:szCs w:val="24"/>
                <w:highlight w:val="none"/>
              </w:rPr>
            </w:pPr>
          </w:p>
        </w:tc>
        <w:tc>
          <w:tcPr>
            <w:tcW w:w="1123" w:type="dxa"/>
            <w:vMerge w:val="continue"/>
            <w:vAlign w:val="top"/>
          </w:tcPr>
          <w:p w14:paraId="693E0E8F">
            <w:pPr>
              <w:rPr>
                <w:rFonts w:hint="eastAsia" w:ascii="宋体" w:hAnsi="宋体" w:eastAsia="宋体" w:cs="宋体"/>
                <w:color w:val="auto"/>
                <w:sz w:val="24"/>
                <w:szCs w:val="24"/>
                <w:highlight w:val="none"/>
              </w:rPr>
            </w:pPr>
          </w:p>
        </w:tc>
        <w:tc>
          <w:tcPr>
            <w:tcW w:w="1882" w:type="dxa"/>
            <w:shd w:val="clear" w:color="auto" w:fill="auto"/>
            <w:vAlign w:val="center"/>
          </w:tcPr>
          <w:p w14:paraId="12087629">
            <w:pPr>
              <w:pStyle w:val="30"/>
              <w:spacing w:before="80" w:line="209"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业绩要求</w:t>
            </w:r>
          </w:p>
        </w:tc>
        <w:tc>
          <w:tcPr>
            <w:tcW w:w="5277" w:type="dxa"/>
            <w:shd w:val="clear" w:color="auto" w:fill="auto"/>
            <w:vAlign w:val="top"/>
          </w:tcPr>
          <w:p w14:paraId="4C5FD061">
            <w:pPr>
              <w:pStyle w:val="30"/>
              <w:spacing w:before="80" w:line="209" w:lineRule="auto"/>
              <w:ind w:left="115"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44F0A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14:paraId="05A49556">
            <w:pPr>
              <w:rPr>
                <w:rFonts w:hint="eastAsia" w:ascii="宋体" w:hAnsi="宋体" w:eastAsia="宋体" w:cs="宋体"/>
                <w:color w:val="auto"/>
                <w:sz w:val="24"/>
                <w:szCs w:val="24"/>
                <w:highlight w:val="none"/>
              </w:rPr>
            </w:pPr>
          </w:p>
        </w:tc>
        <w:tc>
          <w:tcPr>
            <w:tcW w:w="1123" w:type="dxa"/>
            <w:vMerge w:val="continue"/>
            <w:vAlign w:val="top"/>
          </w:tcPr>
          <w:p w14:paraId="3717A924">
            <w:pPr>
              <w:rPr>
                <w:rFonts w:hint="eastAsia" w:ascii="宋体" w:hAnsi="宋体" w:eastAsia="宋体" w:cs="宋体"/>
                <w:color w:val="auto"/>
                <w:sz w:val="24"/>
                <w:szCs w:val="24"/>
                <w:highlight w:val="none"/>
              </w:rPr>
            </w:pPr>
          </w:p>
        </w:tc>
        <w:tc>
          <w:tcPr>
            <w:tcW w:w="1882" w:type="dxa"/>
            <w:shd w:val="clear" w:color="auto" w:fill="auto"/>
            <w:vAlign w:val="center"/>
          </w:tcPr>
          <w:p w14:paraId="78BCFD6A">
            <w:pPr>
              <w:pStyle w:val="30"/>
              <w:spacing w:before="80" w:line="211"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2"/>
                <w:sz w:val="24"/>
                <w:szCs w:val="24"/>
                <w:highlight w:val="none"/>
              </w:rPr>
              <w:t>信誉要求</w:t>
            </w:r>
          </w:p>
        </w:tc>
        <w:tc>
          <w:tcPr>
            <w:tcW w:w="5277" w:type="dxa"/>
            <w:shd w:val="clear" w:color="auto" w:fill="auto"/>
            <w:vAlign w:val="top"/>
          </w:tcPr>
          <w:p w14:paraId="2C1C7CFE">
            <w:pPr>
              <w:pStyle w:val="30"/>
              <w:spacing w:before="80" w:line="211" w:lineRule="auto"/>
              <w:ind w:left="115"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31603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14:paraId="1C68C415">
            <w:pPr>
              <w:rPr>
                <w:rFonts w:hint="eastAsia" w:ascii="宋体" w:hAnsi="宋体" w:eastAsia="宋体" w:cs="宋体"/>
                <w:color w:val="auto"/>
                <w:sz w:val="24"/>
                <w:szCs w:val="24"/>
                <w:highlight w:val="none"/>
              </w:rPr>
            </w:pPr>
          </w:p>
        </w:tc>
        <w:tc>
          <w:tcPr>
            <w:tcW w:w="1123" w:type="dxa"/>
            <w:vMerge w:val="continue"/>
            <w:vAlign w:val="top"/>
          </w:tcPr>
          <w:p w14:paraId="2515747A">
            <w:pPr>
              <w:rPr>
                <w:rFonts w:hint="eastAsia" w:ascii="宋体" w:hAnsi="宋体" w:eastAsia="宋体" w:cs="宋体"/>
                <w:color w:val="auto"/>
                <w:sz w:val="24"/>
                <w:szCs w:val="24"/>
                <w:highlight w:val="none"/>
              </w:rPr>
            </w:pPr>
          </w:p>
        </w:tc>
        <w:tc>
          <w:tcPr>
            <w:tcW w:w="1882" w:type="dxa"/>
            <w:shd w:val="clear" w:color="auto" w:fill="auto"/>
            <w:vAlign w:val="center"/>
          </w:tcPr>
          <w:p w14:paraId="4B4457F2">
            <w:pPr>
              <w:pStyle w:val="30"/>
              <w:spacing w:before="79" w:line="210"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项目经理</w:t>
            </w:r>
          </w:p>
        </w:tc>
        <w:tc>
          <w:tcPr>
            <w:tcW w:w="5277" w:type="dxa"/>
            <w:shd w:val="clear" w:color="auto" w:fill="auto"/>
            <w:vAlign w:val="top"/>
          </w:tcPr>
          <w:p w14:paraId="602CF629">
            <w:pPr>
              <w:pStyle w:val="30"/>
              <w:spacing w:before="79" w:line="210" w:lineRule="auto"/>
              <w:ind w:left="115"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05A98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14:paraId="7F4EBB1D">
            <w:pPr>
              <w:rPr>
                <w:rFonts w:hint="eastAsia" w:ascii="宋体" w:hAnsi="宋体" w:eastAsia="宋体" w:cs="宋体"/>
                <w:color w:val="auto"/>
                <w:sz w:val="24"/>
                <w:szCs w:val="24"/>
                <w:highlight w:val="none"/>
              </w:rPr>
            </w:pPr>
          </w:p>
        </w:tc>
        <w:tc>
          <w:tcPr>
            <w:tcW w:w="1123" w:type="dxa"/>
            <w:vMerge w:val="continue"/>
            <w:vAlign w:val="top"/>
          </w:tcPr>
          <w:p w14:paraId="0857B6EF">
            <w:pPr>
              <w:rPr>
                <w:rFonts w:hint="eastAsia" w:ascii="宋体" w:hAnsi="宋体" w:eastAsia="宋体" w:cs="宋体"/>
                <w:color w:val="auto"/>
                <w:sz w:val="24"/>
                <w:szCs w:val="24"/>
                <w:highlight w:val="none"/>
              </w:rPr>
            </w:pPr>
          </w:p>
        </w:tc>
        <w:tc>
          <w:tcPr>
            <w:tcW w:w="1882" w:type="dxa"/>
            <w:shd w:val="clear" w:color="auto" w:fill="auto"/>
            <w:vAlign w:val="center"/>
          </w:tcPr>
          <w:p w14:paraId="0A4FB15D">
            <w:pPr>
              <w:pStyle w:val="30"/>
              <w:spacing w:before="82" w:line="210"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2"/>
                <w:sz w:val="24"/>
                <w:szCs w:val="24"/>
                <w:highlight w:val="none"/>
              </w:rPr>
              <w:t>其他要求</w:t>
            </w:r>
          </w:p>
        </w:tc>
        <w:tc>
          <w:tcPr>
            <w:tcW w:w="5277" w:type="dxa"/>
            <w:shd w:val="clear" w:color="auto" w:fill="auto"/>
            <w:vAlign w:val="top"/>
          </w:tcPr>
          <w:p w14:paraId="3F87D83E">
            <w:pPr>
              <w:pStyle w:val="30"/>
              <w:spacing w:before="82" w:line="210" w:lineRule="auto"/>
              <w:ind w:left="115"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56E2F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14:paraId="1C2ED873">
            <w:pPr>
              <w:rPr>
                <w:rFonts w:hint="eastAsia" w:ascii="宋体" w:hAnsi="宋体" w:eastAsia="宋体" w:cs="宋体"/>
                <w:color w:val="auto"/>
                <w:sz w:val="24"/>
                <w:szCs w:val="24"/>
                <w:highlight w:val="none"/>
              </w:rPr>
            </w:pPr>
          </w:p>
        </w:tc>
        <w:tc>
          <w:tcPr>
            <w:tcW w:w="1123" w:type="dxa"/>
            <w:vMerge w:val="continue"/>
            <w:vAlign w:val="top"/>
          </w:tcPr>
          <w:p w14:paraId="0EB782F7">
            <w:pPr>
              <w:rPr>
                <w:rFonts w:hint="eastAsia" w:ascii="宋体" w:hAnsi="宋体" w:eastAsia="宋体" w:cs="宋体"/>
                <w:color w:val="auto"/>
                <w:sz w:val="24"/>
                <w:szCs w:val="24"/>
                <w:highlight w:val="none"/>
              </w:rPr>
            </w:pPr>
          </w:p>
        </w:tc>
        <w:tc>
          <w:tcPr>
            <w:tcW w:w="1882" w:type="dxa"/>
            <w:shd w:val="clear" w:color="auto" w:fill="auto"/>
            <w:vAlign w:val="center"/>
          </w:tcPr>
          <w:p w14:paraId="76F6982F">
            <w:pPr>
              <w:pStyle w:val="30"/>
              <w:spacing w:before="78" w:line="213"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联合体投标人</w:t>
            </w:r>
          </w:p>
        </w:tc>
        <w:tc>
          <w:tcPr>
            <w:tcW w:w="5277" w:type="dxa"/>
            <w:shd w:val="clear" w:color="auto" w:fill="auto"/>
            <w:vAlign w:val="top"/>
          </w:tcPr>
          <w:p w14:paraId="5F943EF0">
            <w:pPr>
              <w:pStyle w:val="30"/>
              <w:spacing w:before="78" w:line="213" w:lineRule="auto"/>
              <w:ind w:left="115"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1.4.2</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29F4F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14:paraId="63E8B944">
            <w:pPr>
              <w:rPr>
                <w:rFonts w:hint="eastAsia" w:ascii="宋体" w:hAnsi="宋体" w:eastAsia="宋体" w:cs="宋体"/>
                <w:color w:val="auto"/>
                <w:sz w:val="24"/>
                <w:szCs w:val="24"/>
                <w:highlight w:val="none"/>
              </w:rPr>
            </w:pPr>
          </w:p>
        </w:tc>
        <w:tc>
          <w:tcPr>
            <w:tcW w:w="1123" w:type="dxa"/>
            <w:vMerge w:val="continue"/>
            <w:vAlign w:val="top"/>
          </w:tcPr>
          <w:p w14:paraId="100CA8EA">
            <w:pPr>
              <w:rPr>
                <w:rFonts w:hint="eastAsia" w:ascii="宋体" w:hAnsi="宋体" w:eastAsia="宋体" w:cs="宋体"/>
                <w:color w:val="auto"/>
                <w:sz w:val="24"/>
                <w:szCs w:val="24"/>
                <w:highlight w:val="none"/>
              </w:rPr>
            </w:pPr>
          </w:p>
        </w:tc>
        <w:tc>
          <w:tcPr>
            <w:tcW w:w="1882" w:type="dxa"/>
            <w:shd w:val="clear" w:color="auto" w:fill="auto"/>
            <w:vAlign w:val="center"/>
          </w:tcPr>
          <w:p w14:paraId="28F8D2FA">
            <w:pPr>
              <w:spacing w:line="325" w:lineRule="auto"/>
              <w:jc w:val="center"/>
              <w:rPr>
                <w:rFonts w:hint="eastAsia" w:ascii="宋体" w:hAnsi="宋体" w:eastAsia="宋体" w:cs="宋体"/>
                <w:color w:val="auto"/>
                <w:sz w:val="24"/>
                <w:szCs w:val="24"/>
                <w:highlight w:val="none"/>
              </w:rPr>
            </w:pPr>
          </w:p>
          <w:p w14:paraId="2C2EF195">
            <w:pPr>
              <w:pStyle w:val="30"/>
              <w:spacing w:before="68" w:line="221"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不存在禁止投标的情形</w:t>
            </w:r>
          </w:p>
        </w:tc>
        <w:tc>
          <w:tcPr>
            <w:tcW w:w="5277" w:type="dxa"/>
            <w:shd w:val="clear" w:color="auto" w:fill="auto"/>
            <w:vAlign w:val="top"/>
          </w:tcPr>
          <w:p w14:paraId="1268D4A3">
            <w:pPr>
              <w:pStyle w:val="30"/>
              <w:spacing w:before="76" w:line="257" w:lineRule="auto"/>
              <w:ind w:left="112" w:leftChars="0" w:right="102" w:rightChars="0" w:firstLine="4" w:firstLine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4"/>
                <w:sz w:val="24"/>
                <w:szCs w:val="24"/>
                <w:highlight w:val="none"/>
              </w:rPr>
              <w:t>不存在第二章“投标人须知</w:t>
            </w:r>
            <w:r>
              <w:rPr>
                <w:rFonts w:hint="eastAsia" w:ascii="宋体" w:hAnsi="宋体" w:eastAsia="宋体" w:cs="宋体"/>
                <w:color w:val="auto"/>
                <w:spacing w:val="-63"/>
                <w:sz w:val="24"/>
                <w:szCs w:val="24"/>
                <w:highlight w:val="none"/>
              </w:rPr>
              <w:t xml:space="preserve"> </w:t>
            </w:r>
            <w:r>
              <w:rPr>
                <w:rFonts w:hint="eastAsia" w:ascii="宋体" w:hAnsi="宋体" w:eastAsia="宋体" w:cs="宋体"/>
                <w:color w:val="auto"/>
                <w:spacing w:val="-4"/>
                <w:sz w:val="24"/>
                <w:szCs w:val="24"/>
                <w:highlight w:val="none"/>
              </w:rPr>
              <w:t>”第 1.4.3 项规定的</w:t>
            </w:r>
            <w:r>
              <w:rPr>
                <w:rFonts w:hint="eastAsia" w:ascii="宋体" w:hAnsi="宋体" w:eastAsia="宋体" w:cs="宋体"/>
                <w:color w:val="auto"/>
                <w:sz w:val="24"/>
                <w:szCs w:val="24"/>
                <w:highlight w:val="none"/>
              </w:rPr>
              <w:t>任何一种情形。</w:t>
            </w:r>
            <w:r>
              <w:rPr>
                <w:rFonts w:hint="eastAsia" w:ascii="宋体" w:hAnsi="宋体" w:eastAsia="宋体" w:cs="宋体"/>
                <w:b/>
                <w:bCs/>
                <w:color w:val="auto"/>
                <w:sz w:val="24"/>
                <w:szCs w:val="24"/>
                <w:highlight w:val="none"/>
              </w:rPr>
              <w:t>投标人在投标函中承诺即可，不</w:t>
            </w:r>
            <w:r>
              <w:rPr>
                <w:rFonts w:hint="eastAsia" w:ascii="宋体" w:hAnsi="宋体" w:eastAsia="宋体" w:cs="宋体"/>
                <w:b/>
                <w:bCs/>
                <w:color w:val="auto"/>
                <w:spacing w:val="-5"/>
                <w:sz w:val="24"/>
                <w:szCs w:val="24"/>
                <w:highlight w:val="none"/>
              </w:rPr>
              <w:t>需要提供相关证明。</w:t>
            </w:r>
          </w:p>
        </w:tc>
      </w:tr>
      <w:tr w14:paraId="65C4C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restart"/>
            <w:tcBorders>
              <w:bottom w:val="nil"/>
            </w:tcBorders>
            <w:vAlign w:val="top"/>
          </w:tcPr>
          <w:p w14:paraId="5314188A">
            <w:pPr>
              <w:spacing w:line="248" w:lineRule="auto"/>
              <w:rPr>
                <w:rFonts w:hint="eastAsia" w:ascii="宋体" w:hAnsi="宋体" w:eastAsia="宋体" w:cs="宋体"/>
                <w:color w:val="auto"/>
                <w:sz w:val="24"/>
                <w:szCs w:val="24"/>
                <w:highlight w:val="none"/>
              </w:rPr>
            </w:pPr>
          </w:p>
          <w:p w14:paraId="252738A3">
            <w:pPr>
              <w:spacing w:line="248" w:lineRule="auto"/>
              <w:rPr>
                <w:rFonts w:hint="eastAsia" w:ascii="宋体" w:hAnsi="宋体" w:eastAsia="宋体" w:cs="宋体"/>
                <w:color w:val="auto"/>
                <w:sz w:val="24"/>
                <w:szCs w:val="24"/>
                <w:highlight w:val="none"/>
              </w:rPr>
            </w:pPr>
          </w:p>
          <w:p w14:paraId="12090E96">
            <w:pPr>
              <w:spacing w:line="248" w:lineRule="auto"/>
              <w:rPr>
                <w:rFonts w:hint="eastAsia" w:ascii="宋体" w:hAnsi="宋体" w:eastAsia="宋体" w:cs="宋体"/>
                <w:color w:val="auto"/>
                <w:sz w:val="24"/>
                <w:szCs w:val="24"/>
                <w:highlight w:val="none"/>
              </w:rPr>
            </w:pPr>
          </w:p>
          <w:p w14:paraId="6078FDCC">
            <w:pPr>
              <w:spacing w:line="248" w:lineRule="auto"/>
              <w:rPr>
                <w:rFonts w:hint="eastAsia" w:ascii="宋体" w:hAnsi="宋体" w:eastAsia="宋体" w:cs="宋体"/>
                <w:color w:val="auto"/>
                <w:sz w:val="24"/>
                <w:szCs w:val="24"/>
                <w:highlight w:val="none"/>
              </w:rPr>
            </w:pPr>
          </w:p>
          <w:p w14:paraId="49F81FD7">
            <w:pPr>
              <w:spacing w:line="248" w:lineRule="auto"/>
              <w:rPr>
                <w:rFonts w:hint="eastAsia" w:ascii="宋体" w:hAnsi="宋体" w:eastAsia="宋体" w:cs="宋体"/>
                <w:color w:val="auto"/>
                <w:sz w:val="24"/>
                <w:szCs w:val="24"/>
                <w:highlight w:val="none"/>
              </w:rPr>
            </w:pPr>
          </w:p>
          <w:p w14:paraId="1367994D">
            <w:pPr>
              <w:spacing w:line="248" w:lineRule="auto"/>
              <w:rPr>
                <w:rFonts w:hint="eastAsia" w:ascii="宋体" w:hAnsi="宋体" w:eastAsia="宋体" w:cs="宋体"/>
                <w:color w:val="auto"/>
                <w:sz w:val="24"/>
                <w:szCs w:val="24"/>
                <w:highlight w:val="none"/>
              </w:rPr>
            </w:pPr>
          </w:p>
          <w:p w14:paraId="480FFD6E">
            <w:pPr>
              <w:spacing w:line="248" w:lineRule="auto"/>
              <w:rPr>
                <w:rFonts w:hint="eastAsia" w:ascii="宋体" w:hAnsi="宋体" w:eastAsia="宋体" w:cs="宋体"/>
                <w:color w:val="auto"/>
                <w:sz w:val="24"/>
                <w:szCs w:val="24"/>
                <w:highlight w:val="none"/>
              </w:rPr>
            </w:pPr>
          </w:p>
          <w:p w14:paraId="7DCE820F">
            <w:pPr>
              <w:spacing w:line="248" w:lineRule="auto"/>
              <w:rPr>
                <w:rFonts w:hint="eastAsia" w:ascii="宋体" w:hAnsi="宋体" w:eastAsia="宋体" w:cs="宋体"/>
                <w:color w:val="auto"/>
                <w:sz w:val="24"/>
                <w:szCs w:val="24"/>
                <w:highlight w:val="none"/>
              </w:rPr>
            </w:pPr>
          </w:p>
          <w:p w14:paraId="6BF7C722">
            <w:pPr>
              <w:spacing w:line="248" w:lineRule="auto"/>
              <w:rPr>
                <w:rFonts w:hint="eastAsia" w:ascii="宋体" w:hAnsi="宋体" w:eastAsia="宋体" w:cs="宋体"/>
                <w:color w:val="auto"/>
                <w:sz w:val="24"/>
                <w:szCs w:val="24"/>
                <w:highlight w:val="none"/>
              </w:rPr>
            </w:pPr>
          </w:p>
          <w:p w14:paraId="4F247F2B">
            <w:pPr>
              <w:spacing w:line="248" w:lineRule="auto"/>
              <w:rPr>
                <w:rFonts w:hint="eastAsia" w:ascii="宋体" w:hAnsi="宋体" w:eastAsia="宋体" w:cs="宋体"/>
                <w:color w:val="auto"/>
                <w:sz w:val="24"/>
                <w:szCs w:val="24"/>
                <w:highlight w:val="none"/>
              </w:rPr>
            </w:pPr>
          </w:p>
          <w:p w14:paraId="3D210DA1">
            <w:pPr>
              <w:spacing w:line="248" w:lineRule="auto"/>
              <w:rPr>
                <w:rFonts w:hint="eastAsia" w:ascii="宋体" w:hAnsi="宋体" w:eastAsia="宋体" w:cs="宋体"/>
                <w:color w:val="auto"/>
                <w:sz w:val="24"/>
                <w:szCs w:val="24"/>
                <w:highlight w:val="none"/>
              </w:rPr>
            </w:pPr>
          </w:p>
          <w:p w14:paraId="0A589C6B">
            <w:pPr>
              <w:spacing w:line="248" w:lineRule="auto"/>
              <w:rPr>
                <w:rFonts w:hint="eastAsia" w:ascii="宋体" w:hAnsi="宋体" w:eastAsia="宋体" w:cs="宋体"/>
                <w:color w:val="auto"/>
                <w:sz w:val="24"/>
                <w:szCs w:val="24"/>
                <w:highlight w:val="none"/>
              </w:rPr>
            </w:pPr>
          </w:p>
          <w:p w14:paraId="2359EC37">
            <w:pPr>
              <w:spacing w:line="248" w:lineRule="auto"/>
              <w:rPr>
                <w:rFonts w:hint="eastAsia" w:ascii="宋体" w:hAnsi="宋体" w:eastAsia="宋体" w:cs="宋体"/>
                <w:color w:val="auto"/>
                <w:sz w:val="24"/>
                <w:szCs w:val="24"/>
                <w:highlight w:val="none"/>
              </w:rPr>
            </w:pPr>
          </w:p>
          <w:p w14:paraId="35D5F525">
            <w:pPr>
              <w:spacing w:line="249" w:lineRule="auto"/>
              <w:rPr>
                <w:rFonts w:hint="eastAsia" w:ascii="宋体" w:hAnsi="宋体" w:eastAsia="宋体" w:cs="宋体"/>
                <w:color w:val="auto"/>
                <w:sz w:val="24"/>
                <w:szCs w:val="24"/>
                <w:highlight w:val="none"/>
              </w:rPr>
            </w:pPr>
          </w:p>
          <w:p w14:paraId="791CF2E3">
            <w:pPr>
              <w:spacing w:line="249" w:lineRule="auto"/>
              <w:rPr>
                <w:rFonts w:hint="eastAsia" w:ascii="宋体" w:hAnsi="宋体" w:eastAsia="宋体" w:cs="宋体"/>
                <w:color w:val="auto"/>
                <w:sz w:val="24"/>
                <w:szCs w:val="24"/>
                <w:highlight w:val="none"/>
              </w:rPr>
            </w:pPr>
          </w:p>
          <w:p w14:paraId="5333838B">
            <w:pPr>
              <w:spacing w:line="249" w:lineRule="auto"/>
              <w:rPr>
                <w:rFonts w:hint="eastAsia" w:ascii="宋体" w:hAnsi="宋体" w:eastAsia="宋体" w:cs="宋体"/>
                <w:color w:val="auto"/>
                <w:sz w:val="24"/>
                <w:szCs w:val="24"/>
                <w:highlight w:val="none"/>
              </w:rPr>
            </w:pPr>
          </w:p>
          <w:p w14:paraId="1544F022">
            <w:pPr>
              <w:pStyle w:val="30"/>
              <w:spacing w:before="68" w:line="182" w:lineRule="auto"/>
              <w:ind w:left="19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2.2.3</w:t>
            </w:r>
          </w:p>
        </w:tc>
        <w:tc>
          <w:tcPr>
            <w:tcW w:w="1123" w:type="dxa"/>
            <w:vMerge w:val="restart"/>
            <w:tcBorders>
              <w:bottom w:val="nil"/>
            </w:tcBorders>
            <w:vAlign w:val="top"/>
          </w:tcPr>
          <w:p w14:paraId="56A58EDF">
            <w:pPr>
              <w:spacing w:line="251" w:lineRule="auto"/>
              <w:rPr>
                <w:rFonts w:hint="eastAsia" w:ascii="宋体" w:hAnsi="宋体" w:eastAsia="宋体" w:cs="宋体"/>
                <w:color w:val="auto"/>
                <w:sz w:val="24"/>
                <w:szCs w:val="24"/>
                <w:highlight w:val="none"/>
              </w:rPr>
            </w:pPr>
          </w:p>
          <w:p w14:paraId="7CFC2B73">
            <w:pPr>
              <w:spacing w:line="252" w:lineRule="auto"/>
              <w:rPr>
                <w:rFonts w:hint="eastAsia" w:ascii="宋体" w:hAnsi="宋体" w:eastAsia="宋体" w:cs="宋体"/>
                <w:color w:val="auto"/>
                <w:sz w:val="24"/>
                <w:szCs w:val="24"/>
                <w:highlight w:val="none"/>
              </w:rPr>
            </w:pPr>
          </w:p>
          <w:p w14:paraId="6757E38F">
            <w:pPr>
              <w:spacing w:line="252" w:lineRule="auto"/>
              <w:rPr>
                <w:rFonts w:hint="eastAsia" w:ascii="宋体" w:hAnsi="宋体" w:eastAsia="宋体" w:cs="宋体"/>
                <w:color w:val="auto"/>
                <w:sz w:val="24"/>
                <w:szCs w:val="24"/>
                <w:highlight w:val="none"/>
              </w:rPr>
            </w:pPr>
          </w:p>
          <w:p w14:paraId="6FB27456">
            <w:pPr>
              <w:spacing w:line="252" w:lineRule="auto"/>
              <w:rPr>
                <w:rFonts w:hint="eastAsia" w:ascii="宋体" w:hAnsi="宋体" w:eastAsia="宋体" w:cs="宋体"/>
                <w:color w:val="auto"/>
                <w:sz w:val="24"/>
                <w:szCs w:val="24"/>
                <w:highlight w:val="none"/>
              </w:rPr>
            </w:pPr>
          </w:p>
          <w:p w14:paraId="0B61C578">
            <w:pPr>
              <w:spacing w:line="252" w:lineRule="auto"/>
              <w:rPr>
                <w:rFonts w:hint="eastAsia" w:ascii="宋体" w:hAnsi="宋体" w:eastAsia="宋体" w:cs="宋体"/>
                <w:color w:val="auto"/>
                <w:sz w:val="24"/>
                <w:szCs w:val="24"/>
                <w:highlight w:val="none"/>
              </w:rPr>
            </w:pPr>
          </w:p>
          <w:p w14:paraId="20F5308E">
            <w:pPr>
              <w:spacing w:line="252" w:lineRule="auto"/>
              <w:rPr>
                <w:rFonts w:hint="eastAsia" w:ascii="宋体" w:hAnsi="宋体" w:eastAsia="宋体" w:cs="宋体"/>
                <w:color w:val="auto"/>
                <w:sz w:val="24"/>
                <w:szCs w:val="24"/>
                <w:highlight w:val="none"/>
              </w:rPr>
            </w:pPr>
          </w:p>
          <w:p w14:paraId="74119459">
            <w:pPr>
              <w:spacing w:line="252" w:lineRule="auto"/>
              <w:rPr>
                <w:rFonts w:hint="eastAsia" w:ascii="宋体" w:hAnsi="宋体" w:eastAsia="宋体" w:cs="宋体"/>
                <w:color w:val="auto"/>
                <w:sz w:val="24"/>
                <w:szCs w:val="24"/>
                <w:highlight w:val="none"/>
              </w:rPr>
            </w:pPr>
          </w:p>
          <w:p w14:paraId="553F625D">
            <w:pPr>
              <w:spacing w:line="252" w:lineRule="auto"/>
              <w:rPr>
                <w:rFonts w:hint="eastAsia" w:ascii="宋体" w:hAnsi="宋体" w:eastAsia="宋体" w:cs="宋体"/>
                <w:color w:val="auto"/>
                <w:sz w:val="24"/>
                <w:szCs w:val="24"/>
                <w:highlight w:val="none"/>
              </w:rPr>
            </w:pPr>
          </w:p>
          <w:p w14:paraId="5B424DFF">
            <w:pPr>
              <w:spacing w:line="252" w:lineRule="auto"/>
              <w:rPr>
                <w:rFonts w:hint="eastAsia" w:ascii="宋体" w:hAnsi="宋体" w:eastAsia="宋体" w:cs="宋体"/>
                <w:color w:val="auto"/>
                <w:sz w:val="24"/>
                <w:szCs w:val="24"/>
                <w:highlight w:val="none"/>
              </w:rPr>
            </w:pPr>
          </w:p>
          <w:p w14:paraId="3622A9CB">
            <w:pPr>
              <w:spacing w:line="252" w:lineRule="auto"/>
              <w:rPr>
                <w:rFonts w:hint="eastAsia" w:ascii="宋体" w:hAnsi="宋体" w:eastAsia="宋体" w:cs="宋体"/>
                <w:color w:val="auto"/>
                <w:sz w:val="24"/>
                <w:szCs w:val="24"/>
                <w:highlight w:val="none"/>
              </w:rPr>
            </w:pPr>
          </w:p>
          <w:p w14:paraId="2B1C1291">
            <w:pPr>
              <w:spacing w:line="252" w:lineRule="auto"/>
              <w:rPr>
                <w:rFonts w:hint="eastAsia" w:ascii="宋体" w:hAnsi="宋体" w:eastAsia="宋体" w:cs="宋体"/>
                <w:color w:val="auto"/>
                <w:sz w:val="24"/>
                <w:szCs w:val="24"/>
                <w:highlight w:val="none"/>
              </w:rPr>
            </w:pPr>
          </w:p>
          <w:p w14:paraId="2BD3D777">
            <w:pPr>
              <w:spacing w:line="252" w:lineRule="auto"/>
              <w:rPr>
                <w:rFonts w:hint="eastAsia" w:ascii="宋体" w:hAnsi="宋体" w:eastAsia="宋体" w:cs="宋体"/>
                <w:color w:val="auto"/>
                <w:sz w:val="24"/>
                <w:szCs w:val="24"/>
                <w:highlight w:val="none"/>
              </w:rPr>
            </w:pPr>
          </w:p>
          <w:p w14:paraId="019098DF">
            <w:pPr>
              <w:spacing w:line="252" w:lineRule="auto"/>
              <w:rPr>
                <w:rFonts w:hint="eastAsia" w:ascii="宋体" w:hAnsi="宋体" w:eastAsia="宋体" w:cs="宋体"/>
                <w:color w:val="auto"/>
                <w:sz w:val="24"/>
                <w:szCs w:val="24"/>
                <w:highlight w:val="none"/>
              </w:rPr>
            </w:pPr>
          </w:p>
          <w:p w14:paraId="278BF67E">
            <w:pPr>
              <w:spacing w:line="252" w:lineRule="auto"/>
              <w:rPr>
                <w:rFonts w:hint="eastAsia" w:ascii="宋体" w:hAnsi="宋体" w:eastAsia="宋体" w:cs="宋体"/>
                <w:color w:val="auto"/>
                <w:sz w:val="24"/>
                <w:szCs w:val="24"/>
                <w:highlight w:val="none"/>
              </w:rPr>
            </w:pPr>
          </w:p>
          <w:p w14:paraId="4922599D">
            <w:pPr>
              <w:spacing w:line="252" w:lineRule="auto"/>
              <w:rPr>
                <w:rFonts w:hint="eastAsia" w:ascii="宋体" w:hAnsi="宋体" w:eastAsia="宋体" w:cs="宋体"/>
                <w:color w:val="auto"/>
                <w:sz w:val="24"/>
                <w:szCs w:val="24"/>
                <w:highlight w:val="none"/>
              </w:rPr>
            </w:pPr>
          </w:p>
          <w:p w14:paraId="584F0E89">
            <w:pPr>
              <w:pStyle w:val="30"/>
              <w:spacing w:before="69" w:line="267" w:lineRule="auto"/>
              <w:ind w:left="254" w:right="138" w:hanging="98"/>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响应性评</w:t>
            </w:r>
            <w:r>
              <w:rPr>
                <w:rFonts w:hint="eastAsia" w:ascii="宋体" w:hAnsi="宋体" w:eastAsia="宋体" w:cs="宋体"/>
                <w:color w:val="auto"/>
                <w:spacing w:val="-3"/>
                <w:sz w:val="24"/>
                <w:szCs w:val="24"/>
                <w:highlight w:val="none"/>
              </w:rPr>
              <w:t>审标准</w:t>
            </w:r>
          </w:p>
        </w:tc>
        <w:tc>
          <w:tcPr>
            <w:tcW w:w="1882" w:type="dxa"/>
            <w:vAlign w:val="center"/>
          </w:tcPr>
          <w:p w14:paraId="4BC251CD">
            <w:pPr>
              <w:pStyle w:val="30"/>
              <w:spacing w:before="80" w:line="207"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w:t>
            </w:r>
          </w:p>
        </w:tc>
        <w:tc>
          <w:tcPr>
            <w:tcW w:w="5277" w:type="dxa"/>
            <w:vAlign w:val="top"/>
          </w:tcPr>
          <w:p w14:paraId="0552C2E5">
            <w:pPr>
              <w:pStyle w:val="30"/>
              <w:spacing w:before="80" w:line="207"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3"/>
                <w:sz w:val="24"/>
                <w:szCs w:val="24"/>
                <w:highlight w:val="none"/>
              </w:rPr>
              <w:t>3.2</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款规定</w:t>
            </w:r>
          </w:p>
        </w:tc>
      </w:tr>
      <w:tr w14:paraId="682F4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04" w:type="dxa"/>
            <w:vMerge w:val="continue"/>
            <w:tcBorders>
              <w:top w:val="nil"/>
              <w:bottom w:val="nil"/>
            </w:tcBorders>
            <w:vAlign w:val="top"/>
          </w:tcPr>
          <w:p w14:paraId="7BFA15CA">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05644D3A">
            <w:pPr>
              <w:rPr>
                <w:rFonts w:hint="eastAsia" w:ascii="宋体" w:hAnsi="宋体" w:eastAsia="宋体" w:cs="宋体"/>
                <w:color w:val="auto"/>
                <w:sz w:val="24"/>
                <w:szCs w:val="24"/>
                <w:highlight w:val="none"/>
              </w:rPr>
            </w:pPr>
          </w:p>
        </w:tc>
        <w:tc>
          <w:tcPr>
            <w:tcW w:w="1882" w:type="dxa"/>
            <w:vAlign w:val="center"/>
          </w:tcPr>
          <w:p w14:paraId="3A70FCCD">
            <w:pPr>
              <w:pStyle w:val="30"/>
              <w:spacing w:before="78" w:line="207"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投标内容</w:t>
            </w:r>
          </w:p>
        </w:tc>
        <w:tc>
          <w:tcPr>
            <w:tcW w:w="5277" w:type="dxa"/>
            <w:vAlign w:val="top"/>
          </w:tcPr>
          <w:p w14:paraId="51FCC08C">
            <w:pPr>
              <w:pStyle w:val="30"/>
              <w:spacing w:before="78" w:line="207"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1.3.1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73CBF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904" w:type="dxa"/>
            <w:vMerge w:val="continue"/>
            <w:tcBorders>
              <w:top w:val="nil"/>
              <w:bottom w:val="nil"/>
            </w:tcBorders>
            <w:vAlign w:val="top"/>
          </w:tcPr>
          <w:p w14:paraId="76267A66">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384EF347">
            <w:pPr>
              <w:rPr>
                <w:rFonts w:hint="eastAsia" w:ascii="宋体" w:hAnsi="宋体" w:eastAsia="宋体" w:cs="宋体"/>
                <w:color w:val="auto"/>
                <w:sz w:val="24"/>
                <w:szCs w:val="24"/>
                <w:highlight w:val="none"/>
              </w:rPr>
            </w:pPr>
          </w:p>
        </w:tc>
        <w:tc>
          <w:tcPr>
            <w:tcW w:w="1882" w:type="dxa"/>
            <w:vAlign w:val="center"/>
          </w:tcPr>
          <w:p w14:paraId="3EC25B8C">
            <w:pPr>
              <w:pStyle w:val="30"/>
              <w:spacing w:before="80" w:line="20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工期</w:t>
            </w:r>
          </w:p>
        </w:tc>
        <w:tc>
          <w:tcPr>
            <w:tcW w:w="5277" w:type="dxa"/>
            <w:vAlign w:val="top"/>
          </w:tcPr>
          <w:p w14:paraId="1F80EBE9">
            <w:pPr>
              <w:pStyle w:val="30"/>
              <w:spacing w:before="80" w:line="20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1.3.2</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32761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04" w:type="dxa"/>
            <w:vMerge w:val="continue"/>
            <w:tcBorders>
              <w:top w:val="nil"/>
              <w:bottom w:val="nil"/>
            </w:tcBorders>
            <w:vAlign w:val="top"/>
          </w:tcPr>
          <w:p w14:paraId="7FB6F436">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7C277E03">
            <w:pPr>
              <w:rPr>
                <w:rFonts w:hint="eastAsia" w:ascii="宋体" w:hAnsi="宋体" w:eastAsia="宋体" w:cs="宋体"/>
                <w:color w:val="auto"/>
                <w:sz w:val="24"/>
                <w:szCs w:val="24"/>
                <w:highlight w:val="none"/>
              </w:rPr>
            </w:pPr>
          </w:p>
        </w:tc>
        <w:tc>
          <w:tcPr>
            <w:tcW w:w="1882" w:type="dxa"/>
            <w:vAlign w:val="center"/>
          </w:tcPr>
          <w:p w14:paraId="25FF7855">
            <w:pPr>
              <w:pStyle w:val="30"/>
              <w:spacing w:before="77" w:line="20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质量标准</w:t>
            </w:r>
          </w:p>
        </w:tc>
        <w:tc>
          <w:tcPr>
            <w:tcW w:w="5277" w:type="dxa"/>
            <w:vAlign w:val="top"/>
          </w:tcPr>
          <w:p w14:paraId="5F3DCA3C">
            <w:pPr>
              <w:pStyle w:val="30"/>
              <w:spacing w:before="77" w:line="20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1.3.3</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6C7CC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tcBorders>
              <w:top w:val="nil"/>
              <w:bottom w:val="nil"/>
            </w:tcBorders>
            <w:vAlign w:val="top"/>
          </w:tcPr>
          <w:p w14:paraId="4CE34E87">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3133C1E4">
            <w:pPr>
              <w:rPr>
                <w:rFonts w:hint="eastAsia" w:ascii="宋体" w:hAnsi="宋体" w:eastAsia="宋体" w:cs="宋体"/>
                <w:color w:val="auto"/>
                <w:sz w:val="24"/>
                <w:szCs w:val="24"/>
                <w:highlight w:val="none"/>
              </w:rPr>
            </w:pPr>
          </w:p>
        </w:tc>
        <w:tc>
          <w:tcPr>
            <w:tcW w:w="1882" w:type="dxa"/>
            <w:vAlign w:val="center"/>
          </w:tcPr>
          <w:p w14:paraId="110B6F7E">
            <w:pPr>
              <w:pStyle w:val="30"/>
              <w:spacing w:before="79" w:line="20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安全目标</w:t>
            </w:r>
          </w:p>
        </w:tc>
        <w:tc>
          <w:tcPr>
            <w:tcW w:w="5277" w:type="dxa"/>
            <w:vAlign w:val="top"/>
          </w:tcPr>
          <w:p w14:paraId="3DE691E5">
            <w:pPr>
              <w:pStyle w:val="30"/>
              <w:spacing w:before="79" w:line="20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1.3.4</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7AF67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04" w:type="dxa"/>
            <w:vMerge w:val="continue"/>
            <w:tcBorders>
              <w:top w:val="nil"/>
              <w:bottom w:val="nil"/>
            </w:tcBorders>
            <w:vAlign w:val="top"/>
          </w:tcPr>
          <w:p w14:paraId="73466969">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2F8CB21F">
            <w:pPr>
              <w:rPr>
                <w:rFonts w:hint="eastAsia" w:ascii="宋体" w:hAnsi="宋体" w:eastAsia="宋体" w:cs="宋体"/>
                <w:color w:val="auto"/>
                <w:sz w:val="24"/>
                <w:szCs w:val="24"/>
                <w:highlight w:val="none"/>
              </w:rPr>
            </w:pPr>
          </w:p>
        </w:tc>
        <w:tc>
          <w:tcPr>
            <w:tcW w:w="1882" w:type="dxa"/>
            <w:vAlign w:val="center"/>
          </w:tcPr>
          <w:p w14:paraId="188D3536">
            <w:pPr>
              <w:pStyle w:val="30"/>
              <w:spacing w:before="77" w:line="20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环保目标</w:t>
            </w:r>
          </w:p>
        </w:tc>
        <w:tc>
          <w:tcPr>
            <w:tcW w:w="5277" w:type="dxa"/>
            <w:vAlign w:val="top"/>
          </w:tcPr>
          <w:p w14:paraId="0EC67899">
            <w:pPr>
              <w:pStyle w:val="30"/>
              <w:spacing w:before="77" w:line="20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1.3.5</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0991A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tcBorders>
              <w:top w:val="nil"/>
              <w:bottom w:val="nil"/>
            </w:tcBorders>
            <w:vAlign w:val="top"/>
          </w:tcPr>
          <w:p w14:paraId="6564BE96">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0CE41CD3">
            <w:pPr>
              <w:rPr>
                <w:rFonts w:hint="eastAsia" w:ascii="宋体" w:hAnsi="宋体" w:eastAsia="宋体" w:cs="宋体"/>
                <w:color w:val="auto"/>
                <w:sz w:val="24"/>
                <w:szCs w:val="24"/>
                <w:highlight w:val="none"/>
              </w:rPr>
            </w:pPr>
          </w:p>
        </w:tc>
        <w:tc>
          <w:tcPr>
            <w:tcW w:w="1882" w:type="dxa"/>
            <w:vAlign w:val="center"/>
          </w:tcPr>
          <w:p w14:paraId="223EEF72">
            <w:pPr>
              <w:pStyle w:val="30"/>
              <w:spacing w:before="79" w:line="20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投标有效期</w:t>
            </w:r>
          </w:p>
        </w:tc>
        <w:tc>
          <w:tcPr>
            <w:tcW w:w="5277" w:type="dxa"/>
            <w:vAlign w:val="top"/>
          </w:tcPr>
          <w:p w14:paraId="2FCE9F3F">
            <w:pPr>
              <w:pStyle w:val="30"/>
              <w:spacing w:before="79" w:line="20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3"/>
                <w:sz w:val="24"/>
                <w:szCs w:val="24"/>
                <w:highlight w:val="none"/>
              </w:rPr>
              <w:t>3.3.1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项规定</w:t>
            </w:r>
          </w:p>
        </w:tc>
      </w:tr>
      <w:tr w14:paraId="4655F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04" w:type="dxa"/>
            <w:vMerge w:val="continue"/>
            <w:tcBorders>
              <w:top w:val="nil"/>
              <w:bottom w:val="nil"/>
            </w:tcBorders>
            <w:vAlign w:val="top"/>
          </w:tcPr>
          <w:p w14:paraId="699EA043">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49FC7F00">
            <w:pPr>
              <w:rPr>
                <w:rFonts w:hint="eastAsia" w:ascii="宋体" w:hAnsi="宋体" w:eastAsia="宋体" w:cs="宋体"/>
                <w:color w:val="auto"/>
                <w:sz w:val="24"/>
                <w:szCs w:val="24"/>
                <w:highlight w:val="none"/>
              </w:rPr>
            </w:pPr>
          </w:p>
        </w:tc>
        <w:tc>
          <w:tcPr>
            <w:tcW w:w="1882" w:type="dxa"/>
            <w:vAlign w:val="center"/>
          </w:tcPr>
          <w:p w14:paraId="3B401819">
            <w:pPr>
              <w:pStyle w:val="30"/>
              <w:spacing w:before="77" w:line="20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投标保证金</w:t>
            </w:r>
          </w:p>
        </w:tc>
        <w:tc>
          <w:tcPr>
            <w:tcW w:w="5277" w:type="dxa"/>
            <w:vAlign w:val="top"/>
          </w:tcPr>
          <w:p w14:paraId="6072CC20">
            <w:pPr>
              <w:pStyle w:val="30"/>
              <w:spacing w:before="77" w:line="20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3"/>
                <w:sz w:val="24"/>
                <w:szCs w:val="24"/>
                <w:highlight w:val="none"/>
              </w:rPr>
              <w:t>3.4.1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项规定</w:t>
            </w:r>
          </w:p>
        </w:tc>
      </w:tr>
      <w:tr w14:paraId="0887B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tcBorders>
              <w:top w:val="nil"/>
              <w:bottom w:val="nil"/>
            </w:tcBorders>
            <w:vAlign w:val="top"/>
          </w:tcPr>
          <w:p w14:paraId="03CD4E71">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04DCA745">
            <w:pPr>
              <w:rPr>
                <w:rFonts w:hint="eastAsia" w:ascii="宋体" w:hAnsi="宋体" w:eastAsia="宋体" w:cs="宋体"/>
                <w:color w:val="auto"/>
                <w:sz w:val="24"/>
                <w:szCs w:val="24"/>
                <w:highlight w:val="none"/>
              </w:rPr>
            </w:pPr>
          </w:p>
        </w:tc>
        <w:tc>
          <w:tcPr>
            <w:tcW w:w="1882" w:type="dxa"/>
            <w:vAlign w:val="center"/>
          </w:tcPr>
          <w:p w14:paraId="016B38E8">
            <w:pPr>
              <w:pStyle w:val="30"/>
              <w:spacing w:before="237"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权利义务</w:t>
            </w:r>
          </w:p>
        </w:tc>
        <w:tc>
          <w:tcPr>
            <w:tcW w:w="5277" w:type="dxa"/>
            <w:vAlign w:val="top"/>
          </w:tcPr>
          <w:p w14:paraId="55F8E7AE">
            <w:pPr>
              <w:pStyle w:val="30"/>
              <w:spacing w:before="79" w:line="244" w:lineRule="auto"/>
              <w:ind w:left="114" w:right="15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符合第四章“合同条款及格式”中的实质性要求</w:t>
            </w:r>
            <w:r>
              <w:rPr>
                <w:rFonts w:hint="eastAsia" w:ascii="宋体" w:hAnsi="宋体" w:eastAsia="宋体" w:cs="宋体"/>
                <w:color w:val="auto"/>
                <w:spacing w:val="-2"/>
                <w:sz w:val="24"/>
                <w:szCs w:val="24"/>
                <w:highlight w:val="none"/>
              </w:rPr>
              <w:t>和条件</w:t>
            </w:r>
          </w:p>
        </w:tc>
      </w:tr>
      <w:tr w14:paraId="1C4F0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tcBorders>
              <w:top w:val="nil"/>
              <w:bottom w:val="nil"/>
            </w:tcBorders>
            <w:vAlign w:val="top"/>
          </w:tcPr>
          <w:p w14:paraId="4199E8A9">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271FC4FF">
            <w:pPr>
              <w:rPr>
                <w:rFonts w:hint="eastAsia" w:ascii="宋体" w:hAnsi="宋体" w:eastAsia="宋体" w:cs="宋体"/>
                <w:color w:val="auto"/>
                <w:sz w:val="24"/>
                <w:szCs w:val="24"/>
                <w:highlight w:val="none"/>
              </w:rPr>
            </w:pPr>
          </w:p>
        </w:tc>
        <w:tc>
          <w:tcPr>
            <w:tcW w:w="1882" w:type="dxa"/>
            <w:vAlign w:val="center"/>
          </w:tcPr>
          <w:p w14:paraId="7E5D5B5F">
            <w:pPr>
              <w:pStyle w:val="30"/>
              <w:spacing w:before="78" w:line="20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技术标准和要求</w:t>
            </w:r>
          </w:p>
        </w:tc>
        <w:tc>
          <w:tcPr>
            <w:tcW w:w="5277" w:type="dxa"/>
            <w:vAlign w:val="top"/>
          </w:tcPr>
          <w:p w14:paraId="2AEA1566">
            <w:pPr>
              <w:pStyle w:val="30"/>
              <w:spacing w:before="78" w:line="209"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符合第七章“技术标准和要求”规定</w:t>
            </w:r>
          </w:p>
        </w:tc>
      </w:tr>
      <w:tr w14:paraId="7F098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6" w:hRule="atLeast"/>
        </w:trPr>
        <w:tc>
          <w:tcPr>
            <w:tcW w:w="904" w:type="dxa"/>
            <w:vMerge w:val="continue"/>
            <w:tcBorders>
              <w:top w:val="nil"/>
              <w:bottom w:val="nil"/>
            </w:tcBorders>
            <w:vAlign w:val="top"/>
          </w:tcPr>
          <w:p w14:paraId="771D356D">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49AD1926">
            <w:pPr>
              <w:rPr>
                <w:rFonts w:hint="eastAsia" w:ascii="宋体" w:hAnsi="宋体" w:eastAsia="宋体" w:cs="宋体"/>
                <w:color w:val="auto"/>
                <w:sz w:val="24"/>
                <w:szCs w:val="24"/>
                <w:highlight w:val="none"/>
              </w:rPr>
            </w:pPr>
          </w:p>
        </w:tc>
        <w:tc>
          <w:tcPr>
            <w:tcW w:w="1882" w:type="dxa"/>
            <w:vAlign w:val="center"/>
          </w:tcPr>
          <w:p w14:paraId="65BA97E6">
            <w:pPr>
              <w:spacing w:line="281" w:lineRule="auto"/>
              <w:jc w:val="center"/>
              <w:rPr>
                <w:rFonts w:hint="eastAsia" w:ascii="宋体" w:hAnsi="宋体" w:eastAsia="宋体" w:cs="宋体"/>
                <w:color w:val="auto"/>
                <w:sz w:val="24"/>
                <w:szCs w:val="24"/>
                <w:highlight w:val="none"/>
              </w:rPr>
            </w:pPr>
          </w:p>
          <w:p w14:paraId="522662A1">
            <w:pPr>
              <w:spacing w:line="281" w:lineRule="auto"/>
              <w:jc w:val="center"/>
              <w:rPr>
                <w:rFonts w:hint="eastAsia" w:ascii="宋体" w:hAnsi="宋体" w:eastAsia="宋体" w:cs="宋体"/>
                <w:color w:val="auto"/>
                <w:sz w:val="24"/>
                <w:szCs w:val="24"/>
                <w:highlight w:val="none"/>
              </w:rPr>
            </w:pPr>
          </w:p>
          <w:p w14:paraId="7B452452">
            <w:pPr>
              <w:spacing w:line="281" w:lineRule="auto"/>
              <w:jc w:val="center"/>
              <w:rPr>
                <w:rFonts w:hint="eastAsia" w:ascii="宋体" w:hAnsi="宋体" w:eastAsia="宋体" w:cs="宋体"/>
                <w:color w:val="auto"/>
                <w:sz w:val="24"/>
                <w:szCs w:val="24"/>
                <w:highlight w:val="none"/>
              </w:rPr>
            </w:pPr>
          </w:p>
          <w:p w14:paraId="60BDDF10">
            <w:pPr>
              <w:spacing w:line="281" w:lineRule="auto"/>
              <w:jc w:val="center"/>
              <w:rPr>
                <w:rFonts w:hint="eastAsia" w:ascii="宋体" w:hAnsi="宋体" w:eastAsia="宋体" w:cs="宋体"/>
                <w:color w:val="auto"/>
                <w:sz w:val="24"/>
                <w:szCs w:val="24"/>
                <w:highlight w:val="none"/>
              </w:rPr>
            </w:pPr>
          </w:p>
          <w:p w14:paraId="5BD7C5C8">
            <w:pPr>
              <w:pStyle w:val="30"/>
              <w:spacing w:before="68"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投标报价偏差</w:t>
            </w:r>
          </w:p>
        </w:tc>
        <w:tc>
          <w:tcPr>
            <w:tcW w:w="5277" w:type="dxa"/>
            <w:vAlign w:val="top"/>
          </w:tcPr>
          <w:p w14:paraId="1A5BE320">
            <w:pPr>
              <w:pStyle w:val="30"/>
              <w:spacing w:before="79" w:line="272" w:lineRule="auto"/>
              <w:ind w:left="113" w:right="45" w:firstLine="1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因投标人原因造成投标报价累计缺漏金额（多报金额不得抵销缺漏金额，缺漏金额计算时按照最</w:t>
            </w:r>
            <w:r>
              <w:rPr>
                <w:rFonts w:hint="eastAsia" w:ascii="宋体" w:hAnsi="宋体" w:eastAsia="宋体" w:cs="宋体"/>
                <w:color w:val="auto"/>
                <w:spacing w:val="-8"/>
                <w:sz w:val="24"/>
                <w:szCs w:val="24"/>
                <w:highlight w:val="none"/>
              </w:rPr>
              <w:t>高投标限价相应数据计算）占投标报价未超过</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1"/>
                <w:sz w:val="24"/>
                <w:szCs w:val="24"/>
                <w:highlight w:val="none"/>
              </w:rPr>
              <w:t>也未影响各投标人开标记录表中的投标价排序。凡招标文件要求或者工程量清单计价规范规定应计算的费用而投标人未报，且投标文件未阐明充分理由，并不能提供足够证据者，均视为缺漏金</w:t>
            </w:r>
            <w:r>
              <w:rPr>
                <w:rFonts w:hint="eastAsia" w:ascii="宋体" w:hAnsi="宋体" w:eastAsia="宋体" w:cs="宋体"/>
                <w:color w:val="auto"/>
                <w:spacing w:val="-10"/>
                <w:sz w:val="24"/>
                <w:szCs w:val="24"/>
                <w:highlight w:val="none"/>
              </w:rPr>
              <w:t>额。</w:t>
            </w:r>
          </w:p>
        </w:tc>
      </w:tr>
      <w:tr w14:paraId="74FDD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904" w:type="dxa"/>
            <w:vMerge w:val="continue"/>
            <w:tcBorders>
              <w:top w:val="nil"/>
              <w:bottom w:val="nil"/>
            </w:tcBorders>
            <w:vAlign w:val="top"/>
          </w:tcPr>
          <w:p w14:paraId="500571FE">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1F412A2C">
            <w:pPr>
              <w:rPr>
                <w:rFonts w:hint="eastAsia" w:ascii="宋体" w:hAnsi="宋体" w:eastAsia="宋体" w:cs="宋体"/>
                <w:color w:val="auto"/>
                <w:sz w:val="24"/>
                <w:szCs w:val="24"/>
                <w:highlight w:val="none"/>
              </w:rPr>
            </w:pPr>
          </w:p>
        </w:tc>
        <w:tc>
          <w:tcPr>
            <w:tcW w:w="1882" w:type="dxa"/>
            <w:vAlign w:val="center"/>
          </w:tcPr>
          <w:p w14:paraId="1A1B80CE">
            <w:pPr>
              <w:spacing w:line="278" w:lineRule="auto"/>
              <w:jc w:val="center"/>
              <w:rPr>
                <w:rFonts w:hint="eastAsia" w:ascii="宋体" w:hAnsi="宋体" w:eastAsia="宋体" w:cs="宋体"/>
                <w:color w:val="auto"/>
                <w:sz w:val="24"/>
                <w:szCs w:val="24"/>
                <w:highlight w:val="none"/>
              </w:rPr>
            </w:pPr>
          </w:p>
          <w:p w14:paraId="141C8A8D">
            <w:pPr>
              <w:spacing w:line="278" w:lineRule="auto"/>
              <w:jc w:val="center"/>
              <w:rPr>
                <w:rFonts w:hint="eastAsia" w:ascii="宋体" w:hAnsi="宋体" w:eastAsia="宋体" w:cs="宋体"/>
                <w:color w:val="auto"/>
                <w:sz w:val="24"/>
                <w:szCs w:val="24"/>
                <w:highlight w:val="none"/>
              </w:rPr>
            </w:pPr>
          </w:p>
          <w:p w14:paraId="15EFA86D">
            <w:pPr>
              <w:pStyle w:val="30"/>
              <w:spacing w:before="69"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不平衡报价评审</w:t>
            </w:r>
          </w:p>
        </w:tc>
        <w:tc>
          <w:tcPr>
            <w:tcW w:w="5277" w:type="dxa"/>
            <w:vAlign w:val="top"/>
          </w:tcPr>
          <w:p w14:paraId="4C149557">
            <w:pPr>
              <w:pStyle w:val="30"/>
              <w:spacing w:before="79" w:line="271" w:lineRule="auto"/>
              <w:ind w:left="112" w:right="15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对已标价的工程量清单报价书明显高出最高投标限价对应部分分部分项报价，或与最高投标限价对应部分分部分项报价相比明显降幅过大的情况，并经评标委员会评审后，可认定为恶意不平衡报价，否决其投标。</w:t>
            </w:r>
          </w:p>
        </w:tc>
      </w:tr>
      <w:tr w14:paraId="0EC99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904" w:type="dxa"/>
            <w:vMerge w:val="restart"/>
            <w:vAlign w:val="center"/>
          </w:tcPr>
          <w:p w14:paraId="4D66E12C">
            <w:pPr>
              <w:spacing w:line="251" w:lineRule="auto"/>
              <w:jc w:val="center"/>
              <w:rPr>
                <w:rFonts w:hint="eastAsia" w:ascii="宋体" w:hAnsi="宋体" w:eastAsia="宋体" w:cs="宋体"/>
                <w:color w:val="auto"/>
                <w:sz w:val="24"/>
                <w:szCs w:val="24"/>
                <w:highlight w:val="none"/>
              </w:rPr>
            </w:pPr>
          </w:p>
          <w:p w14:paraId="10756929">
            <w:pPr>
              <w:spacing w:line="251" w:lineRule="auto"/>
              <w:jc w:val="center"/>
              <w:rPr>
                <w:rFonts w:hint="eastAsia" w:ascii="宋体" w:hAnsi="宋体" w:eastAsia="宋体" w:cs="宋体"/>
                <w:color w:val="auto"/>
                <w:sz w:val="24"/>
                <w:szCs w:val="24"/>
                <w:highlight w:val="none"/>
              </w:rPr>
            </w:pPr>
          </w:p>
          <w:p w14:paraId="1481DDFA">
            <w:pPr>
              <w:spacing w:line="252" w:lineRule="auto"/>
              <w:jc w:val="center"/>
              <w:rPr>
                <w:rFonts w:hint="eastAsia" w:ascii="宋体" w:hAnsi="宋体" w:eastAsia="宋体" w:cs="宋体"/>
                <w:color w:val="auto"/>
                <w:sz w:val="24"/>
                <w:szCs w:val="24"/>
                <w:highlight w:val="none"/>
              </w:rPr>
            </w:pPr>
          </w:p>
          <w:p w14:paraId="02D2194C">
            <w:pPr>
              <w:spacing w:line="252" w:lineRule="auto"/>
              <w:jc w:val="center"/>
              <w:rPr>
                <w:rFonts w:hint="eastAsia" w:ascii="宋体" w:hAnsi="宋体" w:eastAsia="宋体" w:cs="宋体"/>
                <w:color w:val="auto"/>
                <w:sz w:val="24"/>
                <w:szCs w:val="24"/>
                <w:highlight w:val="none"/>
              </w:rPr>
            </w:pPr>
          </w:p>
          <w:p w14:paraId="2669532D">
            <w:pPr>
              <w:pStyle w:val="30"/>
              <w:spacing w:before="68" w:line="182" w:lineRule="auto"/>
              <w:ind w:left="197"/>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2.2.4</w:t>
            </w:r>
          </w:p>
        </w:tc>
        <w:tc>
          <w:tcPr>
            <w:tcW w:w="1123" w:type="dxa"/>
            <w:vMerge w:val="restart"/>
            <w:vAlign w:val="center"/>
          </w:tcPr>
          <w:p w14:paraId="6C232868">
            <w:pPr>
              <w:spacing w:line="247" w:lineRule="auto"/>
              <w:jc w:val="center"/>
              <w:rPr>
                <w:rFonts w:hint="eastAsia" w:ascii="宋体" w:hAnsi="宋体" w:eastAsia="宋体" w:cs="宋体"/>
                <w:color w:val="auto"/>
                <w:sz w:val="24"/>
                <w:szCs w:val="24"/>
                <w:highlight w:val="none"/>
              </w:rPr>
            </w:pPr>
          </w:p>
          <w:p w14:paraId="477C43E6">
            <w:pPr>
              <w:spacing w:line="247" w:lineRule="auto"/>
              <w:jc w:val="center"/>
              <w:rPr>
                <w:rFonts w:hint="eastAsia" w:ascii="宋体" w:hAnsi="宋体" w:eastAsia="宋体" w:cs="宋体"/>
                <w:color w:val="auto"/>
                <w:sz w:val="24"/>
                <w:szCs w:val="24"/>
                <w:highlight w:val="none"/>
              </w:rPr>
            </w:pPr>
          </w:p>
          <w:p w14:paraId="031B6C44">
            <w:pPr>
              <w:pStyle w:val="30"/>
              <w:spacing w:before="68" w:line="223" w:lineRule="auto"/>
              <w:ind w:left="144"/>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施工组织</w:t>
            </w:r>
          </w:p>
          <w:p w14:paraId="0DED0147">
            <w:pPr>
              <w:pStyle w:val="30"/>
              <w:spacing w:before="65" w:line="222" w:lineRule="auto"/>
              <w:ind w:left="148"/>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设计和主</w:t>
            </w:r>
          </w:p>
          <w:p w14:paraId="1AB2F26D">
            <w:pPr>
              <w:pStyle w:val="30"/>
              <w:spacing w:before="69" w:line="221" w:lineRule="auto"/>
              <w:ind w:left="146"/>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要人员评</w:t>
            </w:r>
          </w:p>
          <w:p w14:paraId="270D7B64">
            <w:pPr>
              <w:pStyle w:val="30"/>
              <w:spacing w:before="67" w:line="221" w:lineRule="auto"/>
              <w:ind w:left="255"/>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审标准</w:t>
            </w:r>
          </w:p>
        </w:tc>
        <w:tc>
          <w:tcPr>
            <w:tcW w:w="1882" w:type="dxa"/>
            <w:vAlign w:val="center"/>
          </w:tcPr>
          <w:p w14:paraId="087174B6">
            <w:pPr>
              <w:spacing w:line="364" w:lineRule="auto"/>
              <w:jc w:val="center"/>
              <w:rPr>
                <w:rFonts w:hint="eastAsia" w:ascii="宋体" w:hAnsi="宋体" w:eastAsia="宋体" w:cs="宋体"/>
                <w:color w:val="auto"/>
                <w:sz w:val="24"/>
                <w:szCs w:val="24"/>
                <w:highlight w:val="none"/>
              </w:rPr>
            </w:pPr>
          </w:p>
          <w:p w14:paraId="2F9AC08D">
            <w:pPr>
              <w:pStyle w:val="30"/>
              <w:spacing w:before="68"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施工方案与技术措施</w:t>
            </w:r>
          </w:p>
        </w:tc>
        <w:tc>
          <w:tcPr>
            <w:tcW w:w="5277" w:type="dxa"/>
            <w:vAlign w:val="top"/>
          </w:tcPr>
          <w:p w14:paraId="7B8E7A55">
            <w:pPr>
              <w:pStyle w:val="30"/>
              <w:spacing w:before="81" w:line="256" w:lineRule="auto"/>
              <w:ind w:left="112" w:right="31" w:firstLine="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各主要分部施工方法符合项目实际，须有详尽的</w:t>
            </w:r>
            <w:r>
              <w:rPr>
                <w:rFonts w:hint="eastAsia" w:ascii="宋体" w:hAnsi="宋体" w:eastAsia="宋体" w:cs="宋体"/>
                <w:color w:val="auto"/>
                <w:spacing w:val="-4"/>
                <w:sz w:val="24"/>
                <w:szCs w:val="24"/>
                <w:highlight w:val="none"/>
              </w:rPr>
              <w:t>施工方案与技术措施，工艺先进、方法科学合理、</w:t>
            </w:r>
            <w:r>
              <w:rPr>
                <w:rFonts w:hint="eastAsia" w:ascii="宋体" w:hAnsi="宋体" w:eastAsia="宋体" w:cs="宋体"/>
                <w:color w:val="auto"/>
                <w:spacing w:val="-2"/>
                <w:sz w:val="24"/>
                <w:szCs w:val="24"/>
                <w:highlight w:val="none"/>
              </w:rPr>
              <w:t>可行，能指导具体施工并确保安全。</w:t>
            </w:r>
          </w:p>
        </w:tc>
      </w:tr>
      <w:tr w14:paraId="541FD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904" w:type="dxa"/>
            <w:vMerge w:val="continue"/>
            <w:vAlign w:val="top"/>
          </w:tcPr>
          <w:p w14:paraId="05639146">
            <w:pPr>
              <w:rPr>
                <w:rFonts w:hint="eastAsia" w:ascii="宋体" w:hAnsi="宋体" w:eastAsia="宋体" w:cs="宋体"/>
                <w:color w:val="auto"/>
                <w:sz w:val="24"/>
                <w:szCs w:val="24"/>
                <w:highlight w:val="none"/>
              </w:rPr>
            </w:pPr>
          </w:p>
        </w:tc>
        <w:tc>
          <w:tcPr>
            <w:tcW w:w="1123" w:type="dxa"/>
            <w:vMerge w:val="continue"/>
            <w:vAlign w:val="top"/>
          </w:tcPr>
          <w:p w14:paraId="2666F62A">
            <w:pPr>
              <w:rPr>
                <w:rFonts w:hint="eastAsia" w:ascii="宋体" w:hAnsi="宋体" w:eastAsia="宋体" w:cs="宋体"/>
                <w:color w:val="auto"/>
                <w:sz w:val="24"/>
                <w:szCs w:val="24"/>
                <w:highlight w:val="none"/>
              </w:rPr>
            </w:pPr>
          </w:p>
        </w:tc>
        <w:tc>
          <w:tcPr>
            <w:tcW w:w="1882" w:type="dxa"/>
            <w:vAlign w:val="center"/>
          </w:tcPr>
          <w:p w14:paraId="22D830D2">
            <w:pPr>
              <w:spacing w:line="262" w:lineRule="auto"/>
              <w:jc w:val="center"/>
              <w:rPr>
                <w:rFonts w:hint="eastAsia" w:ascii="宋体" w:hAnsi="宋体" w:eastAsia="宋体" w:cs="宋体"/>
                <w:color w:val="auto"/>
                <w:sz w:val="24"/>
                <w:szCs w:val="24"/>
                <w:highlight w:val="none"/>
              </w:rPr>
            </w:pPr>
          </w:p>
          <w:p w14:paraId="5F8C3834">
            <w:pPr>
              <w:spacing w:line="262" w:lineRule="auto"/>
              <w:jc w:val="center"/>
              <w:rPr>
                <w:rFonts w:hint="eastAsia" w:ascii="宋体" w:hAnsi="宋体" w:eastAsia="宋体" w:cs="宋体"/>
                <w:color w:val="auto"/>
                <w:sz w:val="24"/>
                <w:szCs w:val="24"/>
                <w:highlight w:val="none"/>
              </w:rPr>
            </w:pPr>
          </w:p>
          <w:p w14:paraId="42F2DD07">
            <w:pPr>
              <w:pStyle w:val="30"/>
              <w:spacing w:before="68"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质量管理体系与措施</w:t>
            </w:r>
          </w:p>
        </w:tc>
        <w:tc>
          <w:tcPr>
            <w:tcW w:w="5277" w:type="dxa"/>
            <w:vAlign w:val="top"/>
          </w:tcPr>
          <w:p w14:paraId="3459C1BC">
            <w:pPr>
              <w:pStyle w:val="30"/>
              <w:spacing w:before="81" w:line="263" w:lineRule="auto"/>
              <w:ind w:left="112" w:right="15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施工项目应有专门的质量技术管理班子和制度，且人员配备合理，制度健全。主要工序应有质量技术保证措施和手段，自控体系完整，能有效保</w:t>
            </w:r>
            <w:r>
              <w:rPr>
                <w:rFonts w:hint="eastAsia" w:ascii="宋体" w:hAnsi="宋体" w:eastAsia="宋体" w:cs="宋体"/>
                <w:color w:val="auto"/>
                <w:spacing w:val="-2"/>
                <w:sz w:val="24"/>
                <w:szCs w:val="24"/>
                <w:highlight w:val="none"/>
              </w:rPr>
              <w:t>证技术质量，达到承诺的质量标准。</w:t>
            </w:r>
          </w:p>
        </w:tc>
      </w:tr>
      <w:tr w14:paraId="72A62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904" w:type="dxa"/>
            <w:vMerge w:val="continue"/>
            <w:vAlign w:val="top"/>
          </w:tcPr>
          <w:p w14:paraId="77DA2EB7">
            <w:pPr>
              <w:rPr>
                <w:rFonts w:hint="eastAsia" w:ascii="宋体" w:hAnsi="宋体" w:eastAsia="宋体" w:cs="宋体"/>
                <w:color w:val="auto"/>
                <w:sz w:val="24"/>
                <w:szCs w:val="24"/>
                <w:highlight w:val="none"/>
              </w:rPr>
            </w:pPr>
          </w:p>
        </w:tc>
        <w:tc>
          <w:tcPr>
            <w:tcW w:w="1123" w:type="dxa"/>
            <w:vMerge w:val="continue"/>
            <w:vAlign w:val="top"/>
          </w:tcPr>
          <w:p w14:paraId="6ED35D0F">
            <w:pPr>
              <w:rPr>
                <w:rFonts w:hint="eastAsia" w:ascii="宋体" w:hAnsi="宋体" w:eastAsia="宋体" w:cs="宋体"/>
                <w:color w:val="auto"/>
                <w:sz w:val="24"/>
                <w:szCs w:val="24"/>
                <w:highlight w:val="none"/>
              </w:rPr>
            </w:pPr>
          </w:p>
        </w:tc>
        <w:tc>
          <w:tcPr>
            <w:tcW w:w="1882" w:type="dxa"/>
            <w:vAlign w:val="center"/>
          </w:tcPr>
          <w:p w14:paraId="36A9EC19">
            <w:pPr>
              <w:spacing w:line="262" w:lineRule="auto"/>
              <w:jc w:val="center"/>
              <w:rPr>
                <w:rFonts w:hint="eastAsia" w:ascii="宋体" w:hAnsi="宋体" w:eastAsia="宋体" w:cs="宋体"/>
                <w:color w:val="auto"/>
                <w:sz w:val="24"/>
                <w:szCs w:val="24"/>
                <w:highlight w:val="none"/>
              </w:rPr>
            </w:pPr>
          </w:p>
          <w:p w14:paraId="40FA95AF">
            <w:pPr>
              <w:spacing w:line="262" w:lineRule="auto"/>
              <w:jc w:val="center"/>
              <w:rPr>
                <w:rFonts w:hint="eastAsia" w:ascii="宋体" w:hAnsi="宋体" w:eastAsia="宋体" w:cs="宋体"/>
                <w:color w:val="auto"/>
                <w:sz w:val="24"/>
                <w:szCs w:val="24"/>
                <w:highlight w:val="none"/>
              </w:rPr>
            </w:pPr>
          </w:p>
          <w:p w14:paraId="6865FFCC">
            <w:pPr>
              <w:pStyle w:val="30"/>
              <w:spacing w:before="68"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安全管理体系与措施</w:t>
            </w:r>
          </w:p>
        </w:tc>
        <w:tc>
          <w:tcPr>
            <w:tcW w:w="5277" w:type="dxa"/>
            <w:vAlign w:val="top"/>
          </w:tcPr>
          <w:p w14:paraId="0FD1C5EF">
            <w:pPr>
              <w:pStyle w:val="30"/>
              <w:spacing w:before="81" w:line="263" w:lineRule="auto"/>
              <w:ind w:left="112" w:right="158"/>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施工项目应有专门的安全管理人员和制度，且人员配备合理，制度健全，各道工序安全技术措施</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
                <w:sz w:val="24"/>
                <w:szCs w:val="24"/>
                <w:highlight w:val="none"/>
              </w:rPr>
              <w:t>针对性强，符合实际且满足有关安全技术标准要</w:t>
            </w:r>
            <w:r>
              <w:rPr>
                <w:rFonts w:hint="eastAsia" w:ascii="宋体" w:hAnsi="宋体" w:eastAsia="宋体" w:cs="宋体"/>
                <w:color w:val="auto"/>
                <w:spacing w:val="-2"/>
                <w:sz w:val="24"/>
                <w:szCs w:val="24"/>
                <w:highlight w:val="none"/>
              </w:rPr>
              <w:t>求。现场防火、社会治安安全措施得力。</w:t>
            </w:r>
          </w:p>
        </w:tc>
      </w:tr>
      <w:tr w14:paraId="7FD4D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904" w:type="dxa"/>
            <w:vMerge w:val="continue"/>
            <w:vAlign w:val="top"/>
          </w:tcPr>
          <w:p w14:paraId="40594BA7">
            <w:pPr>
              <w:rPr>
                <w:rFonts w:hint="eastAsia" w:ascii="宋体" w:hAnsi="宋体" w:eastAsia="宋体" w:cs="宋体"/>
                <w:color w:val="auto"/>
                <w:sz w:val="24"/>
                <w:szCs w:val="24"/>
                <w:highlight w:val="none"/>
              </w:rPr>
            </w:pPr>
          </w:p>
        </w:tc>
        <w:tc>
          <w:tcPr>
            <w:tcW w:w="1123" w:type="dxa"/>
            <w:vMerge w:val="continue"/>
            <w:vAlign w:val="top"/>
          </w:tcPr>
          <w:p w14:paraId="7711F5B5">
            <w:pPr>
              <w:rPr>
                <w:rFonts w:hint="eastAsia" w:ascii="宋体" w:hAnsi="宋体" w:eastAsia="宋体" w:cs="宋体"/>
                <w:color w:val="auto"/>
                <w:sz w:val="24"/>
                <w:szCs w:val="24"/>
                <w:highlight w:val="none"/>
              </w:rPr>
            </w:pPr>
          </w:p>
        </w:tc>
        <w:tc>
          <w:tcPr>
            <w:tcW w:w="1882" w:type="dxa"/>
            <w:vAlign w:val="center"/>
          </w:tcPr>
          <w:p w14:paraId="210F88BD">
            <w:pPr>
              <w:spacing w:line="303" w:lineRule="auto"/>
              <w:jc w:val="center"/>
              <w:rPr>
                <w:rFonts w:hint="eastAsia" w:ascii="宋体" w:hAnsi="宋体" w:eastAsia="宋体" w:cs="宋体"/>
                <w:color w:val="auto"/>
                <w:sz w:val="24"/>
                <w:szCs w:val="24"/>
                <w:highlight w:val="none"/>
              </w:rPr>
            </w:pPr>
          </w:p>
          <w:p w14:paraId="3158A4B8">
            <w:pPr>
              <w:pStyle w:val="30"/>
              <w:spacing w:before="69" w:line="374" w:lineRule="auto"/>
              <w:ind w:right="185"/>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环境保护管理体系与措</w:t>
            </w:r>
            <w:r>
              <w:rPr>
                <w:rFonts w:hint="eastAsia" w:ascii="宋体" w:hAnsi="宋体" w:eastAsia="宋体" w:cs="宋体"/>
                <w:color w:val="auto"/>
                <w:sz w:val="24"/>
                <w:szCs w:val="24"/>
                <w:highlight w:val="none"/>
              </w:rPr>
              <w:t>施</w:t>
            </w:r>
          </w:p>
        </w:tc>
        <w:tc>
          <w:tcPr>
            <w:tcW w:w="5277" w:type="dxa"/>
            <w:vAlign w:val="top"/>
          </w:tcPr>
          <w:p w14:paraId="00156B52">
            <w:pPr>
              <w:pStyle w:val="30"/>
              <w:spacing w:before="74" w:line="264" w:lineRule="auto"/>
              <w:ind w:left="113" w:right="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针对本工程项目特点，应有现场文明施工计划，环境保护措施，且计划措施内容应达到“安全文</w:t>
            </w:r>
            <w:r>
              <w:rPr>
                <w:rFonts w:hint="eastAsia" w:ascii="宋体" w:hAnsi="宋体" w:eastAsia="宋体" w:cs="宋体"/>
                <w:color w:val="auto"/>
                <w:spacing w:val="-4"/>
                <w:sz w:val="24"/>
                <w:szCs w:val="24"/>
                <w:highlight w:val="none"/>
              </w:rPr>
              <w:t>明示范工地”标准。各项措施周全、具体、有效。</w:t>
            </w:r>
            <w:r>
              <w:rPr>
                <w:rFonts w:hint="eastAsia" w:ascii="宋体" w:hAnsi="宋体" w:eastAsia="宋体" w:cs="宋体"/>
                <w:color w:val="auto"/>
                <w:spacing w:val="-1"/>
                <w:sz w:val="24"/>
                <w:szCs w:val="24"/>
                <w:highlight w:val="none"/>
              </w:rPr>
              <w:t>有具体实现现场文明施工目标的承诺。</w:t>
            </w:r>
          </w:p>
        </w:tc>
      </w:tr>
      <w:tr w14:paraId="0A406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904" w:type="dxa"/>
            <w:vMerge w:val="continue"/>
            <w:vAlign w:val="top"/>
          </w:tcPr>
          <w:p w14:paraId="04C7942F">
            <w:pPr>
              <w:rPr>
                <w:rFonts w:hint="eastAsia" w:ascii="宋体" w:hAnsi="宋体" w:eastAsia="宋体" w:cs="宋体"/>
                <w:color w:val="auto"/>
                <w:sz w:val="24"/>
                <w:szCs w:val="24"/>
                <w:highlight w:val="none"/>
              </w:rPr>
            </w:pPr>
          </w:p>
        </w:tc>
        <w:tc>
          <w:tcPr>
            <w:tcW w:w="1123" w:type="dxa"/>
            <w:vMerge w:val="continue"/>
            <w:vAlign w:val="top"/>
          </w:tcPr>
          <w:p w14:paraId="1FF1CB21">
            <w:pPr>
              <w:rPr>
                <w:rFonts w:hint="eastAsia" w:ascii="宋体" w:hAnsi="宋体" w:eastAsia="宋体" w:cs="宋体"/>
                <w:color w:val="auto"/>
                <w:sz w:val="24"/>
                <w:szCs w:val="24"/>
                <w:highlight w:val="none"/>
              </w:rPr>
            </w:pPr>
          </w:p>
        </w:tc>
        <w:tc>
          <w:tcPr>
            <w:tcW w:w="1882" w:type="dxa"/>
            <w:vAlign w:val="center"/>
          </w:tcPr>
          <w:p w14:paraId="64C9E2CE">
            <w:pPr>
              <w:spacing w:line="340" w:lineRule="auto"/>
              <w:jc w:val="center"/>
              <w:rPr>
                <w:rFonts w:hint="eastAsia" w:ascii="宋体" w:hAnsi="宋体" w:eastAsia="宋体" w:cs="宋体"/>
                <w:color w:val="auto"/>
                <w:sz w:val="24"/>
                <w:szCs w:val="24"/>
                <w:highlight w:val="none"/>
              </w:rPr>
            </w:pPr>
          </w:p>
          <w:p w14:paraId="6A716F0E">
            <w:pPr>
              <w:spacing w:line="341" w:lineRule="auto"/>
              <w:jc w:val="center"/>
              <w:rPr>
                <w:rFonts w:hint="eastAsia" w:ascii="宋体" w:hAnsi="宋体" w:eastAsia="宋体" w:cs="宋体"/>
                <w:color w:val="auto"/>
                <w:sz w:val="24"/>
                <w:szCs w:val="24"/>
                <w:highlight w:val="none"/>
              </w:rPr>
            </w:pPr>
          </w:p>
          <w:p w14:paraId="12FA5E62">
            <w:pPr>
              <w:pStyle w:val="30"/>
              <w:spacing w:before="68"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工程进度计划与措施</w:t>
            </w:r>
          </w:p>
        </w:tc>
        <w:tc>
          <w:tcPr>
            <w:tcW w:w="5277" w:type="dxa"/>
            <w:vAlign w:val="top"/>
          </w:tcPr>
          <w:p w14:paraId="5F7D6FC2">
            <w:pPr>
              <w:pStyle w:val="30"/>
              <w:spacing w:before="76" w:line="267" w:lineRule="auto"/>
              <w:ind w:left="113" w:right="31" w:hanging="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在施工工艺、施工方法、材料选用、劳动力安排、</w:t>
            </w:r>
            <w:r>
              <w:rPr>
                <w:rFonts w:hint="eastAsia" w:ascii="宋体" w:hAnsi="宋体" w:eastAsia="宋体" w:cs="宋体"/>
                <w:color w:val="auto"/>
                <w:spacing w:val="-1"/>
                <w:sz w:val="24"/>
                <w:szCs w:val="24"/>
                <w:highlight w:val="none"/>
              </w:rPr>
              <w:t>技术等方面有保证工期的具体措施且措施得当。有控制工期的施工进度计划。应有施工总进度表或施工网络图，各项计划图表编制完善，安排科</w:t>
            </w:r>
            <w:r>
              <w:rPr>
                <w:rFonts w:hint="eastAsia" w:ascii="宋体" w:hAnsi="宋体" w:eastAsia="宋体" w:cs="宋体"/>
                <w:color w:val="auto"/>
                <w:spacing w:val="-2"/>
                <w:sz w:val="24"/>
                <w:szCs w:val="24"/>
                <w:highlight w:val="none"/>
              </w:rPr>
              <w:t>学合理，符合本项目施工实际要求。</w:t>
            </w:r>
          </w:p>
        </w:tc>
      </w:tr>
      <w:tr w14:paraId="2FA31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04" w:type="dxa"/>
            <w:vMerge w:val="continue"/>
            <w:vAlign w:val="top"/>
          </w:tcPr>
          <w:p w14:paraId="37ECCEC2">
            <w:pPr>
              <w:rPr>
                <w:rFonts w:hint="eastAsia" w:ascii="宋体" w:hAnsi="宋体" w:eastAsia="宋体" w:cs="宋体"/>
                <w:color w:val="auto"/>
                <w:sz w:val="24"/>
                <w:szCs w:val="24"/>
                <w:highlight w:val="none"/>
              </w:rPr>
            </w:pPr>
          </w:p>
        </w:tc>
        <w:tc>
          <w:tcPr>
            <w:tcW w:w="1123" w:type="dxa"/>
            <w:vMerge w:val="continue"/>
            <w:vAlign w:val="top"/>
          </w:tcPr>
          <w:p w14:paraId="759A5F20">
            <w:pPr>
              <w:rPr>
                <w:rFonts w:hint="eastAsia" w:ascii="宋体" w:hAnsi="宋体" w:eastAsia="宋体" w:cs="宋体"/>
                <w:color w:val="auto"/>
                <w:sz w:val="24"/>
                <w:szCs w:val="24"/>
                <w:highlight w:val="none"/>
              </w:rPr>
            </w:pPr>
          </w:p>
        </w:tc>
        <w:tc>
          <w:tcPr>
            <w:tcW w:w="1882" w:type="dxa"/>
            <w:vAlign w:val="center"/>
          </w:tcPr>
          <w:p w14:paraId="0BE54F59">
            <w:pPr>
              <w:pStyle w:val="30"/>
              <w:spacing w:before="271" w:line="22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资源配备计划</w:t>
            </w:r>
          </w:p>
        </w:tc>
        <w:tc>
          <w:tcPr>
            <w:tcW w:w="5277" w:type="dxa"/>
            <w:vAlign w:val="top"/>
          </w:tcPr>
          <w:p w14:paraId="05AF07FB">
            <w:pPr>
              <w:pStyle w:val="30"/>
              <w:spacing w:before="77" w:line="244" w:lineRule="auto"/>
              <w:ind w:left="116" w:right="15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各项资源配备计划安排科学合理，符合本项目施</w:t>
            </w:r>
            <w:r>
              <w:rPr>
                <w:rFonts w:hint="eastAsia" w:ascii="宋体" w:hAnsi="宋体" w:eastAsia="宋体" w:cs="宋体"/>
                <w:color w:val="auto"/>
                <w:spacing w:val="-2"/>
                <w:sz w:val="24"/>
                <w:szCs w:val="24"/>
                <w:highlight w:val="none"/>
              </w:rPr>
              <w:t>工实际要求。</w:t>
            </w:r>
          </w:p>
        </w:tc>
      </w:tr>
      <w:tr w14:paraId="20BF8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continue"/>
            <w:vAlign w:val="top"/>
          </w:tcPr>
          <w:p w14:paraId="2C026443">
            <w:pPr>
              <w:rPr>
                <w:rFonts w:hint="eastAsia" w:ascii="宋体" w:hAnsi="宋体" w:eastAsia="宋体" w:cs="宋体"/>
                <w:color w:val="auto"/>
                <w:sz w:val="24"/>
                <w:szCs w:val="24"/>
                <w:highlight w:val="none"/>
              </w:rPr>
            </w:pPr>
          </w:p>
        </w:tc>
        <w:tc>
          <w:tcPr>
            <w:tcW w:w="1123" w:type="dxa"/>
            <w:vMerge w:val="continue"/>
            <w:vAlign w:val="top"/>
          </w:tcPr>
          <w:p w14:paraId="7B607584">
            <w:pPr>
              <w:rPr>
                <w:rFonts w:hint="eastAsia" w:ascii="宋体" w:hAnsi="宋体" w:eastAsia="宋体" w:cs="宋体"/>
                <w:color w:val="auto"/>
                <w:sz w:val="24"/>
                <w:szCs w:val="24"/>
                <w:highlight w:val="none"/>
              </w:rPr>
            </w:pPr>
          </w:p>
        </w:tc>
        <w:tc>
          <w:tcPr>
            <w:tcW w:w="1882" w:type="dxa"/>
            <w:vAlign w:val="center"/>
          </w:tcPr>
          <w:p w14:paraId="30B90C08">
            <w:pPr>
              <w:pStyle w:val="30"/>
              <w:spacing w:before="175"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技术负责人</w:t>
            </w:r>
          </w:p>
        </w:tc>
        <w:tc>
          <w:tcPr>
            <w:tcW w:w="5277" w:type="dxa"/>
            <w:vAlign w:val="top"/>
          </w:tcPr>
          <w:p w14:paraId="39F7FC15">
            <w:pPr>
              <w:pStyle w:val="30"/>
              <w:spacing w:before="79" w:line="22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符合招标文件要求</w:t>
            </w:r>
          </w:p>
        </w:tc>
      </w:tr>
      <w:tr w14:paraId="3B221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vAlign w:val="top"/>
          </w:tcPr>
          <w:p w14:paraId="2F7E5AF0">
            <w:pPr>
              <w:rPr>
                <w:rFonts w:hint="eastAsia" w:ascii="宋体" w:hAnsi="宋体" w:eastAsia="宋体" w:cs="宋体"/>
                <w:color w:val="auto"/>
                <w:sz w:val="24"/>
                <w:szCs w:val="24"/>
                <w:highlight w:val="none"/>
              </w:rPr>
            </w:pPr>
          </w:p>
        </w:tc>
        <w:tc>
          <w:tcPr>
            <w:tcW w:w="1123" w:type="dxa"/>
            <w:vMerge w:val="continue"/>
            <w:vAlign w:val="top"/>
          </w:tcPr>
          <w:p w14:paraId="0267AF9D">
            <w:pPr>
              <w:rPr>
                <w:rFonts w:hint="eastAsia" w:ascii="宋体" w:hAnsi="宋体" w:eastAsia="宋体" w:cs="宋体"/>
                <w:color w:val="auto"/>
                <w:sz w:val="24"/>
                <w:szCs w:val="24"/>
                <w:highlight w:val="none"/>
              </w:rPr>
            </w:pPr>
          </w:p>
        </w:tc>
        <w:tc>
          <w:tcPr>
            <w:tcW w:w="1882" w:type="dxa"/>
            <w:vAlign w:val="center"/>
          </w:tcPr>
          <w:p w14:paraId="087149EC">
            <w:pPr>
              <w:pStyle w:val="30"/>
              <w:spacing w:before="274"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其他主要人员</w:t>
            </w:r>
          </w:p>
        </w:tc>
        <w:tc>
          <w:tcPr>
            <w:tcW w:w="5277" w:type="dxa"/>
            <w:vAlign w:val="top"/>
          </w:tcPr>
          <w:p w14:paraId="244638BA">
            <w:pPr>
              <w:pStyle w:val="30"/>
              <w:spacing w:before="77" w:line="245" w:lineRule="auto"/>
              <w:ind w:left="114" w:right="158" w:firstLine="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关键岗位人员配备合理，符合行业行政主管部门和招标文件规定要求</w:t>
            </w:r>
          </w:p>
        </w:tc>
      </w:tr>
      <w:tr w14:paraId="191B1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04" w:type="dxa"/>
            <w:vMerge w:val="continue"/>
            <w:vAlign w:val="top"/>
          </w:tcPr>
          <w:p w14:paraId="6E719E57">
            <w:pPr>
              <w:rPr>
                <w:rFonts w:hint="eastAsia" w:ascii="宋体" w:hAnsi="宋体" w:eastAsia="宋体" w:cs="宋体"/>
                <w:color w:val="auto"/>
                <w:sz w:val="24"/>
                <w:szCs w:val="24"/>
                <w:highlight w:val="none"/>
              </w:rPr>
            </w:pPr>
          </w:p>
        </w:tc>
        <w:tc>
          <w:tcPr>
            <w:tcW w:w="1123" w:type="dxa"/>
            <w:vMerge w:val="continue"/>
            <w:vAlign w:val="top"/>
          </w:tcPr>
          <w:p w14:paraId="1BF4E746">
            <w:pPr>
              <w:rPr>
                <w:rFonts w:hint="eastAsia" w:ascii="宋体" w:hAnsi="宋体" w:eastAsia="宋体" w:cs="宋体"/>
                <w:color w:val="auto"/>
                <w:sz w:val="24"/>
                <w:szCs w:val="24"/>
                <w:highlight w:val="none"/>
              </w:rPr>
            </w:pPr>
          </w:p>
        </w:tc>
        <w:tc>
          <w:tcPr>
            <w:tcW w:w="1882" w:type="dxa"/>
            <w:vAlign w:val="center"/>
          </w:tcPr>
          <w:p w14:paraId="42E7AB00">
            <w:pPr>
              <w:spacing w:line="362" w:lineRule="auto"/>
              <w:jc w:val="center"/>
              <w:rPr>
                <w:rFonts w:hint="eastAsia" w:ascii="宋体" w:hAnsi="宋体" w:eastAsia="宋体" w:cs="宋体"/>
                <w:color w:val="auto"/>
                <w:sz w:val="24"/>
                <w:szCs w:val="24"/>
                <w:highlight w:val="none"/>
              </w:rPr>
            </w:pPr>
          </w:p>
          <w:p w14:paraId="4D0A1396">
            <w:pPr>
              <w:pStyle w:val="30"/>
              <w:spacing w:before="68" w:line="22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施工设备</w:t>
            </w:r>
          </w:p>
        </w:tc>
        <w:tc>
          <w:tcPr>
            <w:tcW w:w="5277" w:type="dxa"/>
            <w:vAlign w:val="top"/>
          </w:tcPr>
          <w:p w14:paraId="715CE37A">
            <w:pPr>
              <w:pStyle w:val="30"/>
              <w:spacing w:before="76" w:line="257" w:lineRule="auto"/>
              <w:ind w:left="113" w:right="158" w:firstLine="2"/>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投入的施工机械、设备、机具有详细计划且计划周密，设备数量、选型配置、进场数量、时间安排合理，满足施工需要</w:t>
            </w:r>
          </w:p>
        </w:tc>
      </w:tr>
      <w:tr w14:paraId="5423C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4" w:type="dxa"/>
            <w:vMerge w:val="continue"/>
            <w:vAlign w:val="top"/>
          </w:tcPr>
          <w:p w14:paraId="55673BE2">
            <w:pPr>
              <w:rPr>
                <w:rFonts w:hint="eastAsia" w:ascii="宋体" w:hAnsi="宋体" w:eastAsia="宋体" w:cs="宋体"/>
                <w:color w:val="auto"/>
                <w:sz w:val="24"/>
                <w:szCs w:val="24"/>
                <w:highlight w:val="none"/>
              </w:rPr>
            </w:pPr>
          </w:p>
        </w:tc>
        <w:tc>
          <w:tcPr>
            <w:tcW w:w="1123" w:type="dxa"/>
            <w:vMerge w:val="continue"/>
            <w:vAlign w:val="top"/>
          </w:tcPr>
          <w:p w14:paraId="22A82C2C">
            <w:pPr>
              <w:rPr>
                <w:rFonts w:hint="eastAsia" w:ascii="宋体" w:hAnsi="宋体" w:eastAsia="宋体" w:cs="宋体"/>
                <w:color w:val="auto"/>
                <w:sz w:val="24"/>
                <w:szCs w:val="24"/>
                <w:highlight w:val="none"/>
              </w:rPr>
            </w:pPr>
          </w:p>
        </w:tc>
        <w:tc>
          <w:tcPr>
            <w:tcW w:w="1882" w:type="dxa"/>
            <w:vAlign w:val="center"/>
          </w:tcPr>
          <w:p w14:paraId="461F2943">
            <w:pPr>
              <w:pStyle w:val="30"/>
              <w:spacing w:before="174"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试验、检测仪器设备</w:t>
            </w:r>
          </w:p>
        </w:tc>
        <w:tc>
          <w:tcPr>
            <w:tcW w:w="5277" w:type="dxa"/>
            <w:vAlign w:val="top"/>
          </w:tcPr>
          <w:p w14:paraId="1C1A2120">
            <w:pPr>
              <w:pStyle w:val="30"/>
              <w:spacing w:before="78" w:line="221"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试验、检测仪器设备齐备，满足施工需要</w:t>
            </w:r>
          </w:p>
        </w:tc>
      </w:tr>
      <w:tr w14:paraId="58150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4" w:type="dxa"/>
            <w:vAlign w:val="top"/>
          </w:tcPr>
          <w:p w14:paraId="0CF955E6">
            <w:pPr>
              <w:spacing w:line="242" w:lineRule="auto"/>
              <w:rPr>
                <w:rFonts w:hint="eastAsia" w:ascii="宋体" w:hAnsi="宋体" w:eastAsia="宋体" w:cs="宋体"/>
                <w:color w:val="auto"/>
                <w:sz w:val="24"/>
                <w:szCs w:val="24"/>
                <w:highlight w:val="none"/>
              </w:rPr>
            </w:pPr>
          </w:p>
          <w:p w14:paraId="65192A6F">
            <w:pPr>
              <w:spacing w:line="242" w:lineRule="auto"/>
              <w:rPr>
                <w:rFonts w:hint="eastAsia" w:ascii="宋体" w:hAnsi="宋体" w:eastAsia="宋体" w:cs="宋体"/>
                <w:color w:val="auto"/>
                <w:sz w:val="24"/>
                <w:szCs w:val="24"/>
                <w:highlight w:val="none"/>
              </w:rPr>
            </w:pPr>
          </w:p>
          <w:p w14:paraId="66F93EEE">
            <w:pPr>
              <w:spacing w:line="242" w:lineRule="auto"/>
              <w:rPr>
                <w:rFonts w:hint="eastAsia" w:ascii="宋体" w:hAnsi="宋体" w:eastAsia="宋体" w:cs="宋体"/>
                <w:color w:val="auto"/>
                <w:sz w:val="24"/>
                <w:szCs w:val="24"/>
                <w:highlight w:val="none"/>
              </w:rPr>
            </w:pPr>
          </w:p>
          <w:p w14:paraId="4AA8F8F0">
            <w:pPr>
              <w:spacing w:line="242" w:lineRule="auto"/>
              <w:rPr>
                <w:rFonts w:hint="eastAsia" w:ascii="宋体" w:hAnsi="宋体" w:eastAsia="宋体" w:cs="宋体"/>
                <w:color w:val="auto"/>
                <w:sz w:val="24"/>
                <w:szCs w:val="24"/>
                <w:highlight w:val="none"/>
              </w:rPr>
            </w:pPr>
          </w:p>
          <w:p w14:paraId="05AF37DD">
            <w:pPr>
              <w:spacing w:line="242" w:lineRule="auto"/>
              <w:rPr>
                <w:rFonts w:hint="eastAsia" w:ascii="宋体" w:hAnsi="宋体" w:eastAsia="宋体" w:cs="宋体"/>
                <w:color w:val="auto"/>
                <w:sz w:val="24"/>
                <w:szCs w:val="24"/>
                <w:highlight w:val="none"/>
              </w:rPr>
            </w:pPr>
          </w:p>
          <w:p w14:paraId="2EAC1ED5">
            <w:pPr>
              <w:spacing w:line="242" w:lineRule="auto"/>
              <w:rPr>
                <w:rFonts w:hint="eastAsia" w:ascii="宋体" w:hAnsi="宋体" w:eastAsia="宋体" w:cs="宋体"/>
                <w:color w:val="auto"/>
                <w:sz w:val="24"/>
                <w:szCs w:val="24"/>
                <w:highlight w:val="none"/>
              </w:rPr>
            </w:pPr>
          </w:p>
          <w:p w14:paraId="086FC049">
            <w:pPr>
              <w:spacing w:line="242" w:lineRule="auto"/>
              <w:rPr>
                <w:rFonts w:hint="eastAsia" w:ascii="宋体" w:hAnsi="宋体" w:eastAsia="宋体" w:cs="宋体"/>
                <w:color w:val="auto"/>
                <w:sz w:val="24"/>
                <w:szCs w:val="24"/>
                <w:highlight w:val="none"/>
              </w:rPr>
            </w:pPr>
          </w:p>
          <w:p w14:paraId="151701C0">
            <w:pPr>
              <w:spacing w:line="242" w:lineRule="auto"/>
              <w:rPr>
                <w:rFonts w:hint="eastAsia" w:ascii="宋体" w:hAnsi="宋体" w:eastAsia="宋体" w:cs="宋体"/>
                <w:color w:val="auto"/>
                <w:sz w:val="24"/>
                <w:szCs w:val="24"/>
                <w:highlight w:val="none"/>
              </w:rPr>
            </w:pPr>
          </w:p>
          <w:p w14:paraId="14C8755A">
            <w:pPr>
              <w:spacing w:line="243" w:lineRule="auto"/>
              <w:rPr>
                <w:rFonts w:hint="eastAsia" w:ascii="宋体" w:hAnsi="宋体" w:eastAsia="宋体" w:cs="宋体"/>
                <w:color w:val="auto"/>
                <w:sz w:val="24"/>
                <w:szCs w:val="24"/>
                <w:highlight w:val="none"/>
              </w:rPr>
            </w:pPr>
          </w:p>
          <w:p w14:paraId="76DDBB93">
            <w:pPr>
              <w:spacing w:line="243" w:lineRule="auto"/>
              <w:rPr>
                <w:rFonts w:hint="eastAsia" w:ascii="宋体" w:hAnsi="宋体" w:eastAsia="宋体" w:cs="宋体"/>
                <w:color w:val="auto"/>
                <w:sz w:val="24"/>
                <w:szCs w:val="24"/>
                <w:highlight w:val="none"/>
              </w:rPr>
            </w:pPr>
          </w:p>
          <w:p w14:paraId="1825A3AB">
            <w:pPr>
              <w:spacing w:line="243" w:lineRule="auto"/>
              <w:rPr>
                <w:rFonts w:hint="eastAsia" w:ascii="宋体" w:hAnsi="宋体" w:eastAsia="宋体" w:cs="宋体"/>
                <w:color w:val="auto"/>
                <w:sz w:val="24"/>
                <w:szCs w:val="24"/>
                <w:highlight w:val="none"/>
              </w:rPr>
            </w:pPr>
          </w:p>
          <w:p w14:paraId="5192EB69">
            <w:pPr>
              <w:spacing w:line="243" w:lineRule="auto"/>
              <w:rPr>
                <w:rFonts w:hint="eastAsia" w:ascii="宋体" w:hAnsi="宋体" w:eastAsia="宋体" w:cs="宋体"/>
                <w:color w:val="auto"/>
                <w:sz w:val="24"/>
                <w:szCs w:val="24"/>
                <w:highlight w:val="none"/>
              </w:rPr>
            </w:pPr>
          </w:p>
          <w:p w14:paraId="5C1043C9">
            <w:pPr>
              <w:pStyle w:val="30"/>
              <w:spacing w:before="68" w:line="182" w:lineRule="auto"/>
              <w:ind w:left="30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2.3</w:t>
            </w:r>
          </w:p>
        </w:tc>
        <w:tc>
          <w:tcPr>
            <w:tcW w:w="1123" w:type="dxa"/>
            <w:vAlign w:val="top"/>
          </w:tcPr>
          <w:p w14:paraId="5E9866AD">
            <w:pPr>
              <w:spacing w:line="255" w:lineRule="auto"/>
              <w:rPr>
                <w:rFonts w:hint="eastAsia" w:ascii="宋体" w:hAnsi="宋体" w:eastAsia="宋体" w:cs="宋体"/>
                <w:color w:val="auto"/>
                <w:sz w:val="24"/>
                <w:szCs w:val="24"/>
                <w:highlight w:val="none"/>
              </w:rPr>
            </w:pPr>
          </w:p>
          <w:p w14:paraId="63CE547F">
            <w:pPr>
              <w:spacing w:line="255" w:lineRule="auto"/>
              <w:rPr>
                <w:rFonts w:hint="eastAsia" w:ascii="宋体" w:hAnsi="宋体" w:eastAsia="宋体" w:cs="宋体"/>
                <w:color w:val="auto"/>
                <w:sz w:val="24"/>
                <w:szCs w:val="24"/>
                <w:highlight w:val="none"/>
              </w:rPr>
            </w:pPr>
          </w:p>
          <w:p w14:paraId="1F4CC8D2">
            <w:pPr>
              <w:spacing w:line="255" w:lineRule="auto"/>
              <w:rPr>
                <w:rFonts w:hint="eastAsia" w:ascii="宋体" w:hAnsi="宋体" w:eastAsia="宋体" w:cs="宋体"/>
                <w:color w:val="auto"/>
                <w:sz w:val="24"/>
                <w:szCs w:val="24"/>
                <w:highlight w:val="none"/>
              </w:rPr>
            </w:pPr>
          </w:p>
          <w:p w14:paraId="1313B830">
            <w:pPr>
              <w:spacing w:line="255" w:lineRule="auto"/>
              <w:rPr>
                <w:rFonts w:hint="eastAsia" w:ascii="宋体" w:hAnsi="宋体" w:eastAsia="宋体" w:cs="宋体"/>
                <w:color w:val="auto"/>
                <w:sz w:val="24"/>
                <w:szCs w:val="24"/>
                <w:highlight w:val="none"/>
              </w:rPr>
            </w:pPr>
          </w:p>
          <w:p w14:paraId="70D86C39">
            <w:pPr>
              <w:spacing w:line="255" w:lineRule="auto"/>
              <w:rPr>
                <w:rFonts w:hint="eastAsia" w:ascii="宋体" w:hAnsi="宋体" w:eastAsia="宋体" w:cs="宋体"/>
                <w:color w:val="auto"/>
                <w:sz w:val="24"/>
                <w:szCs w:val="24"/>
                <w:highlight w:val="none"/>
              </w:rPr>
            </w:pPr>
          </w:p>
          <w:p w14:paraId="23F8F9B3">
            <w:pPr>
              <w:spacing w:line="255" w:lineRule="auto"/>
              <w:rPr>
                <w:rFonts w:hint="eastAsia" w:ascii="宋体" w:hAnsi="宋体" w:eastAsia="宋体" w:cs="宋体"/>
                <w:color w:val="auto"/>
                <w:sz w:val="24"/>
                <w:szCs w:val="24"/>
                <w:highlight w:val="none"/>
              </w:rPr>
            </w:pPr>
          </w:p>
          <w:p w14:paraId="4F6951FF">
            <w:pPr>
              <w:spacing w:line="255" w:lineRule="auto"/>
              <w:rPr>
                <w:rFonts w:hint="eastAsia" w:ascii="宋体" w:hAnsi="宋体" w:eastAsia="宋体" w:cs="宋体"/>
                <w:color w:val="auto"/>
                <w:sz w:val="24"/>
                <w:szCs w:val="24"/>
                <w:highlight w:val="none"/>
              </w:rPr>
            </w:pPr>
          </w:p>
          <w:p w14:paraId="1DADD6EC">
            <w:pPr>
              <w:spacing w:line="255" w:lineRule="auto"/>
              <w:rPr>
                <w:rFonts w:hint="eastAsia" w:ascii="宋体" w:hAnsi="宋体" w:eastAsia="宋体" w:cs="宋体"/>
                <w:color w:val="auto"/>
                <w:sz w:val="24"/>
                <w:szCs w:val="24"/>
                <w:highlight w:val="none"/>
              </w:rPr>
            </w:pPr>
          </w:p>
          <w:p w14:paraId="5CB89D83">
            <w:pPr>
              <w:spacing w:line="256" w:lineRule="auto"/>
              <w:rPr>
                <w:rFonts w:hint="eastAsia" w:ascii="宋体" w:hAnsi="宋体" w:eastAsia="宋体" w:cs="宋体"/>
                <w:color w:val="auto"/>
                <w:sz w:val="24"/>
                <w:szCs w:val="24"/>
                <w:highlight w:val="none"/>
              </w:rPr>
            </w:pPr>
          </w:p>
          <w:p w14:paraId="04636FBF">
            <w:pPr>
              <w:spacing w:line="256" w:lineRule="auto"/>
              <w:rPr>
                <w:rFonts w:hint="eastAsia" w:ascii="宋体" w:hAnsi="宋体" w:eastAsia="宋体" w:cs="宋体"/>
                <w:color w:val="auto"/>
                <w:sz w:val="24"/>
                <w:szCs w:val="24"/>
                <w:highlight w:val="none"/>
              </w:rPr>
            </w:pPr>
          </w:p>
          <w:p w14:paraId="0694F208">
            <w:pPr>
              <w:pStyle w:val="30"/>
              <w:spacing w:before="69" w:line="273" w:lineRule="auto"/>
              <w:ind w:left="353" w:right="349" w:firstLine="3"/>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详细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评审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标准</w:t>
            </w:r>
          </w:p>
        </w:tc>
        <w:tc>
          <w:tcPr>
            <w:tcW w:w="1882" w:type="dxa"/>
            <w:vAlign w:val="center"/>
          </w:tcPr>
          <w:p w14:paraId="524CBD07">
            <w:pPr>
              <w:spacing w:line="246" w:lineRule="auto"/>
              <w:jc w:val="center"/>
              <w:rPr>
                <w:rFonts w:hint="eastAsia" w:ascii="宋体" w:hAnsi="宋体" w:eastAsia="宋体" w:cs="宋体"/>
                <w:color w:val="auto"/>
                <w:sz w:val="24"/>
                <w:szCs w:val="24"/>
                <w:highlight w:val="none"/>
              </w:rPr>
            </w:pPr>
          </w:p>
          <w:p w14:paraId="1F975F56">
            <w:pPr>
              <w:spacing w:line="246" w:lineRule="auto"/>
              <w:jc w:val="center"/>
              <w:rPr>
                <w:rFonts w:hint="eastAsia" w:ascii="宋体" w:hAnsi="宋体" w:eastAsia="宋体" w:cs="宋体"/>
                <w:color w:val="auto"/>
                <w:sz w:val="24"/>
                <w:szCs w:val="24"/>
                <w:highlight w:val="none"/>
              </w:rPr>
            </w:pPr>
          </w:p>
          <w:p w14:paraId="4D1EDE15">
            <w:pPr>
              <w:spacing w:line="246" w:lineRule="auto"/>
              <w:jc w:val="center"/>
              <w:rPr>
                <w:rFonts w:hint="eastAsia" w:ascii="宋体" w:hAnsi="宋体" w:eastAsia="宋体" w:cs="宋体"/>
                <w:color w:val="auto"/>
                <w:sz w:val="24"/>
                <w:szCs w:val="24"/>
                <w:highlight w:val="none"/>
              </w:rPr>
            </w:pPr>
          </w:p>
          <w:p w14:paraId="70ECC0CE">
            <w:pPr>
              <w:spacing w:line="247" w:lineRule="auto"/>
              <w:jc w:val="center"/>
              <w:rPr>
                <w:rFonts w:hint="eastAsia" w:ascii="宋体" w:hAnsi="宋体" w:eastAsia="宋体" w:cs="宋体"/>
                <w:color w:val="auto"/>
                <w:sz w:val="24"/>
                <w:szCs w:val="24"/>
                <w:highlight w:val="none"/>
              </w:rPr>
            </w:pPr>
          </w:p>
          <w:p w14:paraId="627C9F1E">
            <w:pPr>
              <w:spacing w:line="247" w:lineRule="auto"/>
              <w:jc w:val="center"/>
              <w:rPr>
                <w:rFonts w:hint="eastAsia" w:ascii="宋体" w:hAnsi="宋体" w:eastAsia="宋体" w:cs="宋体"/>
                <w:color w:val="auto"/>
                <w:sz w:val="24"/>
                <w:szCs w:val="24"/>
                <w:highlight w:val="none"/>
              </w:rPr>
            </w:pPr>
          </w:p>
          <w:p w14:paraId="1638AB51">
            <w:pPr>
              <w:spacing w:line="247" w:lineRule="auto"/>
              <w:jc w:val="center"/>
              <w:rPr>
                <w:rFonts w:hint="eastAsia" w:ascii="宋体" w:hAnsi="宋体" w:eastAsia="宋体" w:cs="宋体"/>
                <w:color w:val="auto"/>
                <w:sz w:val="24"/>
                <w:szCs w:val="24"/>
                <w:highlight w:val="none"/>
              </w:rPr>
            </w:pPr>
          </w:p>
          <w:p w14:paraId="099A316F">
            <w:pPr>
              <w:spacing w:line="247" w:lineRule="auto"/>
              <w:jc w:val="center"/>
              <w:rPr>
                <w:rFonts w:hint="eastAsia" w:ascii="宋体" w:hAnsi="宋体" w:eastAsia="宋体" w:cs="宋体"/>
                <w:color w:val="auto"/>
                <w:sz w:val="24"/>
                <w:szCs w:val="24"/>
                <w:highlight w:val="none"/>
              </w:rPr>
            </w:pPr>
          </w:p>
          <w:p w14:paraId="04BC8497">
            <w:pPr>
              <w:spacing w:line="247" w:lineRule="auto"/>
              <w:jc w:val="center"/>
              <w:rPr>
                <w:rFonts w:hint="eastAsia" w:ascii="宋体" w:hAnsi="宋体" w:eastAsia="宋体" w:cs="宋体"/>
                <w:color w:val="auto"/>
                <w:sz w:val="24"/>
                <w:szCs w:val="24"/>
                <w:highlight w:val="none"/>
              </w:rPr>
            </w:pPr>
          </w:p>
          <w:p w14:paraId="437214A4">
            <w:pPr>
              <w:spacing w:line="247" w:lineRule="auto"/>
              <w:jc w:val="center"/>
              <w:rPr>
                <w:rFonts w:hint="eastAsia" w:ascii="宋体" w:hAnsi="宋体" w:eastAsia="宋体" w:cs="宋体"/>
                <w:color w:val="auto"/>
                <w:sz w:val="24"/>
                <w:szCs w:val="24"/>
                <w:highlight w:val="none"/>
              </w:rPr>
            </w:pPr>
          </w:p>
          <w:p w14:paraId="7BDB35A0">
            <w:pPr>
              <w:spacing w:line="247" w:lineRule="auto"/>
              <w:jc w:val="center"/>
              <w:rPr>
                <w:rFonts w:hint="eastAsia" w:ascii="宋体" w:hAnsi="宋体" w:eastAsia="宋体" w:cs="宋体"/>
                <w:color w:val="auto"/>
                <w:sz w:val="24"/>
                <w:szCs w:val="24"/>
                <w:highlight w:val="none"/>
              </w:rPr>
            </w:pPr>
          </w:p>
          <w:p w14:paraId="6FBF5080">
            <w:pPr>
              <w:spacing w:line="247" w:lineRule="auto"/>
              <w:jc w:val="center"/>
              <w:rPr>
                <w:rFonts w:hint="eastAsia" w:ascii="宋体" w:hAnsi="宋体" w:eastAsia="宋体" w:cs="宋体"/>
                <w:color w:val="auto"/>
                <w:sz w:val="24"/>
                <w:szCs w:val="24"/>
                <w:highlight w:val="none"/>
              </w:rPr>
            </w:pPr>
          </w:p>
          <w:p w14:paraId="5F6724C3">
            <w:pPr>
              <w:pStyle w:val="30"/>
              <w:spacing w:before="68" w:line="267" w:lineRule="auto"/>
              <w:ind w:right="288"/>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□异常低价投标情形的界定及评审要求</w:t>
            </w:r>
          </w:p>
        </w:tc>
        <w:tc>
          <w:tcPr>
            <w:tcW w:w="5277" w:type="dxa"/>
            <w:vAlign w:val="top"/>
          </w:tcPr>
          <w:p w14:paraId="4B52C44E">
            <w:pPr>
              <w:pStyle w:val="30"/>
              <w:spacing w:before="79" w:line="266" w:lineRule="auto"/>
              <w:ind w:left="112" w:right="191" w:firstLine="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投标人的投标函文字报价低于最高投标限价的</w:t>
            </w:r>
            <w:r>
              <w:rPr>
                <w:rFonts w:hint="eastAsia" w:ascii="宋体" w:hAnsi="宋体" w:eastAsia="宋体" w:cs="宋体"/>
                <w:color w:val="auto"/>
                <w:spacing w:val="-2"/>
                <w:sz w:val="24"/>
                <w:szCs w:val="24"/>
                <w:highlight w:val="none"/>
                <w:u w:val="single" w:color="auto"/>
              </w:rPr>
              <w:t>**%</w:t>
            </w:r>
            <w:r>
              <w:rPr>
                <w:rFonts w:hint="eastAsia" w:ascii="宋体" w:hAnsi="宋体" w:eastAsia="宋体" w:cs="宋体"/>
                <w:color w:val="auto"/>
                <w:spacing w:val="-2"/>
                <w:sz w:val="24"/>
                <w:szCs w:val="24"/>
                <w:highlight w:val="none"/>
              </w:rPr>
              <w:t>且低于评标价平均值的</w:t>
            </w:r>
            <w:r>
              <w:rPr>
                <w:rFonts w:hint="eastAsia" w:ascii="宋体" w:hAnsi="宋体" w:eastAsia="宋体" w:cs="宋体"/>
                <w:color w:val="auto"/>
                <w:spacing w:val="-2"/>
                <w:sz w:val="24"/>
                <w:szCs w:val="24"/>
                <w:highlight w:val="none"/>
                <w:u w:val="single" w:color="auto"/>
              </w:rPr>
              <w:t>**%</w:t>
            </w:r>
            <w:r>
              <w:rPr>
                <w:rFonts w:hint="eastAsia" w:ascii="宋体" w:hAnsi="宋体" w:eastAsia="宋体" w:cs="宋体"/>
                <w:color w:val="auto"/>
                <w:spacing w:val="-2"/>
                <w:sz w:val="24"/>
                <w:szCs w:val="24"/>
                <w:highlight w:val="none"/>
              </w:rPr>
              <w:t>，作为异常低价。</w:t>
            </w:r>
          </w:p>
          <w:p w14:paraId="34C2D278">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评标委员会在推荐中标候选人前，应当对拟推荐中标候选人的投标报价进行异常低价评审。具体评审要求如下：</w:t>
            </w:r>
          </w:p>
          <w:p w14:paraId="65037FD1">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（1）评审要求：投标人的投标函文字报价属于异常低价时，评标委员会将进行异常低价评审。</w:t>
            </w:r>
          </w:p>
          <w:p w14:paraId="39C0EF00">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证明材料要求：投标人须在投标文件报价文件中作出澄清或者说明，并提供降低工程造价的相关证明资料（不限于在人工、材料、机械消耗量、价格、施工措施、方案及其他方面）；同时提供关于合同履行能力及工程质量安全控制的承诺。</w:t>
            </w:r>
          </w:p>
          <w:p w14:paraId="50F95511">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（3）以下情形不得作为异常低价投标说明的依据：</w:t>
            </w:r>
          </w:p>
          <w:p w14:paraId="5430FD76">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a.机械、材料自有或闲置；</w:t>
            </w:r>
          </w:p>
          <w:p w14:paraId="7083B58B">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b. 自有弃土场土源或与临近项目签订的土方倒运协议；</w:t>
            </w:r>
          </w:p>
          <w:p w14:paraId="47E739A6">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c.人员闲置；</w:t>
            </w:r>
          </w:p>
          <w:p w14:paraId="59EF08B1">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d.亏本让利；</w:t>
            </w:r>
          </w:p>
          <w:p w14:paraId="4F31CE24">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e.企业市场拓展或品牌宣传；</w:t>
            </w:r>
          </w:p>
          <w:p w14:paraId="5576EBCF">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f.降低或改变原设计方案、技术工艺、施工标准的；</w:t>
            </w:r>
          </w:p>
          <w:p w14:paraId="5A80F3F8">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g.类似项目业绩；</w:t>
            </w:r>
          </w:p>
          <w:p w14:paraId="4F9FD8BC">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h.评标委员会认为不得作为降低投标报价依据的情形。</w:t>
            </w:r>
          </w:p>
          <w:p w14:paraId="67A30DF8">
            <w:pPr>
              <w:pStyle w:val="30"/>
              <w:spacing w:before="77" w:line="219"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评审标准：评标委员会对通过评审的异常低价中标候选人合同履行能力及工程质量安全等风险进行全面评估，并作为评标结果的附件提交给招标人。投标人在投标文件中不能作出有效澄清、说明或评标委员会认定（按少数服从多数的原则）其存在履约及质量安全风险的，评标委员会应否决其投标。</w:t>
            </w:r>
          </w:p>
        </w:tc>
      </w:tr>
      <w:tr w14:paraId="07352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0" w:hRule="atLeast"/>
        </w:trPr>
        <w:tc>
          <w:tcPr>
            <w:tcW w:w="9186" w:type="dxa"/>
            <w:gridSpan w:val="4"/>
            <w:vAlign w:val="top"/>
          </w:tcPr>
          <w:p w14:paraId="25F7899A">
            <w:pPr>
              <w:pStyle w:val="30"/>
              <w:spacing w:before="32" w:line="221"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需要补充的其他内容：</w:t>
            </w:r>
          </w:p>
          <w:p w14:paraId="339D7EF5">
            <w:pPr>
              <w:pStyle w:val="30"/>
              <w:spacing w:before="159" w:line="345" w:lineRule="auto"/>
              <w:ind w:left="115" w:right="118" w:firstLine="1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1.评标委员会对拟推荐的中标候选人进行查询，并将查询截图及查询结果在评标报告中</w:t>
            </w:r>
            <w:r>
              <w:rPr>
                <w:rFonts w:hint="eastAsia" w:ascii="宋体" w:hAnsi="宋体" w:eastAsia="宋体" w:cs="宋体"/>
                <w:color w:val="auto"/>
                <w:spacing w:val="-2"/>
                <w:sz w:val="24"/>
                <w:szCs w:val="24"/>
                <w:highlight w:val="none"/>
              </w:rPr>
              <w:t>予以记录。</w:t>
            </w:r>
            <w:r>
              <w:rPr>
                <w:rFonts w:hint="eastAsia" w:ascii="宋体" w:hAnsi="宋体" w:eastAsia="宋体" w:cs="宋体"/>
                <w:color w:val="auto"/>
                <w:sz w:val="24"/>
                <w:szCs w:val="24"/>
                <w:highlight w:val="none"/>
              </w:rPr>
              <w:t xml:space="preserve"> 存在下列情形的，不得推荐为中标候选人。具体查询要求如</w:t>
            </w:r>
            <w:r>
              <w:rPr>
                <w:rFonts w:hint="eastAsia" w:ascii="宋体" w:hAnsi="宋体" w:eastAsia="宋体" w:cs="宋体"/>
                <w:color w:val="auto"/>
                <w:spacing w:val="-1"/>
                <w:sz w:val="24"/>
                <w:szCs w:val="24"/>
                <w:highlight w:val="none"/>
              </w:rPr>
              <w:t>下：</w:t>
            </w:r>
          </w:p>
          <w:p w14:paraId="42FC878C">
            <w:pPr>
              <w:pStyle w:val="30"/>
              <w:spacing w:before="30" w:line="346" w:lineRule="auto"/>
              <w:ind w:left="116" w:right="113" w:firstLine="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（1）评标委员会仅通过“国家企业信用信</w:t>
            </w:r>
            <w:r>
              <w:rPr>
                <w:rFonts w:hint="eastAsia" w:ascii="宋体" w:hAnsi="宋体" w:eastAsia="宋体" w:cs="宋体"/>
                <w:color w:val="auto"/>
                <w:sz w:val="24"/>
                <w:szCs w:val="24"/>
                <w:highlight w:val="none"/>
              </w:rPr>
              <w:t>息公示系统”查询拟推荐中标候选人是否被列入严重违</w:t>
            </w:r>
            <w:r>
              <w:rPr>
                <w:rFonts w:hint="eastAsia" w:ascii="宋体" w:hAnsi="宋体" w:eastAsia="宋体" w:cs="宋体"/>
                <w:color w:val="auto"/>
                <w:spacing w:val="-1"/>
                <w:sz w:val="24"/>
                <w:szCs w:val="24"/>
                <w:highlight w:val="none"/>
              </w:rPr>
              <w:t>法失信名单；</w:t>
            </w:r>
          </w:p>
          <w:p w14:paraId="363AD3A0">
            <w:pPr>
              <w:pStyle w:val="30"/>
              <w:spacing w:before="31" w:line="290" w:lineRule="auto"/>
              <w:ind w:left="116" w:right="113" w:firstLine="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（2）评标委员会仅通过“信用中国”查询</w:t>
            </w:r>
            <w:r>
              <w:rPr>
                <w:rFonts w:hint="eastAsia" w:ascii="宋体" w:hAnsi="宋体" w:eastAsia="宋体" w:cs="宋体"/>
                <w:color w:val="auto"/>
                <w:sz w:val="24"/>
                <w:szCs w:val="24"/>
                <w:highlight w:val="none"/>
              </w:rPr>
              <w:t>拟推荐中标候选人是否被列为失信被执行人或者是否被</w:t>
            </w:r>
            <w:r>
              <w:rPr>
                <w:rFonts w:hint="eastAsia" w:ascii="宋体" w:hAnsi="宋体" w:eastAsia="宋体" w:cs="宋体"/>
                <w:color w:val="auto"/>
                <w:spacing w:val="-1"/>
                <w:sz w:val="24"/>
                <w:szCs w:val="24"/>
                <w:highlight w:val="none"/>
              </w:rPr>
              <w:t>确定为重大税收违法失信主体或者是否被列入拖欠农民工工资失信联合惩戒对象名单；</w:t>
            </w:r>
          </w:p>
          <w:p w14:paraId="6C341F9D">
            <w:pPr>
              <w:pStyle w:val="30"/>
              <w:spacing w:before="143" w:line="290" w:lineRule="auto"/>
              <w:ind w:left="116" w:right="105" w:hanging="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施工组织设计评审采用暗标评审的，投标文件</w:t>
            </w:r>
            <w:r>
              <w:rPr>
                <w:rFonts w:hint="eastAsia" w:ascii="宋体" w:hAnsi="宋体" w:eastAsia="宋体" w:cs="宋体"/>
                <w:color w:val="auto"/>
                <w:spacing w:val="-1"/>
                <w:sz w:val="24"/>
                <w:szCs w:val="24"/>
                <w:highlight w:val="none"/>
              </w:rPr>
              <w:t>制作应当符合第二章投标人须知前附表第</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1"/>
                <w:sz w:val="24"/>
                <w:szCs w:val="24"/>
                <w:highlight w:val="none"/>
              </w:rPr>
              <w:t>3.7.6 项</w:t>
            </w:r>
            <w:r>
              <w:rPr>
                <w:rFonts w:hint="eastAsia" w:ascii="宋体" w:hAnsi="宋体" w:eastAsia="宋体" w:cs="宋体"/>
                <w:color w:val="auto"/>
                <w:spacing w:val="-8"/>
                <w:sz w:val="24"/>
                <w:szCs w:val="24"/>
                <w:highlight w:val="none"/>
              </w:rPr>
              <w:t>规定。</w:t>
            </w:r>
          </w:p>
        </w:tc>
      </w:tr>
    </w:tbl>
    <w:p w14:paraId="6522C5E9">
      <w:pPr>
        <w:rPr>
          <w:rStyle w:val="37"/>
          <w:rFonts w:hint="eastAsia" w:ascii="Times New Roman" w:hAnsi="Times New Roman" w:cs="宋体"/>
          <w:b w:val="0"/>
          <w:bCs w:val="0"/>
          <w:snapToGrid/>
          <w:color w:val="auto"/>
          <w:highlight w:val="none"/>
          <w:lang w:eastAsia="zh-CN" w:bidi="ar-SA"/>
        </w:rPr>
      </w:pPr>
      <w:bookmarkStart w:id="207" w:name="bookmark63"/>
      <w:bookmarkEnd w:id="207"/>
      <w:bookmarkStart w:id="208" w:name="bookmark64"/>
      <w:bookmarkEnd w:id="208"/>
      <w:r>
        <w:rPr>
          <w:rStyle w:val="37"/>
          <w:rFonts w:hint="eastAsia" w:ascii="Times New Roman" w:hAnsi="Times New Roman" w:cs="宋体"/>
          <w:b w:val="0"/>
          <w:bCs w:val="0"/>
          <w:snapToGrid/>
          <w:color w:val="auto"/>
          <w:highlight w:val="none"/>
          <w:lang w:eastAsia="zh-CN" w:bidi="ar-SA"/>
        </w:rPr>
        <w:br w:type="page"/>
      </w:r>
    </w:p>
    <w:p w14:paraId="34B14C21">
      <w:pPr>
        <w:pStyle w:val="5"/>
        <w:suppressLineNumbers w:val="0"/>
        <w:kinsoku/>
        <w:autoSpaceDE/>
        <w:autoSpaceDN/>
        <w:adjustRightInd/>
        <w:snapToGrid/>
        <w:spacing w:before="240" w:beforeLines="100" w:beforeAutospacing="0" w:after="240" w:afterLines="100" w:afterAutospacing="0" w:line="240" w:lineRule="auto"/>
        <w:ind w:left="0" w:right="0"/>
        <w:jc w:val="left"/>
        <w:textAlignment w:val="auto"/>
        <w:rPr>
          <w:rStyle w:val="37"/>
          <w:rFonts w:hint="eastAsia" w:ascii="Times New Roman" w:hAnsi="Times New Roman" w:cs="宋体"/>
          <w:b w:val="0"/>
          <w:bCs w:val="0"/>
          <w:snapToGrid/>
          <w:color w:val="auto"/>
          <w:highlight w:val="none"/>
          <w:lang w:eastAsia="zh-CN" w:bidi="ar-SA"/>
        </w:rPr>
      </w:pPr>
      <w:bookmarkStart w:id="209" w:name="_Toc612"/>
      <w:r>
        <w:rPr>
          <w:rStyle w:val="37"/>
          <w:rFonts w:hint="eastAsia" w:ascii="Times New Roman" w:hAnsi="Times New Roman" w:cs="宋体"/>
          <w:b w:val="0"/>
          <w:bCs w:val="0"/>
          <w:snapToGrid/>
          <w:color w:val="auto"/>
          <w:highlight w:val="none"/>
          <w:lang w:eastAsia="zh-CN" w:bidi="ar-SA"/>
        </w:rPr>
        <w:t>1. 评标方法</w:t>
      </w:r>
      <w:bookmarkEnd w:id="209"/>
    </w:p>
    <w:p w14:paraId="5DC811A3">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本次评标采用</w:t>
      </w:r>
      <w:r>
        <w:rPr>
          <w:rFonts w:hint="eastAsia" w:ascii="Times New Roman" w:hAnsi="Times New Roman" w:eastAsia="宋体" w:cs="宋体"/>
          <w:b/>
          <w:bCs/>
          <w:snapToGrid/>
          <w:color w:val="auto"/>
          <w:kern w:val="2"/>
          <w:sz w:val="24"/>
          <w:szCs w:val="24"/>
          <w:highlight w:val="none"/>
          <w:lang w:eastAsia="zh-CN"/>
        </w:rPr>
        <w:t>综合评估法（合理低价）</w:t>
      </w:r>
      <w:r>
        <w:rPr>
          <w:rFonts w:hint="eastAsia" w:ascii="Times New Roman" w:hAnsi="Times New Roman" w:eastAsia="宋体" w:cs="宋体"/>
          <w:snapToGrid/>
          <w:color w:val="auto"/>
          <w:kern w:val="2"/>
          <w:sz w:val="24"/>
          <w:szCs w:val="24"/>
          <w:highlight w:val="none"/>
          <w:lang w:eastAsia="zh-CN"/>
        </w:rPr>
        <w:t>。评标委员会按照本章第2.1款规定的评分标准进行打分，并按得分由高到低顺序依次对投标人的投标文件进行初步评审和详细评审，初步评审和详细评审最先全部通过的即为第一中标候选人，直至推荐出招标文件规定数量的中标候选人或根据招标人授权直接确定中标人，但投标报价低于其成本的除外。综合评分相等时，评标委员会应按照评标办法前附表的规定确定评审顺序。</w:t>
      </w:r>
    </w:p>
    <w:p w14:paraId="4F114541">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本次评标推荐中标候选人的先后顺序及最多可中标段数量详见评标办法前附表。</w:t>
      </w:r>
      <w:r>
        <w:rPr>
          <w:rFonts w:hint="eastAsia" w:ascii="Times New Roman" w:hAnsi="Times New Roman" w:eastAsia="宋体" w:cs="宋体"/>
          <w:b/>
          <w:bCs/>
          <w:snapToGrid/>
          <w:color w:val="auto"/>
          <w:kern w:val="2"/>
          <w:sz w:val="24"/>
          <w:szCs w:val="24"/>
          <w:highlight w:val="none"/>
          <w:lang w:eastAsia="zh-CN"/>
        </w:rPr>
        <w:t>被推荐为第一中标候选人的标段个数已达到最多允许中标的标段个数的投标人在其他后续标段均不得推荐为中标候选人</w:t>
      </w:r>
      <w:r>
        <w:rPr>
          <w:rFonts w:hint="eastAsia" w:ascii="Times New Roman" w:hAnsi="Times New Roman" w:eastAsia="宋体" w:cs="宋体"/>
          <w:snapToGrid/>
          <w:color w:val="auto"/>
          <w:kern w:val="2"/>
          <w:sz w:val="24"/>
          <w:szCs w:val="24"/>
          <w:highlight w:val="none"/>
          <w:lang w:eastAsia="zh-CN"/>
        </w:rPr>
        <w:t>。</w:t>
      </w:r>
    </w:p>
    <w:p w14:paraId="2F673586">
      <w:pPr>
        <w:pStyle w:val="5"/>
        <w:suppressLineNumbers w:val="0"/>
        <w:kinsoku/>
        <w:autoSpaceDE/>
        <w:autoSpaceDN/>
        <w:adjustRightInd/>
        <w:snapToGrid/>
        <w:spacing w:before="240" w:beforeLines="100" w:beforeAutospacing="0" w:after="240" w:afterLines="100" w:afterAutospacing="0" w:line="240" w:lineRule="auto"/>
        <w:ind w:left="0" w:right="0"/>
        <w:jc w:val="left"/>
        <w:textAlignment w:val="auto"/>
        <w:rPr>
          <w:rStyle w:val="37"/>
          <w:rFonts w:hint="eastAsia" w:ascii="Times New Roman" w:hAnsi="Times New Roman" w:cs="宋体"/>
          <w:b w:val="0"/>
          <w:bCs w:val="0"/>
          <w:snapToGrid/>
          <w:color w:val="auto"/>
          <w:highlight w:val="none"/>
          <w:lang w:eastAsia="zh-CN" w:bidi="ar-SA"/>
        </w:rPr>
      </w:pPr>
      <w:bookmarkStart w:id="210" w:name="bookmark66"/>
      <w:bookmarkEnd w:id="210"/>
      <w:bookmarkStart w:id="211" w:name="bookmark65"/>
      <w:bookmarkEnd w:id="211"/>
      <w:bookmarkStart w:id="212" w:name="_Toc29088"/>
      <w:r>
        <w:rPr>
          <w:rStyle w:val="37"/>
          <w:rFonts w:hint="eastAsia" w:ascii="Times New Roman" w:hAnsi="Times New Roman" w:cs="宋体"/>
          <w:b w:val="0"/>
          <w:bCs w:val="0"/>
          <w:snapToGrid/>
          <w:color w:val="auto"/>
          <w:highlight w:val="none"/>
          <w:lang w:eastAsia="zh-CN" w:bidi="ar-SA"/>
        </w:rPr>
        <w:t>2. 评审标准</w:t>
      </w:r>
      <w:bookmarkEnd w:id="212"/>
    </w:p>
    <w:p w14:paraId="6B79A0EB">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13" w:name="_Toc21270"/>
      <w:r>
        <w:rPr>
          <w:rFonts w:hint="eastAsia" w:ascii="Times New Roman" w:hAnsi="Times New Roman" w:eastAsia="宋体" w:cs="宋体"/>
          <w:snapToGrid/>
          <w:color w:val="auto"/>
          <w:kern w:val="2"/>
          <w:sz w:val="24"/>
          <w:szCs w:val="24"/>
          <w:highlight w:val="none"/>
          <w:lang w:eastAsia="zh-CN"/>
        </w:rPr>
        <w:t>2.1 分值构成与评分标准</w:t>
      </w:r>
      <w:bookmarkEnd w:id="213"/>
    </w:p>
    <w:p w14:paraId="58ADF132">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2.1.1 分值构成：见评标办法前附表。</w:t>
      </w:r>
    </w:p>
    <w:p w14:paraId="1C2B1EC8">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2.1.2 评标基准价计算方法：见评标办法前附表。</w:t>
      </w:r>
    </w:p>
    <w:p w14:paraId="37539ABE">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2.1.3 投标报价的偏差率计算公式：见评标办法前附表。</w:t>
      </w:r>
    </w:p>
    <w:p w14:paraId="38819FB0">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2.1.4 评分标准：见评标办法前附表。</w:t>
      </w:r>
    </w:p>
    <w:p w14:paraId="58659AEA">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14" w:name="_Toc31234"/>
      <w:r>
        <w:rPr>
          <w:rFonts w:hint="eastAsia" w:ascii="Times New Roman" w:hAnsi="Times New Roman" w:eastAsia="宋体" w:cs="宋体"/>
          <w:snapToGrid/>
          <w:color w:val="auto"/>
          <w:kern w:val="2"/>
          <w:sz w:val="24"/>
          <w:szCs w:val="24"/>
          <w:highlight w:val="none"/>
          <w:lang w:eastAsia="zh-CN"/>
        </w:rPr>
        <w:t>2.2 初步评审标准</w:t>
      </w:r>
      <w:bookmarkEnd w:id="214"/>
    </w:p>
    <w:p w14:paraId="1B285DF7">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2.2.1 形式评审标准：见评标办法前附表。</w:t>
      </w:r>
    </w:p>
    <w:p w14:paraId="47765493">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2.2.2 资格评审标准：见评标办法前附表。</w:t>
      </w:r>
    </w:p>
    <w:p w14:paraId="380FE0CF">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2.2.3 响应性评审标准：见评标办法前附表。</w:t>
      </w:r>
    </w:p>
    <w:p w14:paraId="00B07944">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2.2.4 施工组织设计和主要人员评审标准：见评标办法前附表。</w:t>
      </w:r>
    </w:p>
    <w:p w14:paraId="65861C18">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15" w:name="_Toc26352"/>
      <w:r>
        <w:rPr>
          <w:rFonts w:hint="eastAsia" w:ascii="Times New Roman" w:hAnsi="Times New Roman" w:eastAsia="宋体" w:cs="宋体"/>
          <w:snapToGrid/>
          <w:color w:val="auto"/>
          <w:kern w:val="2"/>
          <w:sz w:val="24"/>
          <w:szCs w:val="24"/>
          <w:highlight w:val="none"/>
          <w:lang w:eastAsia="zh-CN"/>
        </w:rPr>
        <w:t>2.3 详细评审标准</w:t>
      </w:r>
      <w:bookmarkEnd w:id="215"/>
    </w:p>
    <w:p w14:paraId="691B3DA7">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详细评审标准：见评标办法前附表。</w:t>
      </w:r>
    </w:p>
    <w:p w14:paraId="43C1B4BB">
      <w:pPr>
        <w:pStyle w:val="5"/>
        <w:suppressLineNumbers w:val="0"/>
        <w:kinsoku/>
        <w:autoSpaceDE/>
        <w:autoSpaceDN/>
        <w:adjustRightInd/>
        <w:snapToGrid/>
        <w:spacing w:before="240" w:beforeLines="100" w:beforeAutospacing="0" w:after="240" w:afterLines="100" w:afterAutospacing="0" w:line="240" w:lineRule="auto"/>
        <w:ind w:left="0" w:right="0"/>
        <w:jc w:val="left"/>
        <w:textAlignment w:val="auto"/>
        <w:rPr>
          <w:rStyle w:val="37"/>
          <w:rFonts w:hint="eastAsia" w:ascii="Times New Roman" w:hAnsi="Times New Roman" w:cs="宋体"/>
          <w:b w:val="0"/>
          <w:bCs w:val="0"/>
          <w:snapToGrid/>
          <w:color w:val="auto"/>
          <w:highlight w:val="none"/>
          <w:lang w:eastAsia="zh-CN" w:bidi="ar-SA"/>
        </w:rPr>
      </w:pPr>
      <w:bookmarkStart w:id="216" w:name="_Toc32679"/>
      <w:r>
        <w:rPr>
          <w:rStyle w:val="37"/>
          <w:rFonts w:hint="eastAsia" w:ascii="Times New Roman" w:hAnsi="Times New Roman" w:cs="宋体"/>
          <w:b w:val="0"/>
          <w:bCs w:val="0"/>
          <w:snapToGrid/>
          <w:color w:val="auto"/>
          <w:highlight w:val="none"/>
          <w:lang w:eastAsia="zh-CN" w:bidi="ar-SA"/>
        </w:rPr>
        <w:t>3. 评标程序</w:t>
      </w:r>
      <w:bookmarkEnd w:id="216"/>
    </w:p>
    <w:p w14:paraId="75501D91">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17" w:name="_Toc5218"/>
      <w:r>
        <w:rPr>
          <w:rFonts w:hint="eastAsia" w:ascii="Times New Roman" w:hAnsi="Times New Roman" w:eastAsia="宋体" w:cs="宋体"/>
          <w:snapToGrid/>
          <w:color w:val="auto"/>
          <w:kern w:val="2"/>
          <w:sz w:val="24"/>
          <w:szCs w:val="24"/>
          <w:highlight w:val="none"/>
          <w:lang w:eastAsia="zh-CN"/>
        </w:rPr>
        <w:t>3.1 打分及评审顺序</w:t>
      </w:r>
      <w:bookmarkEnd w:id="217"/>
    </w:p>
    <w:p w14:paraId="5E6012F0">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3.1.1 评标委员会按本章第2.1 款规定的评分标准进行打分，编制评分比较一览表，并按照得分由高到低顺序依次进行评审。</w:t>
      </w:r>
    </w:p>
    <w:p w14:paraId="0CFB4027">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3.1.2 评标委员会依据本章第2.2款和第2.3款规定的标准首先对得分最高的投标人的投标文件进行初步评审和详细评审。有一项不符合评审标准的，评标委员会应当否决其投标，然后对得分次高的投标人的投标文件进行初步评审和详细评审，以此类推。初步评审和详细评审最先全部通过的即为第一中标候选人，直至推荐出招标文件规定数量的中标候选人或根据招标人授权直接确定中标人。</w:t>
      </w:r>
    </w:p>
    <w:p w14:paraId="4D52CA27">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18" w:name="_Toc19049"/>
      <w:r>
        <w:rPr>
          <w:rFonts w:hint="eastAsia" w:ascii="Times New Roman" w:hAnsi="Times New Roman" w:eastAsia="宋体" w:cs="宋体"/>
          <w:snapToGrid/>
          <w:color w:val="auto"/>
          <w:kern w:val="2"/>
          <w:sz w:val="24"/>
          <w:szCs w:val="24"/>
          <w:highlight w:val="none"/>
          <w:lang w:eastAsia="zh-CN"/>
        </w:rPr>
        <w:t>3.2 初步评审</w:t>
      </w:r>
      <w:bookmarkEnd w:id="218"/>
    </w:p>
    <w:p w14:paraId="154ACC0F">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3.2.1 评标委员会依据本章第2.2款规定的标准对投标文件进行初步评审。有一项不符合评审标准的，评标委员会应当否决其投标。</w:t>
      </w:r>
    </w:p>
    <w:p w14:paraId="65932AFF">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3.2.2 投标人有以下情形之一的，评标委员会应当否决其投标：</w:t>
      </w:r>
    </w:p>
    <w:p w14:paraId="14C676CE">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（1）投标文件没有对招标文件的实质性要求和条件作出响应，或者对招标文件的偏差超出招标 文件规定的偏差范围或最高项数；</w:t>
      </w:r>
    </w:p>
    <w:p w14:paraId="2A69789F">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（2）有串通投标、弄虚作假、行贿等违法行为。</w:t>
      </w:r>
    </w:p>
    <w:p w14:paraId="128729D4">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3.2.3 投标报价有算术错误及其他错误的，评标委员会按以下原则对投标报价进行修正，并要求投标人书面澄清确认。投标人拒不澄清确认的，评标委员会应当否决其投标：</w:t>
      </w:r>
    </w:p>
    <w:p w14:paraId="43408F5C">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（1）投标文件中的大写金额与小写金额不一致的，以大写金额为准；</w:t>
      </w:r>
    </w:p>
    <w:p w14:paraId="5570395A">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（2）总价金额与单价金额不一致的，以单价金额为准，但单价金额小数点有明显错误的除外。</w:t>
      </w:r>
    </w:p>
    <w:p w14:paraId="1118BBE5">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19" w:name="_Toc22809"/>
      <w:r>
        <w:rPr>
          <w:rFonts w:hint="eastAsia" w:ascii="Times New Roman" w:hAnsi="Times New Roman" w:eastAsia="宋体" w:cs="宋体"/>
          <w:snapToGrid/>
          <w:color w:val="auto"/>
          <w:kern w:val="2"/>
          <w:sz w:val="24"/>
          <w:szCs w:val="24"/>
          <w:highlight w:val="none"/>
          <w:lang w:eastAsia="zh-CN"/>
        </w:rPr>
        <w:t>3.3 详细评审</w:t>
      </w:r>
      <w:bookmarkEnd w:id="219"/>
    </w:p>
    <w:p w14:paraId="13CA8E0F">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评标委员会发现投标人的报价明显低于其他投标报价或者存在异常低价投标情形，使得其投标报价可能低于其个别成本的，应当要求该投标人作出书面说明并提供相应的证明材料。异常低价投 标情形的界定和评审要求见本章第 2.3 款规定。投标人不能合理说明或者不能提供相应证明材料的， 评标委员会应当认定该投标人以低于成本报价竞标，并否决其投标。</w:t>
      </w:r>
    </w:p>
    <w:p w14:paraId="37A554C8">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20" w:name="_Toc17643"/>
      <w:r>
        <w:rPr>
          <w:rFonts w:hint="eastAsia" w:ascii="Times New Roman" w:hAnsi="Times New Roman" w:eastAsia="宋体" w:cs="宋体"/>
          <w:snapToGrid/>
          <w:color w:val="auto"/>
          <w:kern w:val="2"/>
          <w:sz w:val="24"/>
          <w:szCs w:val="24"/>
          <w:highlight w:val="none"/>
          <w:lang w:eastAsia="zh-CN"/>
        </w:rPr>
        <w:t>3.4 投标文件的澄清</w:t>
      </w:r>
      <w:bookmarkEnd w:id="220"/>
    </w:p>
    <w:p w14:paraId="248CDFF3">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3.4.1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1F3CC8D5">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3.4.2 澄清、说明或补正不得超出投标文件的范围且不得改变投标文件的实质性内容（算术性错误的修正除外），并构成投标文件的组成部分。</w:t>
      </w:r>
    </w:p>
    <w:p w14:paraId="4F5D4B9B">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3.4.3 评标委员会对投标人提交的澄清、说明或补正有疑问的，可以要求投标人进一步澄清、说明或补正，直至满足评标委员会的要求。</w:t>
      </w:r>
    </w:p>
    <w:p w14:paraId="45B29D6B">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21" w:name="_Toc31553"/>
      <w:r>
        <w:rPr>
          <w:rFonts w:hint="eastAsia" w:ascii="Times New Roman" w:hAnsi="Times New Roman" w:eastAsia="宋体" w:cs="宋体"/>
          <w:snapToGrid/>
          <w:color w:val="auto"/>
          <w:kern w:val="2"/>
          <w:sz w:val="24"/>
          <w:szCs w:val="24"/>
          <w:highlight w:val="none"/>
          <w:lang w:eastAsia="zh-CN"/>
        </w:rPr>
        <w:t>3.5 评标结果</w:t>
      </w:r>
      <w:bookmarkEnd w:id="221"/>
    </w:p>
    <w:p w14:paraId="61DADFD1">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3.5.1 除第二章“投标人须知”前附表授权直接确定中标人外，评标委员会按照得分由高到低的顺序依次评审和推荐中标候选人，并标明推荐顺序。</w:t>
      </w:r>
    </w:p>
    <w:p w14:paraId="29995241">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3.5.2 评标委员会完成评标后，应当向招标人提交书面评标报告和中标候选人名单。</w:t>
      </w:r>
    </w:p>
    <w:p w14:paraId="5E9C8FFC">
      <w:pPr>
        <w:pStyle w:val="5"/>
        <w:suppressLineNumbers w:val="0"/>
        <w:kinsoku/>
        <w:autoSpaceDE/>
        <w:autoSpaceDN/>
        <w:adjustRightInd/>
        <w:snapToGrid/>
        <w:spacing w:before="240" w:beforeLines="100" w:beforeAutospacing="0" w:after="240" w:afterLines="100" w:afterAutospacing="0" w:line="240" w:lineRule="auto"/>
        <w:ind w:left="0" w:right="0"/>
        <w:jc w:val="left"/>
        <w:textAlignment w:val="auto"/>
        <w:rPr>
          <w:rStyle w:val="37"/>
          <w:rFonts w:hint="eastAsia" w:ascii="Times New Roman" w:hAnsi="Times New Roman" w:cs="宋体"/>
          <w:b w:val="0"/>
          <w:bCs w:val="0"/>
          <w:snapToGrid/>
          <w:color w:val="auto"/>
          <w:highlight w:val="none"/>
          <w:lang w:eastAsia="zh-CN" w:bidi="ar-SA"/>
        </w:rPr>
      </w:pPr>
      <w:bookmarkStart w:id="222" w:name="_Toc11537"/>
      <w:r>
        <w:rPr>
          <w:rStyle w:val="37"/>
          <w:rFonts w:hint="eastAsia" w:ascii="Times New Roman" w:hAnsi="Times New Roman" w:cs="宋体"/>
          <w:b w:val="0"/>
          <w:bCs w:val="0"/>
          <w:snapToGrid/>
          <w:color w:val="auto"/>
          <w:highlight w:val="none"/>
          <w:lang w:eastAsia="zh-CN" w:bidi="ar-SA"/>
        </w:rPr>
        <w:t>4. 特殊情况的处置</w:t>
      </w:r>
      <w:bookmarkEnd w:id="222"/>
    </w:p>
    <w:p w14:paraId="7BD5531D">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23" w:name="_Toc18092"/>
      <w:r>
        <w:rPr>
          <w:rFonts w:hint="eastAsia" w:ascii="Times New Roman" w:hAnsi="Times New Roman" w:eastAsia="宋体" w:cs="宋体"/>
          <w:snapToGrid/>
          <w:color w:val="auto"/>
          <w:kern w:val="2"/>
          <w:sz w:val="24"/>
          <w:szCs w:val="24"/>
          <w:highlight w:val="none"/>
          <w:lang w:eastAsia="zh-CN"/>
        </w:rPr>
        <w:t>4.1 关于评标活动暂停</w:t>
      </w:r>
      <w:bookmarkEnd w:id="223"/>
    </w:p>
    <w:p w14:paraId="1F49B124">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4.1.1 评标委员会应当连续评标，按评标办法中规定的程序、内容、方法、标准完成全部评标工作。只有发生不可抗力导致评标工作无法进行时，评标活动方可暂停。</w:t>
      </w:r>
    </w:p>
    <w:p w14:paraId="100A009B">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4.1.2 发生评标暂停情况时，评标委员会应当封存全部投标文件和开标评标资料，待不可抗力的 影响结束且具备继续评标的条件时，由原评标委员会继续评标。</w:t>
      </w:r>
    </w:p>
    <w:p w14:paraId="2BE46C5D">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24" w:name="_Toc6515"/>
      <w:r>
        <w:rPr>
          <w:rFonts w:hint="eastAsia" w:ascii="Times New Roman" w:hAnsi="Times New Roman" w:eastAsia="宋体" w:cs="宋体"/>
          <w:snapToGrid/>
          <w:color w:val="auto"/>
          <w:kern w:val="2"/>
          <w:sz w:val="24"/>
          <w:szCs w:val="24"/>
          <w:highlight w:val="none"/>
          <w:lang w:eastAsia="zh-CN"/>
        </w:rPr>
        <w:t>4.2 关于评标中途更换评标委员会成员</w:t>
      </w:r>
      <w:bookmarkEnd w:id="224"/>
    </w:p>
    <w:p w14:paraId="355DDD8B">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4.2.1 除非发生下列情况之一，评标委员会成员不得在评标中途更换：</w:t>
      </w:r>
    </w:p>
    <w:p w14:paraId="7B48E471">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（1）因不可抗拒的客观原因，不能到场或需在评标中途退出评标活动。</w:t>
      </w:r>
    </w:p>
    <w:p w14:paraId="0DC6532B">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（2）根据法律法规规定，某个或某几个评标委员会成员需要回避。</w:t>
      </w:r>
    </w:p>
    <w:p w14:paraId="025AB244">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4.2.2 退出评标的评标委员会成员，其已完成的评标行为无效。由招标人根据本招标文件规定的评标委员会成员产生方式另行确定替代者进行评标。</w:t>
      </w:r>
    </w:p>
    <w:p w14:paraId="3192CBA5">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25" w:name="_Toc31782"/>
      <w:r>
        <w:rPr>
          <w:rFonts w:hint="eastAsia" w:ascii="Times New Roman" w:hAnsi="Times New Roman" w:eastAsia="宋体" w:cs="宋体"/>
          <w:snapToGrid/>
          <w:color w:val="auto"/>
          <w:kern w:val="2"/>
          <w:sz w:val="24"/>
          <w:szCs w:val="24"/>
          <w:highlight w:val="none"/>
          <w:lang w:eastAsia="zh-CN"/>
        </w:rPr>
        <w:t>4.3 记名投票</w:t>
      </w:r>
      <w:bookmarkEnd w:id="225"/>
    </w:p>
    <w:p w14:paraId="292955D7">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sectPr>
          <w:footerReference r:id="rId7" w:type="default"/>
          <w:pgSz w:w="11907" w:h="16839"/>
          <w:pgMar w:top="1431" w:right="1344" w:bottom="1362" w:left="1425" w:header="0" w:footer="1202" w:gutter="0"/>
          <w:pgNumType w:fmt="decimal"/>
          <w:cols w:space="720" w:num="1"/>
        </w:sectPr>
      </w:pPr>
      <w:r>
        <w:rPr>
          <w:rFonts w:hint="eastAsia" w:ascii="Times New Roman" w:hAnsi="Times New Roman" w:eastAsia="宋体" w:cs="宋体"/>
          <w:snapToGrid/>
          <w:color w:val="auto"/>
          <w:kern w:val="2"/>
          <w:sz w:val="24"/>
          <w:szCs w:val="24"/>
          <w:highlight w:val="none"/>
          <w:lang w:eastAsia="zh-CN"/>
        </w:rPr>
        <w:t>在任何评标环节中，需评标委员会就某项定性的评审结论做出表决的，由评标委员会全体成员按照少数服从多数的原则，以记名投票方式表决（不得弃权）。</w:t>
      </w:r>
    </w:p>
    <w:p w14:paraId="3AAF6A0C">
      <w:pPr>
        <w:rPr>
          <w:rFonts w:ascii="宋体" w:hAnsi="宋体" w:eastAsia="宋体" w:cs="宋体"/>
          <w:b/>
          <w:bCs/>
          <w:color w:val="auto"/>
          <w:spacing w:val="4"/>
          <w:sz w:val="43"/>
          <w:szCs w:val="43"/>
          <w:highlight w:val="none"/>
        </w:rPr>
      </w:pPr>
    </w:p>
    <w:p w14:paraId="68341EB2">
      <w:pPr>
        <w:spacing w:before="87" w:line="223" w:lineRule="auto"/>
        <w:jc w:val="center"/>
        <w:outlineLvl w:val="0"/>
        <w:rPr>
          <w:rFonts w:ascii="宋体" w:hAnsi="宋体" w:eastAsia="宋体" w:cs="宋体"/>
          <w:color w:val="auto"/>
          <w:sz w:val="43"/>
          <w:szCs w:val="43"/>
          <w:highlight w:val="none"/>
        </w:rPr>
      </w:pPr>
      <w:bookmarkStart w:id="226" w:name="_Toc7749"/>
      <w:r>
        <w:rPr>
          <w:rFonts w:ascii="宋体" w:hAnsi="宋体" w:eastAsia="宋体" w:cs="宋体"/>
          <w:b/>
          <w:bCs/>
          <w:color w:val="auto"/>
          <w:spacing w:val="4"/>
          <w:sz w:val="43"/>
          <w:szCs w:val="43"/>
          <w:highlight w:val="none"/>
        </w:rPr>
        <w:t>第四章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合同条款及格式</w:t>
      </w:r>
      <w:bookmarkEnd w:id="226"/>
    </w:p>
    <w:p w14:paraId="5DDBA571">
      <w:pPr>
        <w:spacing w:before="154" w:line="225" w:lineRule="auto"/>
        <w:jc w:val="center"/>
        <w:outlineLvl w:val="1"/>
        <w:rPr>
          <w:rFonts w:ascii="宋体" w:hAnsi="宋体" w:eastAsia="宋体" w:cs="宋体"/>
          <w:color w:val="auto"/>
          <w:sz w:val="31"/>
          <w:szCs w:val="31"/>
          <w:highlight w:val="none"/>
        </w:rPr>
      </w:pPr>
      <w:bookmarkStart w:id="227" w:name="_Toc7811"/>
      <w:r>
        <w:rPr>
          <w:rFonts w:ascii="宋体" w:hAnsi="宋体" w:eastAsia="宋体" w:cs="宋体"/>
          <w:b/>
          <w:bCs/>
          <w:color w:val="auto"/>
          <w:spacing w:val="6"/>
          <w:sz w:val="31"/>
          <w:szCs w:val="31"/>
          <w:highlight w:val="none"/>
        </w:rPr>
        <w:t>第一节</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通用合同条款</w:t>
      </w:r>
      <w:bookmarkEnd w:id="227"/>
    </w:p>
    <w:p w14:paraId="327A97FA">
      <w:pPr>
        <w:spacing w:line="258" w:lineRule="auto"/>
        <w:rPr>
          <w:rFonts w:ascii="Arial"/>
          <w:color w:val="auto"/>
          <w:sz w:val="21"/>
          <w:highlight w:val="none"/>
        </w:rPr>
      </w:pPr>
    </w:p>
    <w:p w14:paraId="09B88CDF">
      <w:pPr>
        <w:spacing w:before="101" w:line="226" w:lineRule="auto"/>
        <w:ind w:left="27"/>
        <w:outlineLvl w:val="2"/>
        <w:rPr>
          <w:rFonts w:ascii="宋体" w:hAnsi="宋体" w:eastAsia="宋体" w:cs="宋体"/>
          <w:color w:val="auto"/>
          <w:sz w:val="31"/>
          <w:szCs w:val="31"/>
          <w:highlight w:val="none"/>
        </w:rPr>
      </w:pPr>
      <w:bookmarkStart w:id="228" w:name="_Toc8620"/>
      <w:bookmarkStart w:id="229" w:name="_Toc28716"/>
      <w:r>
        <w:rPr>
          <w:rFonts w:ascii="宋体" w:hAnsi="宋体" w:eastAsia="宋体" w:cs="宋体"/>
          <w:b/>
          <w:bCs/>
          <w:color w:val="auto"/>
          <w:spacing w:val="-4"/>
          <w:sz w:val="31"/>
          <w:szCs w:val="31"/>
          <w:highlight w:val="none"/>
        </w:rPr>
        <w:t>1.</w:t>
      </w:r>
      <w:r>
        <w:rPr>
          <w:rFonts w:ascii="宋体" w:hAnsi="宋体" w:eastAsia="宋体" w:cs="宋体"/>
          <w:color w:val="auto"/>
          <w:spacing w:val="31"/>
          <w:sz w:val="31"/>
          <w:szCs w:val="31"/>
          <w:highlight w:val="none"/>
        </w:rPr>
        <w:t xml:space="preserve"> </w:t>
      </w:r>
      <w:r>
        <w:rPr>
          <w:rFonts w:ascii="宋体" w:hAnsi="宋体" w:eastAsia="宋体" w:cs="宋体"/>
          <w:b/>
          <w:bCs/>
          <w:color w:val="auto"/>
          <w:spacing w:val="-4"/>
          <w:sz w:val="31"/>
          <w:szCs w:val="31"/>
          <w:highlight w:val="none"/>
        </w:rPr>
        <w:t>一般约定</w:t>
      </w:r>
      <w:bookmarkEnd w:id="228"/>
      <w:bookmarkEnd w:id="229"/>
    </w:p>
    <w:p w14:paraId="55078049">
      <w:pPr>
        <w:spacing w:before="275" w:line="221" w:lineRule="auto"/>
        <w:ind w:left="160"/>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1.1</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9"/>
          <w:sz w:val="28"/>
          <w:szCs w:val="28"/>
          <w:highlight w:val="none"/>
        </w:rPr>
        <w:t>词语定义</w:t>
      </w:r>
    </w:p>
    <w:p w14:paraId="60BF2B38">
      <w:pPr>
        <w:spacing w:before="279"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通用合同条款、专用合同条款中的下列词语应具有本款所赋予的含义。</w:t>
      </w:r>
    </w:p>
    <w:p w14:paraId="3ABA8001">
      <w:pPr>
        <w:spacing w:before="157" w:line="223" w:lineRule="auto"/>
        <w:ind w:left="428"/>
        <w:rPr>
          <w:rFonts w:ascii="宋体" w:hAnsi="宋体" w:eastAsia="宋体" w:cs="宋体"/>
          <w:color w:val="auto"/>
          <w:sz w:val="21"/>
          <w:szCs w:val="21"/>
          <w:highlight w:val="none"/>
        </w:rPr>
      </w:pPr>
      <w:r>
        <w:rPr>
          <w:rFonts w:ascii="宋体" w:hAnsi="宋体" w:eastAsia="宋体" w:cs="宋体"/>
          <w:b/>
          <w:bCs/>
          <w:color w:val="auto"/>
          <w:spacing w:val="-6"/>
          <w:sz w:val="21"/>
          <w:szCs w:val="21"/>
          <w:highlight w:val="none"/>
        </w:rPr>
        <w:t>1.1.1</w:t>
      </w:r>
      <w:r>
        <w:rPr>
          <w:rFonts w:ascii="宋体" w:hAnsi="宋体" w:eastAsia="宋体" w:cs="宋体"/>
          <w:color w:val="auto"/>
          <w:spacing w:val="10"/>
          <w:sz w:val="21"/>
          <w:szCs w:val="21"/>
          <w:highlight w:val="none"/>
        </w:rPr>
        <w:t xml:space="preserve"> </w:t>
      </w:r>
      <w:r>
        <w:rPr>
          <w:rFonts w:ascii="宋体" w:hAnsi="宋体" w:eastAsia="宋体" w:cs="宋体"/>
          <w:b/>
          <w:bCs/>
          <w:color w:val="auto"/>
          <w:spacing w:val="-6"/>
          <w:sz w:val="21"/>
          <w:szCs w:val="21"/>
          <w:highlight w:val="none"/>
        </w:rPr>
        <w:t>合同</w:t>
      </w:r>
    </w:p>
    <w:p w14:paraId="30B81B75">
      <w:pPr>
        <w:spacing w:before="155" w:line="344" w:lineRule="auto"/>
        <w:ind w:left="1" w:right="2" w:firstLine="433"/>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"1.1.1.1" </w:instrText>
      </w:r>
      <w:r>
        <w:rPr>
          <w:color w:val="auto"/>
          <w:highlight w:val="none"/>
        </w:rPr>
        <w:fldChar w:fldCharType="separate"/>
      </w:r>
      <w:r>
        <w:rPr>
          <w:rFonts w:ascii="宋体" w:hAnsi="宋体" w:eastAsia="宋体" w:cs="宋体"/>
          <w:color w:val="auto"/>
          <w:spacing w:val="-4"/>
          <w:sz w:val="21"/>
          <w:szCs w:val="21"/>
          <w:highlight w:val="none"/>
        </w:rPr>
        <w:t>1.1.1.1</w:t>
      </w:r>
      <w:r>
        <w:rPr>
          <w:rFonts w:ascii="宋体" w:hAnsi="宋体" w:eastAsia="宋体" w:cs="宋体"/>
          <w:color w:val="auto"/>
          <w:spacing w:val="-4"/>
          <w:sz w:val="21"/>
          <w:szCs w:val="21"/>
          <w:highlight w:val="none"/>
        </w:rPr>
        <w:fldChar w:fldCharType="end"/>
      </w:r>
      <w:r>
        <w:rPr>
          <w:rFonts w:ascii="宋体" w:hAnsi="宋体" w:eastAsia="宋体" w:cs="宋体"/>
          <w:color w:val="auto"/>
          <w:spacing w:val="-4"/>
          <w:sz w:val="21"/>
          <w:szCs w:val="21"/>
          <w:highlight w:val="none"/>
        </w:rPr>
        <w:t xml:space="preserve"> 合同文件（或称合同</w:t>
      </w:r>
      <w:r>
        <w:rPr>
          <w:rFonts w:ascii="宋体" w:hAnsi="宋体" w:eastAsia="宋体" w:cs="宋体"/>
          <w:color w:val="auto"/>
          <w:spacing w:val="-8"/>
          <w:sz w:val="21"/>
          <w:szCs w:val="21"/>
          <w:highlight w:val="none"/>
        </w:rPr>
        <w:t>）：</w:t>
      </w:r>
      <w:r>
        <w:rPr>
          <w:rFonts w:ascii="宋体" w:hAnsi="宋体" w:eastAsia="宋体" w:cs="宋体"/>
          <w:color w:val="auto"/>
          <w:spacing w:val="-4"/>
          <w:sz w:val="21"/>
          <w:szCs w:val="21"/>
          <w:highlight w:val="none"/>
        </w:rPr>
        <w:t>指合同协议书、中标通知书、投标函及投标函附录、专用合同</w:t>
      </w:r>
      <w:r>
        <w:rPr>
          <w:rFonts w:ascii="宋体" w:hAnsi="宋体" w:eastAsia="宋体" w:cs="宋体"/>
          <w:color w:val="auto"/>
          <w:sz w:val="21"/>
          <w:szCs w:val="21"/>
          <w:highlight w:val="none"/>
        </w:rPr>
        <w:t xml:space="preserve"> 条款、通用合同条款、技术标准和要求、图纸、已标价工程量清单，以及其他合同</w:t>
      </w:r>
      <w:r>
        <w:rPr>
          <w:rFonts w:ascii="宋体" w:hAnsi="宋体" w:eastAsia="宋体" w:cs="宋体"/>
          <w:color w:val="auto"/>
          <w:spacing w:val="-1"/>
          <w:sz w:val="21"/>
          <w:szCs w:val="21"/>
          <w:highlight w:val="none"/>
        </w:rPr>
        <w:t>文件。</w:t>
      </w:r>
    </w:p>
    <w:p w14:paraId="148FCAC7">
      <w:pPr>
        <w:spacing w:before="35" w:line="220"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"1.1.1.2" </w:instrText>
      </w:r>
      <w:r>
        <w:rPr>
          <w:color w:val="auto"/>
          <w:highlight w:val="none"/>
        </w:rPr>
        <w:fldChar w:fldCharType="separate"/>
      </w:r>
      <w:r>
        <w:rPr>
          <w:rFonts w:ascii="宋体" w:hAnsi="宋体" w:eastAsia="宋体" w:cs="宋体"/>
          <w:color w:val="auto"/>
          <w:spacing w:val="-2"/>
          <w:sz w:val="21"/>
          <w:szCs w:val="21"/>
          <w:highlight w:val="none"/>
        </w:rPr>
        <w:t>1.1.1.2</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合同协议书：指第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1.5</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款所</w:t>
      </w:r>
      <w:r>
        <w:rPr>
          <w:rFonts w:ascii="宋体" w:hAnsi="宋体" w:eastAsia="宋体" w:cs="宋体"/>
          <w:color w:val="auto"/>
          <w:spacing w:val="-3"/>
          <w:sz w:val="21"/>
          <w:szCs w:val="21"/>
          <w:highlight w:val="none"/>
        </w:rPr>
        <w:t>指的合同协议书。</w:t>
      </w:r>
    </w:p>
    <w:p w14:paraId="60A03D04">
      <w:pPr>
        <w:spacing w:before="158" w:line="220"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"1.1.1.3" </w:instrText>
      </w:r>
      <w:r>
        <w:rPr>
          <w:color w:val="auto"/>
          <w:highlight w:val="none"/>
        </w:rPr>
        <w:fldChar w:fldCharType="separate"/>
      </w:r>
      <w:r>
        <w:rPr>
          <w:rFonts w:ascii="宋体" w:hAnsi="宋体" w:eastAsia="宋体" w:cs="宋体"/>
          <w:color w:val="auto"/>
          <w:spacing w:val="-3"/>
          <w:sz w:val="21"/>
          <w:szCs w:val="21"/>
          <w:highlight w:val="none"/>
        </w:rPr>
        <w:t>1.1.1.3</w:t>
      </w:r>
      <w:r>
        <w:rPr>
          <w:rFonts w:ascii="宋体" w:hAnsi="宋体" w:eastAsia="宋体" w:cs="宋体"/>
          <w:color w:val="auto"/>
          <w:spacing w:val="-3"/>
          <w:sz w:val="21"/>
          <w:szCs w:val="21"/>
          <w:highlight w:val="none"/>
        </w:rPr>
        <w:fldChar w:fldCharType="end"/>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中标通知书：指发包人通知承包人中标的函件。</w:t>
      </w:r>
    </w:p>
    <w:p w14:paraId="5637F095">
      <w:pPr>
        <w:spacing w:before="158" w:line="345" w:lineRule="auto"/>
        <w:ind w:left="435" w:right="154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"1.1.1.4" </w:instrText>
      </w:r>
      <w:r>
        <w:rPr>
          <w:color w:val="auto"/>
          <w:highlight w:val="none"/>
        </w:rPr>
        <w:fldChar w:fldCharType="separate"/>
      </w:r>
      <w:r>
        <w:rPr>
          <w:rFonts w:ascii="宋体" w:hAnsi="宋体" w:eastAsia="宋体" w:cs="宋体"/>
          <w:color w:val="auto"/>
          <w:spacing w:val="-1"/>
          <w:sz w:val="21"/>
          <w:szCs w:val="21"/>
          <w:highlight w:val="none"/>
        </w:rPr>
        <w:t>1.1.1.4</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投标函：指构成合同文件组成部分的由承</w:t>
      </w:r>
      <w:r>
        <w:rPr>
          <w:rFonts w:ascii="宋体" w:hAnsi="宋体" w:eastAsia="宋体" w:cs="宋体"/>
          <w:color w:val="auto"/>
          <w:spacing w:val="-2"/>
          <w:sz w:val="21"/>
          <w:szCs w:val="21"/>
          <w:highlight w:val="none"/>
        </w:rPr>
        <w:t>包人填写并签署的投标函。</w:t>
      </w:r>
      <w:r>
        <w:rPr>
          <w:rFonts w:ascii="宋体" w:hAnsi="宋体" w:eastAsia="宋体" w:cs="宋体"/>
          <w:color w:val="auto"/>
          <w:sz w:val="21"/>
          <w:szCs w:val="21"/>
          <w:highlight w:val="none"/>
        </w:rPr>
        <w:t xml:space="preserve"> </w:t>
      </w:r>
      <w:r>
        <w:rPr>
          <w:color w:val="auto"/>
          <w:highlight w:val="none"/>
        </w:rPr>
        <w:fldChar w:fldCharType="begin"/>
      </w:r>
      <w:r>
        <w:rPr>
          <w:color w:val="auto"/>
          <w:highlight w:val="none"/>
        </w:rPr>
        <w:instrText xml:space="preserve"> HYPERLINK "1.1.1.5" </w:instrText>
      </w:r>
      <w:r>
        <w:rPr>
          <w:color w:val="auto"/>
          <w:highlight w:val="none"/>
        </w:rPr>
        <w:fldChar w:fldCharType="separate"/>
      </w:r>
      <w:r>
        <w:rPr>
          <w:rFonts w:ascii="宋体" w:hAnsi="宋体" w:eastAsia="宋体" w:cs="宋体"/>
          <w:color w:val="auto"/>
          <w:spacing w:val="-1"/>
          <w:sz w:val="21"/>
          <w:szCs w:val="21"/>
          <w:highlight w:val="none"/>
        </w:rPr>
        <w:t>1.1.1.5</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投标函附录：指附在投标函后构成合同文件的投标函附录。</w:t>
      </w:r>
    </w:p>
    <w:p w14:paraId="28C63E6E">
      <w:pPr>
        <w:spacing w:before="34" w:line="345" w:lineRule="auto"/>
        <w:ind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"1.1.1.6" </w:instrText>
      </w:r>
      <w:r>
        <w:rPr>
          <w:color w:val="auto"/>
          <w:highlight w:val="none"/>
        </w:rPr>
        <w:fldChar w:fldCharType="separate"/>
      </w:r>
      <w:r>
        <w:rPr>
          <w:rFonts w:ascii="宋体" w:hAnsi="宋体" w:eastAsia="宋体" w:cs="宋体"/>
          <w:color w:val="auto"/>
          <w:spacing w:val="1"/>
          <w:sz w:val="21"/>
          <w:szCs w:val="21"/>
          <w:highlight w:val="none"/>
        </w:rPr>
        <w:t>1.1.1.6</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技术标准和要求：指构成合同</w:t>
      </w:r>
      <w:r>
        <w:rPr>
          <w:rFonts w:ascii="宋体" w:hAnsi="宋体" w:eastAsia="宋体" w:cs="宋体"/>
          <w:color w:val="auto"/>
          <w:sz w:val="21"/>
          <w:szCs w:val="21"/>
          <w:highlight w:val="none"/>
        </w:rPr>
        <w:t xml:space="preserve">文件组成部分的名为技术标准和要求的文件，包括合同 </w:t>
      </w:r>
      <w:r>
        <w:rPr>
          <w:rFonts w:ascii="宋体" w:hAnsi="宋体" w:eastAsia="宋体" w:cs="宋体"/>
          <w:color w:val="auto"/>
          <w:spacing w:val="-2"/>
          <w:sz w:val="21"/>
          <w:szCs w:val="21"/>
          <w:highlight w:val="none"/>
        </w:rPr>
        <w:t>双方当事人约定对其所作的修改或补充。</w:t>
      </w:r>
    </w:p>
    <w:p w14:paraId="03A11E47">
      <w:pPr>
        <w:spacing w:before="31" w:line="345" w:lineRule="auto"/>
        <w:ind w:left="17" w:right="1" w:firstLine="418"/>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"1.1.1.7" </w:instrText>
      </w:r>
      <w:r>
        <w:rPr>
          <w:color w:val="auto"/>
          <w:highlight w:val="none"/>
        </w:rPr>
        <w:fldChar w:fldCharType="separate"/>
      </w:r>
      <w:r>
        <w:rPr>
          <w:rFonts w:ascii="宋体" w:hAnsi="宋体" w:eastAsia="宋体" w:cs="宋体"/>
          <w:color w:val="auto"/>
          <w:sz w:val="21"/>
          <w:szCs w:val="21"/>
          <w:highlight w:val="none"/>
        </w:rPr>
        <w:t>1.1.1.7</w:t>
      </w:r>
      <w:r>
        <w:rPr>
          <w:rFonts w:ascii="宋体" w:hAnsi="宋体" w:eastAsia="宋体" w:cs="宋体"/>
          <w:color w:val="auto"/>
          <w:sz w:val="21"/>
          <w:szCs w:val="21"/>
          <w:highlight w:val="none"/>
        </w:rPr>
        <w:fldChar w:fldCharType="end"/>
      </w:r>
      <w:r>
        <w:rPr>
          <w:rFonts w:ascii="宋体" w:hAnsi="宋体" w:eastAsia="宋体" w:cs="宋体"/>
          <w:color w:val="auto"/>
          <w:spacing w:val="29"/>
          <w:sz w:val="21"/>
          <w:szCs w:val="21"/>
          <w:highlight w:val="none"/>
        </w:rPr>
        <w:t xml:space="preserve"> </w:t>
      </w:r>
      <w:r>
        <w:rPr>
          <w:rFonts w:ascii="宋体" w:hAnsi="宋体" w:eastAsia="宋体" w:cs="宋体"/>
          <w:color w:val="auto"/>
          <w:sz w:val="21"/>
          <w:szCs w:val="21"/>
          <w:highlight w:val="none"/>
        </w:rPr>
        <w:t>图纸：指包含在合同中的工程图纸，以及由发包人按合同约定</w:t>
      </w:r>
      <w:r>
        <w:rPr>
          <w:rFonts w:ascii="宋体" w:hAnsi="宋体" w:eastAsia="宋体" w:cs="宋体"/>
          <w:color w:val="auto"/>
          <w:spacing w:val="-1"/>
          <w:sz w:val="21"/>
          <w:szCs w:val="21"/>
          <w:highlight w:val="none"/>
        </w:rPr>
        <w:t>提供的任何补充和修改</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的图纸，包括配套的说明。</w:t>
      </w:r>
    </w:p>
    <w:p w14:paraId="69D3E95A">
      <w:pPr>
        <w:spacing w:before="30" w:line="347" w:lineRule="auto"/>
        <w:ind w:left="5" w:right="1" w:firstLine="43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"1.1.1.8" </w:instrText>
      </w:r>
      <w:r>
        <w:rPr>
          <w:color w:val="auto"/>
          <w:highlight w:val="none"/>
        </w:rPr>
        <w:fldChar w:fldCharType="separate"/>
      </w:r>
      <w:r>
        <w:rPr>
          <w:rFonts w:ascii="宋体" w:hAnsi="宋体" w:eastAsia="宋体" w:cs="宋体"/>
          <w:color w:val="auto"/>
          <w:sz w:val="21"/>
          <w:szCs w:val="21"/>
          <w:highlight w:val="none"/>
        </w:rPr>
        <w:t>1.1.1.8</w:t>
      </w:r>
      <w:r>
        <w:rPr>
          <w:rFonts w:ascii="宋体" w:hAnsi="宋体" w:eastAsia="宋体" w:cs="宋体"/>
          <w:color w:val="auto"/>
          <w:sz w:val="21"/>
          <w:szCs w:val="21"/>
          <w:highlight w:val="none"/>
        </w:rPr>
        <w:fldChar w:fldCharType="end"/>
      </w:r>
      <w:r>
        <w:rPr>
          <w:rFonts w:ascii="宋体" w:hAnsi="宋体" w:eastAsia="宋体" w:cs="宋体"/>
          <w:color w:val="auto"/>
          <w:spacing w:val="32"/>
          <w:sz w:val="21"/>
          <w:szCs w:val="21"/>
          <w:highlight w:val="none"/>
        </w:rPr>
        <w:t xml:space="preserve"> </w:t>
      </w:r>
      <w:r>
        <w:rPr>
          <w:rFonts w:ascii="宋体" w:hAnsi="宋体" w:eastAsia="宋体" w:cs="宋体"/>
          <w:color w:val="auto"/>
          <w:sz w:val="21"/>
          <w:szCs w:val="21"/>
          <w:highlight w:val="none"/>
        </w:rPr>
        <w:t>已标价工程量清单：指构成合同文件组成部分的由承包</w:t>
      </w:r>
      <w:r>
        <w:rPr>
          <w:rFonts w:ascii="宋体" w:hAnsi="宋体" w:eastAsia="宋体" w:cs="宋体"/>
          <w:color w:val="auto"/>
          <w:spacing w:val="-1"/>
          <w:sz w:val="21"/>
          <w:szCs w:val="21"/>
          <w:highlight w:val="none"/>
        </w:rPr>
        <w:t>人按照规定的格式和要求填写</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并标明价格的工程量清单。</w:t>
      </w:r>
    </w:p>
    <w:p w14:paraId="3B9893D6">
      <w:pPr>
        <w:spacing w:before="30"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"1.1.1.9" </w:instrText>
      </w:r>
      <w:r>
        <w:rPr>
          <w:color w:val="auto"/>
          <w:highlight w:val="none"/>
        </w:rPr>
        <w:fldChar w:fldCharType="separate"/>
      </w:r>
      <w:r>
        <w:rPr>
          <w:rFonts w:ascii="宋体" w:hAnsi="宋体" w:eastAsia="宋体" w:cs="宋体"/>
          <w:color w:val="auto"/>
          <w:sz w:val="21"/>
          <w:szCs w:val="21"/>
          <w:highlight w:val="none"/>
        </w:rPr>
        <w:t>1.1.1.9</w:t>
      </w:r>
      <w:r>
        <w:rPr>
          <w:rFonts w:ascii="宋体" w:hAnsi="宋体" w:eastAsia="宋体" w:cs="宋体"/>
          <w:color w:val="auto"/>
          <w:sz w:val="21"/>
          <w:szCs w:val="21"/>
          <w:highlight w:val="none"/>
        </w:rPr>
        <w:fldChar w:fldCharType="end"/>
      </w:r>
      <w:r>
        <w:rPr>
          <w:rFonts w:ascii="宋体" w:hAnsi="宋体" w:eastAsia="宋体" w:cs="宋体"/>
          <w:color w:val="auto"/>
          <w:sz w:val="21"/>
          <w:szCs w:val="21"/>
          <w:highlight w:val="none"/>
        </w:rPr>
        <w:t xml:space="preserve"> 其他合同文件：指经合同双</w:t>
      </w:r>
      <w:r>
        <w:rPr>
          <w:rFonts w:ascii="宋体" w:hAnsi="宋体" w:eastAsia="宋体" w:cs="宋体"/>
          <w:color w:val="auto"/>
          <w:spacing w:val="-1"/>
          <w:sz w:val="21"/>
          <w:szCs w:val="21"/>
          <w:highlight w:val="none"/>
        </w:rPr>
        <w:t>方当事人确认构成合同文件的其他文件。</w:t>
      </w:r>
    </w:p>
    <w:p w14:paraId="692967BA">
      <w:pPr>
        <w:spacing w:before="157" w:line="221" w:lineRule="auto"/>
        <w:ind w:left="42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1.1.2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合同当事人和人员</w:t>
      </w:r>
    </w:p>
    <w:p w14:paraId="7AAD7823">
      <w:pPr>
        <w:spacing w:before="156"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"1.1.2.1" </w:instrText>
      </w:r>
      <w:r>
        <w:rPr>
          <w:color w:val="auto"/>
          <w:highlight w:val="none"/>
        </w:rPr>
        <w:fldChar w:fldCharType="separate"/>
      </w:r>
      <w:r>
        <w:rPr>
          <w:rFonts w:ascii="宋体" w:hAnsi="宋体" w:eastAsia="宋体" w:cs="宋体"/>
          <w:color w:val="auto"/>
          <w:spacing w:val="-1"/>
          <w:sz w:val="21"/>
          <w:szCs w:val="21"/>
          <w:highlight w:val="none"/>
        </w:rPr>
        <w:t>1.1.2.1</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合同当事人:指发包人和（或）承包人。</w:t>
      </w:r>
    </w:p>
    <w:p w14:paraId="6977684C">
      <w:pPr>
        <w:spacing w:before="157" w:line="347" w:lineRule="auto"/>
        <w:ind w:left="435" w:right="908"/>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"1.1.2.2" </w:instrText>
      </w:r>
      <w:r>
        <w:rPr>
          <w:color w:val="auto"/>
          <w:highlight w:val="none"/>
        </w:rPr>
        <w:fldChar w:fldCharType="separate"/>
      </w:r>
      <w:r>
        <w:rPr>
          <w:rFonts w:ascii="宋体" w:hAnsi="宋体" w:eastAsia="宋体" w:cs="宋体"/>
          <w:color w:val="auto"/>
          <w:spacing w:val="-1"/>
          <w:sz w:val="21"/>
          <w:szCs w:val="21"/>
          <w:highlight w:val="none"/>
        </w:rPr>
        <w:t>1.1.2.2</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发包人：指专用合同条款中指明并与承包人在合同协议书中</w:t>
      </w:r>
      <w:r>
        <w:rPr>
          <w:rFonts w:ascii="宋体" w:hAnsi="宋体" w:eastAsia="宋体" w:cs="宋体"/>
          <w:color w:val="auto"/>
          <w:spacing w:val="-2"/>
          <w:sz w:val="21"/>
          <w:szCs w:val="21"/>
          <w:highlight w:val="none"/>
        </w:rPr>
        <w:t>签字的当事人。</w:t>
      </w:r>
      <w:r>
        <w:rPr>
          <w:rFonts w:ascii="宋体" w:hAnsi="宋体" w:eastAsia="宋体" w:cs="宋体"/>
          <w:color w:val="auto"/>
          <w:sz w:val="21"/>
          <w:szCs w:val="21"/>
          <w:highlight w:val="none"/>
        </w:rPr>
        <w:t xml:space="preserve"> </w:t>
      </w:r>
      <w:r>
        <w:rPr>
          <w:color w:val="auto"/>
          <w:highlight w:val="none"/>
        </w:rPr>
        <w:fldChar w:fldCharType="begin"/>
      </w:r>
      <w:r>
        <w:rPr>
          <w:color w:val="auto"/>
          <w:highlight w:val="none"/>
        </w:rPr>
        <w:instrText xml:space="preserve"> HYPERLINK "1.1.2.3" </w:instrText>
      </w:r>
      <w:r>
        <w:rPr>
          <w:color w:val="auto"/>
          <w:highlight w:val="none"/>
        </w:rPr>
        <w:fldChar w:fldCharType="separate"/>
      </w:r>
      <w:r>
        <w:rPr>
          <w:rFonts w:ascii="宋体" w:hAnsi="宋体" w:eastAsia="宋体" w:cs="宋体"/>
          <w:color w:val="auto"/>
          <w:spacing w:val="-1"/>
          <w:sz w:val="21"/>
          <w:szCs w:val="21"/>
          <w:highlight w:val="none"/>
        </w:rPr>
        <w:t>1.1.2.3</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承包人：指与发包人签订</w:t>
      </w:r>
      <w:r>
        <w:rPr>
          <w:rFonts w:ascii="宋体" w:hAnsi="宋体" w:eastAsia="宋体" w:cs="宋体"/>
          <w:color w:val="auto"/>
          <w:spacing w:val="-2"/>
          <w:sz w:val="21"/>
          <w:szCs w:val="21"/>
          <w:highlight w:val="none"/>
        </w:rPr>
        <w:t>合同协议书的当事人。</w:t>
      </w:r>
    </w:p>
    <w:p w14:paraId="1761E5AA">
      <w:pPr>
        <w:spacing w:before="29"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"1.1.2.4" </w:instrText>
      </w:r>
      <w:r>
        <w:rPr>
          <w:color w:val="auto"/>
          <w:highlight w:val="none"/>
        </w:rPr>
        <w:fldChar w:fldCharType="separate"/>
      </w:r>
      <w:r>
        <w:rPr>
          <w:rFonts w:ascii="宋体" w:hAnsi="宋体" w:eastAsia="宋体" w:cs="宋体"/>
          <w:color w:val="auto"/>
          <w:spacing w:val="-1"/>
          <w:sz w:val="21"/>
          <w:szCs w:val="21"/>
          <w:highlight w:val="none"/>
        </w:rPr>
        <w:t>1.1.2.4</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承包人项目经理：指承包人派驻施工场地的全权负责人。</w:t>
      </w:r>
    </w:p>
    <w:p w14:paraId="2BCE9702">
      <w:pPr>
        <w:spacing w:before="156"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"1.1.2.5" </w:instrText>
      </w:r>
      <w:r>
        <w:rPr>
          <w:color w:val="auto"/>
          <w:highlight w:val="none"/>
        </w:rPr>
        <w:fldChar w:fldCharType="separate"/>
      </w:r>
      <w:r>
        <w:rPr>
          <w:rFonts w:ascii="宋体" w:hAnsi="宋体" w:eastAsia="宋体" w:cs="宋体"/>
          <w:color w:val="auto"/>
          <w:spacing w:val="-1"/>
          <w:sz w:val="21"/>
          <w:szCs w:val="21"/>
          <w:highlight w:val="none"/>
        </w:rPr>
        <w:t>1.1.2.5</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分包人：指从承包人处分包合同中某一部分工程，并与其签订分包合同的分包人。</w:t>
      </w:r>
    </w:p>
    <w:p w14:paraId="14F752CB">
      <w:pPr>
        <w:spacing w:before="157" w:line="348" w:lineRule="auto"/>
        <w:ind w:right="1"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"1.1.2.6" </w:instrText>
      </w:r>
      <w:r>
        <w:rPr>
          <w:color w:val="auto"/>
          <w:highlight w:val="none"/>
        </w:rPr>
        <w:fldChar w:fldCharType="separate"/>
      </w:r>
      <w:r>
        <w:rPr>
          <w:rFonts w:ascii="宋体" w:hAnsi="宋体" w:eastAsia="宋体" w:cs="宋体"/>
          <w:color w:val="auto"/>
          <w:spacing w:val="1"/>
          <w:sz w:val="21"/>
          <w:szCs w:val="21"/>
          <w:highlight w:val="none"/>
        </w:rPr>
        <w:t>1.1.2.6</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监理人：指在专用合同条</w:t>
      </w:r>
      <w:r>
        <w:rPr>
          <w:rFonts w:ascii="宋体" w:hAnsi="宋体" w:eastAsia="宋体" w:cs="宋体"/>
          <w:color w:val="auto"/>
          <w:sz w:val="21"/>
          <w:szCs w:val="21"/>
          <w:highlight w:val="none"/>
        </w:rPr>
        <w:t xml:space="preserve">款中指明的，受发包人委托对合同履行实施管理的法人或其 </w:t>
      </w:r>
      <w:r>
        <w:rPr>
          <w:rFonts w:ascii="宋体" w:hAnsi="宋体" w:eastAsia="宋体" w:cs="宋体"/>
          <w:color w:val="auto"/>
          <w:spacing w:val="-2"/>
          <w:sz w:val="21"/>
          <w:szCs w:val="21"/>
          <w:highlight w:val="none"/>
        </w:rPr>
        <w:t>他组织。</w:t>
      </w:r>
    </w:p>
    <w:p w14:paraId="17C2BAEF">
      <w:pPr>
        <w:spacing w:before="27" w:line="347" w:lineRule="auto"/>
        <w:ind w:left="1" w:firstLine="433"/>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"1.1.2.7" </w:instrText>
      </w:r>
      <w:r>
        <w:rPr>
          <w:color w:val="auto"/>
          <w:highlight w:val="none"/>
        </w:rPr>
        <w:fldChar w:fldCharType="separate"/>
      </w:r>
      <w:r>
        <w:rPr>
          <w:rFonts w:ascii="宋体" w:hAnsi="宋体" w:eastAsia="宋体" w:cs="宋体"/>
          <w:color w:val="auto"/>
          <w:spacing w:val="-3"/>
          <w:sz w:val="21"/>
          <w:szCs w:val="21"/>
          <w:highlight w:val="none"/>
        </w:rPr>
        <w:t>1.1.2.7</w:t>
      </w:r>
      <w:r>
        <w:rPr>
          <w:rFonts w:ascii="宋体" w:hAnsi="宋体" w:eastAsia="宋体" w:cs="宋体"/>
          <w:color w:val="auto"/>
          <w:spacing w:val="-3"/>
          <w:sz w:val="21"/>
          <w:szCs w:val="21"/>
          <w:highlight w:val="none"/>
        </w:rPr>
        <w:fldChar w:fldCharType="end"/>
      </w:r>
      <w:r>
        <w:rPr>
          <w:rFonts w:ascii="宋体" w:hAnsi="宋体" w:eastAsia="宋体" w:cs="宋体"/>
          <w:color w:val="auto"/>
          <w:spacing w:val="-3"/>
          <w:sz w:val="21"/>
          <w:szCs w:val="21"/>
          <w:highlight w:val="none"/>
        </w:rPr>
        <w:t xml:space="preserve"> 总监理工程师（总监</w:t>
      </w:r>
      <w:r>
        <w:rPr>
          <w:rFonts w:ascii="宋体" w:hAnsi="宋体" w:eastAsia="宋体" w:cs="宋体"/>
          <w:color w:val="auto"/>
          <w:spacing w:val="-20"/>
          <w:sz w:val="21"/>
          <w:szCs w:val="21"/>
          <w:highlight w:val="none"/>
        </w:rPr>
        <w:t>）：</w:t>
      </w:r>
      <w:r>
        <w:rPr>
          <w:rFonts w:ascii="宋体" w:hAnsi="宋体" w:eastAsia="宋体" w:cs="宋体"/>
          <w:color w:val="auto"/>
          <w:spacing w:val="-3"/>
          <w:sz w:val="21"/>
          <w:szCs w:val="21"/>
          <w:highlight w:val="none"/>
        </w:rPr>
        <w:t>指由监理人委派常驻</w:t>
      </w:r>
      <w:r>
        <w:rPr>
          <w:rFonts w:ascii="宋体" w:hAnsi="宋体" w:eastAsia="宋体" w:cs="宋体"/>
          <w:color w:val="auto"/>
          <w:spacing w:val="-4"/>
          <w:sz w:val="21"/>
          <w:szCs w:val="21"/>
          <w:highlight w:val="none"/>
        </w:rPr>
        <w:t>施工场地对合同履行实施管理的全权负责</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人。</w:t>
      </w:r>
    </w:p>
    <w:p w14:paraId="3B10D175">
      <w:pPr>
        <w:spacing w:before="28" w:line="221" w:lineRule="auto"/>
        <w:ind w:left="428"/>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1.1.3</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工程和设备</w:t>
      </w:r>
    </w:p>
    <w:p w14:paraId="50600695">
      <w:pPr>
        <w:spacing w:before="156"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"1.1.3.1" </w:instrText>
      </w:r>
      <w:r>
        <w:rPr>
          <w:color w:val="auto"/>
          <w:highlight w:val="none"/>
        </w:rPr>
        <w:fldChar w:fldCharType="separate"/>
      </w:r>
      <w:r>
        <w:rPr>
          <w:rFonts w:ascii="宋体" w:hAnsi="宋体" w:eastAsia="宋体" w:cs="宋体"/>
          <w:color w:val="auto"/>
          <w:spacing w:val="-3"/>
          <w:sz w:val="21"/>
          <w:szCs w:val="21"/>
          <w:highlight w:val="none"/>
        </w:rPr>
        <w:t>1.1.3.1</w:t>
      </w:r>
      <w:r>
        <w:rPr>
          <w:rFonts w:ascii="宋体" w:hAnsi="宋体" w:eastAsia="宋体" w:cs="宋体"/>
          <w:color w:val="auto"/>
          <w:spacing w:val="-3"/>
          <w:sz w:val="21"/>
          <w:szCs w:val="21"/>
          <w:highlight w:val="none"/>
        </w:rPr>
        <w:fldChar w:fldCharType="end"/>
      </w:r>
      <w:r>
        <w:rPr>
          <w:rFonts w:ascii="宋体" w:hAnsi="宋体" w:eastAsia="宋体" w:cs="宋体"/>
          <w:color w:val="auto"/>
          <w:spacing w:val="-3"/>
          <w:sz w:val="21"/>
          <w:szCs w:val="21"/>
          <w:highlight w:val="none"/>
        </w:rPr>
        <w:t xml:space="preserve"> 工程：指永久工程和（或）</w:t>
      </w:r>
      <w:r>
        <w:rPr>
          <w:rFonts w:ascii="宋体" w:hAnsi="宋体" w:eastAsia="宋体" w:cs="宋体"/>
          <w:color w:val="auto"/>
          <w:spacing w:val="-50"/>
          <w:sz w:val="21"/>
          <w:szCs w:val="21"/>
          <w:highlight w:val="none"/>
        </w:rPr>
        <w:t xml:space="preserve"> </w:t>
      </w:r>
      <w:r>
        <w:rPr>
          <w:rFonts w:ascii="宋体" w:hAnsi="宋体" w:eastAsia="宋体" w:cs="宋体"/>
          <w:color w:val="auto"/>
          <w:spacing w:val="-3"/>
          <w:sz w:val="21"/>
          <w:szCs w:val="21"/>
          <w:highlight w:val="none"/>
        </w:rPr>
        <w:t>临时工程。</w:t>
      </w:r>
    </w:p>
    <w:p w14:paraId="52E0678D">
      <w:pPr>
        <w:spacing w:before="159"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"1.1.3.2" </w:instrText>
      </w:r>
      <w:r>
        <w:rPr>
          <w:color w:val="auto"/>
          <w:highlight w:val="none"/>
        </w:rPr>
        <w:fldChar w:fldCharType="separate"/>
      </w:r>
      <w:r>
        <w:rPr>
          <w:rFonts w:ascii="宋体" w:hAnsi="宋体" w:eastAsia="宋体" w:cs="宋体"/>
          <w:color w:val="auto"/>
          <w:spacing w:val="-1"/>
          <w:sz w:val="21"/>
          <w:szCs w:val="21"/>
          <w:highlight w:val="none"/>
        </w:rPr>
        <w:t>1.1.3.2</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永久工程：指按合同约定建造并移交给发包人的工程，包括工程设备。</w:t>
      </w:r>
    </w:p>
    <w:p w14:paraId="41D7C7EA">
      <w:pPr>
        <w:spacing w:before="156" w:line="221" w:lineRule="auto"/>
        <w:ind w:right="1"/>
        <w:jc w:val="right"/>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"1.1.3.3" </w:instrText>
      </w:r>
      <w:r>
        <w:rPr>
          <w:color w:val="auto"/>
          <w:highlight w:val="none"/>
        </w:rPr>
        <w:fldChar w:fldCharType="separate"/>
      </w:r>
      <w:r>
        <w:rPr>
          <w:rFonts w:ascii="宋体" w:hAnsi="宋体" w:eastAsia="宋体" w:cs="宋体"/>
          <w:color w:val="auto"/>
          <w:spacing w:val="-4"/>
          <w:sz w:val="21"/>
          <w:szCs w:val="21"/>
          <w:highlight w:val="none"/>
        </w:rPr>
        <w:t>1.1.3.3</w:t>
      </w:r>
      <w:r>
        <w:rPr>
          <w:rFonts w:ascii="宋体" w:hAnsi="宋体" w:eastAsia="宋体" w:cs="宋体"/>
          <w:color w:val="auto"/>
          <w:spacing w:val="-4"/>
          <w:sz w:val="21"/>
          <w:szCs w:val="21"/>
          <w:highlight w:val="none"/>
        </w:rPr>
        <w:fldChar w:fldCharType="end"/>
      </w:r>
      <w:r>
        <w:rPr>
          <w:rFonts w:ascii="宋体" w:hAnsi="宋体" w:eastAsia="宋体" w:cs="宋体"/>
          <w:color w:val="auto"/>
          <w:spacing w:val="-4"/>
          <w:sz w:val="21"/>
          <w:szCs w:val="21"/>
          <w:highlight w:val="none"/>
        </w:rPr>
        <w:t xml:space="preserve"> 临时工程：指为完成合同约定的永久工程所修建的各类临时性工程，不</w:t>
      </w:r>
      <w:r>
        <w:rPr>
          <w:rFonts w:ascii="宋体" w:hAnsi="宋体" w:eastAsia="宋体" w:cs="宋体"/>
          <w:color w:val="auto"/>
          <w:spacing w:val="-5"/>
          <w:sz w:val="21"/>
          <w:szCs w:val="21"/>
          <w:highlight w:val="none"/>
        </w:rPr>
        <w:t>包括施工设备。</w:t>
      </w:r>
    </w:p>
    <w:p w14:paraId="435D39B7">
      <w:pPr>
        <w:spacing w:before="41" w:line="221" w:lineRule="auto"/>
        <w:ind w:left="436"/>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"1.1.3.4" </w:instrText>
      </w:r>
      <w:r>
        <w:rPr>
          <w:color w:val="auto"/>
          <w:highlight w:val="none"/>
        </w:rPr>
        <w:fldChar w:fldCharType="separate"/>
      </w:r>
      <w:r>
        <w:rPr>
          <w:rFonts w:ascii="宋体" w:hAnsi="宋体" w:eastAsia="宋体" w:cs="宋体"/>
          <w:color w:val="auto"/>
          <w:spacing w:val="-1"/>
          <w:sz w:val="21"/>
          <w:szCs w:val="21"/>
          <w:highlight w:val="none"/>
        </w:rPr>
        <w:t>1.1.3.4</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单位工程：指专用合同条款中指明特定范围的永久工程。</w:t>
      </w:r>
    </w:p>
    <w:p w14:paraId="26226702">
      <w:pPr>
        <w:spacing w:before="157" w:line="345" w:lineRule="auto"/>
        <w:ind w:right="60" w:firstLine="436"/>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"1.1.3.5" </w:instrText>
      </w:r>
      <w:r>
        <w:rPr>
          <w:color w:val="auto"/>
          <w:highlight w:val="none"/>
        </w:rPr>
        <w:fldChar w:fldCharType="separate"/>
      </w:r>
      <w:r>
        <w:rPr>
          <w:rFonts w:ascii="宋体" w:hAnsi="宋体" w:eastAsia="宋体" w:cs="宋体"/>
          <w:color w:val="auto"/>
          <w:spacing w:val="1"/>
          <w:sz w:val="21"/>
          <w:szCs w:val="21"/>
          <w:highlight w:val="none"/>
        </w:rPr>
        <w:t>1.1.3.5</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工程设备：指构成或计划</w:t>
      </w:r>
      <w:r>
        <w:rPr>
          <w:rFonts w:ascii="宋体" w:hAnsi="宋体" w:eastAsia="宋体" w:cs="宋体"/>
          <w:color w:val="auto"/>
          <w:sz w:val="21"/>
          <w:szCs w:val="21"/>
          <w:highlight w:val="none"/>
        </w:rPr>
        <w:t xml:space="preserve">构成永久工程一部分的机电设备、金属结构设备、仪器装置 </w:t>
      </w:r>
      <w:r>
        <w:rPr>
          <w:rFonts w:ascii="宋体" w:hAnsi="宋体" w:eastAsia="宋体" w:cs="宋体"/>
          <w:color w:val="auto"/>
          <w:spacing w:val="-1"/>
          <w:sz w:val="21"/>
          <w:szCs w:val="21"/>
          <w:highlight w:val="none"/>
        </w:rPr>
        <w:t>及其他类似的设备和装置。</w:t>
      </w:r>
    </w:p>
    <w:p w14:paraId="0BFE583F">
      <w:pPr>
        <w:spacing w:before="30" w:line="347" w:lineRule="auto"/>
        <w:ind w:left="3" w:right="60" w:firstLine="433"/>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"1.1.3.6" </w:instrText>
      </w:r>
      <w:r>
        <w:rPr>
          <w:color w:val="auto"/>
          <w:highlight w:val="none"/>
        </w:rPr>
        <w:fldChar w:fldCharType="separate"/>
      </w:r>
      <w:r>
        <w:rPr>
          <w:rFonts w:ascii="宋体" w:hAnsi="宋体" w:eastAsia="宋体" w:cs="宋体"/>
          <w:color w:val="auto"/>
          <w:spacing w:val="1"/>
          <w:sz w:val="21"/>
          <w:szCs w:val="21"/>
          <w:highlight w:val="none"/>
        </w:rPr>
        <w:t>1.1.3.6</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施工设备：指为完成合同</w:t>
      </w:r>
      <w:r>
        <w:rPr>
          <w:rFonts w:ascii="宋体" w:hAnsi="宋体" w:eastAsia="宋体" w:cs="宋体"/>
          <w:color w:val="auto"/>
          <w:sz w:val="21"/>
          <w:szCs w:val="21"/>
          <w:highlight w:val="none"/>
        </w:rPr>
        <w:t xml:space="preserve">约定的各项工作所需的设备、器具和其他物品，不包括临时 </w:t>
      </w:r>
      <w:r>
        <w:rPr>
          <w:rFonts w:ascii="宋体" w:hAnsi="宋体" w:eastAsia="宋体" w:cs="宋体"/>
          <w:color w:val="auto"/>
          <w:spacing w:val="-2"/>
          <w:sz w:val="21"/>
          <w:szCs w:val="21"/>
          <w:highlight w:val="none"/>
        </w:rPr>
        <w:t>工程和材料。</w:t>
      </w:r>
    </w:p>
    <w:p w14:paraId="476DF4E7">
      <w:pPr>
        <w:spacing w:before="29" w:line="345" w:lineRule="auto"/>
        <w:ind w:left="436" w:right="968"/>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"1.1.3.7" </w:instrText>
      </w:r>
      <w:r>
        <w:rPr>
          <w:color w:val="auto"/>
          <w:highlight w:val="none"/>
        </w:rPr>
        <w:fldChar w:fldCharType="separate"/>
      </w:r>
      <w:r>
        <w:rPr>
          <w:rFonts w:ascii="宋体" w:hAnsi="宋体" w:eastAsia="宋体" w:cs="宋体"/>
          <w:color w:val="auto"/>
          <w:spacing w:val="-1"/>
          <w:sz w:val="21"/>
          <w:szCs w:val="21"/>
          <w:highlight w:val="none"/>
        </w:rPr>
        <w:t>1.1.3.7</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临时设施：指为完成合同约定的各项工作所服务的临时性</w:t>
      </w:r>
      <w:r>
        <w:rPr>
          <w:rFonts w:ascii="宋体" w:hAnsi="宋体" w:eastAsia="宋体" w:cs="宋体"/>
          <w:color w:val="auto"/>
          <w:spacing w:val="-2"/>
          <w:sz w:val="21"/>
          <w:szCs w:val="21"/>
          <w:highlight w:val="none"/>
        </w:rPr>
        <w:t>生产和生活设施。</w:t>
      </w:r>
      <w:r>
        <w:rPr>
          <w:rFonts w:ascii="宋体" w:hAnsi="宋体" w:eastAsia="宋体" w:cs="宋体"/>
          <w:color w:val="auto"/>
          <w:sz w:val="21"/>
          <w:szCs w:val="21"/>
          <w:highlight w:val="none"/>
        </w:rPr>
        <w:t xml:space="preserve"> </w:t>
      </w:r>
      <w:r>
        <w:rPr>
          <w:color w:val="auto"/>
          <w:highlight w:val="none"/>
        </w:rPr>
        <w:fldChar w:fldCharType="begin"/>
      </w:r>
      <w:r>
        <w:rPr>
          <w:color w:val="auto"/>
          <w:highlight w:val="none"/>
        </w:rPr>
        <w:instrText xml:space="preserve"> HYPERLINK "1.1.3.8" </w:instrText>
      </w:r>
      <w:r>
        <w:rPr>
          <w:color w:val="auto"/>
          <w:highlight w:val="none"/>
        </w:rPr>
        <w:fldChar w:fldCharType="separate"/>
      </w:r>
      <w:r>
        <w:rPr>
          <w:rFonts w:ascii="宋体" w:hAnsi="宋体" w:eastAsia="宋体" w:cs="宋体"/>
          <w:color w:val="auto"/>
          <w:spacing w:val="-2"/>
          <w:sz w:val="21"/>
          <w:szCs w:val="21"/>
          <w:highlight w:val="none"/>
        </w:rPr>
        <w:t>1.1.3.8</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承包人设备：指承包人自带的施工设备。</w:t>
      </w:r>
    </w:p>
    <w:p w14:paraId="264CC29B">
      <w:pPr>
        <w:spacing w:before="32" w:line="347" w:lineRule="auto"/>
        <w:ind w:left="3" w:right="60" w:firstLine="433"/>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"1.1.3.9" </w:instrText>
      </w:r>
      <w:r>
        <w:rPr>
          <w:color w:val="auto"/>
          <w:highlight w:val="none"/>
        </w:rPr>
        <w:fldChar w:fldCharType="separate"/>
      </w:r>
      <w:r>
        <w:rPr>
          <w:rFonts w:ascii="宋体" w:hAnsi="宋体" w:eastAsia="宋体" w:cs="宋体"/>
          <w:color w:val="auto"/>
          <w:spacing w:val="-4"/>
          <w:sz w:val="21"/>
          <w:szCs w:val="21"/>
          <w:highlight w:val="none"/>
        </w:rPr>
        <w:t>1.1.3.9</w:t>
      </w:r>
      <w:r>
        <w:rPr>
          <w:rFonts w:ascii="宋体" w:hAnsi="宋体" w:eastAsia="宋体" w:cs="宋体"/>
          <w:color w:val="auto"/>
          <w:spacing w:val="-4"/>
          <w:sz w:val="21"/>
          <w:szCs w:val="21"/>
          <w:highlight w:val="none"/>
        </w:rPr>
        <w:fldChar w:fldCharType="end"/>
      </w:r>
      <w:r>
        <w:rPr>
          <w:rFonts w:ascii="宋体" w:hAnsi="宋体" w:eastAsia="宋体" w:cs="宋体"/>
          <w:color w:val="auto"/>
          <w:spacing w:val="-4"/>
          <w:sz w:val="21"/>
          <w:szCs w:val="21"/>
          <w:highlight w:val="none"/>
        </w:rPr>
        <w:t xml:space="preserve"> 施工场地（或称工地、现场</w:t>
      </w:r>
      <w:r>
        <w:rPr>
          <w:rFonts w:ascii="宋体" w:hAnsi="宋体" w:eastAsia="宋体" w:cs="宋体"/>
          <w:color w:val="auto"/>
          <w:spacing w:val="3"/>
          <w:sz w:val="21"/>
          <w:szCs w:val="21"/>
          <w:highlight w:val="none"/>
        </w:rPr>
        <w:t>）：</w:t>
      </w:r>
      <w:r>
        <w:rPr>
          <w:rFonts w:ascii="宋体" w:hAnsi="宋体" w:eastAsia="宋体" w:cs="宋体"/>
          <w:color w:val="auto"/>
          <w:spacing w:val="-4"/>
          <w:sz w:val="21"/>
          <w:szCs w:val="21"/>
          <w:highlight w:val="none"/>
        </w:rPr>
        <w:t>指用于</w:t>
      </w:r>
      <w:r>
        <w:rPr>
          <w:rFonts w:ascii="宋体" w:hAnsi="宋体" w:eastAsia="宋体" w:cs="宋体"/>
          <w:color w:val="auto"/>
          <w:spacing w:val="-5"/>
          <w:sz w:val="21"/>
          <w:szCs w:val="21"/>
          <w:highlight w:val="none"/>
        </w:rPr>
        <w:t>合同工程施工的场所，以及在合同中指定作为施</w:t>
      </w:r>
      <w:r>
        <w:rPr>
          <w:rFonts w:ascii="宋体" w:hAnsi="宋体" w:eastAsia="宋体" w:cs="宋体"/>
          <w:color w:val="auto"/>
          <w:spacing w:val="1"/>
          <w:sz w:val="21"/>
          <w:szCs w:val="21"/>
          <w:highlight w:val="none"/>
        </w:rPr>
        <w:t xml:space="preserve"> </w:t>
      </w:r>
      <w:r>
        <w:rPr>
          <w:rFonts w:ascii="宋体" w:hAnsi="宋体" w:eastAsia="宋体" w:cs="宋体"/>
          <w:color w:val="auto"/>
          <w:spacing w:val="-1"/>
          <w:sz w:val="21"/>
          <w:szCs w:val="21"/>
          <w:highlight w:val="none"/>
        </w:rPr>
        <w:t>工场地组成部分的其他场所，包括永久占地和临时占地。</w:t>
      </w:r>
    </w:p>
    <w:p w14:paraId="0B2E91EA">
      <w:pPr>
        <w:spacing w:before="27" w:line="346" w:lineRule="auto"/>
        <w:ind w:left="436" w:right="128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"1.1.3.10" </w:instrText>
      </w:r>
      <w:r>
        <w:rPr>
          <w:color w:val="auto"/>
          <w:highlight w:val="none"/>
        </w:rPr>
        <w:fldChar w:fldCharType="separate"/>
      </w:r>
      <w:r>
        <w:rPr>
          <w:rFonts w:ascii="宋体" w:hAnsi="宋体" w:eastAsia="宋体" w:cs="宋体"/>
          <w:color w:val="auto"/>
          <w:spacing w:val="-1"/>
          <w:sz w:val="21"/>
          <w:szCs w:val="21"/>
          <w:highlight w:val="none"/>
        </w:rPr>
        <w:t>1.1.3.10</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永久占地：指专用合同条款中指明为实施合同</w:t>
      </w:r>
      <w:r>
        <w:rPr>
          <w:rFonts w:ascii="宋体" w:hAnsi="宋体" w:eastAsia="宋体" w:cs="宋体"/>
          <w:color w:val="auto"/>
          <w:spacing w:val="-2"/>
          <w:sz w:val="21"/>
          <w:szCs w:val="21"/>
          <w:highlight w:val="none"/>
        </w:rPr>
        <w:t>工程需永久占用的土地。</w:t>
      </w:r>
      <w:r>
        <w:rPr>
          <w:rFonts w:ascii="宋体" w:hAnsi="宋体" w:eastAsia="宋体" w:cs="宋体"/>
          <w:color w:val="auto"/>
          <w:sz w:val="21"/>
          <w:szCs w:val="21"/>
          <w:highlight w:val="none"/>
        </w:rPr>
        <w:t xml:space="preserve"> </w:t>
      </w:r>
      <w:r>
        <w:rPr>
          <w:color w:val="auto"/>
          <w:highlight w:val="none"/>
        </w:rPr>
        <w:fldChar w:fldCharType="begin"/>
      </w:r>
      <w:r>
        <w:rPr>
          <w:color w:val="auto"/>
          <w:highlight w:val="none"/>
        </w:rPr>
        <w:instrText xml:space="preserve"> HYPERLINK "1.1.3.11" </w:instrText>
      </w:r>
      <w:r>
        <w:rPr>
          <w:color w:val="auto"/>
          <w:highlight w:val="none"/>
        </w:rPr>
        <w:fldChar w:fldCharType="separate"/>
      </w:r>
      <w:r>
        <w:rPr>
          <w:rFonts w:ascii="宋体" w:hAnsi="宋体" w:eastAsia="宋体" w:cs="宋体"/>
          <w:color w:val="auto"/>
          <w:spacing w:val="-1"/>
          <w:sz w:val="21"/>
          <w:szCs w:val="21"/>
          <w:highlight w:val="none"/>
        </w:rPr>
        <w:t>1.1.3.11</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临时占地：指专用合同条款中指明为实施合同</w:t>
      </w:r>
      <w:r>
        <w:rPr>
          <w:rFonts w:ascii="宋体" w:hAnsi="宋体" w:eastAsia="宋体" w:cs="宋体"/>
          <w:color w:val="auto"/>
          <w:spacing w:val="-2"/>
          <w:sz w:val="21"/>
          <w:szCs w:val="21"/>
          <w:highlight w:val="none"/>
        </w:rPr>
        <w:t>工程需临时占用的土地。</w:t>
      </w:r>
    </w:p>
    <w:p w14:paraId="0188A2FD">
      <w:pPr>
        <w:spacing w:before="31" w:line="221" w:lineRule="auto"/>
        <w:ind w:left="429"/>
        <w:rPr>
          <w:rFonts w:ascii="宋体" w:hAnsi="宋体" w:eastAsia="宋体" w:cs="宋体"/>
          <w:color w:val="auto"/>
          <w:sz w:val="21"/>
          <w:szCs w:val="21"/>
          <w:highlight w:val="none"/>
        </w:rPr>
      </w:pPr>
      <w:r>
        <w:rPr>
          <w:rFonts w:ascii="宋体" w:hAnsi="宋体" w:eastAsia="宋体" w:cs="宋体"/>
          <w:b/>
          <w:bCs/>
          <w:color w:val="auto"/>
          <w:spacing w:val="-9"/>
          <w:sz w:val="21"/>
          <w:szCs w:val="21"/>
          <w:highlight w:val="none"/>
        </w:rPr>
        <w:t>1.1.4</w:t>
      </w:r>
      <w:r>
        <w:rPr>
          <w:rFonts w:ascii="宋体" w:hAnsi="宋体" w:eastAsia="宋体" w:cs="宋体"/>
          <w:color w:val="auto"/>
          <w:spacing w:val="49"/>
          <w:sz w:val="21"/>
          <w:szCs w:val="21"/>
          <w:highlight w:val="none"/>
        </w:rPr>
        <w:t xml:space="preserve"> </w:t>
      </w:r>
      <w:r>
        <w:rPr>
          <w:rFonts w:ascii="宋体" w:hAnsi="宋体" w:eastAsia="宋体" w:cs="宋体"/>
          <w:b/>
          <w:bCs/>
          <w:color w:val="auto"/>
          <w:spacing w:val="-9"/>
          <w:sz w:val="21"/>
          <w:szCs w:val="21"/>
          <w:highlight w:val="none"/>
        </w:rPr>
        <w:t>日期</w:t>
      </w:r>
    </w:p>
    <w:p w14:paraId="306D9D4A">
      <w:pPr>
        <w:spacing w:before="156" w:line="221" w:lineRule="auto"/>
        <w:ind w:left="436"/>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"1.1.4.1" </w:instrText>
      </w:r>
      <w:r>
        <w:rPr>
          <w:color w:val="auto"/>
          <w:highlight w:val="none"/>
        </w:rPr>
        <w:fldChar w:fldCharType="separate"/>
      </w:r>
      <w:r>
        <w:rPr>
          <w:rFonts w:ascii="宋体" w:hAnsi="宋体" w:eastAsia="宋体" w:cs="宋体"/>
          <w:color w:val="auto"/>
          <w:spacing w:val="-2"/>
          <w:sz w:val="21"/>
          <w:szCs w:val="21"/>
          <w:highlight w:val="none"/>
        </w:rPr>
        <w:t>1.1.4.1</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开工通知：指监理人按第</w:t>
      </w:r>
      <w:r>
        <w:rPr>
          <w:rFonts w:ascii="宋体" w:hAnsi="宋体" w:eastAsia="宋体" w:cs="宋体"/>
          <w:color w:val="auto"/>
          <w:spacing w:val="-25"/>
          <w:sz w:val="21"/>
          <w:szCs w:val="21"/>
          <w:highlight w:val="none"/>
        </w:rPr>
        <w:t xml:space="preserve"> </w:t>
      </w:r>
      <w:r>
        <w:rPr>
          <w:rFonts w:ascii="宋体" w:hAnsi="宋体" w:eastAsia="宋体" w:cs="宋体"/>
          <w:color w:val="auto"/>
          <w:spacing w:val="-2"/>
          <w:sz w:val="21"/>
          <w:szCs w:val="21"/>
          <w:highlight w:val="none"/>
        </w:rPr>
        <w:t>11.1</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款通知承包人开工的函件。</w:t>
      </w:r>
    </w:p>
    <w:p w14:paraId="7BBD2128">
      <w:pPr>
        <w:spacing w:before="159" w:line="221" w:lineRule="auto"/>
        <w:ind w:left="436"/>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"1.1.4.2" </w:instrText>
      </w:r>
      <w:r>
        <w:rPr>
          <w:color w:val="auto"/>
          <w:highlight w:val="none"/>
        </w:rPr>
        <w:fldChar w:fldCharType="separate"/>
      </w:r>
      <w:r>
        <w:rPr>
          <w:rFonts w:ascii="宋体" w:hAnsi="宋体" w:eastAsia="宋体" w:cs="宋体"/>
          <w:color w:val="auto"/>
          <w:spacing w:val="-1"/>
          <w:sz w:val="21"/>
          <w:szCs w:val="21"/>
          <w:highlight w:val="none"/>
        </w:rPr>
        <w:t>1.1.4.2</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开工日期：指监理人按第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1"/>
          <w:sz w:val="21"/>
          <w:szCs w:val="21"/>
          <w:highlight w:val="none"/>
        </w:rPr>
        <w:t>11.1</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款发出的开工</w:t>
      </w:r>
      <w:r>
        <w:rPr>
          <w:rFonts w:ascii="宋体" w:hAnsi="宋体" w:eastAsia="宋体" w:cs="宋体"/>
          <w:color w:val="auto"/>
          <w:spacing w:val="-2"/>
          <w:sz w:val="21"/>
          <w:szCs w:val="21"/>
          <w:highlight w:val="none"/>
        </w:rPr>
        <w:t>通知中写明的开工日期。</w:t>
      </w:r>
    </w:p>
    <w:p w14:paraId="3E47A3BB">
      <w:pPr>
        <w:spacing w:before="157" w:line="345" w:lineRule="auto"/>
        <w:ind w:left="1" w:right="61" w:firstLine="434"/>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"1.1.4.3" </w:instrText>
      </w:r>
      <w:r>
        <w:rPr>
          <w:color w:val="auto"/>
          <w:highlight w:val="none"/>
        </w:rPr>
        <w:fldChar w:fldCharType="separate"/>
      </w:r>
      <w:r>
        <w:rPr>
          <w:rFonts w:ascii="宋体" w:hAnsi="宋体" w:eastAsia="宋体" w:cs="宋体"/>
          <w:color w:val="auto"/>
          <w:spacing w:val="-7"/>
          <w:sz w:val="21"/>
          <w:szCs w:val="21"/>
          <w:highlight w:val="none"/>
        </w:rPr>
        <w:t>1.1.4.3</w:t>
      </w:r>
      <w:r>
        <w:rPr>
          <w:rFonts w:ascii="宋体" w:hAnsi="宋体" w:eastAsia="宋体" w:cs="宋体"/>
          <w:color w:val="auto"/>
          <w:spacing w:val="-7"/>
          <w:sz w:val="21"/>
          <w:szCs w:val="21"/>
          <w:highlight w:val="none"/>
        </w:rPr>
        <w:fldChar w:fldCharType="end"/>
      </w:r>
      <w:r>
        <w:rPr>
          <w:rFonts w:ascii="宋体" w:hAnsi="宋体" w:eastAsia="宋体" w:cs="宋体"/>
          <w:color w:val="auto"/>
          <w:spacing w:val="-41"/>
          <w:sz w:val="21"/>
          <w:szCs w:val="21"/>
          <w:highlight w:val="none"/>
        </w:rPr>
        <w:t xml:space="preserve"> </w:t>
      </w:r>
      <w:r>
        <w:rPr>
          <w:rFonts w:ascii="宋体" w:hAnsi="宋体" w:eastAsia="宋体" w:cs="宋体"/>
          <w:color w:val="auto"/>
          <w:spacing w:val="-7"/>
          <w:sz w:val="21"/>
          <w:szCs w:val="21"/>
          <w:highlight w:val="none"/>
        </w:rPr>
        <w:t>工期：指承包人在投标函中承诺的完成合同</w:t>
      </w:r>
      <w:r>
        <w:rPr>
          <w:rFonts w:ascii="宋体" w:hAnsi="宋体" w:eastAsia="宋体" w:cs="宋体"/>
          <w:color w:val="auto"/>
          <w:spacing w:val="-8"/>
          <w:sz w:val="21"/>
          <w:szCs w:val="21"/>
          <w:highlight w:val="none"/>
        </w:rPr>
        <w:t>工程所需的期限，包括按第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8"/>
          <w:sz w:val="21"/>
          <w:szCs w:val="21"/>
          <w:highlight w:val="none"/>
        </w:rPr>
        <w:t>11.3</w:t>
      </w:r>
      <w:r>
        <w:rPr>
          <w:rFonts w:ascii="宋体" w:hAnsi="宋体" w:eastAsia="宋体" w:cs="宋体"/>
          <w:color w:val="auto"/>
          <w:spacing w:val="-42"/>
          <w:sz w:val="21"/>
          <w:szCs w:val="21"/>
          <w:highlight w:val="none"/>
        </w:rPr>
        <w:t xml:space="preserve"> </w:t>
      </w:r>
      <w:r>
        <w:rPr>
          <w:rFonts w:ascii="宋体" w:hAnsi="宋体" w:eastAsia="宋体" w:cs="宋体"/>
          <w:color w:val="auto"/>
          <w:spacing w:val="-8"/>
          <w:sz w:val="21"/>
          <w:szCs w:val="21"/>
          <w:highlight w:val="none"/>
        </w:rPr>
        <w:t>款、第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8"/>
          <w:sz w:val="21"/>
          <w:szCs w:val="21"/>
          <w:highlight w:val="none"/>
        </w:rPr>
        <w:t>11.4</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款和第</w:t>
      </w:r>
      <w:r>
        <w:rPr>
          <w:rFonts w:ascii="宋体" w:hAnsi="宋体" w:eastAsia="宋体" w:cs="宋体"/>
          <w:color w:val="auto"/>
          <w:spacing w:val="-26"/>
          <w:sz w:val="21"/>
          <w:szCs w:val="21"/>
          <w:highlight w:val="none"/>
        </w:rPr>
        <w:t xml:space="preserve"> </w:t>
      </w:r>
      <w:r>
        <w:rPr>
          <w:rFonts w:ascii="宋体" w:hAnsi="宋体" w:eastAsia="宋体" w:cs="宋体"/>
          <w:color w:val="auto"/>
          <w:spacing w:val="-4"/>
          <w:sz w:val="21"/>
          <w:szCs w:val="21"/>
          <w:highlight w:val="none"/>
        </w:rPr>
        <w:t>11.6</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款约定所作的变更。</w:t>
      </w:r>
    </w:p>
    <w:p w14:paraId="139E07AC">
      <w:pPr>
        <w:spacing w:before="31" w:line="345" w:lineRule="auto"/>
        <w:ind w:left="6" w:right="59" w:firstLine="429"/>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"1.1.4.4" </w:instrText>
      </w:r>
      <w:r>
        <w:rPr>
          <w:color w:val="auto"/>
          <w:highlight w:val="none"/>
        </w:rPr>
        <w:fldChar w:fldCharType="separate"/>
      </w:r>
      <w:r>
        <w:rPr>
          <w:rFonts w:ascii="宋体" w:hAnsi="宋体" w:eastAsia="宋体" w:cs="宋体"/>
          <w:color w:val="auto"/>
          <w:spacing w:val="-2"/>
          <w:sz w:val="21"/>
          <w:szCs w:val="21"/>
          <w:highlight w:val="none"/>
        </w:rPr>
        <w:t>1.1.4.4</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竣工日期：指第 </w:t>
      </w:r>
      <w:r>
        <w:rPr>
          <w:color w:val="auto"/>
          <w:highlight w:val="none"/>
        </w:rPr>
        <w:fldChar w:fldCharType="begin"/>
      </w:r>
      <w:r>
        <w:rPr>
          <w:color w:val="auto"/>
          <w:highlight w:val="none"/>
        </w:rPr>
        <w:instrText xml:space="preserve"> HYPERLINK "1.1.4.3" </w:instrText>
      </w:r>
      <w:r>
        <w:rPr>
          <w:color w:val="auto"/>
          <w:highlight w:val="none"/>
        </w:rPr>
        <w:fldChar w:fldCharType="separate"/>
      </w:r>
      <w:r>
        <w:rPr>
          <w:rFonts w:ascii="宋体" w:hAnsi="宋体" w:eastAsia="宋体" w:cs="宋体"/>
          <w:color w:val="auto"/>
          <w:spacing w:val="-2"/>
          <w:sz w:val="21"/>
          <w:szCs w:val="21"/>
          <w:highlight w:val="none"/>
        </w:rPr>
        <w:t>1.1.4.3</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目约定工期届满时的日期。实际竣工日期以工程接收证书中</w:t>
      </w:r>
      <w:r>
        <w:rPr>
          <w:rFonts w:ascii="宋体" w:hAnsi="宋体" w:eastAsia="宋体" w:cs="宋体"/>
          <w:color w:val="auto"/>
          <w:spacing w:val="15"/>
          <w:sz w:val="21"/>
          <w:szCs w:val="21"/>
          <w:highlight w:val="none"/>
        </w:rPr>
        <w:t xml:space="preserve"> </w:t>
      </w:r>
      <w:r>
        <w:rPr>
          <w:rFonts w:ascii="宋体" w:hAnsi="宋体" w:eastAsia="宋体" w:cs="宋体"/>
          <w:color w:val="auto"/>
          <w:spacing w:val="-2"/>
          <w:sz w:val="21"/>
          <w:szCs w:val="21"/>
          <w:highlight w:val="none"/>
        </w:rPr>
        <w:t>写明的日期为准。</w:t>
      </w:r>
    </w:p>
    <w:p w14:paraId="7394DDD1">
      <w:pPr>
        <w:spacing w:before="32" w:line="346" w:lineRule="auto"/>
        <w:ind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ascii="宋体" w:hAnsi="宋体" w:eastAsia="宋体" w:cs="宋体"/>
          <w:color w:val="auto"/>
          <w:spacing w:val="-5"/>
          <w:sz w:val="21"/>
          <w:szCs w:val="21"/>
          <w:highlight w:val="none"/>
        </w:rPr>
        <w:t>1.1.4.5</w:t>
      </w:r>
      <w:r>
        <w:rPr>
          <w:rFonts w:ascii="宋体" w:hAnsi="宋体" w:eastAsia="宋体" w:cs="宋体"/>
          <w:color w:val="auto"/>
          <w:spacing w:val="-5"/>
          <w:sz w:val="21"/>
          <w:szCs w:val="21"/>
          <w:highlight w:val="none"/>
        </w:rPr>
        <w:fldChar w:fldCharType="end"/>
      </w:r>
      <w:r>
        <w:rPr>
          <w:rFonts w:ascii="宋体" w:hAnsi="宋体" w:eastAsia="宋体" w:cs="宋体"/>
          <w:color w:val="auto"/>
          <w:spacing w:val="-5"/>
          <w:sz w:val="21"/>
          <w:szCs w:val="21"/>
          <w:highlight w:val="none"/>
        </w:rPr>
        <w:t xml:space="preserve"> 缺陷责任期：指履行第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5"/>
          <w:sz w:val="21"/>
          <w:szCs w:val="21"/>
          <w:highlight w:val="none"/>
        </w:rPr>
        <w:t>19.2</w:t>
      </w:r>
      <w:r>
        <w:rPr>
          <w:rFonts w:ascii="宋体" w:hAnsi="宋体" w:eastAsia="宋体" w:cs="宋体"/>
          <w:color w:val="auto"/>
          <w:spacing w:val="-46"/>
          <w:sz w:val="21"/>
          <w:szCs w:val="21"/>
          <w:highlight w:val="none"/>
        </w:rPr>
        <w:t xml:space="preserve"> </w:t>
      </w:r>
      <w:r>
        <w:rPr>
          <w:rFonts w:ascii="宋体" w:hAnsi="宋体" w:eastAsia="宋体" w:cs="宋体"/>
          <w:color w:val="auto"/>
          <w:spacing w:val="-6"/>
          <w:sz w:val="21"/>
          <w:szCs w:val="21"/>
          <w:highlight w:val="none"/>
        </w:rPr>
        <w:t>款约定的缺陷责任的期限，具体期限由专用合同条款约定，</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包括根据第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19.3</w:t>
      </w:r>
      <w:r>
        <w:rPr>
          <w:rFonts w:ascii="宋体" w:hAnsi="宋体" w:eastAsia="宋体" w:cs="宋体"/>
          <w:color w:val="auto"/>
          <w:spacing w:val="-44"/>
          <w:sz w:val="21"/>
          <w:szCs w:val="21"/>
          <w:highlight w:val="none"/>
        </w:rPr>
        <w:t xml:space="preserve"> </w:t>
      </w:r>
      <w:r>
        <w:rPr>
          <w:rFonts w:ascii="宋体" w:hAnsi="宋体" w:eastAsia="宋体" w:cs="宋体"/>
          <w:color w:val="auto"/>
          <w:spacing w:val="-3"/>
          <w:sz w:val="21"/>
          <w:szCs w:val="21"/>
          <w:highlight w:val="none"/>
        </w:rPr>
        <w:t>款约定所作的延长。</w:t>
      </w:r>
    </w:p>
    <w:p w14:paraId="25F37EAE">
      <w:pPr>
        <w:spacing w:before="31" w:line="221" w:lineRule="auto"/>
        <w:ind w:left="436"/>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"1.1.4.6" </w:instrText>
      </w:r>
      <w:r>
        <w:rPr>
          <w:color w:val="auto"/>
          <w:highlight w:val="none"/>
        </w:rPr>
        <w:fldChar w:fldCharType="separate"/>
      </w:r>
      <w:r>
        <w:rPr>
          <w:rFonts w:ascii="宋体" w:hAnsi="宋体" w:eastAsia="宋体" w:cs="宋体"/>
          <w:color w:val="auto"/>
          <w:spacing w:val="-2"/>
          <w:sz w:val="21"/>
          <w:szCs w:val="21"/>
          <w:highlight w:val="none"/>
        </w:rPr>
        <w:t>1.1.4.6</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基准日期：指投标截止时间前</w:t>
      </w:r>
      <w:r>
        <w:rPr>
          <w:rFonts w:ascii="宋体" w:hAnsi="宋体" w:eastAsia="宋体" w:cs="宋体"/>
          <w:color w:val="auto"/>
          <w:spacing w:val="-31"/>
          <w:sz w:val="21"/>
          <w:szCs w:val="21"/>
          <w:highlight w:val="none"/>
        </w:rPr>
        <w:t xml:space="preserve"> </w:t>
      </w:r>
      <w:r>
        <w:rPr>
          <w:rFonts w:ascii="宋体" w:hAnsi="宋体" w:eastAsia="宋体" w:cs="宋体"/>
          <w:color w:val="auto"/>
          <w:spacing w:val="-2"/>
          <w:sz w:val="21"/>
          <w:szCs w:val="21"/>
          <w:highlight w:val="none"/>
        </w:rPr>
        <w:t>28</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天的日期。</w:t>
      </w:r>
    </w:p>
    <w:p w14:paraId="3C406DDE">
      <w:pPr>
        <w:spacing w:before="157" w:line="347" w:lineRule="auto"/>
        <w:ind w:left="1" w:right="60" w:firstLine="434"/>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"1.1.4.7" </w:instrText>
      </w:r>
      <w:r>
        <w:rPr>
          <w:color w:val="auto"/>
          <w:highlight w:val="none"/>
        </w:rPr>
        <w:fldChar w:fldCharType="separate"/>
      </w:r>
      <w:r>
        <w:rPr>
          <w:rFonts w:ascii="宋体" w:hAnsi="宋体" w:eastAsia="宋体" w:cs="宋体"/>
          <w:color w:val="auto"/>
          <w:spacing w:val="1"/>
          <w:sz w:val="21"/>
          <w:szCs w:val="21"/>
          <w:highlight w:val="none"/>
        </w:rPr>
        <w:t>1.1.4.7</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天：除特别指明外，指日</w:t>
      </w:r>
      <w:r>
        <w:rPr>
          <w:rFonts w:ascii="宋体" w:hAnsi="宋体" w:eastAsia="宋体" w:cs="宋体"/>
          <w:color w:val="auto"/>
          <w:sz w:val="21"/>
          <w:szCs w:val="21"/>
          <w:highlight w:val="none"/>
        </w:rPr>
        <w:t xml:space="preserve">历天。合同中按天计算时间的，开始当天不计入，从次日开 </w:t>
      </w:r>
      <w:r>
        <w:rPr>
          <w:rFonts w:ascii="宋体" w:hAnsi="宋体" w:eastAsia="宋体" w:cs="宋体"/>
          <w:color w:val="auto"/>
          <w:spacing w:val="-1"/>
          <w:sz w:val="21"/>
          <w:szCs w:val="21"/>
          <w:highlight w:val="none"/>
        </w:rPr>
        <w:t>始计算。期限最后一天的截止时间为当天</w:t>
      </w:r>
      <w:r>
        <w:rPr>
          <w:rFonts w:ascii="宋体" w:hAnsi="宋体" w:eastAsia="宋体" w:cs="宋体"/>
          <w:color w:val="auto"/>
          <w:spacing w:val="-35"/>
          <w:sz w:val="21"/>
          <w:szCs w:val="21"/>
          <w:highlight w:val="none"/>
        </w:rPr>
        <w:t xml:space="preserve"> </w:t>
      </w:r>
      <w:r>
        <w:rPr>
          <w:rFonts w:ascii="宋体" w:hAnsi="宋体" w:eastAsia="宋体" w:cs="宋体"/>
          <w:color w:val="auto"/>
          <w:spacing w:val="-1"/>
          <w:sz w:val="21"/>
          <w:szCs w:val="21"/>
          <w:highlight w:val="none"/>
        </w:rPr>
        <w:t>24:00。</w:t>
      </w:r>
    </w:p>
    <w:p w14:paraId="7B5F5F8A">
      <w:pPr>
        <w:spacing w:before="28" w:line="219" w:lineRule="auto"/>
        <w:ind w:left="429"/>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1.1.5</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合同价格和费用</w:t>
      </w:r>
    </w:p>
    <w:p w14:paraId="0A45115A">
      <w:pPr>
        <w:spacing w:before="159" w:line="345" w:lineRule="auto"/>
        <w:ind w:left="2" w:right="60" w:firstLine="433"/>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"1.1.5.1" </w:instrText>
      </w:r>
      <w:r>
        <w:rPr>
          <w:color w:val="auto"/>
          <w:highlight w:val="none"/>
        </w:rPr>
        <w:fldChar w:fldCharType="separate"/>
      </w:r>
      <w:r>
        <w:rPr>
          <w:rFonts w:ascii="宋体" w:hAnsi="宋体" w:eastAsia="宋体" w:cs="宋体"/>
          <w:color w:val="auto"/>
          <w:spacing w:val="1"/>
          <w:sz w:val="21"/>
          <w:szCs w:val="21"/>
          <w:highlight w:val="none"/>
        </w:rPr>
        <w:t>1.1.5.1</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签约合同价：指签订合同</w:t>
      </w:r>
      <w:r>
        <w:rPr>
          <w:rFonts w:ascii="宋体" w:hAnsi="宋体" w:eastAsia="宋体" w:cs="宋体"/>
          <w:color w:val="auto"/>
          <w:sz w:val="21"/>
          <w:szCs w:val="21"/>
          <w:highlight w:val="none"/>
        </w:rPr>
        <w:t xml:space="preserve">时合同协议书中写明的，包括了暂列金额、暂估价的合同总 </w:t>
      </w:r>
      <w:r>
        <w:rPr>
          <w:rFonts w:ascii="宋体" w:hAnsi="宋体" w:eastAsia="宋体" w:cs="宋体"/>
          <w:color w:val="auto"/>
          <w:spacing w:val="-9"/>
          <w:sz w:val="21"/>
          <w:szCs w:val="21"/>
          <w:highlight w:val="none"/>
        </w:rPr>
        <w:t>金额。</w:t>
      </w:r>
    </w:p>
    <w:p w14:paraId="49339E47">
      <w:pPr>
        <w:spacing w:before="32" w:line="347" w:lineRule="auto"/>
        <w:ind w:right="60"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"1.1.5.2" </w:instrText>
      </w:r>
      <w:r>
        <w:rPr>
          <w:color w:val="auto"/>
          <w:highlight w:val="none"/>
        </w:rPr>
        <w:fldChar w:fldCharType="separate"/>
      </w:r>
      <w:r>
        <w:rPr>
          <w:rFonts w:ascii="宋体" w:hAnsi="宋体" w:eastAsia="宋体" w:cs="宋体"/>
          <w:color w:val="auto"/>
          <w:spacing w:val="1"/>
          <w:sz w:val="21"/>
          <w:szCs w:val="21"/>
          <w:highlight w:val="none"/>
        </w:rPr>
        <w:t>1.1.5.2</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合同价格：指承包人按合</w:t>
      </w:r>
      <w:r>
        <w:rPr>
          <w:rFonts w:ascii="宋体" w:hAnsi="宋体" w:eastAsia="宋体" w:cs="宋体"/>
          <w:color w:val="auto"/>
          <w:sz w:val="21"/>
          <w:szCs w:val="21"/>
          <w:highlight w:val="none"/>
        </w:rPr>
        <w:t>同约定完成了包括缺陷责任期内的全部承包工作后，发包人 应付给承包人的金额，包括在履行合同过程中按合同约定进行的变更和</w:t>
      </w:r>
      <w:r>
        <w:rPr>
          <w:rFonts w:ascii="宋体" w:hAnsi="宋体" w:eastAsia="宋体" w:cs="宋体"/>
          <w:color w:val="auto"/>
          <w:spacing w:val="-1"/>
          <w:sz w:val="21"/>
          <w:szCs w:val="21"/>
          <w:highlight w:val="none"/>
        </w:rPr>
        <w:t>调整。</w:t>
      </w:r>
    </w:p>
    <w:p w14:paraId="238A3FC4">
      <w:pPr>
        <w:spacing w:before="28" w:line="346" w:lineRule="auto"/>
        <w:ind w:right="60"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"1.1.5.3" </w:instrText>
      </w:r>
      <w:r>
        <w:rPr>
          <w:color w:val="auto"/>
          <w:highlight w:val="none"/>
        </w:rPr>
        <w:fldChar w:fldCharType="separate"/>
      </w:r>
      <w:r>
        <w:rPr>
          <w:rFonts w:ascii="宋体" w:hAnsi="宋体" w:eastAsia="宋体" w:cs="宋体"/>
          <w:color w:val="auto"/>
          <w:spacing w:val="1"/>
          <w:sz w:val="21"/>
          <w:szCs w:val="21"/>
          <w:highlight w:val="none"/>
        </w:rPr>
        <w:t>1.1.5.3</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费用：指为履行合同所发</w:t>
      </w:r>
      <w:r>
        <w:rPr>
          <w:rFonts w:ascii="宋体" w:hAnsi="宋体" w:eastAsia="宋体" w:cs="宋体"/>
          <w:color w:val="auto"/>
          <w:sz w:val="21"/>
          <w:szCs w:val="21"/>
          <w:highlight w:val="none"/>
        </w:rPr>
        <w:t xml:space="preserve">生的或将要发生的所有合理开支，包括管理费和应分摊的其 </w:t>
      </w:r>
      <w:r>
        <w:rPr>
          <w:rFonts w:ascii="宋体" w:hAnsi="宋体" w:eastAsia="宋体" w:cs="宋体"/>
          <w:color w:val="auto"/>
          <w:spacing w:val="-2"/>
          <w:sz w:val="21"/>
          <w:szCs w:val="21"/>
          <w:highlight w:val="none"/>
        </w:rPr>
        <w:t>他费用，但不包括利润。</w:t>
      </w:r>
    </w:p>
    <w:p w14:paraId="0E9D3B8C">
      <w:pPr>
        <w:spacing w:before="29" w:line="345" w:lineRule="auto"/>
        <w:ind w:left="4" w:right="60" w:firstLine="432"/>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"1.1.5.4" </w:instrText>
      </w:r>
      <w:r>
        <w:rPr>
          <w:color w:val="auto"/>
          <w:highlight w:val="none"/>
        </w:rPr>
        <w:fldChar w:fldCharType="separate"/>
      </w:r>
      <w:r>
        <w:rPr>
          <w:rFonts w:ascii="宋体" w:hAnsi="宋体" w:eastAsia="宋体" w:cs="宋体"/>
          <w:color w:val="auto"/>
          <w:spacing w:val="1"/>
          <w:sz w:val="21"/>
          <w:szCs w:val="21"/>
          <w:highlight w:val="none"/>
        </w:rPr>
        <w:t>1.1.5.4</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暂列金额：指已标价工程</w:t>
      </w:r>
      <w:r>
        <w:rPr>
          <w:rFonts w:ascii="宋体" w:hAnsi="宋体" w:eastAsia="宋体" w:cs="宋体"/>
          <w:color w:val="auto"/>
          <w:sz w:val="21"/>
          <w:szCs w:val="21"/>
          <w:highlight w:val="none"/>
        </w:rPr>
        <w:t>量清单中所列的暂列金额，用于在签订协议书时尚未确定或 不可预见变更的施工及其所需材料、工程设备、服</w:t>
      </w:r>
      <w:r>
        <w:rPr>
          <w:rFonts w:ascii="宋体" w:hAnsi="宋体" w:eastAsia="宋体" w:cs="宋体"/>
          <w:color w:val="auto"/>
          <w:spacing w:val="-1"/>
          <w:sz w:val="21"/>
          <w:szCs w:val="21"/>
          <w:highlight w:val="none"/>
        </w:rPr>
        <w:t>务等的金额，包括以计日工方式支付的金额。</w:t>
      </w:r>
    </w:p>
    <w:p w14:paraId="2A1607BD">
      <w:pPr>
        <w:spacing w:before="34" w:line="345" w:lineRule="auto"/>
        <w:ind w:right="60"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"1.1.5.5" </w:instrText>
      </w:r>
      <w:r>
        <w:rPr>
          <w:color w:val="auto"/>
          <w:highlight w:val="none"/>
        </w:rPr>
        <w:fldChar w:fldCharType="separate"/>
      </w:r>
      <w:r>
        <w:rPr>
          <w:rFonts w:ascii="宋体" w:hAnsi="宋体" w:eastAsia="宋体" w:cs="宋体"/>
          <w:color w:val="auto"/>
          <w:spacing w:val="1"/>
          <w:sz w:val="21"/>
          <w:szCs w:val="21"/>
          <w:highlight w:val="none"/>
        </w:rPr>
        <w:t>1.1.5.5</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暂估价：指发包人在工程</w:t>
      </w:r>
      <w:r>
        <w:rPr>
          <w:rFonts w:ascii="宋体" w:hAnsi="宋体" w:eastAsia="宋体" w:cs="宋体"/>
          <w:color w:val="auto"/>
          <w:sz w:val="21"/>
          <w:szCs w:val="21"/>
          <w:highlight w:val="none"/>
        </w:rPr>
        <w:t xml:space="preserve">量清单中给定的用于支付必然发生但暂时不能确定价格的材 </w:t>
      </w:r>
      <w:r>
        <w:rPr>
          <w:rFonts w:ascii="宋体" w:hAnsi="宋体" w:eastAsia="宋体" w:cs="宋体"/>
          <w:color w:val="auto"/>
          <w:spacing w:val="-2"/>
          <w:sz w:val="21"/>
          <w:szCs w:val="21"/>
          <w:highlight w:val="none"/>
        </w:rPr>
        <w:t>料、设备以及专业工程的金额。</w:t>
      </w:r>
    </w:p>
    <w:p w14:paraId="5539B22E">
      <w:pPr>
        <w:spacing w:before="42" w:line="346" w:lineRule="auto"/>
        <w:ind w:right="61" w:firstLine="434"/>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"1.1.5.6" </w:instrText>
      </w:r>
      <w:r>
        <w:rPr>
          <w:color w:val="auto"/>
          <w:highlight w:val="none"/>
        </w:rPr>
        <w:fldChar w:fldCharType="separate"/>
      </w:r>
      <w:r>
        <w:rPr>
          <w:rFonts w:ascii="宋体" w:hAnsi="宋体" w:eastAsia="宋体" w:cs="宋体"/>
          <w:color w:val="auto"/>
          <w:spacing w:val="1"/>
          <w:sz w:val="21"/>
          <w:szCs w:val="21"/>
          <w:highlight w:val="none"/>
        </w:rPr>
        <w:t>1.1.5.6</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计日工：指对零星工作采</w:t>
      </w:r>
      <w:r>
        <w:rPr>
          <w:rFonts w:ascii="宋体" w:hAnsi="宋体" w:eastAsia="宋体" w:cs="宋体"/>
          <w:color w:val="auto"/>
          <w:sz w:val="21"/>
          <w:szCs w:val="21"/>
          <w:highlight w:val="none"/>
        </w:rPr>
        <w:t xml:space="preserve">取的一种计价方式，按合同中的计日工子目及其单价计价付 </w:t>
      </w:r>
      <w:r>
        <w:rPr>
          <w:rFonts w:ascii="宋体" w:hAnsi="宋体" w:eastAsia="宋体" w:cs="宋体"/>
          <w:color w:val="auto"/>
          <w:spacing w:val="-10"/>
          <w:sz w:val="21"/>
          <w:szCs w:val="21"/>
          <w:highlight w:val="none"/>
        </w:rPr>
        <w:t>款。</w:t>
      </w:r>
    </w:p>
    <w:p w14:paraId="0CB90097">
      <w:pPr>
        <w:spacing w:before="29" w:line="345" w:lineRule="auto"/>
        <w:ind w:right="59"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"1.1.5.7" </w:instrText>
      </w:r>
      <w:r>
        <w:rPr>
          <w:color w:val="auto"/>
          <w:highlight w:val="none"/>
        </w:rPr>
        <w:fldChar w:fldCharType="separate"/>
      </w:r>
      <w:r>
        <w:rPr>
          <w:rFonts w:ascii="宋体" w:hAnsi="宋体" w:eastAsia="宋体" w:cs="宋体"/>
          <w:color w:val="auto"/>
          <w:spacing w:val="-2"/>
          <w:sz w:val="21"/>
          <w:szCs w:val="21"/>
          <w:highlight w:val="none"/>
        </w:rPr>
        <w:t>1.1.5.7</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质量保证金（或称保留金</w:t>
      </w:r>
      <w:r>
        <w:rPr>
          <w:rFonts w:ascii="宋体" w:hAnsi="宋体" w:eastAsia="宋体" w:cs="宋体"/>
          <w:color w:val="auto"/>
          <w:spacing w:val="-30"/>
          <w:sz w:val="21"/>
          <w:szCs w:val="21"/>
          <w:highlight w:val="none"/>
        </w:rPr>
        <w:t>）：</w:t>
      </w:r>
      <w:r>
        <w:rPr>
          <w:rFonts w:ascii="宋体" w:hAnsi="宋体" w:eastAsia="宋体" w:cs="宋体"/>
          <w:color w:val="auto"/>
          <w:spacing w:val="-2"/>
          <w:sz w:val="21"/>
          <w:szCs w:val="21"/>
          <w:highlight w:val="none"/>
        </w:rPr>
        <w:t>指按第 17.4.1</w:t>
      </w:r>
      <w:r>
        <w:rPr>
          <w:rFonts w:ascii="宋体" w:hAnsi="宋体" w:eastAsia="宋体" w:cs="宋体"/>
          <w:color w:val="auto"/>
          <w:spacing w:val="-20"/>
          <w:sz w:val="21"/>
          <w:szCs w:val="21"/>
          <w:highlight w:val="none"/>
        </w:rPr>
        <w:t xml:space="preserve"> </w:t>
      </w:r>
      <w:r>
        <w:rPr>
          <w:rFonts w:ascii="宋体" w:hAnsi="宋体" w:eastAsia="宋体" w:cs="宋体"/>
          <w:color w:val="auto"/>
          <w:spacing w:val="-2"/>
          <w:sz w:val="21"/>
          <w:szCs w:val="21"/>
          <w:highlight w:val="none"/>
        </w:rPr>
        <w:t>项约定</w:t>
      </w:r>
      <w:r>
        <w:rPr>
          <w:rFonts w:ascii="宋体" w:hAnsi="宋体" w:eastAsia="宋体" w:cs="宋体"/>
          <w:color w:val="auto"/>
          <w:spacing w:val="-3"/>
          <w:sz w:val="21"/>
          <w:szCs w:val="21"/>
          <w:highlight w:val="none"/>
        </w:rPr>
        <w:t>用于保证在缺陷责任期内履行缺陷</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修复义务的金额。</w:t>
      </w:r>
    </w:p>
    <w:p w14:paraId="75B6943B">
      <w:pPr>
        <w:spacing w:before="33" w:line="221" w:lineRule="auto"/>
        <w:ind w:left="428"/>
        <w:rPr>
          <w:rFonts w:ascii="宋体" w:hAnsi="宋体" w:eastAsia="宋体" w:cs="宋体"/>
          <w:color w:val="auto"/>
          <w:sz w:val="21"/>
          <w:szCs w:val="21"/>
          <w:highlight w:val="none"/>
        </w:rPr>
      </w:pPr>
      <w:r>
        <w:rPr>
          <w:rFonts w:ascii="宋体" w:hAnsi="宋体" w:eastAsia="宋体" w:cs="宋体"/>
          <w:b/>
          <w:bCs/>
          <w:color w:val="auto"/>
          <w:spacing w:val="-6"/>
          <w:sz w:val="21"/>
          <w:szCs w:val="21"/>
          <w:highlight w:val="none"/>
        </w:rPr>
        <w:t>1.1.6</w:t>
      </w:r>
      <w:r>
        <w:rPr>
          <w:rFonts w:ascii="宋体" w:hAnsi="宋体" w:eastAsia="宋体" w:cs="宋体"/>
          <w:color w:val="auto"/>
          <w:spacing w:val="10"/>
          <w:sz w:val="21"/>
          <w:szCs w:val="21"/>
          <w:highlight w:val="none"/>
        </w:rPr>
        <w:t xml:space="preserve"> </w:t>
      </w:r>
      <w:r>
        <w:rPr>
          <w:rFonts w:ascii="宋体" w:hAnsi="宋体" w:eastAsia="宋体" w:cs="宋体"/>
          <w:b/>
          <w:bCs/>
          <w:color w:val="auto"/>
          <w:spacing w:val="-6"/>
          <w:sz w:val="21"/>
          <w:szCs w:val="21"/>
          <w:highlight w:val="none"/>
        </w:rPr>
        <w:t>其他</w:t>
      </w:r>
    </w:p>
    <w:p w14:paraId="163FA718">
      <w:pPr>
        <w:spacing w:before="156" w:line="220" w:lineRule="auto"/>
        <w:ind w:left="436"/>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"1.1.6.1" </w:instrText>
      </w:r>
      <w:r>
        <w:rPr>
          <w:color w:val="auto"/>
          <w:highlight w:val="none"/>
        </w:rPr>
        <w:fldChar w:fldCharType="separate"/>
      </w:r>
      <w:r>
        <w:rPr>
          <w:rFonts w:ascii="Times New Roman" w:hAnsi="Times New Roman" w:eastAsia="Times New Roman" w:cs="Times New Roman"/>
          <w:color w:val="auto"/>
          <w:spacing w:val="-1"/>
          <w:sz w:val="21"/>
          <w:szCs w:val="21"/>
          <w:highlight w:val="none"/>
        </w:rPr>
        <w:t>1.1.6.1</w:t>
      </w:r>
      <w:r>
        <w:rPr>
          <w:rFonts w:ascii="Times New Roman" w:hAnsi="Times New Roman" w:eastAsia="Times New Roman" w:cs="Times New Roman"/>
          <w:color w:val="auto"/>
          <w:spacing w:val="-1"/>
          <w:sz w:val="21"/>
          <w:szCs w:val="21"/>
          <w:highlight w:val="none"/>
        </w:rPr>
        <w:fldChar w:fldCharType="end"/>
      </w:r>
      <w:r>
        <w:rPr>
          <w:rFonts w:ascii="Times New Roman" w:hAnsi="Times New Roman" w:eastAsia="Times New Roman" w:cs="Times New Roman"/>
          <w:color w:val="auto"/>
          <w:spacing w:val="-1"/>
          <w:sz w:val="21"/>
          <w:szCs w:val="21"/>
          <w:highlight w:val="none"/>
        </w:rPr>
        <w:t xml:space="preserve">  </w:t>
      </w:r>
      <w:r>
        <w:rPr>
          <w:rFonts w:ascii="宋体" w:hAnsi="宋体" w:eastAsia="宋体" w:cs="宋体"/>
          <w:color w:val="auto"/>
          <w:spacing w:val="-1"/>
          <w:sz w:val="21"/>
          <w:szCs w:val="21"/>
          <w:highlight w:val="none"/>
        </w:rPr>
        <w:t>书面形式：指合同文件、信函、电报、传真等可以有形地表现所载内容的形式。</w:t>
      </w:r>
    </w:p>
    <w:p w14:paraId="31CCB14F">
      <w:pPr>
        <w:spacing w:line="333" w:lineRule="auto"/>
        <w:rPr>
          <w:rFonts w:ascii="Arial"/>
          <w:color w:val="auto"/>
          <w:sz w:val="21"/>
          <w:highlight w:val="none"/>
        </w:rPr>
      </w:pPr>
    </w:p>
    <w:p w14:paraId="7F0418BA">
      <w:pPr>
        <w:spacing w:before="91" w:line="220" w:lineRule="auto"/>
        <w:ind w:left="160"/>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1.2</w:t>
      </w:r>
      <w:r>
        <w:rPr>
          <w:rFonts w:ascii="宋体" w:hAnsi="宋体" w:eastAsia="宋体" w:cs="宋体"/>
          <w:color w:val="auto"/>
          <w:spacing w:val="14"/>
          <w:sz w:val="28"/>
          <w:szCs w:val="28"/>
          <w:highlight w:val="none"/>
        </w:rPr>
        <w:t xml:space="preserve"> </w:t>
      </w:r>
      <w:r>
        <w:rPr>
          <w:rFonts w:ascii="宋体" w:hAnsi="宋体" w:eastAsia="宋体" w:cs="宋体"/>
          <w:b/>
          <w:bCs/>
          <w:color w:val="auto"/>
          <w:spacing w:val="-8"/>
          <w:sz w:val="28"/>
          <w:szCs w:val="28"/>
          <w:highlight w:val="none"/>
        </w:rPr>
        <w:t>语言文字</w:t>
      </w:r>
    </w:p>
    <w:p w14:paraId="74427BFD">
      <w:pPr>
        <w:spacing w:before="280" w:line="220" w:lineRule="auto"/>
        <w:ind w:left="43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除专用术语外，合同使用的语言文字为中文。必要时专用术语应附有中文注释。</w:t>
      </w:r>
    </w:p>
    <w:p w14:paraId="2337C2E4">
      <w:pPr>
        <w:spacing w:line="334" w:lineRule="auto"/>
        <w:rPr>
          <w:rFonts w:ascii="Arial"/>
          <w:color w:val="auto"/>
          <w:sz w:val="21"/>
          <w:highlight w:val="none"/>
        </w:rPr>
      </w:pPr>
    </w:p>
    <w:p w14:paraId="3056342D">
      <w:pPr>
        <w:spacing w:before="92" w:line="220" w:lineRule="auto"/>
        <w:ind w:left="160"/>
        <w:rPr>
          <w:rFonts w:ascii="宋体" w:hAnsi="宋体" w:eastAsia="宋体" w:cs="宋体"/>
          <w:color w:val="auto"/>
          <w:sz w:val="28"/>
          <w:szCs w:val="28"/>
          <w:highlight w:val="none"/>
        </w:rPr>
      </w:pPr>
      <w:r>
        <w:rPr>
          <w:rFonts w:ascii="宋体" w:hAnsi="宋体" w:eastAsia="宋体" w:cs="宋体"/>
          <w:b/>
          <w:bCs/>
          <w:color w:val="auto"/>
          <w:spacing w:val="-10"/>
          <w:sz w:val="28"/>
          <w:szCs w:val="28"/>
          <w:highlight w:val="none"/>
        </w:rPr>
        <w:t>1.3</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10"/>
          <w:sz w:val="28"/>
          <w:szCs w:val="28"/>
          <w:highlight w:val="none"/>
        </w:rPr>
        <w:t>法律</w:t>
      </w:r>
    </w:p>
    <w:p w14:paraId="7A7D908C">
      <w:pPr>
        <w:spacing w:before="280" w:line="345" w:lineRule="auto"/>
        <w:ind w:right="6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适用于合同的法律包括中华人民共和国法律、行政法规、部门规章，以及</w:t>
      </w:r>
      <w:r>
        <w:rPr>
          <w:rFonts w:ascii="宋体" w:hAnsi="宋体" w:eastAsia="宋体" w:cs="宋体"/>
          <w:color w:val="auto"/>
          <w:sz w:val="21"/>
          <w:szCs w:val="21"/>
          <w:highlight w:val="none"/>
        </w:rPr>
        <w:t xml:space="preserve">工程所在地的地方法 </w:t>
      </w:r>
      <w:r>
        <w:rPr>
          <w:rFonts w:ascii="宋体" w:hAnsi="宋体" w:eastAsia="宋体" w:cs="宋体"/>
          <w:color w:val="auto"/>
          <w:spacing w:val="-1"/>
          <w:sz w:val="21"/>
          <w:szCs w:val="21"/>
          <w:highlight w:val="none"/>
        </w:rPr>
        <w:t>规、自治条例、单行条例和地方政府规章。</w:t>
      </w:r>
    </w:p>
    <w:p w14:paraId="5D7B9B55">
      <w:pPr>
        <w:spacing w:before="303" w:line="220" w:lineRule="auto"/>
        <w:ind w:left="16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1.4</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合同文件的优先顺序</w:t>
      </w:r>
    </w:p>
    <w:p w14:paraId="40EE0358">
      <w:pPr>
        <w:spacing w:before="281" w:line="345" w:lineRule="auto"/>
        <w:ind w:left="4" w:right="63" w:firstLine="4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组成合同的各项文件应互相解释，互为说明。除专用合同条款另有约</w:t>
      </w:r>
      <w:r>
        <w:rPr>
          <w:rFonts w:ascii="宋体" w:hAnsi="宋体" w:eastAsia="宋体" w:cs="宋体"/>
          <w:color w:val="auto"/>
          <w:sz w:val="21"/>
          <w:szCs w:val="21"/>
          <w:highlight w:val="none"/>
        </w:rPr>
        <w:t xml:space="preserve">定外，解释合同文件的优 </w:t>
      </w:r>
      <w:r>
        <w:rPr>
          <w:rFonts w:ascii="宋体" w:hAnsi="宋体" w:eastAsia="宋体" w:cs="宋体"/>
          <w:color w:val="auto"/>
          <w:spacing w:val="-2"/>
          <w:sz w:val="21"/>
          <w:szCs w:val="21"/>
          <w:highlight w:val="none"/>
        </w:rPr>
        <w:t>先顺序如下：</w:t>
      </w:r>
    </w:p>
    <w:p w14:paraId="265D31F2">
      <w:pPr>
        <w:spacing w:before="30" w:line="220" w:lineRule="auto"/>
        <w:ind w:left="42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（1）合同协议书；</w:t>
      </w:r>
    </w:p>
    <w:p w14:paraId="4D502826">
      <w:pPr>
        <w:spacing w:before="158" w:line="220" w:lineRule="auto"/>
        <w:ind w:left="42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（2）中标通知书；</w:t>
      </w:r>
    </w:p>
    <w:p w14:paraId="2DABA8A7">
      <w:pPr>
        <w:spacing w:before="160" w:line="220"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（3）投标函及投标函附录；</w:t>
      </w:r>
    </w:p>
    <w:p w14:paraId="78C69ABE">
      <w:pPr>
        <w:spacing w:before="158"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（4）专用合同条款；</w:t>
      </w:r>
    </w:p>
    <w:p w14:paraId="1AA2E0B3">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（5）通用合同条款；</w:t>
      </w:r>
    </w:p>
    <w:p w14:paraId="1118EE2A">
      <w:pPr>
        <w:spacing w:before="156" w:line="221" w:lineRule="auto"/>
        <w:ind w:left="42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（6）技术标准和要求；</w:t>
      </w:r>
    </w:p>
    <w:p w14:paraId="29352861">
      <w:pPr>
        <w:spacing w:before="157" w:line="222"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（7）图纸；</w:t>
      </w:r>
    </w:p>
    <w:p w14:paraId="0620160B">
      <w:pPr>
        <w:spacing w:before="158" w:line="219"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（8）已标价工程量清单；</w:t>
      </w:r>
    </w:p>
    <w:p w14:paraId="5340B52C">
      <w:pPr>
        <w:spacing w:before="159"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（9）其他合同文件。</w:t>
      </w:r>
    </w:p>
    <w:p w14:paraId="5A85FAC9">
      <w:pPr>
        <w:spacing w:line="333" w:lineRule="auto"/>
        <w:rPr>
          <w:rFonts w:ascii="Arial"/>
          <w:color w:val="auto"/>
          <w:sz w:val="21"/>
          <w:highlight w:val="none"/>
        </w:rPr>
      </w:pPr>
    </w:p>
    <w:p w14:paraId="4BFC66FC">
      <w:pPr>
        <w:spacing w:before="91" w:line="219" w:lineRule="auto"/>
        <w:ind w:left="16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1.5</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合同协议书</w:t>
      </w:r>
    </w:p>
    <w:p w14:paraId="5F501BDA">
      <w:pPr>
        <w:spacing w:before="282" w:line="345" w:lineRule="auto"/>
        <w:ind w:left="3" w:firstLine="4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承包人按中标通知书规定的时间与发包人签订合同协议书。除法律另有规定或合同另有约定外，</w:t>
      </w:r>
      <w:r>
        <w:rPr>
          <w:rFonts w:ascii="宋体" w:hAnsi="宋体" w:eastAsia="宋体" w:cs="宋体"/>
          <w:color w:val="auto"/>
          <w:spacing w:val="12"/>
          <w:sz w:val="21"/>
          <w:szCs w:val="21"/>
          <w:highlight w:val="none"/>
        </w:rPr>
        <w:t xml:space="preserve"> </w:t>
      </w:r>
      <w:r>
        <w:rPr>
          <w:rFonts w:ascii="宋体" w:hAnsi="宋体" w:eastAsia="宋体" w:cs="宋体"/>
          <w:color w:val="auto"/>
          <w:sz w:val="21"/>
          <w:szCs w:val="21"/>
          <w:highlight w:val="none"/>
        </w:rPr>
        <w:t>发包人和承包人的法定代表人或其委托代理人在合同协议书上签字并盖单位章后，</w:t>
      </w:r>
      <w:r>
        <w:rPr>
          <w:rFonts w:ascii="宋体" w:hAnsi="宋体" w:eastAsia="宋体" w:cs="宋体"/>
          <w:color w:val="auto"/>
          <w:spacing w:val="-1"/>
          <w:sz w:val="21"/>
          <w:szCs w:val="21"/>
          <w:highlight w:val="none"/>
        </w:rPr>
        <w:t>合同生效。</w:t>
      </w:r>
    </w:p>
    <w:p w14:paraId="22C6D210">
      <w:pPr>
        <w:spacing w:before="300" w:line="220" w:lineRule="auto"/>
        <w:ind w:left="160"/>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1.6</w:t>
      </w:r>
      <w:r>
        <w:rPr>
          <w:rFonts w:ascii="宋体" w:hAnsi="宋体" w:eastAsia="宋体" w:cs="宋体"/>
          <w:color w:val="auto"/>
          <w:spacing w:val="50"/>
          <w:sz w:val="28"/>
          <w:szCs w:val="28"/>
          <w:highlight w:val="none"/>
        </w:rPr>
        <w:t xml:space="preserve"> </w:t>
      </w:r>
      <w:r>
        <w:rPr>
          <w:rFonts w:ascii="宋体" w:hAnsi="宋体" w:eastAsia="宋体" w:cs="宋体"/>
          <w:b/>
          <w:bCs/>
          <w:color w:val="auto"/>
          <w:spacing w:val="-9"/>
          <w:sz w:val="28"/>
          <w:szCs w:val="28"/>
          <w:highlight w:val="none"/>
        </w:rPr>
        <w:t>图纸和承包人文件</w:t>
      </w:r>
    </w:p>
    <w:p w14:paraId="49647559">
      <w:pPr>
        <w:spacing w:before="281" w:line="220" w:lineRule="auto"/>
        <w:ind w:left="428"/>
        <w:rPr>
          <w:rFonts w:ascii="宋体" w:hAnsi="宋体" w:eastAsia="宋体" w:cs="宋体"/>
          <w:color w:val="auto"/>
          <w:sz w:val="21"/>
          <w:szCs w:val="21"/>
          <w:highlight w:val="none"/>
        </w:rPr>
      </w:pPr>
      <w:r>
        <w:rPr>
          <w:rFonts w:ascii="宋体" w:hAnsi="宋体" w:eastAsia="宋体" w:cs="宋体"/>
          <w:b/>
          <w:bCs/>
          <w:color w:val="auto"/>
          <w:spacing w:val="-7"/>
          <w:sz w:val="21"/>
          <w:szCs w:val="21"/>
          <w:highlight w:val="none"/>
        </w:rPr>
        <w:t>1.6.1</w:t>
      </w:r>
      <w:r>
        <w:rPr>
          <w:rFonts w:ascii="宋体" w:hAnsi="宋体" w:eastAsia="宋体" w:cs="宋体"/>
          <w:color w:val="auto"/>
          <w:spacing w:val="-16"/>
          <w:sz w:val="21"/>
          <w:szCs w:val="21"/>
          <w:highlight w:val="none"/>
        </w:rPr>
        <w:t xml:space="preserve"> </w:t>
      </w:r>
      <w:r>
        <w:rPr>
          <w:rFonts w:ascii="宋体" w:hAnsi="宋体" w:eastAsia="宋体" w:cs="宋体"/>
          <w:b/>
          <w:bCs/>
          <w:color w:val="auto"/>
          <w:spacing w:val="-7"/>
          <w:sz w:val="21"/>
          <w:szCs w:val="21"/>
          <w:highlight w:val="none"/>
        </w:rPr>
        <w:t>图纸的提供</w:t>
      </w:r>
    </w:p>
    <w:p w14:paraId="455BCFD0">
      <w:pPr>
        <w:spacing w:before="42" w:line="345" w:lineRule="auto"/>
        <w:ind w:left="2" w:right="3" w:firstLine="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除专用合同条款另有约定外，图纸应在合理的</w:t>
      </w:r>
      <w:r>
        <w:rPr>
          <w:rFonts w:ascii="宋体" w:hAnsi="宋体" w:eastAsia="宋体" w:cs="宋体"/>
          <w:color w:val="auto"/>
          <w:sz w:val="21"/>
          <w:szCs w:val="21"/>
          <w:highlight w:val="none"/>
        </w:rPr>
        <w:t xml:space="preserve">期限内按照合同约定的数量提供给承包人。由于 </w:t>
      </w:r>
      <w:r>
        <w:rPr>
          <w:rFonts w:ascii="宋体" w:hAnsi="宋体" w:eastAsia="宋体" w:cs="宋体"/>
          <w:color w:val="auto"/>
          <w:spacing w:val="-2"/>
          <w:sz w:val="21"/>
          <w:szCs w:val="21"/>
          <w:highlight w:val="none"/>
        </w:rPr>
        <w:t>发包人未按时提供图纸造成工期延误的，按第</w:t>
      </w:r>
      <w:r>
        <w:rPr>
          <w:rFonts w:ascii="宋体" w:hAnsi="宋体" w:eastAsia="宋体" w:cs="宋体"/>
          <w:color w:val="auto"/>
          <w:spacing w:val="-21"/>
          <w:sz w:val="21"/>
          <w:szCs w:val="21"/>
          <w:highlight w:val="none"/>
        </w:rPr>
        <w:t xml:space="preserve"> </w:t>
      </w:r>
      <w:r>
        <w:rPr>
          <w:rFonts w:ascii="宋体" w:hAnsi="宋体" w:eastAsia="宋体" w:cs="宋体"/>
          <w:color w:val="auto"/>
          <w:spacing w:val="-2"/>
          <w:sz w:val="21"/>
          <w:szCs w:val="21"/>
          <w:highlight w:val="none"/>
        </w:rPr>
        <w:t>11.3</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款的约定办理。</w:t>
      </w:r>
    </w:p>
    <w:p w14:paraId="47F38408">
      <w:pPr>
        <w:spacing w:before="30" w:line="220" w:lineRule="auto"/>
        <w:ind w:left="427"/>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1.6.2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承包人提供的文件</w:t>
      </w:r>
    </w:p>
    <w:p w14:paraId="7B309D6E">
      <w:pPr>
        <w:spacing w:before="158" w:line="347" w:lineRule="auto"/>
        <w:ind w:left="4" w:right="3"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按专用合同条款约定由承包人提供的文件，包括部分工程的大样图、加</w:t>
      </w:r>
      <w:r>
        <w:rPr>
          <w:rFonts w:ascii="宋体" w:hAnsi="宋体" w:eastAsia="宋体" w:cs="宋体"/>
          <w:color w:val="auto"/>
          <w:sz w:val="21"/>
          <w:szCs w:val="21"/>
          <w:highlight w:val="none"/>
        </w:rPr>
        <w:t xml:space="preserve">工图等，承包人应按约 </w:t>
      </w:r>
      <w:r>
        <w:rPr>
          <w:rFonts w:ascii="宋体" w:hAnsi="宋体" w:eastAsia="宋体" w:cs="宋体"/>
          <w:color w:val="auto"/>
          <w:spacing w:val="-1"/>
          <w:sz w:val="21"/>
          <w:szCs w:val="21"/>
          <w:highlight w:val="none"/>
        </w:rPr>
        <w:t>定的数量和期限报送监理人。监理人应在专用合同条款约定的期限内批复。</w:t>
      </w:r>
    </w:p>
    <w:p w14:paraId="07007E0E">
      <w:pPr>
        <w:spacing w:before="28" w:line="221" w:lineRule="auto"/>
        <w:ind w:left="427"/>
        <w:rPr>
          <w:rFonts w:ascii="宋体" w:hAnsi="宋体" w:eastAsia="宋体" w:cs="宋体"/>
          <w:color w:val="auto"/>
          <w:sz w:val="21"/>
          <w:szCs w:val="21"/>
          <w:highlight w:val="none"/>
        </w:rPr>
      </w:pPr>
      <w:r>
        <w:rPr>
          <w:rFonts w:ascii="宋体" w:hAnsi="宋体" w:eastAsia="宋体" w:cs="宋体"/>
          <w:b/>
          <w:bCs/>
          <w:color w:val="auto"/>
          <w:spacing w:val="-7"/>
          <w:sz w:val="21"/>
          <w:szCs w:val="21"/>
          <w:highlight w:val="none"/>
        </w:rPr>
        <w:t>1.6.3</w:t>
      </w:r>
      <w:r>
        <w:rPr>
          <w:rFonts w:ascii="宋体" w:hAnsi="宋体" w:eastAsia="宋体" w:cs="宋体"/>
          <w:color w:val="auto"/>
          <w:spacing w:val="37"/>
          <w:sz w:val="21"/>
          <w:szCs w:val="21"/>
          <w:highlight w:val="none"/>
        </w:rPr>
        <w:t xml:space="preserve"> </w:t>
      </w:r>
      <w:r>
        <w:rPr>
          <w:rFonts w:ascii="宋体" w:hAnsi="宋体" w:eastAsia="宋体" w:cs="宋体"/>
          <w:b/>
          <w:bCs/>
          <w:color w:val="auto"/>
          <w:spacing w:val="-7"/>
          <w:sz w:val="21"/>
          <w:szCs w:val="21"/>
          <w:highlight w:val="none"/>
        </w:rPr>
        <w:t>图纸的修改</w:t>
      </w:r>
    </w:p>
    <w:p w14:paraId="1B4FCE64">
      <w:pPr>
        <w:spacing w:before="156" w:line="352" w:lineRule="auto"/>
        <w:ind w:right="1" w:firstLine="439"/>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图纸需要修改和补充的，应由监理人取得发包人同意后，在该工程或工程相应部位施工前的合</w:t>
      </w:r>
      <w:r>
        <w:rPr>
          <w:rFonts w:ascii="宋体" w:hAnsi="宋体" w:eastAsia="宋体" w:cs="宋体"/>
          <w:color w:val="auto"/>
          <w:spacing w:val="12"/>
          <w:sz w:val="21"/>
          <w:szCs w:val="21"/>
          <w:highlight w:val="none"/>
        </w:rPr>
        <w:t xml:space="preserve"> </w:t>
      </w:r>
      <w:r>
        <w:rPr>
          <w:rFonts w:ascii="宋体" w:hAnsi="宋体" w:eastAsia="宋体" w:cs="宋体"/>
          <w:color w:val="auto"/>
          <w:spacing w:val="1"/>
          <w:sz w:val="21"/>
          <w:szCs w:val="21"/>
          <w:highlight w:val="none"/>
        </w:rPr>
        <w:t>理期限内签发图纸修改图给承包人，具体签发期限在专用合同条款中约定。</w:t>
      </w:r>
      <w:r>
        <w:rPr>
          <w:rFonts w:ascii="宋体" w:hAnsi="宋体" w:eastAsia="宋体" w:cs="宋体"/>
          <w:color w:val="auto"/>
          <w:sz w:val="21"/>
          <w:szCs w:val="21"/>
          <w:highlight w:val="none"/>
        </w:rPr>
        <w:t xml:space="preserve">承包人应按修改后的图 </w:t>
      </w:r>
      <w:r>
        <w:rPr>
          <w:rFonts w:ascii="宋体" w:hAnsi="宋体" w:eastAsia="宋体" w:cs="宋体"/>
          <w:color w:val="auto"/>
          <w:spacing w:val="-2"/>
          <w:sz w:val="21"/>
          <w:szCs w:val="21"/>
          <w:highlight w:val="none"/>
        </w:rPr>
        <w:t>纸施工。</w:t>
      </w:r>
    </w:p>
    <w:p w14:paraId="2211184E">
      <w:pPr>
        <w:spacing w:before="26" w:line="222" w:lineRule="auto"/>
        <w:ind w:left="427"/>
        <w:rPr>
          <w:rFonts w:ascii="宋体" w:hAnsi="宋体" w:eastAsia="宋体" w:cs="宋体"/>
          <w:color w:val="auto"/>
          <w:sz w:val="21"/>
          <w:szCs w:val="21"/>
          <w:highlight w:val="none"/>
        </w:rPr>
      </w:pPr>
      <w:r>
        <w:rPr>
          <w:rFonts w:ascii="宋体" w:hAnsi="宋体" w:eastAsia="宋体" w:cs="宋体"/>
          <w:b/>
          <w:bCs/>
          <w:color w:val="auto"/>
          <w:spacing w:val="-7"/>
          <w:sz w:val="21"/>
          <w:szCs w:val="21"/>
          <w:highlight w:val="none"/>
        </w:rPr>
        <w:t>1.6.4</w:t>
      </w:r>
      <w:r>
        <w:rPr>
          <w:rFonts w:ascii="宋体" w:hAnsi="宋体" w:eastAsia="宋体" w:cs="宋体"/>
          <w:color w:val="auto"/>
          <w:spacing w:val="37"/>
          <w:sz w:val="21"/>
          <w:szCs w:val="21"/>
          <w:highlight w:val="none"/>
        </w:rPr>
        <w:t xml:space="preserve"> </w:t>
      </w:r>
      <w:r>
        <w:rPr>
          <w:rFonts w:ascii="宋体" w:hAnsi="宋体" w:eastAsia="宋体" w:cs="宋体"/>
          <w:b/>
          <w:bCs/>
          <w:color w:val="auto"/>
          <w:spacing w:val="-7"/>
          <w:sz w:val="21"/>
          <w:szCs w:val="21"/>
          <w:highlight w:val="none"/>
        </w:rPr>
        <w:t>图纸的错误</w:t>
      </w:r>
    </w:p>
    <w:p w14:paraId="28EE1F0A">
      <w:pPr>
        <w:spacing w:before="156" w:line="220" w:lineRule="auto"/>
        <w:ind w:left="419"/>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承包人发现发包人提供的图纸存在明显错误或疏忽，应及时通知监</w:t>
      </w:r>
      <w:r>
        <w:rPr>
          <w:rFonts w:ascii="宋体" w:hAnsi="宋体" w:eastAsia="宋体" w:cs="宋体"/>
          <w:color w:val="auto"/>
          <w:spacing w:val="-1"/>
          <w:sz w:val="21"/>
          <w:szCs w:val="21"/>
          <w:highlight w:val="none"/>
        </w:rPr>
        <w:t>理人。</w:t>
      </w:r>
    </w:p>
    <w:p w14:paraId="41A49B73">
      <w:pPr>
        <w:spacing w:before="157" w:line="221" w:lineRule="auto"/>
        <w:ind w:left="427"/>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1.6.5</w:t>
      </w:r>
      <w:r>
        <w:rPr>
          <w:rFonts w:ascii="宋体" w:hAnsi="宋体" w:eastAsia="宋体" w:cs="宋体"/>
          <w:color w:val="auto"/>
          <w:spacing w:val="34"/>
          <w:sz w:val="21"/>
          <w:szCs w:val="21"/>
          <w:highlight w:val="none"/>
        </w:rPr>
        <w:t xml:space="preserve"> </w:t>
      </w:r>
      <w:r>
        <w:rPr>
          <w:rFonts w:ascii="宋体" w:hAnsi="宋体" w:eastAsia="宋体" w:cs="宋体"/>
          <w:b/>
          <w:bCs/>
          <w:color w:val="auto"/>
          <w:spacing w:val="-5"/>
          <w:sz w:val="21"/>
          <w:szCs w:val="21"/>
          <w:highlight w:val="none"/>
        </w:rPr>
        <w:t>图纸和承包人文件的保管</w:t>
      </w:r>
    </w:p>
    <w:p w14:paraId="67129D53">
      <w:pPr>
        <w:spacing w:before="158" w:line="347" w:lineRule="auto"/>
        <w:ind w:left="4" w:firstLine="41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监理人和承包人均应在施工场地各保存一套完整的包含第</w:t>
      </w:r>
      <w:r>
        <w:rPr>
          <w:rFonts w:ascii="宋体" w:hAnsi="宋体" w:eastAsia="宋体" w:cs="宋体"/>
          <w:color w:val="auto"/>
          <w:spacing w:val="-9"/>
          <w:sz w:val="21"/>
          <w:szCs w:val="21"/>
          <w:highlight w:val="none"/>
        </w:rPr>
        <w:t xml:space="preserve"> </w:t>
      </w:r>
      <w:r>
        <w:rPr>
          <w:rFonts w:ascii="宋体" w:hAnsi="宋体" w:eastAsia="宋体" w:cs="宋体"/>
          <w:color w:val="auto"/>
          <w:spacing w:val="-3"/>
          <w:sz w:val="21"/>
          <w:szCs w:val="21"/>
          <w:highlight w:val="none"/>
        </w:rPr>
        <w:t>1.6.1</w:t>
      </w:r>
      <w:r>
        <w:rPr>
          <w:rFonts w:ascii="宋体" w:hAnsi="宋体" w:eastAsia="宋体" w:cs="宋体"/>
          <w:color w:val="auto"/>
          <w:spacing w:val="-36"/>
          <w:sz w:val="21"/>
          <w:szCs w:val="21"/>
          <w:highlight w:val="none"/>
        </w:rPr>
        <w:t xml:space="preserve"> </w:t>
      </w:r>
      <w:r>
        <w:rPr>
          <w:rFonts w:ascii="宋体" w:hAnsi="宋体" w:eastAsia="宋体" w:cs="宋体"/>
          <w:color w:val="auto"/>
          <w:spacing w:val="-3"/>
          <w:sz w:val="21"/>
          <w:szCs w:val="21"/>
          <w:highlight w:val="none"/>
        </w:rPr>
        <w:t>项、第</w:t>
      </w:r>
      <w:r>
        <w:rPr>
          <w:rFonts w:ascii="宋体" w:hAnsi="宋体" w:eastAsia="宋体" w:cs="宋体"/>
          <w:color w:val="auto"/>
          <w:spacing w:val="-21"/>
          <w:sz w:val="21"/>
          <w:szCs w:val="21"/>
          <w:highlight w:val="none"/>
        </w:rPr>
        <w:t xml:space="preserve"> </w:t>
      </w:r>
      <w:r>
        <w:rPr>
          <w:rFonts w:ascii="宋体" w:hAnsi="宋体" w:eastAsia="宋体" w:cs="宋体"/>
          <w:color w:val="auto"/>
          <w:spacing w:val="-3"/>
          <w:sz w:val="21"/>
          <w:szCs w:val="21"/>
          <w:highlight w:val="none"/>
        </w:rPr>
        <w:t>1.6.2</w:t>
      </w:r>
      <w:r>
        <w:rPr>
          <w:rFonts w:ascii="宋体" w:hAnsi="宋体" w:eastAsia="宋体" w:cs="宋体"/>
          <w:color w:val="auto"/>
          <w:spacing w:val="-34"/>
          <w:sz w:val="21"/>
          <w:szCs w:val="21"/>
          <w:highlight w:val="none"/>
        </w:rPr>
        <w:t xml:space="preserve"> </w:t>
      </w:r>
      <w:r>
        <w:rPr>
          <w:rFonts w:ascii="宋体" w:hAnsi="宋体" w:eastAsia="宋体" w:cs="宋体"/>
          <w:color w:val="auto"/>
          <w:spacing w:val="-3"/>
          <w:sz w:val="21"/>
          <w:szCs w:val="21"/>
          <w:highlight w:val="none"/>
        </w:rPr>
        <w:t>项、第 1.6.3</w:t>
      </w:r>
      <w:r>
        <w:rPr>
          <w:rFonts w:ascii="宋体" w:hAnsi="宋体" w:eastAsia="宋体" w:cs="宋体"/>
          <w:color w:val="auto"/>
          <w:spacing w:val="-36"/>
          <w:sz w:val="21"/>
          <w:szCs w:val="21"/>
          <w:highlight w:val="none"/>
        </w:rPr>
        <w:t xml:space="preserve"> </w:t>
      </w:r>
      <w:r>
        <w:rPr>
          <w:rFonts w:ascii="宋体" w:hAnsi="宋体" w:eastAsia="宋体" w:cs="宋体"/>
          <w:color w:val="auto"/>
          <w:spacing w:val="-3"/>
          <w:sz w:val="21"/>
          <w:szCs w:val="21"/>
          <w:highlight w:val="none"/>
        </w:rPr>
        <w:t>项</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约定内容的图纸和承包人文件。</w:t>
      </w:r>
    </w:p>
    <w:p w14:paraId="36B4B160">
      <w:pPr>
        <w:spacing w:before="298" w:line="222" w:lineRule="auto"/>
        <w:ind w:left="159"/>
        <w:rPr>
          <w:rFonts w:ascii="宋体" w:hAnsi="宋体" w:eastAsia="宋体" w:cs="宋体"/>
          <w:color w:val="auto"/>
          <w:sz w:val="28"/>
          <w:szCs w:val="28"/>
          <w:highlight w:val="none"/>
        </w:rPr>
      </w:pPr>
      <w:r>
        <w:rPr>
          <w:rFonts w:ascii="宋体" w:hAnsi="宋体" w:eastAsia="宋体" w:cs="宋体"/>
          <w:b/>
          <w:bCs/>
          <w:color w:val="auto"/>
          <w:spacing w:val="-10"/>
          <w:sz w:val="28"/>
          <w:szCs w:val="28"/>
          <w:highlight w:val="none"/>
        </w:rPr>
        <w:t>1.7</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10"/>
          <w:sz w:val="28"/>
          <w:szCs w:val="28"/>
          <w:highlight w:val="none"/>
        </w:rPr>
        <w:t>联络</w:t>
      </w:r>
    </w:p>
    <w:p w14:paraId="7C41A699">
      <w:pPr>
        <w:spacing w:before="277" w:line="289" w:lineRule="auto"/>
        <w:ind w:right="3" w:firstLine="433"/>
        <w:rPr>
          <w:rFonts w:ascii="宋体" w:hAnsi="宋体" w:eastAsia="宋体" w:cs="宋体"/>
          <w:color w:val="auto"/>
          <w:sz w:val="21"/>
          <w:szCs w:val="21"/>
          <w:highlight w:val="none"/>
        </w:rPr>
      </w:pPr>
      <w:r>
        <w:rPr>
          <w:rFonts w:ascii="宋体" w:hAnsi="宋体" w:eastAsia="宋体" w:cs="宋体"/>
          <w:color w:val="auto"/>
          <w:sz w:val="21"/>
          <w:szCs w:val="21"/>
          <w:highlight w:val="none"/>
        </w:rPr>
        <w:t>1.7.1 与合同有关的通知、批准、证明、证书、指示、要求、请求、同意、意见、确定和决定</w:t>
      </w:r>
      <w:r>
        <w:rPr>
          <w:rFonts w:ascii="宋体" w:hAnsi="宋体" w:eastAsia="宋体" w:cs="宋体"/>
          <w:color w:val="auto"/>
          <w:spacing w:val="17"/>
          <w:sz w:val="21"/>
          <w:szCs w:val="21"/>
          <w:highlight w:val="none"/>
        </w:rPr>
        <w:t xml:space="preserve"> </w:t>
      </w:r>
      <w:r>
        <w:rPr>
          <w:rFonts w:ascii="宋体" w:hAnsi="宋体" w:eastAsia="宋体" w:cs="宋体"/>
          <w:color w:val="auto"/>
          <w:spacing w:val="-2"/>
          <w:sz w:val="21"/>
          <w:szCs w:val="21"/>
          <w:highlight w:val="none"/>
        </w:rPr>
        <w:t>等，均应采用书面形式。</w:t>
      </w:r>
    </w:p>
    <w:p w14:paraId="3B28755B">
      <w:pPr>
        <w:spacing w:before="158" w:line="290" w:lineRule="auto"/>
        <w:ind w:left="4"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1.7.2 第 1.7.1</w:t>
      </w:r>
      <w:r>
        <w:rPr>
          <w:rFonts w:ascii="宋体" w:hAnsi="宋体" w:eastAsia="宋体" w:cs="宋体"/>
          <w:color w:val="auto"/>
          <w:spacing w:val="-22"/>
          <w:sz w:val="21"/>
          <w:szCs w:val="21"/>
          <w:highlight w:val="none"/>
        </w:rPr>
        <w:t xml:space="preserve"> </w:t>
      </w:r>
      <w:r>
        <w:rPr>
          <w:rFonts w:ascii="宋体" w:hAnsi="宋体" w:eastAsia="宋体" w:cs="宋体"/>
          <w:color w:val="auto"/>
          <w:spacing w:val="-1"/>
          <w:sz w:val="21"/>
          <w:szCs w:val="21"/>
          <w:highlight w:val="none"/>
        </w:rPr>
        <w:t>项中的通知、批准、证明、证书、指示、</w:t>
      </w:r>
      <w:r>
        <w:rPr>
          <w:rFonts w:ascii="宋体" w:hAnsi="宋体" w:eastAsia="宋体" w:cs="宋体"/>
          <w:color w:val="auto"/>
          <w:spacing w:val="-2"/>
          <w:sz w:val="21"/>
          <w:szCs w:val="21"/>
          <w:highlight w:val="none"/>
        </w:rPr>
        <w:t>要求、请求、同意、意见、确定和决</w:t>
      </w:r>
      <w:r>
        <w:rPr>
          <w:rFonts w:ascii="宋体" w:hAnsi="宋体" w:eastAsia="宋体" w:cs="宋体"/>
          <w:color w:val="auto"/>
          <w:sz w:val="21"/>
          <w:szCs w:val="21"/>
          <w:highlight w:val="none"/>
        </w:rPr>
        <w:t xml:space="preserve"> 定等来往函件，均应在合同约定的期限内送达指定地点和接收人，并办</w:t>
      </w:r>
      <w:r>
        <w:rPr>
          <w:rFonts w:ascii="宋体" w:hAnsi="宋体" w:eastAsia="宋体" w:cs="宋体"/>
          <w:color w:val="auto"/>
          <w:spacing w:val="-1"/>
          <w:sz w:val="21"/>
          <w:szCs w:val="21"/>
          <w:highlight w:val="none"/>
        </w:rPr>
        <w:t>理签收手续。</w:t>
      </w:r>
    </w:p>
    <w:p w14:paraId="1E2FA503">
      <w:pPr>
        <w:spacing w:line="335" w:lineRule="auto"/>
        <w:rPr>
          <w:rFonts w:ascii="Arial"/>
          <w:color w:val="auto"/>
          <w:sz w:val="21"/>
          <w:highlight w:val="none"/>
        </w:rPr>
      </w:pPr>
    </w:p>
    <w:p w14:paraId="2319D8E4">
      <w:pPr>
        <w:spacing w:before="91" w:line="221" w:lineRule="auto"/>
        <w:ind w:left="159"/>
        <w:rPr>
          <w:rFonts w:ascii="宋体" w:hAnsi="宋体" w:eastAsia="宋体" w:cs="宋体"/>
          <w:color w:val="auto"/>
          <w:sz w:val="28"/>
          <w:szCs w:val="28"/>
          <w:highlight w:val="none"/>
        </w:rPr>
      </w:pPr>
      <w:r>
        <w:rPr>
          <w:rFonts w:ascii="宋体" w:hAnsi="宋体" w:eastAsia="宋体" w:cs="宋体"/>
          <w:b/>
          <w:bCs/>
          <w:color w:val="auto"/>
          <w:spacing w:val="-10"/>
          <w:sz w:val="28"/>
          <w:szCs w:val="28"/>
          <w:highlight w:val="none"/>
        </w:rPr>
        <w:t>1.8</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10"/>
          <w:sz w:val="28"/>
          <w:szCs w:val="28"/>
          <w:highlight w:val="none"/>
        </w:rPr>
        <w:t>转让</w:t>
      </w:r>
    </w:p>
    <w:p w14:paraId="62EA9BD1">
      <w:pPr>
        <w:spacing w:before="280" w:line="345" w:lineRule="auto"/>
        <w:ind w:right="3"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除合同另有约定外，未经对方当事人同意，一</w:t>
      </w:r>
      <w:r>
        <w:rPr>
          <w:rFonts w:ascii="宋体" w:hAnsi="宋体" w:eastAsia="宋体" w:cs="宋体"/>
          <w:color w:val="auto"/>
          <w:sz w:val="21"/>
          <w:szCs w:val="21"/>
          <w:highlight w:val="none"/>
        </w:rPr>
        <w:t xml:space="preserve">方当事人不得将合同权利全部或部分转让给第三 </w:t>
      </w:r>
      <w:r>
        <w:rPr>
          <w:rFonts w:ascii="宋体" w:hAnsi="宋体" w:eastAsia="宋体" w:cs="宋体"/>
          <w:color w:val="auto"/>
          <w:spacing w:val="-1"/>
          <w:sz w:val="21"/>
          <w:szCs w:val="21"/>
          <w:highlight w:val="none"/>
        </w:rPr>
        <w:t>人，也不得全部或部分转移合同义务。</w:t>
      </w:r>
    </w:p>
    <w:p w14:paraId="17F7335C">
      <w:pPr>
        <w:spacing w:before="299" w:line="220" w:lineRule="auto"/>
        <w:ind w:left="159"/>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1.9</w:t>
      </w:r>
      <w:r>
        <w:rPr>
          <w:rFonts w:ascii="宋体" w:hAnsi="宋体" w:eastAsia="宋体" w:cs="宋体"/>
          <w:color w:val="auto"/>
          <w:spacing w:val="14"/>
          <w:sz w:val="28"/>
          <w:szCs w:val="28"/>
          <w:highlight w:val="none"/>
        </w:rPr>
        <w:t xml:space="preserve"> </w:t>
      </w:r>
      <w:r>
        <w:rPr>
          <w:rFonts w:ascii="宋体" w:hAnsi="宋体" w:eastAsia="宋体" w:cs="宋体"/>
          <w:b/>
          <w:bCs/>
          <w:color w:val="auto"/>
          <w:spacing w:val="-8"/>
          <w:sz w:val="28"/>
          <w:szCs w:val="28"/>
          <w:highlight w:val="none"/>
        </w:rPr>
        <w:t>严禁贿赂</w:t>
      </w:r>
    </w:p>
    <w:p w14:paraId="152C2BBE">
      <w:pPr>
        <w:spacing w:before="281" w:line="345" w:lineRule="auto"/>
        <w:ind w:right="3"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合同双方当事人不得以贿赂或变相贿赂的方式，谋取不当利益或损害对方</w:t>
      </w:r>
      <w:r>
        <w:rPr>
          <w:rFonts w:ascii="宋体" w:hAnsi="宋体" w:eastAsia="宋体" w:cs="宋体"/>
          <w:color w:val="auto"/>
          <w:sz w:val="21"/>
          <w:szCs w:val="21"/>
          <w:highlight w:val="none"/>
        </w:rPr>
        <w:t xml:space="preserve">权益。因贿赂造成对 </w:t>
      </w:r>
      <w:r>
        <w:rPr>
          <w:rFonts w:ascii="宋体" w:hAnsi="宋体" w:eastAsia="宋体" w:cs="宋体"/>
          <w:color w:val="auto"/>
          <w:spacing w:val="-1"/>
          <w:sz w:val="21"/>
          <w:szCs w:val="21"/>
          <w:highlight w:val="none"/>
        </w:rPr>
        <w:t>方损失的，行为人应赔偿损失，并承担相应的法律责任。</w:t>
      </w:r>
    </w:p>
    <w:p w14:paraId="67BA5FA0">
      <w:pPr>
        <w:spacing w:before="301" w:line="221" w:lineRule="auto"/>
        <w:ind w:left="159"/>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1.10</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化石、文物</w:t>
      </w:r>
    </w:p>
    <w:p w14:paraId="75AE562D">
      <w:pPr>
        <w:spacing w:before="279" w:line="350" w:lineRule="auto"/>
        <w:ind w:firstLine="434"/>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1.10.1 在施工场地发掘的所有文物、古迹以及具有地质研究或考古价值的其他遗迹、化石、钱</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币或物品属于国家所有。一旦发现上述文物，承包人应采取有效合理的保护措</w:t>
      </w:r>
      <w:r>
        <w:rPr>
          <w:rFonts w:ascii="宋体" w:hAnsi="宋体" w:eastAsia="宋体" w:cs="宋体"/>
          <w:color w:val="auto"/>
          <w:sz w:val="21"/>
          <w:szCs w:val="21"/>
          <w:highlight w:val="none"/>
        </w:rPr>
        <w:t xml:space="preserve">施，防止任何人员移 </w:t>
      </w:r>
      <w:r>
        <w:rPr>
          <w:rFonts w:ascii="宋体" w:hAnsi="宋体" w:eastAsia="宋体" w:cs="宋体"/>
          <w:color w:val="auto"/>
          <w:spacing w:val="1"/>
          <w:sz w:val="21"/>
          <w:szCs w:val="21"/>
          <w:highlight w:val="none"/>
        </w:rPr>
        <w:t>动或损坏上述物品，并立即报告当地文物行政部门，同时通知监理人。发包人</w:t>
      </w:r>
      <w:r>
        <w:rPr>
          <w:rFonts w:ascii="宋体" w:hAnsi="宋体" w:eastAsia="宋体" w:cs="宋体"/>
          <w:color w:val="auto"/>
          <w:sz w:val="21"/>
          <w:szCs w:val="21"/>
          <w:highlight w:val="none"/>
        </w:rPr>
        <w:t>、监理人和承包人应按文物行政部门要求采取妥善保护措施，由此导致费用增加和（或）工期延误由发包人</w:t>
      </w:r>
      <w:r>
        <w:rPr>
          <w:rFonts w:ascii="宋体" w:hAnsi="宋体" w:eastAsia="宋体" w:cs="宋体"/>
          <w:color w:val="auto"/>
          <w:spacing w:val="-1"/>
          <w:sz w:val="21"/>
          <w:szCs w:val="21"/>
          <w:highlight w:val="none"/>
        </w:rPr>
        <w:t>承担。</w:t>
      </w:r>
    </w:p>
    <w:p w14:paraId="1E2F5E34">
      <w:pPr>
        <w:spacing w:before="158" w:line="345" w:lineRule="auto"/>
        <w:ind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1.10.2 承包人发现文物后不及时报告或隐瞒不报，致使文物丢失或损坏的，应赔偿损失，并承</w:t>
      </w:r>
      <w:r>
        <w:rPr>
          <w:rFonts w:ascii="宋体" w:hAnsi="宋体" w:eastAsia="宋体" w:cs="宋体"/>
          <w:color w:val="auto"/>
          <w:spacing w:val="5"/>
          <w:sz w:val="21"/>
          <w:szCs w:val="21"/>
          <w:highlight w:val="none"/>
        </w:rPr>
        <w:t xml:space="preserve"> </w:t>
      </w:r>
      <w:r>
        <w:rPr>
          <w:rFonts w:ascii="宋体" w:hAnsi="宋体" w:eastAsia="宋体" w:cs="宋体"/>
          <w:color w:val="auto"/>
          <w:spacing w:val="-3"/>
          <w:sz w:val="21"/>
          <w:szCs w:val="21"/>
          <w:highlight w:val="none"/>
        </w:rPr>
        <w:t>担相应的法律责任。</w:t>
      </w:r>
    </w:p>
    <w:p w14:paraId="3D1B7437">
      <w:pPr>
        <w:spacing w:before="299" w:line="220" w:lineRule="auto"/>
        <w:ind w:left="160"/>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1.11</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专利技术</w:t>
      </w:r>
    </w:p>
    <w:p w14:paraId="58DDBB8E">
      <w:pPr>
        <w:spacing w:before="279" w:line="351" w:lineRule="auto"/>
        <w:ind w:firstLine="435"/>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1.11.1 承包人在使用任何材料、承包人设备、工程设备或采用施工工艺时，因侵犯专利权或其</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他知识产权所引起的责任，由承包人承担，但由于遵照发包人提供的设计或技术</w:t>
      </w:r>
      <w:r>
        <w:rPr>
          <w:rFonts w:ascii="宋体" w:hAnsi="宋体" w:eastAsia="宋体" w:cs="宋体"/>
          <w:color w:val="auto"/>
          <w:sz w:val="21"/>
          <w:szCs w:val="21"/>
          <w:highlight w:val="none"/>
        </w:rPr>
        <w:t xml:space="preserve">标准和要求引起的 </w:t>
      </w:r>
      <w:r>
        <w:rPr>
          <w:rFonts w:ascii="宋体" w:hAnsi="宋体" w:eastAsia="宋体" w:cs="宋体"/>
          <w:color w:val="auto"/>
          <w:spacing w:val="-8"/>
          <w:sz w:val="21"/>
          <w:szCs w:val="21"/>
          <w:highlight w:val="none"/>
        </w:rPr>
        <w:t>除外。</w:t>
      </w:r>
    </w:p>
    <w:p w14:paraId="276863ED">
      <w:pPr>
        <w:spacing w:before="29" w:line="219" w:lineRule="auto"/>
        <w:ind w:left="435"/>
        <w:rPr>
          <w:rFonts w:ascii="宋体" w:hAnsi="宋体" w:eastAsia="宋体" w:cs="宋体"/>
          <w:color w:val="auto"/>
          <w:sz w:val="21"/>
          <w:szCs w:val="21"/>
          <w:highlight w:val="none"/>
        </w:rPr>
      </w:pPr>
      <w:r>
        <w:rPr>
          <w:rFonts w:ascii="宋体" w:hAnsi="宋体" w:eastAsia="宋体" w:cs="宋体"/>
          <w:color w:val="auto"/>
          <w:sz w:val="21"/>
          <w:szCs w:val="21"/>
          <w:highlight w:val="none"/>
        </w:rPr>
        <w:t>1.11.2 承包人在投标文件中采用专利技术</w:t>
      </w:r>
      <w:r>
        <w:rPr>
          <w:rFonts w:ascii="宋体" w:hAnsi="宋体" w:eastAsia="宋体" w:cs="宋体"/>
          <w:color w:val="auto"/>
          <w:spacing w:val="-1"/>
          <w:sz w:val="21"/>
          <w:szCs w:val="21"/>
          <w:highlight w:val="none"/>
        </w:rPr>
        <w:t>的，专利技术的使用费包含在投标报价内。</w:t>
      </w:r>
    </w:p>
    <w:p w14:paraId="4CD00081">
      <w:pPr>
        <w:spacing w:before="160" w:line="291" w:lineRule="auto"/>
        <w:ind w:left="17" w:firstLine="4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1.11.3 承包人的技术秘密和声明需要保密的资料和信息，发包人和监理人不得为合同以外的目</w:t>
      </w:r>
      <w:r>
        <w:rPr>
          <w:rFonts w:ascii="宋体" w:hAnsi="宋体" w:eastAsia="宋体" w:cs="宋体"/>
          <w:color w:val="auto"/>
          <w:spacing w:val="5"/>
          <w:sz w:val="21"/>
          <w:szCs w:val="21"/>
          <w:highlight w:val="none"/>
        </w:rPr>
        <w:t xml:space="preserve"> </w:t>
      </w:r>
      <w:r>
        <w:rPr>
          <w:rFonts w:ascii="宋体" w:hAnsi="宋体" w:eastAsia="宋体" w:cs="宋体"/>
          <w:color w:val="auto"/>
          <w:spacing w:val="-6"/>
          <w:sz w:val="21"/>
          <w:szCs w:val="21"/>
          <w:highlight w:val="none"/>
        </w:rPr>
        <w:t>的泄露给他人。</w:t>
      </w:r>
    </w:p>
    <w:p w14:paraId="255394BB">
      <w:pPr>
        <w:spacing w:line="332" w:lineRule="auto"/>
        <w:rPr>
          <w:rFonts w:ascii="Arial"/>
          <w:color w:val="auto"/>
          <w:sz w:val="21"/>
          <w:highlight w:val="none"/>
        </w:rPr>
      </w:pPr>
    </w:p>
    <w:p w14:paraId="642C8D17">
      <w:pPr>
        <w:spacing w:before="91" w:line="220" w:lineRule="auto"/>
        <w:ind w:left="160"/>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1.12</w:t>
      </w:r>
      <w:r>
        <w:rPr>
          <w:rFonts w:ascii="宋体" w:hAnsi="宋体" w:eastAsia="宋体" w:cs="宋体"/>
          <w:color w:val="auto"/>
          <w:spacing w:val="46"/>
          <w:sz w:val="28"/>
          <w:szCs w:val="28"/>
          <w:highlight w:val="none"/>
        </w:rPr>
        <w:t xml:space="preserve"> </w:t>
      </w:r>
      <w:r>
        <w:rPr>
          <w:rFonts w:ascii="宋体" w:hAnsi="宋体" w:eastAsia="宋体" w:cs="宋体"/>
          <w:b/>
          <w:bCs/>
          <w:color w:val="auto"/>
          <w:spacing w:val="-8"/>
          <w:sz w:val="28"/>
          <w:szCs w:val="28"/>
          <w:highlight w:val="none"/>
        </w:rPr>
        <w:t>图纸和文件的保密</w:t>
      </w:r>
    </w:p>
    <w:p w14:paraId="76CF63EA">
      <w:pPr>
        <w:spacing w:before="280" w:line="290" w:lineRule="auto"/>
        <w:ind w:left="2"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1.12.1 发包人提供的图纸和文件，未经发包人同意，承包人不得为合同以外的目的泄露给他人</w:t>
      </w:r>
      <w:r>
        <w:rPr>
          <w:rFonts w:ascii="宋体" w:hAnsi="宋体" w:eastAsia="宋体" w:cs="宋体"/>
          <w:color w:val="auto"/>
          <w:spacing w:val="5"/>
          <w:sz w:val="21"/>
          <w:szCs w:val="21"/>
          <w:highlight w:val="none"/>
        </w:rPr>
        <w:t xml:space="preserve"> </w:t>
      </w:r>
      <w:r>
        <w:rPr>
          <w:rFonts w:ascii="宋体" w:hAnsi="宋体" w:eastAsia="宋体" w:cs="宋体"/>
          <w:color w:val="auto"/>
          <w:spacing w:val="-3"/>
          <w:sz w:val="21"/>
          <w:szCs w:val="21"/>
          <w:highlight w:val="none"/>
        </w:rPr>
        <w:t>或公开发表与引用。</w:t>
      </w:r>
    </w:p>
    <w:p w14:paraId="34AA1BA2">
      <w:pPr>
        <w:spacing w:before="157" w:line="290" w:lineRule="auto"/>
        <w:ind w:left="1"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1.12.2 承包人提供的文件，未经承包人同意，发包人和监理人不得为合同以外的目的泄露给他</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人或公开发表与引用。</w:t>
      </w:r>
    </w:p>
    <w:p w14:paraId="1A077C58">
      <w:pPr>
        <w:spacing w:before="174" w:line="225" w:lineRule="auto"/>
        <w:ind w:left="8"/>
        <w:outlineLvl w:val="2"/>
        <w:rPr>
          <w:rFonts w:ascii="宋体" w:hAnsi="宋体" w:eastAsia="宋体" w:cs="宋体"/>
          <w:color w:val="auto"/>
          <w:sz w:val="31"/>
          <w:szCs w:val="31"/>
          <w:highlight w:val="none"/>
        </w:rPr>
      </w:pPr>
      <w:bookmarkStart w:id="230" w:name="_Toc20018"/>
      <w:bookmarkStart w:id="231" w:name="_Toc2653"/>
      <w:r>
        <w:rPr>
          <w:rFonts w:ascii="宋体" w:hAnsi="宋体" w:eastAsia="宋体" w:cs="宋体"/>
          <w:b/>
          <w:bCs/>
          <w:color w:val="auto"/>
          <w:spacing w:val="1"/>
          <w:sz w:val="31"/>
          <w:szCs w:val="31"/>
          <w:highlight w:val="none"/>
        </w:rPr>
        <w:t>2.</w:t>
      </w:r>
      <w:r>
        <w:rPr>
          <w:rFonts w:ascii="宋体" w:hAnsi="宋体" w:eastAsia="宋体" w:cs="宋体"/>
          <w:color w:val="auto"/>
          <w:spacing w:val="28"/>
          <w:sz w:val="31"/>
          <w:szCs w:val="31"/>
          <w:highlight w:val="none"/>
        </w:rPr>
        <w:t xml:space="preserve"> </w:t>
      </w:r>
      <w:r>
        <w:rPr>
          <w:rFonts w:ascii="宋体" w:hAnsi="宋体" w:eastAsia="宋体" w:cs="宋体"/>
          <w:b/>
          <w:bCs/>
          <w:color w:val="auto"/>
          <w:spacing w:val="1"/>
          <w:sz w:val="31"/>
          <w:szCs w:val="31"/>
          <w:highlight w:val="none"/>
        </w:rPr>
        <w:t>发包人义务</w:t>
      </w:r>
      <w:bookmarkEnd w:id="230"/>
      <w:bookmarkEnd w:id="231"/>
    </w:p>
    <w:p w14:paraId="37697D31">
      <w:pPr>
        <w:spacing w:before="274"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遵守法律</w:t>
      </w:r>
    </w:p>
    <w:p w14:paraId="29A96595">
      <w:pPr>
        <w:spacing w:before="281" w:line="345" w:lineRule="auto"/>
        <w:ind w:left="7" w:right="2" w:firstLine="4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发包人在履行合同过程中应遵守法律，并保证承包人免于承担因发包</w:t>
      </w:r>
      <w:r>
        <w:rPr>
          <w:rFonts w:ascii="宋体" w:hAnsi="宋体" w:eastAsia="宋体" w:cs="宋体"/>
          <w:color w:val="auto"/>
          <w:sz w:val="21"/>
          <w:szCs w:val="21"/>
          <w:highlight w:val="none"/>
        </w:rPr>
        <w:t xml:space="preserve">人违反法律而引起的任何 </w:t>
      </w:r>
      <w:r>
        <w:rPr>
          <w:rFonts w:ascii="宋体" w:hAnsi="宋体" w:eastAsia="宋体" w:cs="宋体"/>
          <w:color w:val="auto"/>
          <w:spacing w:val="-10"/>
          <w:sz w:val="21"/>
          <w:szCs w:val="21"/>
          <w:highlight w:val="none"/>
        </w:rPr>
        <w:t>责任。</w:t>
      </w:r>
    </w:p>
    <w:p w14:paraId="13F8563E">
      <w:pPr>
        <w:spacing w:before="302"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发出开工通知</w:t>
      </w:r>
    </w:p>
    <w:p w14:paraId="1680DC51">
      <w:pPr>
        <w:spacing w:before="279" w:line="221" w:lineRule="auto"/>
        <w:ind w:left="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发包人应委托监理人按第</w:t>
      </w:r>
      <w:r>
        <w:rPr>
          <w:rFonts w:ascii="宋体" w:hAnsi="宋体" w:eastAsia="宋体" w:cs="宋体"/>
          <w:color w:val="auto"/>
          <w:spacing w:val="-31"/>
          <w:sz w:val="21"/>
          <w:szCs w:val="21"/>
          <w:highlight w:val="none"/>
        </w:rPr>
        <w:t xml:space="preserve"> </w:t>
      </w:r>
      <w:r>
        <w:rPr>
          <w:rFonts w:ascii="宋体" w:hAnsi="宋体" w:eastAsia="宋体" w:cs="宋体"/>
          <w:color w:val="auto"/>
          <w:spacing w:val="-1"/>
          <w:sz w:val="21"/>
          <w:szCs w:val="21"/>
          <w:highlight w:val="none"/>
        </w:rPr>
        <w:t>11.1</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款的约定向承</w:t>
      </w:r>
      <w:r>
        <w:rPr>
          <w:rFonts w:ascii="宋体" w:hAnsi="宋体" w:eastAsia="宋体" w:cs="宋体"/>
          <w:color w:val="auto"/>
          <w:spacing w:val="-2"/>
          <w:sz w:val="21"/>
          <w:szCs w:val="21"/>
          <w:highlight w:val="none"/>
        </w:rPr>
        <w:t>包人发出开工通知。</w:t>
      </w:r>
    </w:p>
    <w:p w14:paraId="319C76C0">
      <w:pPr>
        <w:spacing w:line="333" w:lineRule="auto"/>
        <w:rPr>
          <w:rFonts w:ascii="Arial"/>
          <w:color w:val="auto"/>
          <w:sz w:val="21"/>
          <w:highlight w:val="none"/>
        </w:rPr>
      </w:pPr>
    </w:p>
    <w:p w14:paraId="5A463C8A">
      <w:pPr>
        <w:spacing w:before="92" w:line="219"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提供施工场地</w:t>
      </w:r>
    </w:p>
    <w:p w14:paraId="5B1AA2D5">
      <w:pPr>
        <w:spacing w:before="280" w:line="346" w:lineRule="auto"/>
        <w:ind w:right="3"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发包人应按专用合同条款约定向承包人提供施工场地，以及施工场</w:t>
      </w:r>
      <w:r>
        <w:rPr>
          <w:rFonts w:ascii="宋体" w:hAnsi="宋体" w:eastAsia="宋体" w:cs="宋体"/>
          <w:color w:val="auto"/>
          <w:sz w:val="21"/>
          <w:szCs w:val="21"/>
          <w:highlight w:val="none"/>
        </w:rPr>
        <w:t xml:space="preserve">地内地下管线和地下设施等 </w:t>
      </w:r>
      <w:r>
        <w:rPr>
          <w:rFonts w:ascii="宋体" w:hAnsi="宋体" w:eastAsia="宋体" w:cs="宋体"/>
          <w:color w:val="auto"/>
          <w:spacing w:val="-2"/>
          <w:sz w:val="21"/>
          <w:szCs w:val="21"/>
          <w:highlight w:val="none"/>
        </w:rPr>
        <w:t>有关资料，并保证资料的真实、准确、完整。</w:t>
      </w:r>
    </w:p>
    <w:p w14:paraId="44312673">
      <w:pPr>
        <w:spacing w:before="300"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协助承包人办理证件和批件</w:t>
      </w:r>
    </w:p>
    <w:p w14:paraId="13658586">
      <w:pPr>
        <w:spacing w:before="280" w:line="221" w:lineRule="auto"/>
        <w:ind w:left="423"/>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发包人应协助承包人办理法律规定的有关施工</w:t>
      </w:r>
      <w:r>
        <w:rPr>
          <w:rFonts w:ascii="宋体" w:hAnsi="宋体" w:eastAsia="宋体" w:cs="宋体"/>
          <w:color w:val="auto"/>
          <w:spacing w:val="-1"/>
          <w:sz w:val="21"/>
          <w:szCs w:val="21"/>
          <w:highlight w:val="none"/>
        </w:rPr>
        <w:t>证件和批件。</w:t>
      </w:r>
    </w:p>
    <w:p w14:paraId="341B6ECC">
      <w:pPr>
        <w:spacing w:before="56" w:line="221"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组织设计交底</w:t>
      </w:r>
    </w:p>
    <w:p w14:paraId="187BC2CF">
      <w:pPr>
        <w:spacing w:before="278" w:line="221" w:lineRule="auto"/>
        <w:ind w:left="424"/>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发包人应根据合同进度计划，组织设计单位向承包人进</w:t>
      </w:r>
      <w:r>
        <w:rPr>
          <w:rFonts w:ascii="宋体" w:hAnsi="宋体" w:eastAsia="宋体" w:cs="宋体"/>
          <w:color w:val="auto"/>
          <w:spacing w:val="-1"/>
          <w:sz w:val="21"/>
          <w:szCs w:val="21"/>
          <w:highlight w:val="none"/>
        </w:rPr>
        <w:t>行设计交底。</w:t>
      </w:r>
    </w:p>
    <w:p w14:paraId="3AC6061A">
      <w:pPr>
        <w:spacing w:line="334" w:lineRule="auto"/>
        <w:rPr>
          <w:rFonts w:ascii="Arial"/>
          <w:color w:val="auto"/>
          <w:sz w:val="21"/>
          <w:highlight w:val="none"/>
        </w:rPr>
      </w:pPr>
    </w:p>
    <w:p w14:paraId="0C27FE0D">
      <w:pPr>
        <w:spacing w:before="91" w:line="219"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2.6</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支付合同价款</w:t>
      </w:r>
    </w:p>
    <w:p w14:paraId="6D5FD959">
      <w:pPr>
        <w:spacing w:before="282" w:line="219" w:lineRule="auto"/>
        <w:ind w:left="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发包人应按合同约定向承包人及时支付合同价款。</w:t>
      </w:r>
    </w:p>
    <w:p w14:paraId="4E90A88D">
      <w:pPr>
        <w:spacing w:line="334" w:lineRule="auto"/>
        <w:rPr>
          <w:rFonts w:ascii="Arial"/>
          <w:color w:val="auto"/>
          <w:sz w:val="21"/>
          <w:highlight w:val="none"/>
        </w:rPr>
      </w:pPr>
    </w:p>
    <w:p w14:paraId="6A8534CE">
      <w:pPr>
        <w:spacing w:before="92"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2.7</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组织竣工验收</w:t>
      </w:r>
    </w:p>
    <w:p w14:paraId="3029C784">
      <w:pPr>
        <w:spacing w:before="280" w:line="221" w:lineRule="auto"/>
        <w:ind w:left="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发包人应按合同约定及时组织竣工验收。</w:t>
      </w:r>
    </w:p>
    <w:p w14:paraId="44F60EBF">
      <w:pPr>
        <w:spacing w:line="333" w:lineRule="auto"/>
        <w:rPr>
          <w:rFonts w:ascii="Arial"/>
          <w:color w:val="auto"/>
          <w:sz w:val="21"/>
          <w:highlight w:val="none"/>
        </w:rPr>
      </w:pPr>
    </w:p>
    <w:p w14:paraId="2EABEDDA">
      <w:pPr>
        <w:spacing w:before="92" w:line="220" w:lineRule="auto"/>
        <w:ind w:left="143"/>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2.8</w:t>
      </w:r>
      <w:r>
        <w:rPr>
          <w:rFonts w:ascii="宋体" w:hAnsi="宋体" w:eastAsia="宋体" w:cs="宋体"/>
          <w:color w:val="auto"/>
          <w:spacing w:val="17"/>
          <w:sz w:val="28"/>
          <w:szCs w:val="28"/>
          <w:highlight w:val="none"/>
        </w:rPr>
        <w:t xml:space="preserve"> </w:t>
      </w:r>
      <w:r>
        <w:rPr>
          <w:rFonts w:ascii="宋体" w:hAnsi="宋体" w:eastAsia="宋体" w:cs="宋体"/>
          <w:b/>
          <w:bCs/>
          <w:color w:val="auto"/>
          <w:spacing w:val="-6"/>
          <w:sz w:val="28"/>
          <w:szCs w:val="28"/>
          <w:highlight w:val="none"/>
        </w:rPr>
        <w:t>其他义务</w:t>
      </w:r>
    </w:p>
    <w:p w14:paraId="5C7E0375">
      <w:pPr>
        <w:spacing w:before="280" w:line="221" w:lineRule="auto"/>
        <w:ind w:left="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发包人应履行合同约定的其他义务。</w:t>
      </w:r>
    </w:p>
    <w:p w14:paraId="459CEF27">
      <w:pPr>
        <w:spacing w:before="172" w:line="228" w:lineRule="auto"/>
        <w:ind w:left="11"/>
        <w:outlineLvl w:val="2"/>
        <w:rPr>
          <w:rFonts w:ascii="宋体" w:hAnsi="宋体" w:eastAsia="宋体" w:cs="宋体"/>
          <w:color w:val="auto"/>
          <w:sz w:val="31"/>
          <w:szCs w:val="31"/>
          <w:highlight w:val="none"/>
        </w:rPr>
      </w:pPr>
      <w:bookmarkStart w:id="232" w:name="_Toc978"/>
      <w:bookmarkStart w:id="233" w:name="_Toc8586"/>
      <w:r>
        <w:rPr>
          <w:rFonts w:ascii="宋体" w:hAnsi="宋体" w:eastAsia="宋体" w:cs="宋体"/>
          <w:b/>
          <w:bCs/>
          <w:color w:val="auto"/>
          <w:spacing w:val="-2"/>
          <w:sz w:val="31"/>
          <w:szCs w:val="31"/>
          <w:highlight w:val="none"/>
        </w:rPr>
        <w:t>3.</w:t>
      </w:r>
      <w:r>
        <w:rPr>
          <w:rFonts w:ascii="宋体" w:hAnsi="宋体" w:eastAsia="宋体" w:cs="宋体"/>
          <w:color w:val="auto"/>
          <w:spacing w:val="26"/>
          <w:sz w:val="31"/>
          <w:szCs w:val="31"/>
          <w:highlight w:val="none"/>
        </w:rPr>
        <w:t xml:space="preserve"> </w:t>
      </w:r>
      <w:r>
        <w:rPr>
          <w:rFonts w:ascii="宋体" w:hAnsi="宋体" w:eastAsia="宋体" w:cs="宋体"/>
          <w:b/>
          <w:bCs/>
          <w:color w:val="auto"/>
          <w:spacing w:val="-2"/>
          <w:sz w:val="31"/>
          <w:szCs w:val="31"/>
          <w:highlight w:val="none"/>
        </w:rPr>
        <w:t>监理人</w:t>
      </w:r>
      <w:bookmarkEnd w:id="232"/>
      <w:bookmarkEnd w:id="233"/>
    </w:p>
    <w:p w14:paraId="64C4ADA6">
      <w:pPr>
        <w:spacing w:before="272" w:line="220" w:lineRule="auto"/>
        <w:ind w:left="14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3.1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监理人的职责和权力</w:t>
      </w:r>
    </w:p>
    <w:p w14:paraId="2E85E865">
      <w:pPr>
        <w:spacing w:before="279" w:line="290" w:lineRule="auto"/>
        <w:ind w:left="5"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3.1.1 监理人受发包人委托，享有合同约定的权力。监理</w:t>
      </w:r>
      <w:r>
        <w:rPr>
          <w:rFonts w:ascii="宋体" w:hAnsi="宋体" w:eastAsia="宋体" w:cs="宋体"/>
          <w:color w:val="auto"/>
          <w:sz w:val="21"/>
          <w:szCs w:val="21"/>
          <w:highlight w:val="none"/>
        </w:rPr>
        <w:t>人在行使某项权力前需要经发包人事 先批准而通用合同条款没有指明的，应在专用合</w:t>
      </w:r>
      <w:r>
        <w:rPr>
          <w:rFonts w:ascii="宋体" w:hAnsi="宋体" w:eastAsia="宋体" w:cs="宋体"/>
          <w:color w:val="auto"/>
          <w:spacing w:val="-1"/>
          <w:sz w:val="21"/>
          <w:szCs w:val="21"/>
          <w:highlight w:val="none"/>
        </w:rPr>
        <w:t>同条款中指明。</w:t>
      </w:r>
    </w:p>
    <w:p w14:paraId="2C7F3A7E">
      <w:pPr>
        <w:spacing w:before="157" w:line="291" w:lineRule="auto"/>
        <w:ind w:left="18" w:right="2" w:firstLine="40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3.1.2 监理人发出的任何指示应视为已得到发包人的批准</w:t>
      </w:r>
      <w:r>
        <w:rPr>
          <w:rFonts w:ascii="宋体" w:hAnsi="宋体" w:eastAsia="宋体" w:cs="宋体"/>
          <w:color w:val="auto"/>
          <w:sz w:val="21"/>
          <w:szCs w:val="21"/>
          <w:highlight w:val="none"/>
        </w:rPr>
        <w:t xml:space="preserve">，但监理人无权免除或变更合同约定 </w:t>
      </w:r>
      <w:r>
        <w:rPr>
          <w:rFonts w:ascii="宋体" w:hAnsi="宋体" w:eastAsia="宋体" w:cs="宋体"/>
          <w:color w:val="auto"/>
          <w:spacing w:val="-2"/>
          <w:sz w:val="21"/>
          <w:szCs w:val="21"/>
          <w:highlight w:val="none"/>
        </w:rPr>
        <w:t>的发包人和承包人的权利、义务和责任。</w:t>
      </w:r>
    </w:p>
    <w:p w14:paraId="30525C0B">
      <w:pPr>
        <w:spacing w:before="158" w:line="289" w:lineRule="auto"/>
        <w:ind w:right="47" w:firstLine="425"/>
        <w:rPr>
          <w:rFonts w:ascii="宋体" w:hAnsi="宋体" w:eastAsia="宋体" w:cs="宋体"/>
          <w:color w:val="auto"/>
          <w:sz w:val="21"/>
          <w:szCs w:val="21"/>
          <w:highlight w:val="none"/>
        </w:rPr>
      </w:pPr>
      <w:r>
        <w:rPr>
          <w:rFonts w:ascii="宋体" w:hAnsi="宋体" w:eastAsia="宋体" w:cs="宋体"/>
          <w:color w:val="auto"/>
          <w:sz w:val="21"/>
          <w:szCs w:val="21"/>
          <w:highlight w:val="none"/>
        </w:rPr>
        <w:t>3.1.3 合同约定应由承包人承担的义务和责任，不因监理</w:t>
      </w:r>
      <w:r>
        <w:rPr>
          <w:rFonts w:ascii="宋体" w:hAnsi="宋体" w:eastAsia="宋体" w:cs="宋体"/>
          <w:color w:val="auto"/>
          <w:spacing w:val="-1"/>
          <w:sz w:val="21"/>
          <w:szCs w:val="21"/>
          <w:highlight w:val="none"/>
        </w:rPr>
        <w:t>人对承包人提交文件的审查或批准，</w:t>
      </w:r>
      <w:r>
        <w:rPr>
          <w:rFonts w:ascii="宋体" w:hAnsi="宋体" w:eastAsia="宋体" w:cs="宋体"/>
          <w:color w:val="auto"/>
          <w:sz w:val="21"/>
          <w:szCs w:val="21"/>
          <w:highlight w:val="none"/>
        </w:rPr>
        <w:t xml:space="preserve"> 对工程、材料和设备的检查和检验，以及为实施监理作</w:t>
      </w:r>
      <w:r>
        <w:rPr>
          <w:rFonts w:ascii="宋体" w:hAnsi="宋体" w:eastAsia="宋体" w:cs="宋体"/>
          <w:color w:val="auto"/>
          <w:spacing w:val="-1"/>
          <w:sz w:val="21"/>
          <w:szCs w:val="21"/>
          <w:highlight w:val="none"/>
        </w:rPr>
        <w:t>出的指示等职务行为而减轻或解除。</w:t>
      </w:r>
    </w:p>
    <w:p w14:paraId="3FE15453">
      <w:pPr>
        <w:spacing w:line="333" w:lineRule="auto"/>
        <w:rPr>
          <w:rFonts w:ascii="Arial"/>
          <w:color w:val="auto"/>
          <w:sz w:val="21"/>
          <w:highlight w:val="none"/>
        </w:rPr>
      </w:pPr>
    </w:p>
    <w:p w14:paraId="2D04EE96">
      <w:pPr>
        <w:spacing w:before="92" w:line="220" w:lineRule="auto"/>
        <w:ind w:left="145"/>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3.2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总监理工程师</w:t>
      </w:r>
    </w:p>
    <w:p w14:paraId="7F84972A">
      <w:pPr>
        <w:spacing w:before="281" w:line="345" w:lineRule="auto"/>
        <w:ind w:left="4"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发包人应在发出开工通知前将总监理工程师的任命通知承包人。总</w:t>
      </w:r>
      <w:r>
        <w:rPr>
          <w:rFonts w:ascii="宋体" w:hAnsi="宋体" w:eastAsia="宋体" w:cs="宋体"/>
          <w:color w:val="auto"/>
          <w:sz w:val="21"/>
          <w:szCs w:val="21"/>
          <w:highlight w:val="none"/>
        </w:rPr>
        <w:t xml:space="preserve">监理工程师更换时，应在调 </w:t>
      </w:r>
      <w:r>
        <w:rPr>
          <w:rFonts w:ascii="宋体" w:hAnsi="宋体" w:eastAsia="宋体" w:cs="宋体"/>
          <w:color w:val="auto"/>
          <w:spacing w:val="-8"/>
          <w:sz w:val="21"/>
          <w:szCs w:val="21"/>
          <w:highlight w:val="none"/>
        </w:rPr>
        <w:t>离</w:t>
      </w:r>
      <w:r>
        <w:rPr>
          <w:rFonts w:ascii="宋体" w:hAnsi="宋体" w:eastAsia="宋体" w:cs="宋体"/>
          <w:color w:val="auto"/>
          <w:spacing w:val="-18"/>
          <w:sz w:val="21"/>
          <w:szCs w:val="21"/>
          <w:highlight w:val="none"/>
        </w:rPr>
        <w:t xml:space="preserve"> </w:t>
      </w:r>
      <w:r>
        <w:rPr>
          <w:rFonts w:ascii="宋体" w:hAnsi="宋体" w:eastAsia="宋体" w:cs="宋体"/>
          <w:color w:val="auto"/>
          <w:spacing w:val="-8"/>
          <w:sz w:val="21"/>
          <w:szCs w:val="21"/>
          <w:highlight w:val="none"/>
        </w:rPr>
        <w:t>14</w:t>
      </w:r>
      <w:r>
        <w:rPr>
          <w:rFonts w:ascii="宋体" w:hAnsi="宋体" w:eastAsia="宋体" w:cs="宋体"/>
          <w:color w:val="auto"/>
          <w:spacing w:val="-42"/>
          <w:sz w:val="21"/>
          <w:szCs w:val="21"/>
          <w:highlight w:val="none"/>
        </w:rPr>
        <w:t xml:space="preserve"> </w:t>
      </w:r>
      <w:r>
        <w:rPr>
          <w:rFonts w:ascii="宋体" w:hAnsi="宋体" w:eastAsia="宋体" w:cs="宋体"/>
          <w:color w:val="auto"/>
          <w:spacing w:val="-8"/>
          <w:sz w:val="21"/>
          <w:szCs w:val="21"/>
          <w:highlight w:val="none"/>
        </w:rPr>
        <w:t>天前通知承包人。总监理工程师短期离开施工场地的，应委派代表代行其职责，并通知承包人。</w:t>
      </w:r>
    </w:p>
    <w:p w14:paraId="0AEC376C">
      <w:pPr>
        <w:spacing w:before="303" w:line="221" w:lineRule="auto"/>
        <w:ind w:left="145"/>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3.3</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6"/>
          <w:sz w:val="28"/>
          <w:szCs w:val="28"/>
          <w:highlight w:val="none"/>
        </w:rPr>
        <w:t>监理人员</w:t>
      </w:r>
    </w:p>
    <w:p w14:paraId="221D5F1B">
      <w:pPr>
        <w:spacing w:before="278" w:line="352" w:lineRule="auto"/>
        <w:ind w:firstLine="425"/>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3.3.1 总监理工程师可以授权其他监理人员负责执行其指</w:t>
      </w:r>
      <w:r>
        <w:rPr>
          <w:rFonts w:ascii="宋体" w:hAnsi="宋体" w:eastAsia="宋体" w:cs="宋体"/>
          <w:color w:val="auto"/>
          <w:sz w:val="21"/>
          <w:szCs w:val="21"/>
          <w:highlight w:val="none"/>
        </w:rPr>
        <w:t xml:space="preserve">派的一项或多项监理工作。总监理工 </w:t>
      </w:r>
      <w:r>
        <w:rPr>
          <w:rFonts w:ascii="宋体" w:hAnsi="宋体" w:eastAsia="宋体" w:cs="宋体"/>
          <w:color w:val="auto"/>
          <w:spacing w:val="1"/>
          <w:sz w:val="21"/>
          <w:szCs w:val="21"/>
          <w:highlight w:val="none"/>
        </w:rPr>
        <w:t>程师应将被授权监理人员的姓名及其授权范围通知承包人。被授权的监理人员在授</w:t>
      </w:r>
      <w:r>
        <w:rPr>
          <w:rFonts w:ascii="宋体" w:hAnsi="宋体" w:eastAsia="宋体" w:cs="宋体"/>
          <w:color w:val="auto"/>
          <w:sz w:val="21"/>
          <w:szCs w:val="21"/>
          <w:highlight w:val="none"/>
        </w:rPr>
        <w:t xml:space="preserve">权范围内发出的 </w:t>
      </w:r>
      <w:r>
        <w:rPr>
          <w:rFonts w:ascii="宋体" w:hAnsi="宋体" w:eastAsia="宋体" w:cs="宋体"/>
          <w:color w:val="auto"/>
          <w:spacing w:val="1"/>
          <w:sz w:val="21"/>
          <w:szCs w:val="21"/>
          <w:highlight w:val="none"/>
        </w:rPr>
        <w:t>指示视为已得到总监理工程师的同意，与总监理工程师发出的指示具有同等效力。</w:t>
      </w:r>
      <w:r>
        <w:rPr>
          <w:rFonts w:ascii="宋体" w:hAnsi="宋体" w:eastAsia="宋体" w:cs="宋体"/>
          <w:color w:val="auto"/>
          <w:sz w:val="21"/>
          <w:szCs w:val="21"/>
          <w:highlight w:val="none"/>
        </w:rPr>
        <w:t xml:space="preserve">总监理工程师撤 </w:t>
      </w:r>
      <w:r>
        <w:rPr>
          <w:rFonts w:ascii="宋体" w:hAnsi="宋体" w:eastAsia="宋体" w:cs="宋体"/>
          <w:color w:val="auto"/>
          <w:spacing w:val="-1"/>
          <w:sz w:val="21"/>
          <w:szCs w:val="21"/>
          <w:highlight w:val="none"/>
        </w:rPr>
        <w:t>销某项授权时，应将撤销授权的决定及时通知承包人。</w:t>
      </w:r>
    </w:p>
    <w:p w14:paraId="49196F76">
      <w:pPr>
        <w:spacing w:before="32" w:line="339" w:lineRule="auto"/>
        <w:ind w:left="3" w:right="2" w:firstLine="421"/>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3.3.2 监理人员对承包人的任何工作、工程或其采用的材</w:t>
      </w:r>
      <w:r>
        <w:rPr>
          <w:rFonts w:ascii="宋体" w:hAnsi="宋体" w:eastAsia="宋体" w:cs="宋体"/>
          <w:color w:val="auto"/>
          <w:sz w:val="21"/>
          <w:szCs w:val="21"/>
          <w:highlight w:val="none"/>
        </w:rPr>
        <w:t xml:space="preserve">料和工程设备未在约定的或合理的期 </w:t>
      </w:r>
      <w:r>
        <w:rPr>
          <w:rFonts w:ascii="宋体" w:hAnsi="宋体" w:eastAsia="宋体" w:cs="宋体"/>
          <w:color w:val="auto"/>
          <w:spacing w:val="1"/>
          <w:sz w:val="21"/>
          <w:szCs w:val="21"/>
          <w:highlight w:val="none"/>
        </w:rPr>
        <w:t>限内提出否定意见的，视为已获批准，但不影响监</w:t>
      </w:r>
      <w:r>
        <w:rPr>
          <w:rFonts w:ascii="宋体" w:hAnsi="宋体" w:eastAsia="宋体" w:cs="宋体"/>
          <w:color w:val="auto"/>
          <w:sz w:val="21"/>
          <w:szCs w:val="21"/>
          <w:highlight w:val="none"/>
        </w:rPr>
        <w:t xml:space="preserve">理人在以后拒绝该项工作、工程、材料或工程设 </w:t>
      </w:r>
      <w:r>
        <w:rPr>
          <w:rFonts w:ascii="宋体" w:hAnsi="宋体" w:eastAsia="宋体" w:cs="宋体"/>
          <w:color w:val="auto"/>
          <w:spacing w:val="-5"/>
          <w:sz w:val="21"/>
          <w:szCs w:val="21"/>
          <w:highlight w:val="none"/>
        </w:rPr>
        <w:t>备的权利。</w:t>
      </w:r>
    </w:p>
    <w:p w14:paraId="68630F74">
      <w:pPr>
        <w:spacing w:before="41" w:line="290" w:lineRule="auto"/>
        <w:ind w:left="1" w:right="197"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3.3.3 承包人对总监理工程师授权的监理人员发出的指示</w:t>
      </w:r>
      <w:r>
        <w:rPr>
          <w:rFonts w:ascii="宋体" w:hAnsi="宋体" w:eastAsia="宋体" w:cs="宋体"/>
          <w:color w:val="auto"/>
          <w:sz w:val="21"/>
          <w:szCs w:val="21"/>
          <w:highlight w:val="none"/>
        </w:rPr>
        <w:t xml:space="preserve">有疑问的，可向总监理工程师提出书 </w:t>
      </w:r>
      <w:r>
        <w:rPr>
          <w:rFonts w:ascii="宋体" w:hAnsi="宋体" w:eastAsia="宋体" w:cs="宋体"/>
          <w:color w:val="auto"/>
          <w:spacing w:val="-1"/>
          <w:sz w:val="21"/>
          <w:szCs w:val="21"/>
          <w:highlight w:val="none"/>
        </w:rPr>
        <w:t>面异议，总监理工程师应在</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48</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小时内对该指示予以确</w:t>
      </w:r>
      <w:r>
        <w:rPr>
          <w:rFonts w:ascii="宋体" w:hAnsi="宋体" w:eastAsia="宋体" w:cs="宋体"/>
          <w:color w:val="auto"/>
          <w:spacing w:val="-2"/>
          <w:sz w:val="21"/>
          <w:szCs w:val="21"/>
          <w:highlight w:val="none"/>
        </w:rPr>
        <w:t>认、更改或撤销。</w:t>
      </w:r>
    </w:p>
    <w:p w14:paraId="003A2F3C">
      <w:pPr>
        <w:spacing w:before="156" w:line="290" w:lineRule="auto"/>
        <w:ind w:right="194"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3.3.4 除专用合同条款另有约定外，总监理工程师不应将第</w:t>
      </w:r>
      <w:r>
        <w:rPr>
          <w:rFonts w:ascii="宋体" w:hAnsi="宋体" w:eastAsia="宋体" w:cs="宋体"/>
          <w:color w:val="auto"/>
          <w:spacing w:val="-2"/>
          <w:sz w:val="21"/>
          <w:szCs w:val="21"/>
          <w:highlight w:val="none"/>
        </w:rPr>
        <w:t xml:space="preserve"> </w:t>
      </w:r>
      <w:r>
        <w:rPr>
          <w:rFonts w:ascii="宋体" w:hAnsi="宋体" w:eastAsia="宋体" w:cs="宋体"/>
          <w:color w:val="auto"/>
          <w:spacing w:val="-1"/>
          <w:sz w:val="21"/>
          <w:szCs w:val="21"/>
          <w:highlight w:val="none"/>
        </w:rPr>
        <w:t>3.5</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款约定应由总监理工程师作出</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确定的权力授权或委托给其他监理人员。</w:t>
      </w:r>
    </w:p>
    <w:p w14:paraId="1F3FBAAD">
      <w:pPr>
        <w:spacing w:line="336" w:lineRule="auto"/>
        <w:rPr>
          <w:rFonts w:ascii="Arial"/>
          <w:color w:val="auto"/>
          <w:sz w:val="21"/>
          <w:highlight w:val="none"/>
        </w:rPr>
      </w:pPr>
    </w:p>
    <w:p w14:paraId="47A7DF9D">
      <w:pPr>
        <w:spacing w:before="91" w:line="221" w:lineRule="auto"/>
        <w:ind w:left="145"/>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3.4</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监理人的指示</w:t>
      </w:r>
    </w:p>
    <w:p w14:paraId="54AFF71D">
      <w:pPr>
        <w:spacing w:before="278" w:line="289" w:lineRule="auto"/>
        <w:ind w:right="194"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3.4.1 监理人应按第</w:t>
      </w:r>
      <w:r>
        <w:rPr>
          <w:rFonts w:ascii="宋体" w:hAnsi="宋体" w:eastAsia="宋体" w:cs="宋体"/>
          <w:color w:val="auto"/>
          <w:spacing w:val="-2"/>
          <w:sz w:val="21"/>
          <w:szCs w:val="21"/>
          <w:highlight w:val="none"/>
        </w:rPr>
        <w:t xml:space="preserve"> </w:t>
      </w:r>
      <w:r>
        <w:rPr>
          <w:rFonts w:ascii="宋体" w:hAnsi="宋体" w:eastAsia="宋体" w:cs="宋体"/>
          <w:color w:val="auto"/>
          <w:spacing w:val="-1"/>
          <w:sz w:val="21"/>
          <w:szCs w:val="21"/>
          <w:highlight w:val="none"/>
        </w:rPr>
        <w:t>3.1</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款的约定向承包人发出指示，监理人的指示应盖有监理人授权的施工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场地机构章，并由总监理工程师或总监理工程师按第</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3.3.1</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项约定授权的监理人员签字。</w:t>
      </w:r>
    </w:p>
    <w:p w14:paraId="2A0B7BFB">
      <w:pPr>
        <w:spacing w:before="157" w:line="290" w:lineRule="auto"/>
        <w:ind w:left="2" w:right="194"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3.4.2 承包人收到监理人按第</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3.4.1</w:t>
      </w:r>
      <w:r>
        <w:rPr>
          <w:rFonts w:ascii="宋体" w:hAnsi="宋体" w:eastAsia="宋体" w:cs="宋体"/>
          <w:color w:val="auto"/>
          <w:spacing w:val="-43"/>
          <w:sz w:val="21"/>
          <w:szCs w:val="21"/>
          <w:highlight w:val="none"/>
        </w:rPr>
        <w:t xml:space="preserve"> </w:t>
      </w:r>
      <w:r>
        <w:rPr>
          <w:rFonts w:ascii="宋体" w:hAnsi="宋体" w:eastAsia="宋体" w:cs="宋体"/>
          <w:color w:val="auto"/>
          <w:spacing w:val="-1"/>
          <w:sz w:val="21"/>
          <w:szCs w:val="21"/>
          <w:highlight w:val="none"/>
        </w:rPr>
        <w:t>项作出的指示</w:t>
      </w:r>
      <w:r>
        <w:rPr>
          <w:rFonts w:ascii="宋体" w:hAnsi="宋体" w:eastAsia="宋体" w:cs="宋体"/>
          <w:color w:val="auto"/>
          <w:spacing w:val="-2"/>
          <w:sz w:val="21"/>
          <w:szCs w:val="21"/>
          <w:highlight w:val="none"/>
        </w:rPr>
        <w:t>后应遵照执行。指示构成变更的，应按第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15</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条处理。</w:t>
      </w:r>
    </w:p>
    <w:p w14:paraId="39EAB182">
      <w:pPr>
        <w:spacing w:before="161" w:line="312" w:lineRule="auto"/>
        <w:ind w:right="196"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3.4.3 在紧急情况下，总监理工程师或被授权的监理人员</w:t>
      </w:r>
      <w:r>
        <w:rPr>
          <w:rFonts w:ascii="宋体" w:hAnsi="宋体" w:eastAsia="宋体" w:cs="宋体"/>
          <w:color w:val="auto"/>
          <w:sz w:val="21"/>
          <w:szCs w:val="21"/>
          <w:highlight w:val="none"/>
        </w:rPr>
        <w:t xml:space="preserve">可以当场签发临时书面指示，承包人 </w:t>
      </w:r>
      <w:r>
        <w:rPr>
          <w:rFonts w:ascii="宋体" w:hAnsi="宋体" w:eastAsia="宋体" w:cs="宋体"/>
          <w:color w:val="auto"/>
          <w:spacing w:val="-1"/>
          <w:sz w:val="21"/>
          <w:szCs w:val="21"/>
          <w:highlight w:val="none"/>
        </w:rPr>
        <w:t>应遵照执行。承包人应在收到上述临时书面指示后24</w:t>
      </w:r>
      <w:r>
        <w:rPr>
          <w:rFonts w:ascii="宋体" w:hAnsi="宋体" w:eastAsia="宋体" w:cs="宋体"/>
          <w:color w:val="auto"/>
          <w:spacing w:val="-27"/>
          <w:sz w:val="21"/>
          <w:szCs w:val="21"/>
          <w:highlight w:val="none"/>
        </w:rPr>
        <w:t xml:space="preserve"> </w:t>
      </w:r>
      <w:r>
        <w:rPr>
          <w:rFonts w:ascii="宋体" w:hAnsi="宋体" w:eastAsia="宋体" w:cs="宋体"/>
          <w:color w:val="auto"/>
          <w:spacing w:val="-1"/>
          <w:sz w:val="21"/>
          <w:szCs w:val="21"/>
          <w:highlight w:val="none"/>
        </w:rPr>
        <w:t>小时内，向监理人发出书面确认函。监理人在</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收到书面确认函后</w:t>
      </w:r>
      <w:r>
        <w:rPr>
          <w:rFonts w:ascii="宋体" w:hAnsi="宋体" w:eastAsia="宋体" w:cs="宋体"/>
          <w:color w:val="auto"/>
          <w:spacing w:val="-32"/>
          <w:sz w:val="21"/>
          <w:szCs w:val="21"/>
          <w:highlight w:val="none"/>
        </w:rPr>
        <w:t xml:space="preserve"> </w:t>
      </w:r>
      <w:r>
        <w:rPr>
          <w:rFonts w:ascii="宋体" w:hAnsi="宋体" w:eastAsia="宋体" w:cs="宋体"/>
          <w:color w:val="auto"/>
          <w:spacing w:val="-1"/>
          <w:sz w:val="21"/>
          <w:szCs w:val="21"/>
          <w:highlight w:val="none"/>
        </w:rPr>
        <w:t>24</w:t>
      </w:r>
      <w:r>
        <w:rPr>
          <w:rFonts w:ascii="宋体" w:hAnsi="宋体" w:eastAsia="宋体" w:cs="宋体"/>
          <w:color w:val="auto"/>
          <w:spacing w:val="-38"/>
          <w:sz w:val="21"/>
          <w:szCs w:val="21"/>
          <w:highlight w:val="none"/>
        </w:rPr>
        <w:t xml:space="preserve"> </w:t>
      </w:r>
      <w:r>
        <w:rPr>
          <w:rFonts w:ascii="宋体" w:hAnsi="宋体" w:eastAsia="宋体" w:cs="宋体"/>
          <w:color w:val="auto"/>
          <w:spacing w:val="-1"/>
          <w:sz w:val="21"/>
          <w:szCs w:val="21"/>
          <w:highlight w:val="none"/>
        </w:rPr>
        <w:t>小时内未予答复的，该书面确认函应被视为监理人的正式指示。</w:t>
      </w:r>
    </w:p>
    <w:p w14:paraId="0C7ECBD2">
      <w:pPr>
        <w:spacing w:before="159" w:line="290" w:lineRule="auto"/>
        <w:ind w:left="3" w:right="194"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3.4.4 除合同另有约定外，承包人只从总监理工程师或按第</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3.3.1</w:t>
      </w:r>
      <w:r>
        <w:rPr>
          <w:rFonts w:ascii="宋体" w:hAnsi="宋体" w:eastAsia="宋体" w:cs="宋体"/>
          <w:color w:val="auto"/>
          <w:spacing w:val="-21"/>
          <w:sz w:val="21"/>
          <w:szCs w:val="21"/>
          <w:highlight w:val="none"/>
        </w:rPr>
        <w:t xml:space="preserve"> </w:t>
      </w:r>
      <w:r>
        <w:rPr>
          <w:rFonts w:ascii="宋体" w:hAnsi="宋体" w:eastAsia="宋体" w:cs="宋体"/>
          <w:color w:val="auto"/>
          <w:spacing w:val="-1"/>
          <w:sz w:val="21"/>
          <w:szCs w:val="21"/>
          <w:highlight w:val="none"/>
        </w:rPr>
        <w:t>项被授权的监理人员处取得</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指示。</w:t>
      </w:r>
    </w:p>
    <w:p w14:paraId="20D4E1D3">
      <w:pPr>
        <w:spacing w:before="157" w:line="290" w:lineRule="auto"/>
        <w:ind w:left="3" w:firstLine="42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3.4.5</w:t>
      </w:r>
      <w:r>
        <w:rPr>
          <w:rFonts w:ascii="宋体" w:hAnsi="宋体" w:eastAsia="宋体" w:cs="宋体"/>
          <w:color w:val="auto"/>
          <w:spacing w:val="31"/>
          <w:sz w:val="21"/>
          <w:szCs w:val="21"/>
          <w:highlight w:val="none"/>
        </w:rPr>
        <w:t xml:space="preserve"> </w:t>
      </w:r>
      <w:r>
        <w:rPr>
          <w:rFonts w:ascii="宋体" w:hAnsi="宋体" w:eastAsia="宋体" w:cs="宋体"/>
          <w:color w:val="auto"/>
          <w:spacing w:val="-5"/>
          <w:sz w:val="21"/>
          <w:szCs w:val="21"/>
          <w:highlight w:val="none"/>
        </w:rPr>
        <w:t>由于监理人未能按合同约定发出指示、指示延误或指示错误而导致承包人费用增加和（或）</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工期延误的，由发包人承担赔偿责任。</w:t>
      </w:r>
    </w:p>
    <w:p w14:paraId="657A98B0">
      <w:pPr>
        <w:spacing w:line="332" w:lineRule="auto"/>
        <w:rPr>
          <w:rFonts w:ascii="Arial"/>
          <w:color w:val="auto"/>
          <w:sz w:val="21"/>
          <w:highlight w:val="none"/>
        </w:rPr>
      </w:pPr>
    </w:p>
    <w:p w14:paraId="0D4CE881">
      <w:pPr>
        <w:spacing w:before="92" w:line="221" w:lineRule="auto"/>
        <w:ind w:left="145"/>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3.5</w:t>
      </w:r>
      <w:r>
        <w:rPr>
          <w:rFonts w:ascii="宋体" w:hAnsi="宋体" w:eastAsia="宋体" w:cs="宋体"/>
          <w:color w:val="auto"/>
          <w:spacing w:val="19"/>
          <w:sz w:val="28"/>
          <w:szCs w:val="28"/>
          <w:highlight w:val="none"/>
        </w:rPr>
        <w:t xml:space="preserve"> </w:t>
      </w:r>
      <w:r>
        <w:rPr>
          <w:rFonts w:ascii="宋体" w:hAnsi="宋体" w:eastAsia="宋体" w:cs="宋体"/>
          <w:b/>
          <w:bCs/>
          <w:color w:val="auto"/>
          <w:spacing w:val="-6"/>
          <w:sz w:val="28"/>
          <w:szCs w:val="28"/>
          <w:highlight w:val="none"/>
        </w:rPr>
        <w:t>商定或确定</w:t>
      </w:r>
    </w:p>
    <w:p w14:paraId="2B197D88">
      <w:pPr>
        <w:spacing w:before="280" w:line="289" w:lineRule="auto"/>
        <w:ind w:left="21" w:right="197" w:firstLine="40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3.5.1 合同约定总监理工程师应按照本款对任何事项进行</w:t>
      </w:r>
      <w:r>
        <w:rPr>
          <w:rFonts w:ascii="宋体" w:hAnsi="宋体" w:eastAsia="宋体" w:cs="宋体"/>
          <w:color w:val="auto"/>
          <w:sz w:val="21"/>
          <w:szCs w:val="21"/>
          <w:highlight w:val="none"/>
        </w:rPr>
        <w:t xml:space="preserve">商定或确定时，总监理工程师应与合 </w:t>
      </w:r>
      <w:r>
        <w:rPr>
          <w:rFonts w:ascii="宋体" w:hAnsi="宋体" w:eastAsia="宋体" w:cs="宋体"/>
          <w:color w:val="auto"/>
          <w:spacing w:val="-1"/>
          <w:sz w:val="21"/>
          <w:szCs w:val="21"/>
          <w:highlight w:val="none"/>
        </w:rPr>
        <w:t>同当事人协商，尽量达成一致。不能达成一致的，总监理工程师应认真研究后审慎确定。</w:t>
      </w:r>
    </w:p>
    <w:p w14:paraId="04C7831D">
      <w:pPr>
        <w:spacing w:before="159" w:line="313" w:lineRule="auto"/>
        <w:ind w:right="194" w:firstLine="424"/>
        <w:rPr>
          <w:rFonts w:ascii="宋体" w:hAnsi="宋体" w:eastAsia="宋体" w:cs="宋体"/>
          <w:color w:val="auto"/>
          <w:sz w:val="21"/>
          <w:szCs w:val="21"/>
          <w:highlight w:val="none"/>
        </w:rPr>
      </w:pPr>
      <w:r>
        <w:rPr>
          <w:rFonts w:ascii="宋体" w:hAnsi="宋体" w:eastAsia="宋体" w:cs="宋体"/>
          <w:color w:val="auto"/>
          <w:sz w:val="21"/>
          <w:szCs w:val="21"/>
          <w:highlight w:val="none"/>
        </w:rPr>
        <w:t>3.5.2 总监理工程师应将商定或确定的事项通知合同当事人，并附详细依据。对总监理工程师</w:t>
      </w:r>
      <w:r>
        <w:rPr>
          <w:rFonts w:ascii="宋体" w:hAnsi="宋体" w:eastAsia="宋体" w:cs="宋体"/>
          <w:color w:val="auto"/>
          <w:spacing w:val="17"/>
          <w:sz w:val="21"/>
          <w:szCs w:val="21"/>
          <w:highlight w:val="none"/>
        </w:rPr>
        <w:t xml:space="preserve"> </w:t>
      </w:r>
      <w:r>
        <w:rPr>
          <w:rFonts w:ascii="宋体" w:hAnsi="宋体" w:eastAsia="宋体" w:cs="宋体"/>
          <w:color w:val="auto"/>
          <w:spacing w:val="-2"/>
          <w:sz w:val="21"/>
          <w:szCs w:val="21"/>
          <w:highlight w:val="none"/>
        </w:rPr>
        <w:t>的确定有异议的，构成争议，按照第</w:t>
      </w:r>
      <w:r>
        <w:rPr>
          <w:rFonts w:ascii="宋体" w:hAnsi="宋体" w:eastAsia="宋体" w:cs="宋体"/>
          <w:color w:val="auto"/>
          <w:spacing w:val="-44"/>
          <w:sz w:val="21"/>
          <w:szCs w:val="21"/>
          <w:highlight w:val="none"/>
        </w:rPr>
        <w:t xml:space="preserve"> </w:t>
      </w:r>
      <w:r>
        <w:rPr>
          <w:rFonts w:ascii="宋体" w:hAnsi="宋体" w:eastAsia="宋体" w:cs="宋体"/>
          <w:color w:val="auto"/>
          <w:spacing w:val="-2"/>
          <w:sz w:val="21"/>
          <w:szCs w:val="21"/>
          <w:highlight w:val="none"/>
        </w:rPr>
        <w:t>24</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条的约定处理。在争议解决前，双方应暂按总监理工程师的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确定执行，按照第</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24</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条的约定对总监理工程师的确定作出修改的，按修改后的结果执行。</w:t>
      </w:r>
    </w:p>
    <w:p w14:paraId="2712E06E">
      <w:pPr>
        <w:spacing w:before="172" w:line="225" w:lineRule="auto"/>
        <w:ind w:left="3"/>
        <w:outlineLvl w:val="2"/>
        <w:rPr>
          <w:rFonts w:ascii="宋体" w:hAnsi="宋体" w:eastAsia="宋体" w:cs="宋体"/>
          <w:color w:val="auto"/>
          <w:sz w:val="31"/>
          <w:szCs w:val="31"/>
          <w:highlight w:val="none"/>
        </w:rPr>
      </w:pPr>
      <w:bookmarkStart w:id="234" w:name="_Toc5008"/>
      <w:bookmarkStart w:id="235" w:name="_Toc4557"/>
      <w:r>
        <w:rPr>
          <w:rFonts w:ascii="宋体" w:hAnsi="宋体" w:eastAsia="宋体" w:cs="宋体"/>
          <w:b/>
          <w:bCs/>
          <w:color w:val="auto"/>
          <w:sz w:val="31"/>
          <w:szCs w:val="31"/>
          <w:highlight w:val="none"/>
        </w:rPr>
        <w:t>4.</w:t>
      </w:r>
      <w:r>
        <w:rPr>
          <w:rFonts w:ascii="宋体" w:hAnsi="宋体" w:eastAsia="宋体" w:cs="宋体"/>
          <w:color w:val="auto"/>
          <w:spacing w:val="23"/>
          <w:sz w:val="31"/>
          <w:szCs w:val="31"/>
          <w:highlight w:val="none"/>
        </w:rPr>
        <w:t xml:space="preserve"> </w:t>
      </w:r>
      <w:r>
        <w:rPr>
          <w:rFonts w:ascii="宋体" w:hAnsi="宋体" w:eastAsia="宋体" w:cs="宋体"/>
          <w:b/>
          <w:bCs/>
          <w:color w:val="auto"/>
          <w:sz w:val="31"/>
          <w:szCs w:val="31"/>
          <w:highlight w:val="none"/>
        </w:rPr>
        <w:t>承包人</w:t>
      </w:r>
      <w:bookmarkEnd w:id="234"/>
      <w:bookmarkEnd w:id="235"/>
    </w:p>
    <w:p w14:paraId="29D33423">
      <w:pPr>
        <w:spacing w:before="277" w:line="220" w:lineRule="auto"/>
        <w:ind w:left="139"/>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承包人的一般义务</w:t>
      </w:r>
    </w:p>
    <w:p w14:paraId="77D28FD3">
      <w:pPr>
        <w:spacing w:before="280"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遵守法律</w:t>
      </w:r>
    </w:p>
    <w:p w14:paraId="0AD160AC">
      <w:pPr>
        <w:spacing w:before="158" w:line="345" w:lineRule="auto"/>
        <w:ind w:left="8" w:right="197" w:firstLine="4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承包人在履行合同过程中应遵守法律，并保证发包人免于承担因承包人违反</w:t>
      </w:r>
      <w:r>
        <w:rPr>
          <w:rFonts w:ascii="宋体" w:hAnsi="宋体" w:eastAsia="宋体" w:cs="宋体"/>
          <w:color w:val="auto"/>
          <w:sz w:val="21"/>
          <w:szCs w:val="21"/>
          <w:highlight w:val="none"/>
        </w:rPr>
        <w:t xml:space="preserve">法律而引起的任何 </w:t>
      </w:r>
      <w:r>
        <w:rPr>
          <w:rFonts w:ascii="宋体" w:hAnsi="宋体" w:eastAsia="宋体" w:cs="宋体"/>
          <w:color w:val="auto"/>
          <w:spacing w:val="-10"/>
          <w:sz w:val="21"/>
          <w:szCs w:val="21"/>
          <w:highlight w:val="none"/>
        </w:rPr>
        <w:t>责任。</w:t>
      </w:r>
    </w:p>
    <w:p w14:paraId="6DFB74F8">
      <w:pPr>
        <w:spacing w:before="31" w:line="220"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依法纳税</w:t>
      </w:r>
    </w:p>
    <w:p w14:paraId="63519F34">
      <w:pPr>
        <w:spacing w:before="160" w:line="219"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承包人应按有关法律规定纳税，应缴纳的税金包括在合同价格内。</w:t>
      </w:r>
    </w:p>
    <w:p w14:paraId="75B103BB">
      <w:pPr>
        <w:spacing w:before="158"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4.1.3</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完成各项承包工作</w:t>
      </w:r>
    </w:p>
    <w:p w14:paraId="7C733D92">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承包人应按合同约定以及监理人根据第</w:t>
      </w:r>
      <w:r>
        <w:rPr>
          <w:rFonts w:ascii="宋体" w:hAnsi="宋体" w:eastAsia="宋体" w:cs="宋体"/>
          <w:color w:val="auto"/>
          <w:spacing w:val="-21"/>
          <w:sz w:val="21"/>
          <w:szCs w:val="21"/>
          <w:highlight w:val="none"/>
        </w:rPr>
        <w:t xml:space="preserve"> </w:t>
      </w:r>
      <w:r>
        <w:rPr>
          <w:rFonts w:ascii="宋体" w:hAnsi="宋体" w:eastAsia="宋体" w:cs="宋体"/>
          <w:color w:val="auto"/>
          <w:sz w:val="21"/>
          <w:szCs w:val="21"/>
          <w:highlight w:val="none"/>
        </w:rPr>
        <w:t>3.4</w:t>
      </w:r>
      <w:r>
        <w:rPr>
          <w:rFonts w:ascii="宋体" w:hAnsi="宋体" w:eastAsia="宋体" w:cs="宋体"/>
          <w:color w:val="auto"/>
          <w:spacing w:val="-26"/>
          <w:sz w:val="21"/>
          <w:szCs w:val="21"/>
          <w:highlight w:val="none"/>
        </w:rPr>
        <w:t xml:space="preserve"> </w:t>
      </w:r>
      <w:r>
        <w:rPr>
          <w:rFonts w:ascii="宋体" w:hAnsi="宋体" w:eastAsia="宋体" w:cs="宋体"/>
          <w:color w:val="auto"/>
          <w:sz w:val="21"/>
          <w:szCs w:val="21"/>
          <w:highlight w:val="none"/>
        </w:rPr>
        <w:t>款</w:t>
      </w:r>
      <w:r>
        <w:rPr>
          <w:rFonts w:ascii="宋体" w:hAnsi="宋体" w:eastAsia="宋体" w:cs="宋体"/>
          <w:color w:val="auto"/>
          <w:spacing w:val="-1"/>
          <w:sz w:val="21"/>
          <w:szCs w:val="21"/>
          <w:highlight w:val="none"/>
        </w:rPr>
        <w:t>作出的指示，实施、完成全部工程，并修补工程</w:t>
      </w:r>
    </w:p>
    <w:p w14:paraId="19FC1AEC">
      <w:pPr>
        <w:spacing w:before="41" w:line="350" w:lineRule="auto"/>
        <w:ind w:left="3" w:right="1" w:firstLine="17"/>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中的任何缺陷。除专用合同条款另有约定外，承包人应提供为完成合同工作所需的劳务、材料、施</w:t>
      </w:r>
      <w:r>
        <w:rPr>
          <w:rFonts w:ascii="宋体" w:hAnsi="宋体" w:eastAsia="宋体" w:cs="宋体"/>
          <w:color w:val="auto"/>
          <w:spacing w:val="15"/>
          <w:sz w:val="21"/>
          <w:szCs w:val="21"/>
          <w:highlight w:val="none"/>
        </w:rPr>
        <w:t xml:space="preserve"> </w:t>
      </w:r>
      <w:r>
        <w:rPr>
          <w:rFonts w:ascii="宋体" w:hAnsi="宋体" w:eastAsia="宋体" w:cs="宋体"/>
          <w:color w:val="auto"/>
          <w:spacing w:val="1"/>
          <w:sz w:val="21"/>
          <w:szCs w:val="21"/>
          <w:highlight w:val="none"/>
        </w:rPr>
        <w:t>工设备、工程设备和其他物品，并按合同约定负责临时设施的设计、建造</w:t>
      </w:r>
      <w:r>
        <w:rPr>
          <w:rFonts w:ascii="宋体" w:hAnsi="宋体" w:eastAsia="宋体" w:cs="宋体"/>
          <w:color w:val="auto"/>
          <w:sz w:val="21"/>
          <w:szCs w:val="21"/>
          <w:highlight w:val="none"/>
        </w:rPr>
        <w:t xml:space="preserve">、运行、维护、管理和拆 </w:t>
      </w:r>
      <w:r>
        <w:rPr>
          <w:rFonts w:ascii="宋体" w:hAnsi="宋体" w:eastAsia="宋体" w:cs="宋体"/>
          <w:color w:val="auto"/>
          <w:spacing w:val="-10"/>
          <w:sz w:val="21"/>
          <w:szCs w:val="21"/>
          <w:highlight w:val="none"/>
        </w:rPr>
        <w:t>除。</w:t>
      </w:r>
    </w:p>
    <w:p w14:paraId="0F28974B">
      <w:pPr>
        <w:spacing w:before="30"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4.1.4</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对施工作业和施工方法的完备性负责</w:t>
      </w:r>
    </w:p>
    <w:p w14:paraId="49A45A26">
      <w:pPr>
        <w:spacing w:before="159" w:line="345" w:lineRule="auto"/>
        <w:ind w:left="1" w:right="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承包人应按合同约定的工作内容和施工进度要求，编制施工组织设计和施工</w:t>
      </w:r>
      <w:r>
        <w:rPr>
          <w:rFonts w:ascii="宋体" w:hAnsi="宋体" w:eastAsia="宋体" w:cs="宋体"/>
          <w:color w:val="auto"/>
          <w:sz w:val="21"/>
          <w:szCs w:val="21"/>
          <w:highlight w:val="none"/>
        </w:rPr>
        <w:t xml:space="preserve">措施计划，并对所 </w:t>
      </w:r>
      <w:r>
        <w:rPr>
          <w:rFonts w:ascii="宋体" w:hAnsi="宋体" w:eastAsia="宋体" w:cs="宋体"/>
          <w:color w:val="auto"/>
          <w:spacing w:val="-1"/>
          <w:sz w:val="21"/>
          <w:szCs w:val="21"/>
          <w:highlight w:val="none"/>
        </w:rPr>
        <w:t>有施工作业和施工方法的完备性和安全可靠性负责。</w:t>
      </w:r>
    </w:p>
    <w:p w14:paraId="738570AC">
      <w:pPr>
        <w:spacing w:before="31"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4.1.5</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保证工程施工和人员的安全</w:t>
      </w:r>
    </w:p>
    <w:p w14:paraId="4EA9FA66">
      <w:pPr>
        <w:spacing w:before="156" w:line="347" w:lineRule="auto"/>
        <w:ind w:left="14" w:right="46" w:firstLine="40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承包人应按第</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9.2</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款约定采取施工安全措</w:t>
      </w:r>
      <w:r>
        <w:rPr>
          <w:rFonts w:ascii="宋体" w:hAnsi="宋体" w:eastAsia="宋体" w:cs="宋体"/>
          <w:color w:val="auto"/>
          <w:spacing w:val="-2"/>
          <w:sz w:val="21"/>
          <w:szCs w:val="21"/>
          <w:highlight w:val="none"/>
        </w:rPr>
        <w:t>施，确保工程及其人员、材料、设备和设施的安全，</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防止因工程施工造成的人身伤害和财产损失。</w:t>
      </w:r>
    </w:p>
    <w:p w14:paraId="2C16394F">
      <w:pPr>
        <w:spacing w:before="28"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4.1.6</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负责施工场地及其周边环境与生态的保护工作</w:t>
      </w:r>
    </w:p>
    <w:p w14:paraId="053C8543">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承包人应按照第</w:t>
      </w:r>
      <w:r>
        <w:rPr>
          <w:rFonts w:ascii="宋体" w:hAnsi="宋体" w:eastAsia="宋体" w:cs="宋体"/>
          <w:color w:val="auto"/>
          <w:spacing w:val="-44"/>
          <w:sz w:val="21"/>
          <w:szCs w:val="21"/>
          <w:highlight w:val="none"/>
        </w:rPr>
        <w:t xml:space="preserve"> </w:t>
      </w:r>
      <w:r>
        <w:rPr>
          <w:rFonts w:ascii="宋体" w:hAnsi="宋体" w:eastAsia="宋体" w:cs="宋体"/>
          <w:color w:val="auto"/>
          <w:spacing w:val="-1"/>
          <w:sz w:val="21"/>
          <w:szCs w:val="21"/>
          <w:highlight w:val="none"/>
        </w:rPr>
        <w:t>9.4</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款约定负责施工场地及其周边环境与生态的保护工作。</w:t>
      </w:r>
    </w:p>
    <w:p w14:paraId="6E207475">
      <w:pPr>
        <w:spacing w:before="157"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4.1.7</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避免施工对公众与他人的利益造成损害</w:t>
      </w:r>
    </w:p>
    <w:p w14:paraId="6AAA3250">
      <w:pPr>
        <w:spacing w:before="156" w:line="351" w:lineRule="auto"/>
        <w:ind w:left="2" w:right="1" w:firstLine="418"/>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承包人在进行合同约定的各项工作时，不得侵害发包人与他人使用公用道路、水源、市政管网</w:t>
      </w:r>
      <w:r>
        <w:rPr>
          <w:rFonts w:ascii="宋体" w:hAnsi="宋体" w:eastAsia="宋体" w:cs="宋体"/>
          <w:color w:val="auto"/>
          <w:spacing w:val="12"/>
          <w:sz w:val="21"/>
          <w:szCs w:val="21"/>
          <w:highlight w:val="none"/>
        </w:rPr>
        <w:t xml:space="preserve"> </w:t>
      </w:r>
      <w:r>
        <w:rPr>
          <w:rFonts w:ascii="宋体" w:hAnsi="宋体" w:eastAsia="宋体" w:cs="宋体"/>
          <w:color w:val="auto"/>
          <w:spacing w:val="1"/>
          <w:sz w:val="21"/>
          <w:szCs w:val="21"/>
          <w:highlight w:val="none"/>
        </w:rPr>
        <w:t>等公共设施的权利，避免对邻近的公共设施产生干扰。承包人占用或使用他</w:t>
      </w:r>
      <w:r>
        <w:rPr>
          <w:rFonts w:ascii="宋体" w:hAnsi="宋体" w:eastAsia="宋体" w:cs="宋体"/>
          <w:color w:val="auto"/>
          <w:sz w:val="21"/>
          <w:szCs w:val="21"/>
          <w:highlight w:val="none"/>
        </w:rPr>
        <w:t xml:space="preserve">人的施工场地，影响他 </w:t>
      </w:r>
      <w:r>
        <w:rPr>
          <w:rFonts w:ascii="宋体" w:hAnsi="宋体" w:eastAsia="宋体" w:cs="宋体"/>
          <w:color w:val="auto"/>
          <w:spacing w:val="-2"/>
          <w:sz w:val="21"/>
          <w:szCs w:val="21"/>
          <w:highlight w:val="none"/>
        </w:rPr>
        <w:t>人作业或生活的，应承担相应责任。</w:t>
      </w:r>
    </w:p>
    <w:p w14:paraId="25D31121">
      <w:pPr>
        <w:spacing w:before="29" w:line="220"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4.1.8</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为他人提供方便</w:t>
      </w:r>
    </w:p>
    <w:p w14:paraId="2B18FFE0">
      <w:pPr>
        <w:spacing w:before="158" w:line="351" w:lineRule="auto"/>
        <w:ind w:left="2" w:firstLine="418"/>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承包人应按监理人的指示为他人在施工场地或附近实施与工程有关的其他</w:t>
      </w:r>
      <w:r>
        <w:rPr>
          <w:rFonts w:ascii="宋体" w:hAnsi="宋体" w:eastAsia="宋体" w:cs="宋体"/>
          <w:color w:val="auto"/>
          <w:sz w:val="21"/>
          <w:szCs w:val="21"/>
          <w:highlight w:val="none"/>
        </w:rPr>
        <w:t>各项工作提供可能的 条件。除合同另有约定外，提供有关条件的内</w:t>
      </w:r>
      <w:r>
        <w:rPr>
          <w:rFonts w:ascii="宋体" w:hAnsi="宋体" w:eastAsia="宋体" w:cs="宋体"/>
          <w:color w:val="auto"/>
          <w:spacing w:val="-1"/>
          <w:sz w:val="21"/>
          <w:szCs w:val="21"/>
          <w:highlight w:val="none"/>
        </w:rPr>
        <w:t>容和可能发生的费用，由监理人按第</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3.5</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款商定或确</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定。</w:t>
      </w:r>
    </w:p>
    <w:p w14:paraId="16D971CB">
      <w:pPr>
        <w:spacing w:before="29"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4.1.9</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工程的维护和照管</w:t>
      </w:r>
    </w:p>
    <w:p w14:paraId="0FE2177A">
      <w:pPr>
        <w:spacing w:before="157" w:line="345" w:lineRule="auto"/>
        <w:ind w:right="2"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工程接收证书颁发前，承包人应负责照管和维护工程。工程接收证书颁</w:t>
      </w:r>
      <w:r>
        <w:rPr>
          <w:rFonts w:ascii="宋体" w:hAnsi="宋体" w:eastAsia="宋体" w:cs="宋体"/>
          <w:color w:val="auto"/>
          <w:sz w:val="21"/>
          <w:szCs w:val="21"/>
          <w:highlight w:val="none"/>
        </w:rPr>
        <w:t>发时尚有部分未竣工工 程的，承包人还应负责该未竣工工程的照管和维护工作，直至竣工后移交给发包人为止。</w:t>
      </w:r>
    </w:p>
    <w:p w14:paraId="015F47A6">
      <w:pPr>
        <w:spacing w:before="33"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4.1.10</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其他义务</w:t>
      </w:r>
    </w:p>
    <w:p w14:paraId="01372E85">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承包人应履行合同约定的其他义务。</w:t>
      </w:r>
    </w:p>
    <w:p w14:paraId="2343E00E">
      <w:pPr>
        <w:spacing w:line="332" w:lineRule="auto"/>
        <w:rPr>
          <w:rFonts w:ascii="Arial"/>
          <w:color w:val="auto"/>
          <w:sz w:val="21"/>
          <w:highlight w:val="none"/>
        </w:rPr>
      </w:pPr>
    </w:p>
    <w:p w14:paraId="1D19DE50">
      <w:pPr>
        <w:spacing w:before="91" w:line="221" w:lineRule="auto"/>
        <w:ind w:left="139"/>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4.2</w:t>
      </w:r>
      <w:r>
        <w:rPr>
          <w:rFonts w:ascii="宋体" w:hAnsi="宋体" w:eastAsia="宋体" w:cs="宋体"/>
          <w:color w:val="auto"/>
          <w:spacing w:val="23"/>
          <w:sz w:val="28"/>
          <w:szCs w:val="28"/>
          <w:highlight w:val="none"/>
        </w:rPr>
        <w:t xml:space="preserve"> </w:t>
      </w:r>
      <w:r>
        <w:rPr>
          <w:rFonts w:ascii="宋体" w:hAnsi="宋体" w:eastAsia="宋体" w:cs="宋体"/>
          <w:b/>
          <w:bCs/>
          <w:color w:val="auto"/>
          <w:spacing w:val="-6"/>
          <w:sz w:val="28"/>
          <w:szCs w:val="28"/>
          <w:highlight w:val="none"/>
        </w:rPr>
        <w:t>履约担保</w:t>
      </w:r>
    </w:p>
    <w:p w14:paraId="1BB374B9">
      <w:pPr>
        <w:spacing w:before="280" w:line="345" w:lineRule="auto"/>
        <w:ind w:left="4" w:right="3"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承包人应保证其履约担保在发包人颁发工程接收证书前一直有效。发包人</w:t>
      </w:r>
      <w:r>
        <w:rPr>
          <w:rFonts w:ascii="宋体" w:hAnsi="宋体" w:eastAsia="宋体" w:cs="宋体"/>
          <w:color w:val="auto"/>
          <w:sz w:val="21"/>
          <w:szCs w:val="21"/>
          <w:highlight w:val="none"/>
        </w:rPr>
        <w:t xml:space="preserve">应在工程接收证书颁 </w:t>
      </w:r>
      <w:r>
        <w:rPr>
          <w:rFonts w:ascii="宋体" w:hAnsi="宋体" w:eastAsia="宋体" w:cs="宋体"/>
          <w:color w:val="auto"/>
          <w:spacing w:val="-2"/>
          <w:sz w:val="21"/>
          <w:szCs w:val="21"/>
          <w:highlight w:val="none"/>
        </w:rPr>
        <w:t>发后</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28</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天内把履约担保退还给承包人。</w:t>
      </w:r>
    </w:p>
    <w:p w14:paraId="1D098BE1">
      <w:pPr>
        <w:spacing w:before="300" w:line="221" w:lineRule="auto"/>
        <w:ind w:left="139"/>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4.3</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6"/>
          <w:sz w:val="28"/>
          <w:szCs w:val="28"/>
          <w:highlight w:val="none"/>
        </w:rPr>
        <w:t>分包</w:t>
      </w:r>
    </w:p>
    <w:p w14:paraId="53ABD219">
      <w:pPr>
        <w:spacing w:before="279" w:line="291" w:lineRule="auto"/>
        <w:ind w:left="3" w:right="4"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4.3.1 承包人不得将其承包的全部工程转包给第三人，或将其承包的</w:t>
      </w:r>
      <w:r>
        <w:rPr>
          <w:rFonts w:ascii="宋体" w:hAnsi="宋体" w:eastAsia="宋体" w:cs="宋体"/>
          <w:color w:val="auto"/>
          <w:sz w:val="21"/>
          <w:szCs w:val="21"/>
          <w:highlight w:val="none"/>
        </w:rPr>
        <w:t xml:space="preserve">全部工程肢解后以分包的 </w:t>
      </w:r>
      <w:r>
        <w:rPr>
          <w:rFonts w:ascii="宋体" w:hAnsi="宋体" w:eastAsia="宋体" w:cs="宋体"/>
          <w:color w:val="auto"/>
          <w:spacing w:val="-3"/>
          <w:sz w:val="21"/>
          <w:szCs w:val="21"/>
          <w:highlight w:val="none"/>
        </w:rPr>
        <w:t>名义转包给第三人。</w:t>
      </w:r>
    </w:p>
    <w:p w14:paraId="5F10C734">
      <w:pPr>
        <w:spacing w:before="156" w:line="290" w:lineRule="auto"/>
        <w:ind w:left="4" w:right="4" w:firstLine="4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4.3.2 承包人不得将工程主体、关键性工作分包给第三人。除专用合</w:t>
      </w:r>
      <w:r>
        <w:rPr>
          <w:rFonts w:ascii="宋体" w:hAnsi="宋体" w:eastAsia="宋体" w:cs="宋体"/>
          <w:color w:val="auto"/>
          <w:sz w:val="21"/>
          <w:szCs w:val="21"/>
          <w:highlight w:val="none"/>
        </w:rPr>
        <w:t xml:space="preserve">同条款另有约定外，未经 </w:t>
      </w:r>
      <w:r>
        <w:rPr>
          <w:rFonts w:ascii="宋体" w:hAnsi="宋体" w:eastAsia="宋体" w:cs="宋体"/>
          <w:color w:val="auto"/>
          <w:spacing w:val="-1"/>
          <w:sz w:val="21"/>
          <w:szCs w:val="21"/>
          <w:highlight w:val="none"/>
        </w:rPr>
        <w:t>发包人同意，承包人不得将工程的其他部分或工作分包给第三人。</w:t>
      </w:r>
    </w:p>
    <w:p w14:paraId="0AC9FFA5">
      <w:pPr>
        <w:spacing w:before="41"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4.3.3 分包人的资格能力应与其分包工程的标准和规模相适</w:t>
      </w:r>
      <w:r>
        <w:rPr>
          <w:rFonts w:ascii="宋体" w:hAnsi="宋体" w:eastAsia="宋体" w:cs="宋体"/>
          <w:color w:val="auto"/>
          <w:spacing w:val="-1"/>
          <w:sz w:val="21"/>
          <w:szCs w:val="21"/>
          <w:highlight w:val="none"/>
        </w:rPr>
        <w:t>应。</w:t>
      </w:r>
    </w:p>
    <w:p w14:paraId="32B87F6A">
      <w:pPr>
        <w:spacing w:before="157" w:line="220"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4.3.4 按投标函附录约定分包工程的，承包人应向</w:t>
      </w:r>
      <w:r>
        <w:rPr>
          <w:rFonts w:ascii="宋体" w:hAnsi="宋体" w:eastAsia="宋体" w:cs="宋体"/>
          <w:color w:val="auto"/>
          <w:spacing w:val="-1"/>
          <w:sz w:val="21"/>
          <w:szCs w:val="21"/>
          <w:highlight w:val="none"/>
        </w:rPr>
        <w:t>发包人和监理人提交分包合同副本。</w:t>
      </w:r>
    </w:p>
    <w:p w14:paraId="13F6085C">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4.3.5 承包人应与分包人就分包工程向发包人承担连带责任。</w:t>
      </w:r>
    </w:p>
    <w:p w14:paraId="01A4329B">
      <w:pPr>
        <w:spacing w:line="333" w:lineRule="auto"/>
        <w:rPr>
          <w:rFonts w:ascii="Arial"/>
          <w:color w:val="auto"/>
          <w:sz w:val="21"/>
          <w:highlight w:val="none"/>
        </w:rPr>
      </w:pPr>
    </w:p>
    <w:p w14:paraId="59432AE7">
      <w:pPr>
        <w:spacing w:before="91" w:line="221" w:lineRule="auto"/>
        <w:ind w:left="139"/>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4.4</w:t>
      </w:r>
      <w:r>
        <w:rPr>
          <w:rFonts w:ascii="宋体" w:hAnsi="宋体" w:eastAsia="宋体" w:cs="宋体"/>
          <w:color w:val="auto"/>
          <w:spacing w:val="19"/>
          <w:sz w:val="28"/>
          <w:szCs w:val="28"/>
          <w:highlight w:val="none"/>
        </w:rPr>
        <w:t xml:space="preserve"> </w:t>
      </w:r>
      <w:r>
        <w:rPr>
          <w:rFonts w:ascii="宋体" w:hAnsi="宋体" w:eastAsia="宋体" w:cs="宋体"/>
          <w:b/>
          <w:bCs/>
          <w:color w:val="auto"/>
          <w:spacing w:val="-6"/>
          <w:sz w:val="28"/>
          <w:szCs w:val="28"/>
          <w:highlight w:val="none"/>
        </w:rPr>
        <w:t>联合体</w:t>
      </w:r>
    </w:p>
    <w:p w14:paraId="5AD25F4D">
      <w:pPr>
        <w:spacing w:before="278" w:line="220"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4.4.1 联合体各方应共同与发包人签订合同协议书。联合体各方应为履行合同承担连带责任。</w:t>
      </w:r>
    </w:p>
    <w:p w14:paraId="38932061">
      <w:pPr>
        <w:spacing w:before="159" w:line="290" w:lineRule="auto"/>
        <w:ind w:right="62"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4.4.2 联合体协议经发包人确认后作为合同附件。在履行合同过程中，</w:t>
      </w:r>
      <w:r>
        <w:rPr>
          <w:rFonts w:ascii="宋体" w:hAnsi="宋体" w:eastAsia="宋体" w:cs="宋体"/>
          <w:color w:val="auto"/>
          <w:sz w:val="21"/>
          <w:szCs w:val="21"/>
          <w:highlight w:val="none"/>
        </w:rPr>
        <w:t xml:space="preserve">未经发包人同意，不得 </w:t>
      </w:r>
      <w:r>
        <w:rPr>
          <w:rFonts w:ascii="宋体" w:hAnsi="宋体" w:eastAsia="宋体" w:cs="宋体"/>
          <w:color w:val="auto"/>
          <w:spacing w:val="-1"/>
          <w:sz w:val="21"/>
          <w:szCs w:val="21"/>
          <w:highlight w:val="none"/>
        </w:rPr>
        <w:t>修改联合体协议。</w:t>
      </w:r>
    </w:p>
    <w:p w14:paraId="526779AF">
      <w:pPr>
        <w:spacing w:before="157" w:line="290" w:lineRule="auto"/>
        <w:ind w:left="4" w:right="63" w:firstLine="4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4.4.3 联合体牵头人负责与发包人和监理人联系，并接受指示，负责</w:t>
      </w:r>
      <w:r>
        <w:rPr>
          <w:rFonts w:ascii="宋体" w:hAnsi="宋体" w:eastAsia="宋体" w:cs="宋体"/>
          <w:color w:val="auto"/>
          <w:sz w:val="21"/>
          <w:szCs w:val="21"/>
          <w:highlight w:val="none"/>
        </w:rPr>
        <w:t xml:space="preserve">组织联合体各成员全面履 </w:t>
      </w:r>
      <w:r>
        <w:rPr>
          <w:rFonts w:ascii="宋体" w:hAnsi="宋体" w:eastAsia="宋体" w:cs="宋体"/>
          <w:color w:val="auto"/>
          <w:spacing w:val="-3"/>
          <w:sz w:val="21"/>
          <w:szCs w:val="21"/>
          <w:highlight w:val="none"/>
        </w:rPr>
        <w:t>行合同。</w:t>
      </w:r>
    </w:p>
    <w:p w14:paraId="59A188C5">
      <w:pPr>
        <w:spacing w:line="335" w:lineRule="auto"/>
        <w:rPr>
          <w:rFonts w:ascii="Arial"/>
          <w:color w:val="auto"/>
          <w:sz w:val="21"/>
          <w:highlight w:val="none"/>
        </w:rPr>
      </w:pPr>
    </w:p>
    <w:p w14:paraId="74B1DFDA">
      <w:pPr>
        <w:spacing w:before="92" w:line="220" w:lineRule="auto"/>
        <w:ind w:left="139"/>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承包人项目经理</w:t>
      </w:r>
    </w:p>
    <w:p w14:paraId="1B52860D">
      <w:pPr>
        <w:spacing w:before="279" w:line="313" w:lineRule="auto"/>
        <w:ind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4.5.1 承包人应按合同约定指派项目经理，并在约定的期限内到职。</w:t>
      </w:r>
      <w:r>
        <w:rPr>
          <w:rFonts w:ascii="宋体" w:hAnsi="宋体" w:eastAsia="宋体" w:cs="宋体"/>
          <w:color w:val="auto"/>
          <w:sz w:val="21"/>
          <w:szCs w:val="21"/>
          <w:highlight w:val="none"/>
        </w:rPr>
        <w:t xml:space="preserve">承包人更换项目经理应事 </w:t>
      </w:r>
      <w:r>
        <w:rPr>
          <w:rFonts w:ascii="宋体" w:hAnsi="宋体" w:eastAsia="宋体" w:cs="宋体"/>
          <w:color w:val="auto"/>
          <w:spacing w:val="-2"/>
          <w:sz w:val="21"/>
          <w:szCs w:val="21"/>
          <w:highlight w:val="none"/>
        </w:rPr>
        <w:t>先征得发包人同意，并应在更换 14</w:t>
      </w:r>
      <w:r>
        <w:rPr>
          <w:rFonts w:ascii="宋体" w:hAnsi="宋体" w:eastAsia="宋体" w:cs="宋体"/>
          <w:color w:val="auto"/>
          <w:spacing w:val="-20"/>
          <w:sz w:val="21"/>
          <w:szCs w:val="21"/>
          <w:highlight w:val="none"/>
        </w:rPr>
        <w:t xml:space="preserve"> </w:t>
      </w:r>
      <w:r>
        <w:rPr>
          <w:rFonts w:ascii="宋体" w:hAnsi="宋体" w:eastAsia="宋体" w:cs="宋体"/>
          <w:color w:val="auto"/>
          <w:spacing w:val="-2"/>
          <w:sz w:val="21"/>
          <w:szCs w:val="21"/>
          <w:highlight w:val="none"/>
        </w:rPr>
        <w:t>天前通知发包人和监理人。承包人项目经理短期离开施</w:t>
      </w:r>
      <w:r>
        <w:rPr>
          <w:rFonts w:ascii="宋体" w:hAnsi="宋体" w:eastAsia="宋体" w:cs="宋体"/>
          <w:color w:val="auto"/>
          <w:spacing w:val="-3"/>
          <w:sz w:val="21"/>
          <w:szCs w:val="21"/>
          <w:highlight w:val="none"/>
        </w:rPr>
        <w:t>工场地，</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应事先征得监理人同意，并委派代表代行其职责。</w:t>
      </w:r>
    </w:p>
    <w:p w14:paraId="797C0C51">
      <w:pPr>
        <w:spacing w:before="157" w:line="313" w:lineRule="auto"/>
        <w:ind w:left="5" w:right="59" w:firstLine="414"/>
        <w:rPr>
          <w:rFonts w:ascii="宋体" w:hAnsi="宋体" w:eastAsia="宋体" w:cs="宋体"/>
          <w:color w:val="auto"/>
          <w:sz w:val="21"/>
          <w:szCs w:val="21"/>
          <w:highlight w:val="none"/>
        </w:rPr>
      </w:pPr>
      <w:r>
        <w:rPr>
          <w:rFonts w:ascii="宋体" w:hAnsi="宋体" w:eastAsia="宋体" w:cs="宋体"/>
          <w:color w:val="auto"/>
          <w:sz w:val="21"/>
          <w:szCs w:val="21"/>
          <w:highlight w:val="none"/>
        </w:rPr>
        <w:t>4.5.2 承包人项目经理应按合同约定以及</w:t>
      </w:r>
      <w:r>
        <w:rPr>
          <w:rFonts w:ascii="宋体" w:hAnsi="宋体" w:eastAsia="宋体" w:cs="宋体"/>
          <w:color w:val="auto"/>
          <w:spacing w:val="-1"/>
          <w:sz w:val="21"/>
          <w:szCs w:val="21"/>
          <w:highlight w:val="none"/>
        </w:rPr>
        <w:t>监理人按第</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3.4</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款作出的指示，负责组织合同工程的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实施。在情况紧急且无法与监理人取得联系时，</w:t>
      </w:r>
      <w:r>
        <w:rPr>
          <w:rFonts w:ascii="宋体" w:hAnsi="宋体" w:eastAsia="宋体" w:cs="宋体"/>
          <w:color w:val="auto"/>
          <w:sz w:val="21"/>
          <w:szCs w:val="21"/>
          <w:highlight w:val="none"/>
        </w:rPr>
        <w:t xml:space="preserve">可采取保证工程和人员生命财产安全的紧急措施， </w:t>
      </w:r>
      <w:r>
        <w:rPr>
          <w:rFonts w:ascii="宋体" w:hAnsi="宋体" w:eastAsia="宋体" w:cs="宋体"/>
          <w:color w:val="auto"/>
          <w:spacing w:val="-2"/>
          <w:sz w:val="21"/>
          <w:szCs w:val="21"/>
          <w:highlight w:val="none"/>
        </w:rPr>
        <w:t>并在采取措施后</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24</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小时内向监理人提交书面</w:t>
      </w:r>
      <w:r>
        <w:rPr>
          <w:rFonts w:ascii="宋体" w:hAnsi="宋体" w:eastAsia="宋体" w:cs="宋体"/>
          <w:color w:val="auto"/>
          <w:spacing w:val="-3"/>
          <w:sz w:val="21"/>
          <w:szCs w:val="21"/>
          <w:highlight w:val="none"/>
        </w:rPr>
        <w:t>报告。</w:t>
      </w:r>
    </w:p>
    <w:p w14:paraId="15DC6420">
      <w:pPr>
        <w:spacing w:before="158" w:line="290" w:lineRule="auto"/>
        <w:ind w:right="6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4.5.3 承包人为履行合同发出的一切函件均应盖有承包人授权的施工</w:t>
      </w:r>
      <w:r>
        <w:rPr>
          <w:rFonts w:ascii="宋体" w:hAnsi="宋体" w:eastAsia="宋体" w:cs="宋体"/>
          <w:color w:val="auto"/>
          <w:sz w:val="21"/>
          <w:szCs w:val="21"/>
          <w:highlight w:val="none"/>
        </w:rPr>
        <w:t xml:space="preserve">场地管理机构章，并由承 </w:t>
      </w:r>
      <w:r>
        <w:rPr>
          <w:rFonts w:ascii="宋体" w:hAnsi="宋体" w:eastAsia="宋体" w:cs="宋体"/>
          <w:color w:val="auto"/>
          <w:spacing w:val="-1"/>
          <w:sz w:val="21"/>
          <w:szCs w:val="21"/>
          <w:highlight w:val="none"/>
        </w:rPr>
        <w:t>包人项目经理或其授权代表签字。</w:t>
      </w:r>
    </w:p>
    <w:p w14:paraId="773AC34A">
      <w:pPr>
        <w:spacing w:before="156" w:line="290" w:lineRule="auto"/>
        <w:ind w:right="63"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4.5.4 承包人项目经理可以授权其下属人员履行其某项职责，但事先</w:t>
      </w:r>
      <w:r>
        <w:rPr>
          <w:rFonts w:ascii="宋体" w:hAnsi="宋体" w:eastAsia="宋体" w:cs="宋体"/>
          <w:color w:val="auto"/>
          <w:sz w:val="21"/>
          <w:szCs w:val="21"/>
          <w:highlight w:val="none"/>
        </w:rPr>
        <w:t xml:space="preserve">应将这些人员的姓名和授 </w:t>
      </w:r>
      <w:r>
        <w:rPr>
          <w:rFonts w:ascii="宋体" w:hAnsi="宋体" w:eastAsia="宋体" w:cs="宋体"/>
          <w:color w:val="auto"/>
          <w:spacing w:val="-3"/>
          <w:sz w:val="21"/>
          <w:szCs w:val="21"/>
          <w:highlight w:val="none"/>
        </w:rPr>
        <w:t>权范围通知监理人。</w:t>
      </w:r>
    </w:p>
    <w:p w14:paraId="585D2B4F">
      <w:pPr>
        <w:spacing w:line="335" w:lineRule="auto"/>
        <w:rPr>
          <w:rFonts w:ascii="Arial"/>
          <w:color w:val="auto"/>
          <w:sz w:val="21"/>
          <w:highlight w:val="none"/>
        </w:rPr>
      </w:pPr>
    </w:p>
    <w:p w14:paraId="01EB9B5E">
      <w:pPr>
        <w:spacing w:before="92" w:line="220" w:lineRule="auto"/>
        <w:ind w:left="139"/>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4.6</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承包人人员的管理</w:t>
      </w:r>
    </w:p>
    <w:p w14:paraId="727F9B6F">
      <w:pPr>
        <w:spacing w:before="281" w:line="312" w:lineRule="auto"/>
        <w:ind w:left="3" w:right="59"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4.6.1 承包人应在接到开工通知后</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28</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天内，向监理人提交承包人在施工场地的管理机构以</w:t>
      </w:r>
      <w:r>
        <w:rPr>
          <w:rFonts w:ascii="宋体" w:hAnsi="宋体" w:eastAsia="宋体" w:cs="宋体"/>
          <w:color w:val="auto"/>
          <w:spacing w:val="-3"/>
          <w:sz w:val="21"/>
          <w:szCs w:val="21"/>
          <w:highlight w:val="none"/>
        </w:rPr>
        <w:t>及人</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员安排的报告，其内容应包括管理机构的设置、各主要岗位的技术和管理人</w:t>
      </w:r>
      <w:r>
        <w:rPr>
          <w:rFonts w:ascii="宋体" w:hAnsi="宋体" w:eastAsia="宋体" w:cs="宋体"/>
          <w:color w:val="auto"/>
          <w:sz w:val="21"/>
          <w:szCs w:val="21"/>
          <w:highlight w:val="none"/>
        </w:rPr>
        <w:t>员名单及其资格，以及 各工种技术工人的安排状况。承包人应向监理人提交施工场地人员变动情况</w:t>
      </w:r>
      <w:r>
        <w:rPr>
          <w:rFonts w:ascii="宋体" w:hAnsi="宋体" w:eastAsia="宋体" w:cs="宋体"/>
          <w:color w:val="auto"/>
          <w:spacing w:val="-1"/>
          <w:sz w:val="21"/>
          <w:szCs w:val="21"/>
          <w:highlight w:val="none"/>
        </w:rPr>
        <w:t>的报告。</w:t>
      </w:r>
    </w:p>
    <w:p w14:paraId="50B66A2A">
      <w:pPr>
        <w:spacing w:before="158"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4.6.2 为完成合同约定的各项工作，承包人应向施工场地派遣或雇佣足够数量的下列人员：</w:t>
      </w:r>
    </w:p>
    <w:p w14:paraId="1B83FEEA">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（1）具有相应资格的专业技工和合格的普工；</w:t>
      </w:r>
    </w:p>
    <w:p w14:paraId="789AFED9">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（2）具有相应施工经验的技术人员；</w:t>
      </w:r>
    </w:p>
    <w:p w14:paraId="6EB4CFD2">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（3）具有相应岗位资格的各级管理人员。</w:t>
      </w:r>
    </w:p>
    <w:p w14:paraId="4635CD83">
      <w:pPr>
        <w:spacing w:before="157" w:line="289" w:lineRule="auto"/>
        <w:ind w:left="9" w:right="63" w:firstLine="41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4.6.3 承包人安排在施工场地的主要管理人员和技术骨干应相对稳定</w:t>
      </w:r>
      <w:r>
        <w:rPr>
          <w:rFonts w:ascii="宋体" w:hAnsi="宋体" w:eastAsia="宋体" w:cs="宋体"/>
          <w:color w:val="auto"/>
          <w:sz w:val="21"/>
          <w:szCs w:val="21"/>
          <w:highlight w:val="none"/>
        </w:rPr>
        <w:t xml:space="preserve">。承包人更换主要管理人 </w:t>
      </w:r>
      <w:r>
        <w:rPr>
          <w:rFonts w:ascii="宋体" w:hAnsi="宋体" w:eastAsia="宋体" w:cs="宋体"/>
          <w:color w:val="auto"/>
          <w:spacing w:val="-2"/>
          <w:sz w:val="21"/>
          <w:szCs w:val="21"/>
          <w:highlight w:val="none"/>
        </w:rPr>
        <w:t>员和技术骨干时，应取得监理人的同意。</w:t>
      </w:r>
    </w:p>
    <w:p w14:paraId="6E47EA36">
      <w:pPr>
        <w:spacing w:before="160"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4.6.4 特殊岗位的工作人员均应持有相应的资格证明，监理人有权随时检</w:t>
      </w:r>
      <w:r>
        <w:rPr>
          <w:rFonts w:ascii="宋体" w:hAnsi="宋体" w:eastAsia="宋体" w:cs="宋体"/>
          <w:color w:val="auto"/>
          <w:sz w:val="21"/>
          <w:szCs w:val="21"/>
          <w:highlight w:val="none"/>
        </w:rPr>
        <w:t>查。监理人认为有必</w:t>
      </w:r>
    </w:p>
    <w:p w14:paraId="40E167E2">
      <w:pPr>
        <w:spacing w:before="41" w:line="221" w:lineRule="auto"/>
        <w:ind w:left="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要时，可进行现场考核。</w:t>
      </w:r>
    </w:p>
    <w:p w14:paraId="0DFB57BD">
      <w:pPr>
        <w:spacing w:line="333" w:lineRule="auto"/>
        <w:rPr>
          <w:rFonts w:ascii="Arial"/>
          <w:color w:val="auto"/>
          <w:sz w:val="21"/>
          <w:highlight w:val="none"/>
        </w:rPr>
      </w:pPr>
    </w:p>
    <w:p w14:paraId="118B3C36">
      <w:pPr>
        <w:spacing w:before="91" w:line="220" w:lineRule="auto"/>
        <w:ind w:left="1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4.7</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撤换承包人项目经理和其他人员</w:t>
      </w:r>
    </w:p>
    <w:p w14:paraId="3D476F6B">
      <w:pPr>
        <w:spacing w:before="280" w:line="345" w:lineRule="auto"/>
        <w:ind w:left="2" w:right="6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承包人应对其项目经理和其他人员进行有效管理。监理人要求撤换不能胜</w:t>
      </w:r>
      <w:r>
        <w:rPr>
          <w:rFonts w:ascii="宋体" w:hAnsi="宋体" w:eastAsia="宋体" w:cs="宋体"/>
          <w:color w:val="auto"/>
          <w:sz w:val="21"/>
          <w:szCs w:val="21"/>
          <w:highlight w:val="none"/>
        </w:rPr>
        <w:t>任本职工作、行为不 端或玩忽职守的承包人项目经理和其他人员的，承包人应予</w:t>
      </w:r>
      <w:r>
        <w:rPr>
          <w:rFonts w:ascii="宋体" w:hAnsi="宋体" w:eastAsia="宋体" w:cs="宋体"/>
          <w:color w:val="auto"/>
          <w:spacing w:val="-1"/>
          <w:sz w:val="21"/>
          <w:szCs w:val="21"/>
          <w:highlight w:val="none"/>
        </w:rPr>
        <w:t>以撤换。</w:t>
      </w:r>
    </w:p>
    <w:p w14:paraId="3610A59C">
      <w:pPr>
        <w:spacing w:before="299" w:line="220" w:lineRule="auto"/>
        <w:ind w:left="1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4.8</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保障承包人人员的合法权益</w:t>
      </w:r>
    </w:p>
    <w:p w14:paraId="4A1C9D45">
      <w:pPr>
        <w:spacing w:before="280"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4.8.1 承包人应与其雇佣的人员签订劳动合同，并按时发放工资。</w:t>
      </w:r>
    </w:p>
    <w:p w14:paraId="1CCD8FF1">
      <w:pPr>
        <w:spacing w:before="160" w:line="350" w:lineRule="auto"/>
        <w:ind w:right="63" w:firstLine="42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4.8.2 承包人应按劳动法的规定安排工作时间，保证其雇佣人员享有</w:t>
      </w:r>
      <w:r>
        <w:rPr>
          <w:rFonts w:ascii="宋体" w:hAnsi="宋体" w:eastAsia="宋体" w:cs="宋体"/>
          <w:color w:val="auto"/>
          <w:sz w:val="21"/>
          <w:szCs w:val="21"/>
          <w:highlight w:val="none"/>
        </w:rPr>
        <w:t xml:space="preserve">休息和休假的权利。因工 </w:t>
      </w:r>
      <w:r>
        <w:rPr>
          <w:rFonts w:ascii="宋体" w:hAnsi="宋体" w:eastAsia="宋体" w:cs="宋体"/>
          <w:color w:val="auto"/>
          <w:spacing w:val="1"/>
          <w:sz w:val="21"/>
          <w:szCs w:val="21"/>
          <w:highlight w:val="none"/>
        </w:rPr>
        <w:t>程施工的特殊需要占用休假日或延长工作时间的，应不</w:t>
      </w:r>
      <w:r>
        <w:rPr>
          <w:rFonts w:ascii="宋体" w:hAnsi="宋体" w:eastAsia="宋体" w:cs="宋体"/>
          <w:color w:val="auto"/>
          <w:sz w:val="21"/>
          <w:szCs w:val="21"/>
          <w:highlight w:val="none"/>
        </w:rPr>
        <w:t xml:space="preserve">超过法律规定的限度，并按法律规定给予补 </w:t>
      </w:r>
      <w:r>
        <w:rPr>
          <w:rFonts w:ascii="宋体" w:hAnsi="宋体" w:eastAsia="宋体" w:cs="宋体"/>
          <w:color w:val="auto"/>
          <w:spacing w:val="-4"/>
          <w:sz w:val="21"/>
          <w:szCs w:val="21"/>
          <w:highlight w:val="none"/>
        </w:rPr>
        <w:t>休或付酬。</w:t>
      </w:r>
    </w:p>
    <w:p w14:paraId="59798869">
      <w:pPr>
        <w:spacing w:before="29" w:line="290" w:lineRule="auto"/>
        <w:ind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4.8.3 承包人应为其雇佣人员提供必要的</w:t>
      </w:r>
      <w:r>
        <w:rPr>
          <w:rFonts w:ascii="宋体" w:hAnsi="宋体" w:eastAsia="宋体" w:cs="宋体"/>
          <w:color w:val="auto"/>
          <w:spacing w:val="-3"/>
          <w:sz w:val="21"/>
          <w:szCs w:val="21"/>
          <w:highlight w:val="none"/>
        </w:rPr>
        <w:t>食宿条件，以及符合环境保护和卫生要求的生活环境，</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在远离城镇的施工场地，还应配备必要的伤病防治和急救的医务人员与医疗设施。</w:t>
      </w:r>
    </w:p>
    <w:p w14:paraId="4748EE28">
      <w:pPr>
        <w:spacing w:before="161" w:line="349" w:lineRule="auto"/>
        <w:ind w:left="2" w:right="60" w:firstLine="418"/>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4.8.4 承包人应按国家有关劳动保护的规定，采取有效的防止粉尘、</w:t>
      </w:r>
      <w:r>
        <w:rPr>
          <w:rFonts w:ascii="宋体" w:hAnsi="宋体" w:eastAsia="宋体" w:cs="宋体"/>
          <w:color w:val="auto"/>
          <w:sz w:val="21"/>
          <w:szCs w:val="21"/>
          <w:highlight w:val="none"/>
        </w:rPr>
        <w:t xml:space="preserve">降低噪声、控制有害气体 </w:t>
      </w:r>
      <w:r>
        <w:rPr>
          <w:rFonts w:ascii="宋体" w:hAnsi="宋体" w:eastAsia="宋体" w:cs="宋体"/>
          <w:color w:val="auto"/>
          <w:spacing w:val="1"/>
          <w:sz w:val="21"/>
          <w:szCs w:val="21"/>
          <w:highlight w:val="none"/>
        </w:rPr>
        <w:t>和保障高温、高寒、高空作业安全等劳动保护措施。其雇佣人员在施工中受到</w:t>
      </w:r>
      <w:r>
        <w:rPr>
          <w:rFonts w:ascii="宋体" w:hAnsi="宋体" w:eastAsia="宋体" w:cs="宋体"/>
          <w:color w:val="auto"/>
          <w:sz w:val="21"/>
          <w:szCs w:val="21"/>
          <w:highlight w:val="none"/>
        </w:rPr>
        <w:t xml:space="preserve">伤害的，承包人应立 </w:t>
      </w:r>
      <w:r>
        <w:rPr>
          <w:rFonts w:ascii="宋体" w:hAnsi="宋体" w:eastAsia="宋体" w:cs="宋体"/>
          <w:color w:val="auto"/>
          <w:spacing w:val="-1"/>
          <w:sz w:val="21"/>
          <w:szCs w:val="21"/>
          <w:highlight w:val="none"/>
        </w:rPr>
        <w:t>即采取有效措施进行抢救和治疗。</w:t>
      </w:r>
    </w:p>
    <w:p w14:paraId="676CCF86">
      <w:pPr>
        <w:spacing w:before="31"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4.8.5 承包人应按有关法律规定和合同约定，为其雇佣人员办理保险。</w:t>
      </w:r>
    </w:p>
    <w:p w14:paraId="11F8E613">
      <w:pPr>
        <w:spacing w:before="159"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4.8.6 承包人应负责处理其雇佣人员因工伤亡事故的善后事</w:t>
      </w:r>
      <w:r>
        <w:rPr>
          <w:rFonts w:ascii="宋体" w:hAnsi="宋体" w:eastAsia="宋体" w:cs="宋体"/>
          <w:color w:val="auto"/>
          <w:spacing w:val="-1"/>
          <w:sz w:val="21"/>
          <w:szCs w:val="21"/>
          <w:highlight w:val="none"/>
        </w:rPr>
        <w:t>宜。</w:t>
      </w:r>
    </w:p>
    <w:p w14:paraId="7089F406">
      <w:pPr>
        <w:spacing w:line="332" w:lineRule="auto"/>
        <w:rPr>
          <w:rFonts w:ascii="Arial"/>
          <w:color w:val="auto"/>
          <w:sz w:val="21"/>
          <w:highlight w:val="none"/>
        </w:rPr>
      </w:pPr>
    </w:p>
    <w:p w14:paraId="2DB3184A">
      <w:pPr>
        <w:spacing w:before="92" w:line="219" w:lineRule="auto"/>
        <w:ind w:left="1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4.9</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工程价款应专款专用</w:t>
      </w:r>
    </w:p>
    <w:p w14:paraId="6A7D33AD">
      <w:pPr>
        <w:spacing w:before="283" w:line="219" w:lineRule="auto"/>
        <w:ind w:left="425"/>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发包人按合同约定支付给承包人的各项价款应专用</w:t>
      </w:r>
      <w:r>
        <w:rPr>
          <w:rFonts w:ascii="宋体" w:hAnsi="宋体" w:eastAsia="宋体" w:cs="宋体"/>
          <w:color w:val="auto"/>
          <w:spacing w:val="-1"/>
          <w:sz w:val="21"/>
          <w:szCs w:val="21"/>
          <w:highlight w:val="none"/>
        </w:rPr>
        <w:t>于合同工程。</w:t>
      </w:r>
    </w:p>
    <w:p w14:paraId="282C8AB6">
      <w:pPr>
        <w:spacing w:line="334" w:lineRule="auto"/>
        <w:rPr>
          <w:rFonts w:ascii="Arial"/>
          <w:color w:val="auto"/>
          <w:sz w:val="21"/>
          <w:highlight w:val="none"/>
        </w:rPr>
      </w:pPr>
    </w:p>
    <w:p w14:paraId="65FFE073">
      <w:pPr>
        <w:spacing w:before="92" w:line="220" w:lineRule="auto"/>
        <w:ind w:left="1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4.10</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承包人现场查勘</w:t>
      </w:r>
    </w:p>
    <w:p w14:paraId="3CDFB468">
      <w:pPr>
        <w:spacing w:before="279" w:line="290" w:lineRule="auto"/>
        <w:ind w:left="9" w:right="59" w:firstLine="41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4.10.1 发包人应将其持有的现场地质勘探</w:t>
      </w:r>
      <w:r>
        <w:rPr>
          <w:rFonts w:ascii="宋体" w:hAnsi="宋体" w:eastAsia="宋体" w:cs="宋体"/>
          <w:color w:val="auto"/>
          <w:spacing w:val="-2"/>
          <w:sz w:val="21"/>
          <w:szCs w:val="21"/>
          <w:highlight w:val="none"/>
        </w:rPr>
        <w:t>资料、水文气象资料提供给承包人，并对其准确性负</w:t>
      </w:r>
      <w:r>
        <w:rPr>
          <w:rFonts w:ascii="宋体" w:hAnsi="宋体" w:eastAsia="宋体" w:cs="宋体"/>
          <w:color w:val="auto"/>
          <w:sz w:val="21"/>
          <w:szCs w:val="21"/>
          <w:highlight w:val="none"/>
        </w:rPr>
        <w:t xml:space="preserve"> 责。但承包人应对其阅读上述有关资料后所作</w:t>
      </w:r>
      <w:r>
        <w:rPr>
          <w:rFonts w:ascii="宋体" w:hAnsi="宋体" w:eastAsia="宋体" w:cs="宋体"/>
          <w:color w:val="auto"/>
          <w:spacing w:val="-1"/>
          <w:sz w:val="21"/>
          <w:szCs w:val="21"/>
          <w:highlight w:val="none"/>
        </w:rPr>
        <w:t>出的解释和推断负责。</w:t>
      </w:r>
    </w:p>
    <w:p w14:paraId="35B462D9">
      <w:pPr>
        <w:spacing w:before="158" w:line="350" w:lineRule="auto"/>
        <w:ind w:right="62" w:firstLine="42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4.10.2 承包人应对施工场地和周围</w:t>
      </w:r>
      <w:r>
        <w:rPr>
          <w:rFonts w:ascii="宋体" w:hAnsi="宋体" w:eastAsia="宋体" w:cs="宋体"/>
          <w:color w:val="auto"/>
          <w:spacing w:val="-2"/>
          <w:sz w:val="21"/>
          <w:szCs w:val="21"/>
          <w:highlight w:val="none"/>
        </w:rPr>
        <w:t>环境进行查勘，并收集有关地质、水文、气象条件、交通条</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件、风俗习惯以及其他为完成合同工作有关的当地资料。在全</w:t>
      </w:r>
      <w:r>
        <w:rPr>
          <w:rFonts w:ascii="宋体" w:hAnsi="宋体" w:eastAsia="宋体" w:cs="宋体"/>
          <w:color w:val="auto"/>
          <w:sz w:val="21"/>
          <w:szCs w:val="21"/>
          <w:highlight w:val="none"/>
        </w:rPr>
        <w:t xml:space="preserve">部合同工作中，应视为承包人已充分 </w:t>
      </w:r>
      <w:r>
        <w:rPr>
          <w:rFonts w:ascii="宋体" w:hAnsi="宋体" w:eastAsia="宋体" w:cs="宋体"/>
          <w:color w:val="auto"/>
          <w:spacing w:val="-2"/>
          <w:sz w:val="21"/>
          <w:szCs w:val="21"/>
          <w:highlight w:val="none"/>
        </w:rPr>
        <w:t>估计了应承担的责任和风险。</w:t>
      </w:r>
    </w:p>
    <w:p w14:paraId="5B18D62F">
      <w:pPr>
        <w:spacing w:before="301" w:line="220" w:lineRule="auto"/>
        <w:ind w:left="1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4.11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不利物质条件</w:t>
      </w:r>
    </w:p>
    <w:p w14:paraId="5938AEBB">
      <w:pPr>
        <w:spacing w:before="280" w:line="290" w:lineRule="auto"/>
        <w:ind w:left="36" w:right="59" w:firstLine="38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4.11.1 不利物质条件，除专用合同条款另</w:t>
      </w:r>
      <w:r>
        <w:rPr>
          <w:rFonts w:ascii="宋体" w:hAnsi="宋体" w:eastAsia="宋体" w:cs="宋体"/>
          <w:color w:val="auto"/>
          <w:spacing w:val="-2"/>
          <w:sz w:val="21"/>
          <w:szCs w:val="21"/>
          <w:highlight w:val="none"/>
        </w:rPr>
        <w:t>有约定外，是指承包人在施工场地遇到的不可预见的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自然物质条件、非自然的物质障碍和污染物，包括地下和水文条件，但不包括气候条件。</w:t>
      </w:r>
    </w:p>
    <w:p w14:paraId="036A10DE">
      <w:pPr>
        <w:spacing w:before="157"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4.11.2 承包人遇到不利物质条件时，应采</w:t>
      </w:r>
      <w:r>
        <w:rPr>
          <w:rFonts w:ascii="宋体" w:hAnsi="宋体" w:eastAsia="宋体" w:cs="宋体"/>
          <w:color w:val="auto"/>
          <w:spacing w:val="-2"/>
          <w:sz w:val="21"/>
          <w:szCs w:val="21"/>
          <w:highlight w:val="none"/>
        </w:rPr>
        <w:t>取适应不利物质条件的合理措施继续施工，并及时通</w:t>
      </w:r>
    </w:p>
    <w:p w14:paraId="6B17EF89">
      <w:pPr>
        <w:spacing w:before="42" w:line="345" w:lineRule="auto"/>
        <w:ind w:left="18" w:hanging="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知监理人。监理人应当及时发出指示，指示构成变更的，按第</w:t>
      </w:r>
      <w:r>
        <w:rPr>
          <w:rFonts w:ascii="宋体" w:hAnsi="宋体" w:eastAsia="宋体" w:cs="宋体"/>
          <w:color w:val="auto"/>
          <w:spacing w:val="-31"/>
          <w:sz w:val="21"/>
          <w:szCs w:val="21"/>
          <w:highlight w:val="none"/>
        </w:rPr>
        <w:t xml:space="preserve"> </w:t>
      </w:r>
      <w:r>
        <w:rPr>
          <w:rFonts w:ascii="宋体" w:hAnsi="宋体" w:eastAsia="宋体" w:cs="宋体"/>
          <w:color w:val="auto"/>
          <w:spacing w:val="-3"/>
          <w:sz w:val="21"/>
          <w:szCs w:val="21"/>
          <w:highlight w:val="none"/>
        </w:rPr>
        <w:t>15</w:t>
      </w:r>
      <w:r>
        <w:rPr>
          <w:rFonts w:ascii="宋体" w:hAnsi="宋体" w:eastAsia="宋体" w:cs="宋体"/>
          <w:color w:val="auto"/>
          <w:spacing w:val="-42"/>
          <w:sz w:val="21"/>
          <w:szCs w:val="21"/>
          <w:highlight w:val="none"/>
        </w:rPr>
        <w:t xml:space="preserve"> </w:t>
      </w:r>
      <w:r>
        <w:rPr>
          <w:rFonts w:ascii="宋体" w:hAnsi="宋体" w:eastAsia="宋体" w:cs="宋体"/>
          <w:color w:val="auto"/>
          <w:spacing w:val="-3"/>
          <w:sz w:val="21"/>
          <w:szCs w:val="21"/>
          <w:highlight w:val="none"/>
        </w:rPr>
        <w:t>条约定办理。监理人没有发出指示</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的，承包人因采取合理措施而增加的费用和（或）工期延误，由发包人承担。</w:t>
      </w:r>
    </w:p>
    <w:p w14:paraId="26BFECCF">
      <w:pPr>
        <w:spacing w:before="46" w:line="224" w:lineRule="auto"/>
        <w:ind w:left="11"/>
        <w:outlineLvl w:val="2"/>
        <w:rPr>
          <w:rFonts w:ascii="宋体" w:hAnsi="宋体" w:eastAsia="宋体" w:cs="宋体"/>
          <w:color w:val="auto"/>
          <w:sz w:val="31"/>
          <w:szCs w:val="31"/>
          <w:highlight w:val="none"/>
        </w:rPr>
      </w:pPr>
      <w:bookmarkStart w:id="236" w:name="_Toc22952"/>
      <w:bookmarkStart w:id="237" w:name="_Toc5035"/>
      <w:r>
        <w:rPr>
          <w:rFonts w:ascii="宋体" w:hAnsi="宋体" w:eastAsia="宋体" w:cs="宋体"/>
          <w:b/>
          <w:bCs/>
          <w:color w:val="auto"/>
          <w:spacing w:val="4"/>
          <w:sz w:val="31"/>
          <w:szCs w:val="31"/>
          <w:highlight w:val="none"/>
        </w:rPr>
        <w:t>5.</w:t>
      </w:r>
      <w:r>
        <w:rPr>
          <w:rFonts w:ascii="宋体" w:hAnsi="宋体" w:eastAsia="宋体" w:cs="宋体"/>
          <w:color w:val="auto"/>
          <w:spacing w:val="4"/>
          <w:sz w:val="31"/>
          <w:szCs w:val="31"/>
          <w:highlight w:val="none"/>
        </w:rPr>
        <w:t xml:space="preserve"> </w:t>
      </w:r>
      <w:r>
        <w:rPr>
          <w:rFonts w:ascii="宋体" w:hAnsi="宋体" w:eastAsia="宋体" w:cs="宋体"/>
          <w:b/>
          <w:bCs/>
          <w:color w:val="auto"/>
          <w:spacing w:val="4"/>
          <w:sz w:val="31"/>
          <w:szCs w:val="31"/>
          <w:highlight w:val="none"/>
        </w:rPr>
        <w:t>材料和工程设备</w:t>
      </w:r>
      <w:bookmarkEnd w:id="236"/>
      <w:bookmarkEnd w:id="237"/>
    </w:p>
    <w:p w14:paraId="4240637F">
      <w:pPr>
        <w:spacing w:before="278" w:line="219" w:lineRule="auto"/>
        <w:ind w:left="14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5.1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承包人提供的材料和工程设备</w:t>
      </w:r>
    </w:p>
    <w:p w14:paraId="06AD5CAA">
      <w:pPr>
        <w:spacing w:before="282" w:line="289" w:lineRule="auto"/>
        <w:ind w:left="1" w:right="3"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5.1.1 除专用合同条款另有约定外，承包人提供的材料和</w:t>
      </w:r>
      <w:r>
        <w:rPr>
          <w:rFonts w:ascii="宋体" w:hAnsi="宋体" w:eastAsia="宋体" w:cs="宋体"/>
          <w:color w:val="auto"/>
          <w:sz w:val="21"/>
          <w:szCs w:val="21"/>
          <w:highlight w:val="none"/>
        </w:rPr>
        <w:t xml:space="preserve">工程设备均由承包人负责采购、运输 </w:t>
      </w:r>
      <w:r>
        <w:rPr>
          <w:rFonts w:ascii="宋体" w:hAnsi="宋体" w:eastAsia="宋体" w:cs="宋体"/>
          <w:color w:val="auto"/>
          <w:spacing w:val="-1"/>
          <w:sz w:val="21"/>
          <w:szCs w:val="21"/>
          <w:highlight w:val="none"/>
        </w:rPr>
        <w:t>和保管。承包人应对其采购的材料和工程设备负责。</w:t>
      </w:r>
    </w:p>
    <w:p w14:paraId="70B2847A">
      <w:pPr>
        <w:spacing w:before="159" w:line="313" w:lineRule="auto"/>
        <w:ind w:right="1"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5.1.2 承包人应按专用合同条款的约定，将各项材料和工</w:t>
      </w:r>
      <w:r>
        <w:rPr>
          <w:rFonts w:ascii="宋体" w:hAnsi="宋体" w:eastAsia="宋体" w:cs="宋体"/>
          <w:color w:val="auto"/>
          <w:sz w:val="21"/>
          <w:szCs w:val="21"/>
          <w:highlight w:val="none"/>
        </w:rPr>
        <w:t xml:space="preserve">程设备的供货人及品种、规格、数量 </w:t>
      </w:r>
      <w:r>
        <w:rPr>
          <w:rFonts w:ascii="宋体" w:hAnsi="宋体" w:eastAsia="宋体" w:cs="宋体"/>
          <w:color w:val="auto"/>
          <w:spacing w:val="1"/>
          <w:sz w:val="21"/>
          <w:szCs w:val="21"/>
          <w:highlight w:val="none"/>
        </w:rPr>
        <w:t>和供货时间等报送监理人审批。承包人应向监理人提交其负责提供的材料和工程设</w:t>
      </w:r>
      <w:r>
        <w:rPr>
          <w:rFonts w:ascii="宋体" w:hAnsi="宋体" w:eastAsia="宋体" w:cs="宋体"/>
          <w:color w:val="auto"/>
          <w:sz w:val="21"/>
          <w:szCs w:val="21"/>
          <w:highlight w:val="none"/>
        </w:rPr>
        <w:t xml:space="preserve">备的质量证明文 </w:t>
      </w:r>
      <w:r>
        <w:rPr>
          <w:rFonts w:ascii="宋体" w:hAnsi="宋体" w:eastAsia="宋体" w:cs="宋体"/>
          <w:color w:val="auto"/>
          <w:spacing w:val="-1"/>
          <w:sz w:val="21"/>
          <w:szCs w:val="21"/>
          <w:highlight w:val="none"/>
        </w:rPr>
        <w:t>件，并满足合同约定的质量标准。</w:t>
      </w:r>
    </w:p>
    <w:p w14:paraId="6162DAD8">
      <w:pPr>
        <w:spacing w:before="156" w:line="313" w:lineRule="auto"/>
        <w:ind w:right="1"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5.1.3 对承包人提供的材料和工程设备，承包人应会同监理</w:t>
      </w:r>
      <w:r>
        <w:rPr>
          <w:rFonts w:ascii="宋体" w:hAnsi="宋体" w:eastAsia="宋体" w:cs="宋体"/>
          <w:color w:val="auto"/>
          <w:sz w:val="21"/>
          <w:szCs w:val="21"/>
          <w:highlight w:val="none"/>
        </w:rPr>
        <w:t xml:space="preserve">人进行检验和交货验收，查验材料 </w:t>
      </w:r>
      <w:r>
        <w:rPr>
          <w:rFonts w:ascii="宋体" w:hAnsi="宋体" w:eastAsia="宋体" w:cs="宋体"/>
          <w:color w:val="auto"/>
          <w:spacing w:val="1"/>
          <w:sz w:val="21"/>
          <w:szCs w:val="21"/>
          <w:highlight w:val="none"/>
        </w:rPr>
        <w:t>合格证明和产品合格证书，并按合同约定和监理人指示，进行材料的抽样检验和</w:t>
      </w:r>
      <w:r>
        <w:rPr>
          <w:rFonts w:ascii="宋体" w:hAnsi="宋体" w:eastAsia="宋体" w:cs="宋体"/>
          <w:color w:val="auto"/>
          <w:sz w:val="21"/>
          <w:szCs w:val="21"/>
          <w:highlight w:val="none"/>
        </w:rPr>
        <w:t xml:space="preserve">工程设备的检验测 </w:t>
      </w:r>
      <w:r>
        <w:rPr>
          <w:rFonts w:ascii="宋体" w:hAnsi="宋体" w:eastAsia="宋体" w:cs="宋体"/>
          <w:color w:val="auto"/>
          <w:spacing w:val="-1"/>
          <w:sz w:val="21"/>
          <w:szCs w:val="21"/>
          <w:highlight w:val="none"/>
        </w:rPr>
        <w:t>试，检验和测试结果应提交监理人，所需费用由承包人承担。</w:t>
      </w:r>
    </w:p>
    <w:p w14:paraId="7D47AC58">
      <w:pPr>
        <w:spacing w:line="335" w:lineRule="auto"/>
        <w:rPr>
          <w:rFonts w:ascii="Arial"/>
          <w:color w:val="auto"/>
          <w:sz w:val="21"/>
          <w:highlight w:val="none"/>
        </w:rPr>
      </w:pPr>
    </w:p>
    <w:p w14:paraId="06B93DEE">
      <w:pPr>
        <w:spacing w:before="92" w:line="219" w:lineRule="auto"/>
        <w:ind w:left="14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5.2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发包人提供的材料和工程设备</w:t>
      </w:r>
    </w:p>
    <w:p w14:paraId="114C660C">
      <w:pPr>
        <w:spacing w:before="281" w:line="289" w:lineRule="auto"/>
        <w:ind w:left="2" w:right="31" w:firstLine="4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5.2.1 发包人提供的材料和工程设备，应在专用合同条款中写明材料和工程设备的名称、规格、</w:t>
      </w:r>
      <w:r>
        <w:rPr>
          <w:rFonts w:ascii="宋体" w:hAnsi="宋体" w:eastAsia="宋体" w:cs="宋体"/>
          <w:color w:val="auto"/>
          <w:spacing w:val="15"/>
          <w:sz w:val="21"/>
          <w:szCs w:val="21"/>
          <w:highlight w:val="none"/>
        </w:rPr>
        <w:t xml:space="preserve"> </w:t>
      </w:r>
      <w:r>
        <w:rPr>
          <w:rFonts w:ascii="宋体" w:hAnsi="宋体" w:eastAsia="宋体" w:cs="宋体"/>
          <w:color w:val="auto"/>
          <w:spacing w:val="-1"/>
          <w:sz w:val="21"/>
          <w:szCs w:val="21"/>
          <w:highlight w:val="none"/>
        </w:rPr>
        <w:t>数量、价格、交货方式、交货地点和计划交货日期等。</w:t>
      </w:r>
    </w:p>
    <w:p w14:paraId="1D205313">
      <w:pPr>
        <w:spacing w:before="160" w:line="289" w:lineRule="auto"/>
        <w:ind w:right="3"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5.2.2 承包人应根据合同进度计划的安排，向监理人报送</w:t>
      </w:r>
      <w:r>
        <w:rPr>
          <w:rFonts w:ascii="宋体" w:hAnsi="宋体" w:eastAsia="宋体" w:cs="宋体"/>
          <w:color w:val="auto"/>
          <w:sz w:val="21"/>
          <w:szCs w:val="21"/>
          <w:highlight w:val="none"/>
        </w:rPr>
        <w:t xml:space="preserve">要求发包人交货的日期计划。发包人 </w:t>
      </w:r>
      <w:r>
        <w:rPr>
          <w:rFonts w:ascii="宋体" w:hAnsi="宋体" w:eastAsia="宋体" w:cs="宋体"/>
          <w:color w:val="auto"/>
          <w:spacing w:val="-1"/>
          <w:sz w:val="21"/>
          <w:szCs w:val="21"/>
          <w:highlight w:val="none"/>
        </w:rPr>
        <w:t>应按照监理人与合同双方当事人商定的交货日期，向承包人提交材料和工程设备。</w:t>
      </w:r>
    </w:p>
    <w:p w14:paraId="690848D7">
      <w:pPr>
        <w:spacing w:before="159" w:line="313" w:lineRule="auto"/>
        <w:ind w:left="26" w:firstLine="39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5.2.3 发包人应在材料和工程设备到货</w:t>
      </w:r>
      <w:r>
        <w:rPr>
          <w:rFonts w:ascii="宋体" w:hAnsi="宋体" w:eastAsia="宋体" w:cs="宋体"/>
          <w:color w:val="auto"/>
          <w:spacing w:val="-9"/>
          <w:sz w:val="21"/>
          <w:szCs w:val="21"/>
          <w:highlight w:val="none"/>
        </w:rPr>
        <w:t xml:space="preserve"> </w:t>
      </w:r>
      <w:r>
        <w:rPr>
          <w:rFonts w:ascii="宋体" w:hAnsi="宋体" w:eastAsia="宋体" w:cs="宋体"/>
          <w:color w:val="auto"/>
          <w:spacing w:val="-1"/>
          <w:sz w:val="21"/>
          <w:szCs w:val="21"/>
          <w:highlight w:val="none"/>
        </w:rPr>
        <w:t>7</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天前通知承包人，承包人应会同监理人在约定的时间</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内，赴交货地点共同进行验收。除专用合同条</w:t>
      </w:r>
      <w:r>
        <w:rPr>
          <w:rFonts w:ascii="宋体" w:hAnsi="宋体" w:eastAsia="宋体" w:cs="宋体"/>
          <w:color w:val="auto"/>
          <w:spacing w:val="-5"/>
          <w:sz w:val="21"/>
          <w:szCs w:val="21"/>
          <w:highlight w:val="none"/>
        </w:rPr>
        <w:t>款另有约定外，发包人提供的材料和工程设备验收后，</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由承包人负责接收、运输和保管。</w:t>
      </w:r>
    </w:p>
    <w:p w14:paraId="336D038F">
      <w:pPr>
        <w:spacing w:before="157" w:line="290" w:lineRule="auto"/>
        <w:ind w:left="12" w:right="3" w:firstLine="4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5.2.4 发包人要求向承包人提前交货的，承包人不得拒绝</w:t>
      </w:r>
      <w:r>
        <w:rPr>
          <w:rFonts w:ascii="宋体" w:hAnsi="宋体" w:eastAsia="宋体" w:cs="宋体"/>
          <w:color w:val="auto"/>
          <w:sz w:val="21"/>
          <w:szCs w:val="21"/>
          <w:highlight w:val="none"/>
        </w:rPr>
        <w:t xml:space="preserve">，但发包人应承担承包人由此增加的 </w:t>
      </w:r>
      <w:r>
        <w:rPr>
          <w:rFonts w:ascii="宋体" w:hAnsi="宋体" w:eastAsia="宋体" w:cs="宋体"/>
          <w:color w:val="auto"/>
          <w:spacing w:val="-11"/>
          <w:sz w:val="21"/>
          <w:szCs w:val="21"/>
          <w:highlight w:val="none"/>
        </w:rPr>
        <w:t>费用。</w:t>
      </w:r>
    </w:p>
    <w:p w14:paraId="3D612592">
      <w:pPr>
        <w:spacing w:before="158" w:line="290" w:lineRule="auto"/>
        <w:ind w:left="10" w:right="3" w:firstLine="41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5.2.5 承包人要求更改交货日期或地点的，应事先报请监</w:t>
      </w:r>
      <w:r>
        <w:rPr>
          <w:rFonts w:ascii="宋体" w:hAnsi="宋体" w:eastAsia="宋体" w:cs="宋体"/>
          <w:color w:val="auto"/>
          <w:sz w:val="21"/>
          <w:szCs w:val="21"/>
          <w:highlight w:val="none"/>
        </w:rPr>
        <w:t xml:space="preserve">理人批准。由于承包人要求更改交货 </w:t>
      </w:r>
      <w:r>
        <w:rPr>
          <w:rFonts w:ascii="宋体" w:hAnsi="宋体" w:eastAsia="宋体" w:cs="宋体"/>
          <w:color w:val="auto"/>
          <w:spacing w:val="-1"/>
          <w:sz w:val="21"/>
          <w:szCs w:val="21"/>
          <w:highlight w:val="none"/>
        </w:rPr>
        <w:t>时间或地点所增加的费用和（或）工期延误由承包人承担。</w:t>
      </w:r>
    </w:p>
    <w:p w14:paraId="224C8F1D">
      <w:pPr>
        <w:spacing w:before="157" w:line="313" w:lineRule="auto"/>
        <w:ind w:left="4" w:right="1"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5.2.6 发包人提供的材料和工程设备的规格、数量或质量不</w:t>
      </w:r>
      <w:r>
        <w:rPr>
          <w:rFonts w:ascii="宋体" w:hAnsi="宋体" w:eastAsia="宋体" w:cs="宋体"/>
          <w:color w:val="auto"/>
          <w:sz w:val="21"/>
          <w:szCs w:val="21"/>
          <w:highlight w:val="none"/>
        </w:rPr>
        <w:t xml:space="preserve">符合合同要求，或由于发包人原因 </w:t>
      </w:r>
      <w:r>
        <w:rPr>
          <w:rFonts w:ascii="宋体" w:hAnsi="宋体" w:eastAsia="宋体" w:cs="宋体"/>
          <w:color w:val="auto"/>
          <w:spacing w:val="1"/>
          <w:sz w:val="21"/>
          <w:szCs w:val="21"/>
          <w:highlight w:val="none"/>
        </w:rPr>
        <w:t>发生交货日期延误及交货地点变更等情况的，发包人应承担由此增加的费</w:t>
      </w:r>
      <w:r>
        <w:rPr>
          <w:rFonts w:ascii="宋体" w:hAnsi="宋体" w:eastAsia="宋体" w:cs="宋体"/>
          <w:color w:val="auto"/>
          <w:sz w:val="21"/>
          <w:szCs w:val="21"/>
          <w:highlight w:val="none"/>
        </w:rPr>
        <w:t xml:space="preserve">用和（或）工期延误，并 </w:t>
      </w:r>
      <w:r>
        <w:rPr>
          <w:rFonts w:ascii="宋体" w:hAnsi="宋体" w:eastAsia="宋体" w:cs="宋体"/>
          <w:color w:val="auto"/>
          <w:spacing w:val="-3"/>
          <w:sz w:val="21"/>
          <w:szCs w:val="21"/>
          <w:highlight w:val="none"/>
        </w:rPr>
        <w:t>向承包人支付合理利润。</w:t>
      </w:r>
    </w:p>
    <w:p w14:paraId="64BCAD8A">
      <w:pPr>
        <w:spacing w:line="335" w:lineRule="auto"/>
        <w:rPr>
          <w:rFonts w:ascii="Arial"/>
          <w:color w:val="auto"/>
          <w:sz w:val="21"/>
          <w:highlight w:val="none"/>
        </w:rPr>
      </w:pPr>
    </w:p>
    <w:p w14:paraId="70EDA0E0">
      <w:pPr>
        <w:spacing w:before="92" w:line="219" w:lineRule="auto"/>
        <w:ind w:left="14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5.3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材料和工程设备专用于合同工程</w:t>
      </w:r>
    </w:p>
    <w:p w14:paraId="55551A91">
      <w:pPr>
        <w:spacing w:before="280" w:line="290" w:lineRule="auto"/>
        <w:ind w:left="2" w:right="3"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5.3.1 运入施工场地的材料、工程设备，包括备品备件、</w:t>
      </w:r>
      <w:r>
        <w:rPr>
          <w:rFonts w:ascii="宋体" w:hAnsi="宋体" w:eastAsia="宋体" w:cs="宋体"/>
          <w:color w:val="auto"/>
          <w:sz w:val="21"/>
          <w:szCs w:val="21"/>
          <w:highlight w:val="none"/>
        </w:rPr>
        <w:t>安装专用工器具与随机资料，必须专 用于合同工程，未经监理人同意，承包人不得运出施工场地或挪</w:t>
      </w:r>
      <w:r>
        <w:rPr>
          <w:rFonts w:ascii="宋体" w:hAnsi="宋体" w:eastAsia="宋体" w:cs="宋体"/>
          <w:color w:val="auto"/>
          <w:spacing w:val="-1"/>
          <w:sz w:val="21"/>
          <w:szCs w:val="21"/>
          <w:highlight w:val="none"/>
        </w:rPr>
        <w:t>作他用。</w:t>
      </w:r>
    </w:p>
    <w:p w14:paraId="0F6B52AE">
      <w:pPr>
        <w:spacing w:before="157" w:line="220" w:lineRule="auto"/>
        <w:ind w:right="3"/>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5.3.2 随同工程设备运入施工场地的备品备件、专用工器</w:t>
      </w:r>
      <w:r>
        <w:rPr>
          <w:rFonts w:ascii="宋体" w:hAnsi="宋体" w:eastAsia="宋体" w:cs="宋体"/>
          <w:color w:val="auto"/>
          <w:sz w:val="21"/>
          <w:szCs w:val="21"/>
          <w:highlight w:val="none"/>
        </w:rPr>
        <w:t>具与随机资料，应由承包人会同监理</w:t>
      </w:r>
    </w:p>
    <w:p w14:paraId="1ED1FF77">
      <w:pPr>
        <w:spacing w:before="41" w:line="346" w:lineRule="auto"/>
        <w:ind w:firstLine="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人按供货人的装箱单清点后共同封存，未经监理人同意不得启用。承包人因</w:t>
      </w:r>
      <w:r>
        <w:rPr>
          <w:rFonts w:ascii="宋体" w:hAnsi="宋体" w:eastAsia="宋体" w:cs="宋体"/>
          <w:color w:val="auto"/>
          <w:sz w:val="21"/>
          <w:szCs w:val="21"/>
          <w:highlight w:val="none"/>
        </w:rPr>
        <w:t xml:space="preserve">合同工作需要使用上述 </w:t>
      </w:r>
      <w:r>
        <w:rPr>
          <w:rFonts w:ascii="宋体" w:hAnsi="宋体" w:eastAsia="宋体" w:cs="宋体"/>
          <w:color w:val="auto"/>
          <w:spacing w:val="-2"/>
          <w:sz w:val="21"/>
          <w:szCs w:val="21"/>
          <w:highlight w:val="none"/>
        </w:rPr>
        <w:t>物品时，应向监理人提出申请。</w:t>
      </w:r>
    </w:p>
    <w:p w14:paraId="6E16DB21">
      <w:pPr>
        <w:spacing w:before="299" w:line="219" w:lineRule="auto"/>
        <w:ind w:left="14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5.4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禁止使用不合格的材料和工程设备</w:t>
      </w:r>
    </w:p>
    <w:p w14:paraId="7682D015">
      <w:pPr>
        <w:spacing w:before="280" w:line="290" w:lineRule="auto"/>
        <w:ind w:left="2" w:right="2"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5.4.1 监理人有权拒绝承包人提供的不合格材料或工程设</w:t>
      </w:r>
      <w:r>
        <w:rPr>
          <w:rFonts w:ascii="宋体" w:hAnsi="宋体" w:eastAsia="宋体" w:cs="宋体"/>
          <w:color w:val="auto"/>
          <w:sz w:val="21"/>
          <w:szCs w:val="21"/>
          <w:highlight w:val="none"/>
        </w:rPr>
        <w:t>备，并要求承包人立即进行更换。监 理人应在更换后再次进行检查和检验，由此增加的费用和（或）工期延误由承包</w:t>
      </w:r>
      <w:r>
        <w:rPr>
          <w:rFonts w:ascii="宋体" w:hAnsi="宋体" w:eastAsia="宋体" w:cs="宋体"/>
          <w:color w:val="auto"/>
          <w:spacing w:val="-1"/>
          <w:sz w:val="21"/>
          <w:szCs w:val="21"/>
          <w:highlight w:val="none"/>
        </w:rPr>
        <w:t>人承担。</w:t>
      </w:r>
    </w:p>
    <w:p w14:paraId="0EF083FC">
      <w:pPr>
        <w:spacing w:before="160" w:line="289" w:lineRule="auto"/>
        <w:ind w:left="4"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5.4.2 监理人发现承包人使用了不合格的材料和工程设备</w:t>
      </w:r>
      <w:r>
        <w:rPr>
          <w:rFonts w:ascii="宋体" w:hAnsi="宋体" w:eastAsia="宋体" w:cs="宋体"/>
          <w:color w:val="auto"/>
          <w:sz w:val="21"/>
          <w:szCs w:val="21"/>
          <w:highlight w:val="none"/>
        </w:rPr>
        <w:t xml:space="preserve">，应即时发出指示要求承包人立即改 </w:t>
      </w:r>
      <w:r>
        <w:rPr>
          <w:rFonts w:ascii="宋体" w:hAnsi="宋体" w:eastAsia="宋体" w:cs="宋体"/>
          <w:color w:val="auto"/>
          <w:spacing w:val="-1"/>
          <w:sz w:val="21"/>
          <w:szCs w:val="21"/>
          <w:highlight w:val="none"/>
        </w:rPr>
        <w:t>正，并禁止在工程中继续使用不合格的材料和工程</w:t>
      </w:r>
      <w:r>
        <w:rPr>
          <w:rFonts w:ascii="宋体" w:hAnsi="宋体" w:eastAsia="宋体" w:cs="宋体"/>
          <w:color w:val="auto"/>
          <w:spacing w:val="-2"/>
          <w:sz w:val="21"/>
          <w:szCs w:val="21"/>
          <w:highlight w:val="none"/>
        </w:rPr>
        <w:t>设备。</w:t>
      </w:r>
    </w:p>
    <w:p w14:paraId="6B885310">
      <w:pPr>
        <w:spacing w:before="157" w:line="290" w:lineRule="auto"/>
        <w:ind w:left="1" w:right="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5.4.3 发包人提供的材料或工程设备不符合合同要求的，</w:t>
      </w:r>
      <w:r>
        <w:rPr>
          <w:rFonts w:ascii="宋体" w:hAnsi="宋体" w:eastAsia="宋体" w:cs="宋体"/>
          <w:color w:val="auto"/>
          <w:sz w:val="21"/>
          <w:szCs w:val="21"/>
          <w:highlight w:val="none"/>
        </w:rPr>
        <w:t xml:space="preserve">承包人有权拒绝，并可要求发包人更 </w:t>
      </w:r>
      <w:r>
        <w:rPr>
          <w:rFonts w:ascii="宋体" w:hAnsi="宋体" w:eastAsia="宋体" w:cs="宋体"/>
          <w:color w:val="auto"/>
          <w:spacing w:val="-1"/>
          <w:sz w:val="21"/>
          <w:szCs w:val="21"/>
          <w:highlight w:val="none"/>
        </w:rPr>
        <w:t>换，由此增加的费用和（或）工期延误由发包人承担。</w:t>
      </w:r>
    </w:p>
    <w:p w14:paraId="7340E870">
      <w:pPr>
        <w:spacing w:before="175" w:line="225" w:lineRule="auto"/>
        <w:ind w:left="6"/>
        <w:outlineLvl w:val="2"/>
        <w:rPr>
          <w:rFonts w:ascii="宋体" w:hAnsi="宋体" w:eastAsia="宋体" w:cs="宋体"/>
          <w:color w:val="auto"/>
          <w:sz w:val="31"/>
          <w:szCs w:val="31"/>
          <w:highlight w:val="none"/>
        </w:rPr>
      </w:pPr>
      <w:bookmarkStart w:id="238" w:name="_Toc10681"/>
      <w:bookmarkStart w:id="239" w:name="_Toc15331"/>
      <w:r>
        <w:rPr>
          <w:rFonts w:ascii="宋体" w:hAnsi="宋体" w:eastAsia="宋体" w:cs="宋体"/>
          <w:b/>
          <w:bCs/>
          <w:color w:val="auto"/>
          <w:spacing w:val="5"/>
          <w:sz w:val="31"/>
          <w:szCs w:val="31"/>
          <w:highlight w:val="none"/>
        </w:rPr>
        <w:t>6.</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施工设备和临时设施</w:t>
      </w:r>
      <w:bookmarkEnd w:id="238"/>
      <w:bookmarkEnd w:id="239"/>
    </w:p>
    <w:p w14:paraId="4E5D3E86">
      <w:pPr>
        <w:spacing w:before="275" w:line="219"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6.1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承包人提供的施工设备和临时设施</w:t>
      </w:r>
    </w:p>
    <w:p w14:paraId="6CC61B71">
      <w:pPr>
        <w:spacing w:before="282" w:line="351" w:lineRule="auto"/>
        <w:ind w:firstLine="421"/>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6.1.1 承包人应按合同进度计划的要求，及时配置施工设备和修建临时设施。进入施工场地的</w:t>
      </w:r>
      <w:r>
        <w:rPr>
          <w:rFonts w:ascii="宋体" w:hAnsi="宋体" w:eastAsia="宋体" w:cs="宋体"/>
          <w:color w:val="auto"/>
          <w:spacing w:val="14"/>
          <w:sz w:val="21"/>
          <w:szCs w:val="21"/>
          <w:highlight w:val="none"/>
        </w:rPr>
        <w:t xml:space="preserve"> </w:t>
      </w:r>
      <w:r>
        <w:rPr>
          <w:rFonts w:ascii="宋体" w:hAnsi="宋体" w:eastAsia="宋体" w:cs="宋体"/>
          <w:color w:val="auto"/>
          <w:spacing w:val="1"/>
          <w:sz w:val="21"/>
          <w:szCs w:val="21"/>
          <w:highlight w:val="none"/>
        </w:rPr>
        <w:t>承包人设备需经监理人核查后才能投入使用。承包人更换合同约定的承包人设备</w:t>
      </w:r>
      <w:r>
        <w:rPr>
          <w:rFonts w:ascii="宋体" w:hAnsi="宋体" w:eastAsia="宋体" w:cs="宋体"/>
          <w:color w:val="auto"/>
          <w:sz w:val="21"/>
          <w:szCs w:val="21"/>
          <w:highlight w:val="none"/>
        </w:rPr>
        <w:t xml:space="preserve">的，应报监理人批 </w:t>
      </w:r>
      <w:r>
        <w:rPr>
          <w:rFonts w:ascii="宋体" w:hAnsi="宋体" w:eastAsia="宋体" w:cs="宋体"/>
          <w:color w:val="auto"/>
          <w:spacing w:val="-10"/>
          <w:sz w:val="21"/>
          <w:szCs w:val="21"/>
          <w:highlight w:val="none"/>
        </w:rPr>
        <w:t>准。</w:t>
      </w:r>
    </w:p>
    <w:p w14:paraId="360CC3B6">
      <w:pPr>
        <w:spacing w:before="28" w:line="345" w:lineRule="auto"/>
        <w:ind w:right="44" w:firstLine="42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6.1.2</w:t>
      </w:r>
      <w:r>
        <w:rPr>
          <w:rFonts w:ascii="宋体" w:hAnsi="宋体" w:eastAsia="宋体" w:cs="宋体"/>
          <w:color w:val="auto"/>
          <w:spacing w:val="-34"/>
          <w:sz w:val="21"/>
          <w:szCs w:val="21"/>
          <w:highlight w:val="none"/>
        </w:rPr>
        <w:t xml:space="preserve"> </w:t>
      </w:r>
      <w:r>
        <w:rPr>
          <w:rFonts w:ascii="宋体" w:hAnsi="宋体" w:eastAsia="宋体" w:cs="宋体"/>
          <w:color w:val="auto"/>
          <w:spacing w:val="-4"/>
          <w:sz w:val="21"/>
          <w:szCs w:val="21"/>
          <w:highlight w:val="none"/>
        </w:rPr>
        <w:t>除专用合同条款另有约定外，承包人应自行承担修建临时设施</w:t>
      </w:r>
      <w:r>
        <w:rPr>
          <w:rFonts w:ascii="宋体" w:hAnsi="宋体" w:eastAsia="宋体" w:cs="宋体"/>
          <w:color w:val="auto"/>
          <w:spacing w:val="-5"/>
          <w:sz w:val="21"/>
          <w:szCs w:val="21"/>
          <w:highlight w:val="none"/>
        </w:rPr>
        <w:t>的费用，需要临时占地的，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应由发包人办理申请手续并承担相应费用。</w:t>
      </w:r>
    </w:p>
    <w:p w14:paraId="47A8E02C">
      <w:pPr>
        <w:spacing w:before="301" w:line="219"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6.2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发包人提供的施工设备和临时设施</w:t>
      </w:r>
    </w:p>
    <w:p w14:paraId="45052C72">
      <w:pPr>
        <w:spacing w:line="319" w:lineRule="auto"/>
        <w:rPr>
          <w:rFonts w:ascii="Arial"/>
          <w:color w:val="auto"/>
          <w:sz w:val="21"/>
          <w:highlight w:val="none"/>
        </w:rPr>
      </w:pPr>
    </w:p>
    <w:p w14:paraId="42D6E5D0">
      <w:pPr>
        <w:spacing w:before="68" w:line="220" w:lineRule="auto"/>
        <w:ind w:left="423"/>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发包人提供的施工设备或临时设施在专用合同</w:t>
      </w:r>
      <w:r>
        <w:rPr>
          <w:rFonts w:ascii="宋体" w:hAnsi="宋体" w:eastAsia="宋体" w:cs="宋体"/>
          <w:color w:val="auto"/>
          <w:spacing w:val="-1"/>
          <w:sz w:val="21"/>
          <w:szCs w:val="21"/>
          <w:highlight w:val="none"/>
        </w:rPr>
        <w:t>条款中约定。</w:t>
      </w:r>
    </w:p>
    <w:p w14:paraId="23DD1E03">
      <w:pPr>
        <w:spacing w:before="312" w:line="220"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6.3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要求承包人增加或更换施工设备</w:t>
      </w:r>
    </w:p>
    <w:p w14:paraId="291B686E">
      <w:pPr>
        <w:spacing w:before="281" w:line="345" w:lineRule="auto"/>
        <w:ind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承包人使用的施工设备不能满足合同进度计划和（或）质量要求时，监理</w:t>
      </w:r>
      <w:r>
        <w:rPr>
          <w:rFonts w:ascii="宋体" w:hAnsi="宋体" w:eastAsia="宋体" w:cs="宋体"/>
          <w:color w:val="auto"/>
          <w:sz w:val="21"/>
          <w:szCs w:val="21"/>
          <w:highlight w:val="none"/>
        </w:rPr>
        <w:t>人有权要求承包人增 加或更换施工设备，承包人应及时增加或更换，由此增加的费用和（或）工期延误由承包人承担。</w:t>
      </w:r>
    </w:p>
    <w:p w14:paraId="16C863DA">
      <w:pPr>
        <w:spacing w:before="300" w:line="220"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6.4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施工设备和临时设施专用于合同工程</w:t>
      </w:r>
    </w:p>
    <w:p w14:paraId="3E2D97EB">
      <w:pPr>
        <w:spacing w:before="281" w:line="351" w:lineRule="auto"/>
        <w:ind w:firstLine="42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6.4.1 除合同另有约定外，运入施工场地的所有施工设备以及在</w:t>
      </w:r>
      <w:r>
        <w:rPr>
          <w:rFonts w:ascii="宋体" w:hAnsi="宋体" w:eastAsia="宋体" w:cs="宋体"/>
          <w:color w:val="auto"/>
          <w:sz w:val="21"/>
          <w:szCs w:val="21"/>
          <w:highlight w:val="none"/>
        </w:rPr>
        <w:t xml:space="preserve">施工场地建设的临时设施应专 </w:t>
      </w:r>
      <w:r>
        <w:rPr>
          <w:rFonts w:ascii="宋体" w:hAnsi="宋体" w:eastAsia="宋体" w:cs="宋体"/>
          <w:color w:val="auto"/>
          <w:spacing w:val="1"/>
          <w:sz w:val="21"/>
          <w:szCs w:val="21"/>
          <w:highlight w:val="none"/>
        </w:rPr>
        <w:t>用于合同工程。未经监理人同意，不得将上述施工设备和临时设施中的任何部</w:t>
      </w:r>
      <w:r>
        <w:rPr>
          <w:rFonts w:ascii="宋体" w:hAnsi="宋体" w:eastAsia="宋体" w:cs="宋体"/>
          <w:color w:val="auto"/>
          <w:sz w:val="21"/>
          <w:szCs w:val="21"/>
          <w:highlight w:val="none"/>
        </w:rPr>
        <w:t xml:space="preserve">分运出施工场地或挪 </w:t>
      </w:r>
      <w:r>
        <w:rPr>
          <w:rFonts w:ascii="宋体" w:hAnsi="宋体" w:eastAsia="宋体" w:cs="宋体"/>
          <w:color w:val="auto"/>
          <w:spacing w:val="-2"/>
          <w:sz w:val="21"/>
          <w:szCs w:val="21"/>
          <w:highlight w:val="none"/>
        </w:rPr>
        <w:t>作他用。</w:t>
      </w:r>
    </w:p>
    <w:p w14:paraId="6424D709">
      <w:pPr>
        <w:spacing w:before="28" w:line="221" w:lineRule="auto"/>
        <w:ind w:left="421"/>
        <w:rPr>
          <w:rFonts w:ascii="宋体" w:hAnsi="宋体" w:eastAsia="宋体" w:cs="宋体"/>
          <w:color w:val="auto"/>
          <w:sz w:val="21"/>
          <w:szCs w:val="21"/>
          <w:highlight w:val="none"/>
        </w:rPr>
      </w:pPr>
      <w:r>
        <w:rPr>
          <w:rFonts w:ascii="宋体" w:hAnsi="宋体" w:eastAsia="宋体" w:cs="宋体"/>
          <w:color w:val="auto"/>
          <w:sz w:val="21"/>
          <w:szCs w:val="21"/>
          <w:highlight w:val="none"/>
        </w:rPr>
        <w:t>6.4.2 经监理人同意，承包人可根据合同进度计划撤走闲置的</w:t>
      </w:r>
      <w:r>
        <w:rPr>
          <w:rFonts w:ascii="宋体" w:hAnsi="宋体" w:eastAsia="宋体" w:cs="宋体"/>
          <w:color w:val="auto"/>
          <w:spacing w:val="-1"/>
          <w:sz w:val="21"/>
          <w:szCs w:val="21"/>
          <w:highlight w:val="none"/>
        </w:rPr>
        <w:t>施工设备。</w:t>
      </w:r>
    </w:p>
    <w:p w14:paraId="61399962">
      <w:pPr>
        <w:spacing w:before="63" w:line="225" w:lineRule="auto"/>
        <w:ind w:left="12"/>
        <w:outlineLvl w:val="2"/>
        <w:rPr>
          <w:rFonts w:ascii="宋体" w:hAnsi="宋体" w:eastAsia="宋体" w:cs="宋体"/>
          <w:color w:val="auto"/>
          <w:sz w:val="31"/>
          <w:szCs w:val="31"/>
          <w:highlight w:val="none"/>
        </w:rPr>
      </w:pPr>
      <w:bookmarkStart w:id="240" w:name="_Toc30201"/>
      <w:bookmarkStart w:id="241" w:name="_Toc19357"/>
      <w:r>
        <w:rPr>
          <w:rFonts w:ascii="宋体" w:hAnsi="宋体" w:eastAsia="宋体" w:cs="宋体"/>
          <w:b/>
          <w:bCs/>
          <w:color w:val="auto"/>
          <w:spacing w:val="-1"/>
          <w:sz w:val="31"/>
          <w:szCs w:val="31"/>
          <w:highlight w:val="none"/>
        </w:rPr>
        <w:t>7.</w:t>
      </w:r>
      <w:r>
        <w:rPr>
          <w:rFonts w:ascii="宋体" w:hAnsi="宋体" w:eastAsia="宋体" w:cs="宋体"/>
          <w:color w:val="auto"/>
          <w:spacing w:val="29"/>
          <w:sz w:val="31"/>
          <w:szCs w:val="31"/>
          <w:highlight w:val="none"/>
        </w:rPr>
        <w:t xml:space="preserve"> </w:t>
      </w:r>
      <w:r>
        <w:rPr>
          <w:rFonts w:ascii="宋体" w:hAnsi="宋体" w:eastAsia="宋体" w:cs="宋体"/>
          <w:b/>
          <w:bCs/>
          <w:color w:val="auto"/>
          <w:spacing w:val="-1"/>
          <w:sz w:val="31"/>
          <w:szCs w:val="31"/>
          <w:highlight w:val="none"/>
        </w:rPr>
        <w:t>交通运输</w:t>
      </w:r>
      <w:bookmarkEnd w:id="240"/>
      <w:bookmarkEnd w:id="241"/>
    </w:p>
    <w:p w14:paraId="234D7FD3">
      <w:pPr>
        <w:spacing w:before="274" w:line="220" w:lineRule="auto"/>
        <w:ind w:left="147"/>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7.1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道路通行权和场外设施</w:t>
      </w:r>
    </w:p>
    <w:p w14:paraId="34861D6B">
      <w:pPr>
        <w:spacing w:before="279" w:line="351" w:lineRule="auto"/>
        <w:ind w:right="2" w:firstLine="432"/>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除专用合同条款另有约定外，发包人应根据合</w:t>
      </w:r>
      <w:r>
        <w:rPr>
          <w:rFonts w:ascii="宋体" w:hAnsi="宋体" w:eastAsia="宋体" w:cs="宋体"/>
          <w:color w:val="auto"/>
          <w:sz w:val="21"/>
          <w:szCs w:val="21"/>
          <w:highlight w:val="none"/>
        </w:rPr>
        <w:t xml:space="preserve">同工程的施工需要，负责办理取得出入施工场地 </w:t>
      </w:r>
      <w:r>
        <w:rPr>
          <w:rFonts w:ascii="宋体" w:hAnsi="宋体" w:eastAsia="宋体" w:cs="宋体"/>
          <w:color w:val="auto"/>
          <w:spacing w:val="1"/>
          <w:sz w:val="21"/>
          <w:szCs w:val="21"/>
          <w:highlight w:val="none"/>
        </w:rPr>
        <w:t>的专用和临时道路的通行权，以及取得为工程建设所需修</w:t>
      </w:r>
      <w:r>
        <w:rPr>
          <w:rFonts w:ascii="宋体" w:hAnsi="宋体" w:eastAsia="宋体" w:cs="宋体"/>
          <w:color w:val="auto"/>
          <w:sz w:val="21"/>
          <w:szCs w:val="21"/>
          <w:highlight w:val="none"/>
        </w:rPr>
        <w:t xml:space="preserve">建场外设施的权利，并承担有关费用。承 </w:t>
      </w:r>
      <w:r>
        <w:rPr>
          <w:rFonts w:ascii="宋体" w:hAnsi="宋体" w:eastAsia="宋体" w:cs="宋体"/>
          <w:color w:val="auto"/>
          <w:spacing w:val="-1"/>
          <w:sz w:val="21"/>
          <w:szCs w:val="21"/>
          <w:highlight w:val="none"/>
        </w:rPr>
        <w:t>包人应协助发包人办理上述手续。</w:t>
      </w:r>
    </w:p>
    <w:p w14:paraId="452747CA">
      <w:pPr>
        <w:spacing w:before="298" w:line="220" w:lineRule="auto"/>
        <w:ind w:left="147"/>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7.2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场内施工道路</w:t>
      </w:r>
    </w:p>
    <w:p w14:paraId="6B7E5BA4">
      <w:pPr>
        <w:spacing w:before="281" w:line="289" w:lineRule="auto"/>
        <w:ind w:left="2" w:right="1"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7.2.1 除专用合同条款另有约定外，承包人应负责修建、</w:t>
      </w:r>
      <w:r>
        <w:rPr>
          <w:rFonts w:ascii="宋体" w:hAnsi="宋体" w:eastAsia="宋体" w:cs="宋体"/>
          <w:color w:val="auto"/>
          <w:sz w:val="21"/>
          <w:szCs w:val="21"/>
          <w:highlight w:val="none"/>
        </w:rPr>
        <w:t>维修、养护和管理施工所需的临时道 路和交通设施，包括维修、养护和管理发包人提供的道路和交通设施，并承担相应</w:t>
      </w:r>
      <w:r>
        <w:rPr>
          <w:rFonts w:ascii="宋体" w:hAnsi="宋体" w:eastAsia="宋体" w:cs="宋体"/>
          <w:color w:val="auto"/>
          <w:spacing w:val="-1"/>
          <w:sz w:val="21"/>
          <w:szCs w:val="21"/>
          <w:highlight w:val="none"/>
        </w:rPr>
        <w:t>费用。</w:t>
      </w:r>
    </w:p>
    <w:p w14:paraId="48193E53">
      <w:pPr>
        <w:spacing w:before="160" w:line="290" w:lineRule="auto"/>
        <w:ind w:left="3" w:right="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7.2.2 除专用合同条款另有约定外，承包人修建的临时</w:t>
      </w:r>
      <w:r>
        <w:rPr>
          <w:rFonts w:ascii="宋体" w:hAnsi="宋体" w:eastAsia="宋体" w:cs="宋体"/>
          <w:color w:val="auto"/>
          <w:sz w:val="21"/>
          <w:szCs w:val="21"/>
          <w:highlight w:val="none"/>
        </w:rPr>
        <w:t xml:space="preserve">道路和交通设施应免费提供发包人和监 </w:t>
      </w:r>
      <w:r>
        <w:rPr>
          <w:rFonts w:ascii="宋体" w:hAnsi="宋体" w:eastAsia="宋体" w:cs="宋体"/>
          <w:color w:val="auto"/>
          <w:spacing w:val="-5"/>
          <w:sz w:val="21"/>
          <w:szCs w:val="21"/>
          <w:highlight w:val="none"/>
        </w:rPr>
        <w:t>理人使用。</w:t>
      </w:r>
    </w:p>
    <w:p w14:paraId="2D9EB597">
      <w:pPr>
        <w:spacing w:line="332" w:lineRule="auto"/>
        <w:rPr>
          <w:rFonts w:ascii="Arial"/>
          <w:color w:val="auto"/>
          <w:sz w:val="21"/>
          <w:highlight w:val="none"/>
        </w:rPr>
      </w:pPr>
    </w:p>
    <w:p w14:paraId="25097576">
      <w:pPr>
        <w:spacing w:before="92" w:line="221" w:lineRule="auto"/>
        <w:ind w:left="147"/>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7.3</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场外交通</w:t>
      </w:r>
    </w:p>
    <w:p w14:paraId="7A4A38E9">
      <w:pPr>
        <w:spacing w:before="279" w:line="221" w:lineRule="auto"/>
        <w:ind w:left="425"/>
        <w:rPr>
          <w:rFonts w:ascii="宋体" w:hAnsi="宋体" w:eastAsia="宋体" w:cs="宋体"/>
          <w:color w:val="auto"/>
          <w:sz w:val="21"/>
          <w:szCs w:val="21"/>
          <w:highlight w:val="none"/>
        </w:rPr>
      </w:pPr>
      <w:r>
        <w:rPr>
          <w:rFonts w:ascii="宋体" w:hAnsi="宋体" w:eastAsia="宋体" w:cs="宋体"/>
          <w:color w:val="auto"/>
          <w:sz w:val="21"/>
          <w:szCs w:val="21"/>
          <w:highlight w:val="none"/>
        </w:rPr>
        <w:t>7.3.1 承包人车辆外出行驶所需的场外公</w:t>
      </w:r>
      <w:r>
        <w:rPr>
          <w:rFonts w:ascii="宋体" w:hAnsi="宋体" w:eastAsia="宋体" w:cs="宋体"/>
          <w:color w:val="auto"/>
          <w:spacing w:val="-1"/>
          <w:sz w:val="21"/>
          <w:szCs w:val="21"/>
          <w:highlight w:val="none"/>
        </w:rPr>
        <w:t>共道路的通行费、养路费和税款等由承包人承担。</w:t>
      </w:r>
    </w:p>
    <w:p w14:paraId="0558551F">
      <w:pPr>
        <w:spacing w:before="156" w:line="290" w:lineRule="auto"/>
        <w:ind w:left="3" w:right="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7.3.2 承包人应遵守有关交通法规，严格按照道路和桥</w:t>
      </w:r>
      <w:r>
        <w:rPr>
          <w:rFonts w:ascii="宋体" w:hAnsi="宋体" w:eastAsia="宋体" w:cs="宋体"/>
          <w:color w:val="auto"/>
          <w:sz w:val="21"/>
          <w:szCs w:val="21"/>
          <w:highlight w:val="none"/>
        </w:rPr>
        <w:t xml:space="preserve">梁的限制荷重安全行驶，并服从交通管 </w:t>
      </w:r>
      <w:r>
        <w:rPr>
          <w:rFonts w:ascii="宋体" w:hAnsi="宋体" w:eastAsia="宋体" w:cs="宋体"/>
          <w:color w:val="auto"/>
          <w:spacing w:val="-1"/>
          <w:sz w:val="21"/>
          <w:szCs w:val="21"/>
          <w:highlight w:val="none"/>
        </w:rPr>
        <w:t>理部门的检查和监督。</w:t>
      </w:r>
    </w:p>
    <w:p w14:paraId="2985A669">
      <w:pPr>
        <w:spacing w:line="335" w:lineRule="auto"/>
        <w:rPr>
          <w:rFonts w:ascii="Arial"/>
          <w:color w:val="auto"/>
          <w:sz w:val="21"/>
          <w:highlight w:val="none"/>
        </w:rPr>
      </w:pPr>
    </w:p>
    <w:p w14:paraId="5A8BE48C">
      <w:pPr>
        <w:spacing w:before="92" w:line="220" w:lineRule="auto"/>
        <w:ind w:left="147"/>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7.4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超大件和超重件的运输</w:t>
      </w:r>
    </w:p>
    <w:p w14:paraId="785096D6">
      <w:pPr>
        <w:spacing w:before="280" w:line="350" w:lineRule="auto"/>
        <w:ind w:left="1" w:firstLine="444"/>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由承包人负责运输的超大件或超重件，应由承包人负责向交通管理部门办理申请手续，发包人</w:t>
      </w:r>
      <w:r>
        <w:rPr>
          <w:rFonts w:ascii="宋体" w:hAnsi="宋体" w:eastAsia="宋体" w:cs="宋体"/>
          <w:color w:val="auto"/>
          <w:spacing w:val="7"/>
          <w:sz w:val="21"/>
          <w:szCs w:val="21"/>
          <w:highlight w:val="none"/>
        </w:rPr>
        <w:t xml:space="preserve"> </w:t>
      </w:r>
      <w:r>
        <w:rPr>
          <w:rFonts w:ascii="宋体" w:hAnsi="宋体" w:eastAsia="宋体" w:cs="宋体"/>
          <w:color w:val="auto"/>
          <w:spacing w:val="1"/>
          <w:sz w:val="21"/>
          <w:szCs w:val="21"/>
          <w:highlight w:val="none"/>
        </w:rPr>
        <w:t>给予协助。运输超大件或超重件所需的道路和桥梁临时加固改造费用和其他有</w:t>
      </w:r>
      <w:r>
        <w:rPr>
          <w:rFonts w:ascii="宋体" w:hAnsi="宋体" w:eastAsia="宋体" w:cs="宋体"/>
          <w:color w:val="auto"/>
          <w:sz w:val="21"/>
          <w:szCs w:val="21"/>
          <w:highlight w:val="none"/>
        </w:rPr>
        <w:t xml:space="preserve">关费用，由承包人承 </w:t>
      </w:r>
      <w:r>
        <w:rPr>
          <w:rFonts w:ascii="宋体" w:hAnsi="宋体" w:eastAsia="宋体" w:cs="宋体"/>
          <w:color w:val="auto"/>
          <w:spacing w:val="-2"/>
          <w:sz w:val="21"/>
          <w:szCs w:val="21"/>
          <w:highlight w:val="none"/>
        </w:rPr>
        <w:t>担，但专用合同条款另有约定除外。</w:t>
      </w:r>
    </w:p>
    <w:p w14:paraId="0BEDEE1D">
      <w:pPr>
        <w:spacing w:before="299" w:line="220" w:lineRule="auto"/>
        <w:ind w:left="147"/>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7.5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道路和桥梁的损坏责任</w:t>
      </w:r>
    </w:p>
    <w:p w14:paraId="6E11F673">
      <w:pPr>
        <w:spacing w:before="281" w:line="345" w:lineRule="auto"/>
        <w:ind w:left="2" w:right="2" w:firstLine="434"/>
        <w:rPr>
          <w:rFonts w:ascii="宋体" w:hAnsi="宋体" w:eastAsia="宋体" w:cs="宋体"/>
          <w:color w:val="auto"/>
          <w:sz w:val="21"/>
          <w:szCs w:val="21"/>
          <w:highlight w:val="none"/>
        </w:rPr>
      </w:pPr>
      <w:r>
        <w:rPr>
          <w:rFonts w:ascii="宋体" w:hAnsi="宋体" w:eastAsia="宋体" w:cs="宋体"/>
          <w:color w:val="auto"/>
          <w:sz w:val="21"/>
          <w:szCs w:val="21"/>
          <w:highlight w:val="none"/>
        </w:rPr>
        <w:t>因承包人运输造成施工场地内外公共道路和桥梁损坏的，由承包人承担修复损坏的全部费用和</w:t>
      </w:r>
      <w:r>
        <w:rPr>
          <w:rFonts w:ascii="宋体" w:hAnsi="宋体" w:eastAsia="宋体" w:cs="宋体"/>
          <w:color w:val="auto"/>
          <w:spacing w:val="16"/>
          <w:sz w:val="21"/>
          <w:szCs w:val="21"/>
          <w:highlight w:val="none"/>
        </w:rPr>
        <w:t xml:space="preserve"> </w:t>
      </w:r>
      <w:r>
        <w:rPr>
          <w:rFonts w:ascii="宋体" w:hAnsi="宋体" w:eastAsia="宋体" w:cs="宋体"/>
          <w:color w:val="auto"/>
          <w:spacing w:val="-1"/>
          <w:sz w:val="21"/>
          <w:szCs w:val="21"/>
          <w:highlight w:val="none"/>
        </w:rPr>
        <w:t>可能引起的赔偿。</w:t>
      </w:r>
    </w:p>
    <w:p w14:paraId="3096236F">
      <w:pPr>
        <w:spacing w:before="302" w:line="220" w:lineRule="auto"/>
        <w:ind w:left="147"/>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7.6</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水路和航空运输</w:t>
      </w:r>
    </w:p>
    <w:p w14:paraId="0DEC733B">
      <w:pPr>
        <w:spacing w:before="283" w:line="349" w:lineRule="auto"/>
        <w:ind w:right="1" w:firstLine="421"/>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本条上述各款的内容适用于水路运输和航空运输，其中“道路”一词的涵义包括河道、航线、 </w:t>
      </w:r>
      <w:r>
        <w:rPr>
          <w:rFonts w:ascii="宋体" w:hAnsi="宋体" w:eastAsia="宋体" w:cs="宋体"/>
          <w:color w:val="auto"/>
          <w:spacing w:val="-4"/>
          <w:sz w:val="21"/>
          <w:szCs w:val="21"/>
          <w:highlight w:val="none"/>
        </w:rPr>
        <w:t>船闸、机场、码头、堤防以及水路或航空运输中其他相似结构物；“车辆”一词的涵义包括船舶和飞</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机等。</w:t>
      </w:r>
    </w:p>
    <w:p w14:paraId="18CD72DB">
      <w:pPr>
        <w:spacing w:before="63" w:line="226" w:lineRule="auto"/>
        <w:ind w:left="6"/>
        <w:outlineLvl w:val="2"/>
        <w:rPr>
          <w:rFonts w:ascii="宋体" w:hAnsi="宋体" w:eastAsia="宋体" w:cs="宋体"/>
          <w:color w:val="auto"/>
          <w:sz w:val="31"/>
          <w:szCs w:val="31"/>
          <w:highlight w:val="none"/>
        </w:rPr>
      </w:pPr>
      <w:bookmarkStart w:id="242" w:name="_Toc1074"/>
      <w:bookmarkStart w:id="243" w:name="_Toc15060"/>
      <w:r>
        <w:rPr>
          <w:rFonts w:ascii="宋体" w:hAnsi="宋体" w:eastAsia="宋体" w:cs="宋体"/>
          <w:b/>
          <w:bCs/>
          <w:color w:val="auto"/>
          <w:spacing w:val="1"/>
          <w:sz w:val="31"/>
          <w:szCs w:val="31"/>
          <w:highlight w:val="none"/>
        </w:rPr>
        <w:t>8.</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1"/>
          <w:sz w:val="31"/>
          <w:szCs w:val="31"/>
          <w:highlight w:val="none"/>
        </w:rPr>
        <w:t>测量放线</w:t>
      </w:r>
      <w:bookmarkEnd w:id="242"/>
      <w:bookmarkEnd w:id="243"/>
    </w:p>
    <w:p w14:paraId="63054BE3">
      <w:pPr>
        <w:spacing w:before="273" w:line="221"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8.1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施工控制网</w:t>
      </w:r>
    </w:p>
    <w:p w14:paraId="2289230B">
      <w:pPr>
        <w:spacing w:before="277" w:line="325"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8.1.1 发包人应在专用合同条款约定的期限内，通过监理人向承包</w:t>
      </w:r>
      <w:r>
        <w:rPr>
          <w:rFonts w:ascii="宋体" w:hAnsi="宋体" w:eastAsia="宋体" w:cs="宋体"/>
          <w:color w:val="auto"/>
          <w:sz w:val="21"/>
          <w:szCs w:val="21"/>
          <w:highlight w:val="none"/>
        </w:rPr>
        <w:t xml:space="preserve">人提供测量基准点、基准线 </w:t>
      </w:r>
      <w:r>
        <w:rPr>
          <w:rFonts w:ascii="宋体" w:hAnsi="宋体" w:eastAsia="宋体" w:cs="宋体"/>
          <w:color w:val="auto"/>
          <w:spacing w:val="1"/>
          <w:sz w:val="21"/>
          <w:szCs w:val="21"/>
          <w:highlight w:val="none"/>
        </w:rPr>
        <w:t>和水准点及其书面资料。除专用合同条款另有约定外，承包人应根据国家测绘基准</w:t>
      </w:r>
      <w:r>
        <w:rPr>
          <w:rFonts w:ascii="宋体" w:hAnsi="宋体" w:eastAsia="宋体" w:cs="宋体"/>
          <w:color w:val="auto"/>
          <w:sz w:val="21"/>
          <w:szCs w:val="21"/>
          <w:highlight w:val="none"/>
        </w:rPr>
        <w:t xml:space="preserve">、测绘系统和工 </w:t>
      </w:r>
      <w:r>
        <w:rPr>
          <w:rFonts w:ascii="宋体" w:hAnsi="宋体" w:eastAsia="宋体" w:cs="宋体"/>
          <w:color w:val="auto"/>
          <w:spacing w:val="1"/>
          <w:sz w:val="21"/>
          <w:szCs w:val="21"/>
          <w:highlight w:val="none"/>
        </w:rPr>
        <w:t>程测量技术规范，按上述基准点（线）以及合同工程精度要求，测设施工控制网，</w:t>
      </w:r>
      <w:r>
        <w:rPr>
          <w:rFonts w:ascii="宋体" w:hAnsi="宋体" w:eastAsia="宋体" w:cs="宋体"/>
          <w:color w:val="auto"/>
          <w:sz w:val="21"/>
          <w:szCs w:val="21"/>
          <w:highlight w:val="none"/>
        </w:rPr>
        <w:t xml:space="preserve">并在专用合同条 </w:t>
      </w:r>
      <w:r>
        <w:rPr>
          <w:rFonts w:ascii="宋体" w:hAnsi="宋体" w:eastAsia="宋体" w:cs="宋体"/>
          <w:color w:val="auto"/>
          <w:spacing w:val="-1"/>
          <w:sz w:val="21"/>
          <w:szCs w:val="21"/>
          <w:highlight w:val="none"/>
        </w:rPr>
        <w:t>款约定的期限内，将施工控制网资料报送监理人审批。</w:t>
      </w:r>
    </w:p>
    <w:p w14:paraId="1B73CDC1">
      <w:pPr>
        <w:spacing w:before="156" w:line="291" w:lineRule="auto"/>
        <w:ind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8.1.2 承包人应负责管理施工控制网点。施工控制网点丢失或损坏</w:t>
      </w:r>
      <w:r>
        <w:rPr>
          <w:rFonts w:ascii="宋体" w:hAnsi="宋体" w:eastAsia="宋体" w:cs="宋体"/>
          <w:color w:val="auto"/>
          <w:sz w:val="21"/>
          <w:szCs w:val="21"/>
          <w:highlight w:val="none"/>
        </w:rPr>
        <w:t>的，承包人应及时修复。承 包人应承担施工控制网点的管理与修复费用，并在工</w:t>
      </w:r>
      <w:r>
        <w:rPr>
          <w:rFonts w:ascii="宋体" w:hAnsi="宋体" w:eastAsia="宋体" w:cs="宋体"/>
          <w:color w:val="auto"/>
          <w:spacing w:val="-1"/>
          <w:sz w:val="21"/>
          <w:szCs w:val="21"/>
          <w:highlight w:val="none"/>
        </w:rPr>
        <w:t>程竣工后将施工控制网点移交发包人。</w:t>
      </w:r>
    </w:p>
    <w:p w14:paraId="72C4BFE6">
      <w:pPr>
        <w:spacing w:line="334" w:lineRule="auto"/>
        <w:rPr>
          <w:rFonts w:ascii="Arial"/>
          <w:color w:val="auto"/>
          <w:sz w:val="21"/>
          <w:highlight w:val="none"/>
        </w:rPr>
      </w:pPr>
    </w:p>
    <w:p w14:paraId="4F173759">
      <w:pPr>
        <w:spacing w:before="91" w:line="221"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8.2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施工测量</w:t>
      </w:r>
    </w:p>
    <w:p w14:paraId="5AC3E95B">
      <w:pPr>
        <w:spacing w:before="277" w:line="346" w:lineRule="auto"/>
        <w:ind w:left="1"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8.2.1 承包人应负责施工过程中的全部施工测量放线工作，并配置</w:t>
      </w:r>
      <w:r>
        <w:rPr>
          <w:rFonts w:ascii="宋体" w:hAnsi="宋体" w:eastAsia="宋体" w:cs="宋体"/>
          <w:color w:val="auto"/>
          <w:sz w:val="21"/>
          <w:szCs w:val="21"/>
          <w:highlight w:val="none"/>
        </w:rPr>
        <w:t xml:space="preserve">合格的人员、仪器、设备和 </w:t>
      </w:r>
      <w:r>
        <w:rPr>
          <w:rFonts w:ascii="宋体" w:hAnsi="宋体" w:eastAsia="宋体" w:cs="宋体"/>
          <w:color w:val="auto"/>
          <w:spacing w:val="-5"/>
          <w:sz w:val="21"/>
          <w:szCs w:val="21"/>
          <w:highlight w:val="none"/>
        </w:rPr>
        <w:t>其他物品。</w:t>
      </w:r>
    </w:p>
    <w:p w14:paraId="41C0A13A">
      <w:pPr>
        <w:spacing w:before="30" w:line="345" w:lineRule="auto"/>
        <w:ind w:right="44" w:firstLine="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8.2.2</w:t>
      </w:r>
      <w:r>
        <w:rPr>
          <w:rFonts w:ascii="宋体" w:hAnsi="宋体" w:eastAsia="宋体" w:cs="宋体"/>
          <w:color w:val="auto"/>
          <w:spacing w:val="-45"/>
          <w:sz w:val="21"/>
          <w:szCs w:val="21"/>
          <w:highlight w:val="none"/>
        </w:rPr>
        <w:t xml:space="preserve"> </w:t>
      </w:r>
      <w:r>
        <w:rPr>
          <w:rFonts w:ascii="宋体" w:hAnsi="宋体" w:eastAsia="宋体" w:cs="宋体"/>
          <w:color w:val="auto"/>
          <w:spacing w:val="-4"/>
          <w:sz w:val="21"/>
          <w:szCs w:val="21"/>
          <w:highlight w:val="none"/>
        </w:rPr>
        <w:t>监理人可以指示承包人进行抽样复测，当复测中发现错误或出现超过合同约定的误差时，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承包人应按监理人指示进行修正或补测，并承担相应的复测费用。</w:t>
      </w:r>
    </w:p>
    <w:p w14:paraId="5C790BC6">
      <w:pPr>
        <w:spacing w:before="302" w:line="220"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8.3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基准资料错误的责任</w:t>
      </w:r>
    </w:p>
    <w:p w14:paraId="5D28A735">
      <w:pPr>
        <w:spacing w:before="281" w:line="352" w:lineRule="auto"/>
        <w:ind w:firstLine="423"/>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发包人应对其提供的测量基准点、基准线和水准点及其书面资料的</w:t>
      </w:r>
      <w:r>
        <w:rPr>
          <w:rFonts w:ascii="宋体" w:hAnsi="宋体" w:eastAsia="宋体" w:cs="宋体"/>
          <w:color w:val="auto"/>
          <w:sz w:val="21"/>
          <w:szCs w:val="21"/>
          <w:highlight w:val="none"/>
        </w:rPr>
        <w:t xml:space="preserve">真实性、准确性和完整性负 </w:t>
      </w:r>
      <w:r>
        <w:rPr>
          <w:rFonts w:ascii="宋体" w:hAnsi="宋体" w:eastAsia="宋体" w:cs="宋体"/>
          <w:color w:val="auto"/>
          <w:spacing w:val="1"/>
          <w:sz w:val="21"/>
          <w:szCs w:val="21"/>
          <w:highlight w:val="none"/>
        </w:rPr>
        <w:t>责。发包人提供上述基准资料错误导致承包人测量放线工作的返工或造成工程损</w:t>
      </w:r>
      <w:r>
        <w:rPr>
          <w:rFonts w:ascii="宋体" w:hAnsi="宋体" w:eastAsia="宋体" w:cs="宋体"/>
          <w:color w:val="auto"/>
          <w:sz w:val="21"/>
          <w:szCs w:val="21"/>
          <w:highlight w:val="none"/>
        </w:rPr>
        <w:t xml:space="preserve">失的，发包人应当 </w:t>
      </w:r>
      <w:r>
        <w:rPr>
          <w:rFonts w:ascii="宋体" w:hAnsi="宋体" w:eastAsia="宋体" w:cs="宋体"/>
          <w:color w:val="auto"/>
          <w:spacing w:val="1"/>
          <w:sz w:val="21"/>
          <w:szCs w:val="21"/>
          <w:highlight w:val="none"/>
        </w:rPr>
        <w:t>承担由此增加的费用和（或）工期延误，并向承包人支付合理利润。承包人发现</w:t>
      </w:r>
      <w:r>
        <w:rPr>
          <w:rFonts w:ascii="宋体" w:hAnsi="宋体" w:eastAsia="宋体" w:cs="宋体"/>
          <w:color w:val="auto"/>
          <w:sz w:val="21"/>
          <w:szCs w:val="21"/>
          <w:highlight w:val="none"/>
        </w:rPr>
        <w:t xml:space="preserve">发包人提供的上述 </w:t>
      </w:r>
      <w:r>
        <w:rPr>
          <w:rFonts w:ascii="宋体" w:hAnsi="宋体" w:eastAsia="宋体" w:cs="宋体"/>
          <w:color w:val="auto"/>
          <w:spacing w:val="-1"/>
          <w:sz w:val="21"/>
          <w:szCs w:val="21"/>
          <w:highlight w:val="none"/>
        </w:rPr>
        <w:t>基准资料存在明显错误或疏忽的，应及时通知监理人。</w:t>
      </w:r>
    </w:p>
    <w:p w14:paraId="74E0FD77">
      <w:pPr>
        <w:spacing w:before="300" w:line="220"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8.4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监理人使用施工控制网</w:t>
      </w:r>
    </w:p>
    <w:p w14:paraId="7791F10C">
      <w:pPr>
        <w:spacing w:before="280" w:line="220" w:lineRule="auto"/>
        <w:ind w:left="421"/>
        <w:rPr>
          <w:rFonts w:ascii="宋体" w:hAnsi="宋体" w:eastAsia="宋体" w:cs="宋体"/>
          <w:color w:val="auto"/>
          <w:sz w:val="21"/>
          <w:szCs w:val="21"/>
          <w:highlight w:val="none"/>
        </w:rPr>
      </w:pPr>
      <w:r>
        <w:rPr>
          <w:rFonts w:ascii="宋体" w:hAnsi="宋体" w:eastAsia="宋体" w:cs="宋体"/>
          <w:color w:val="auto"/>
          <w:sz w:val="21"/>
          <w:szCs w:val="21"/>
          <w:highlight w:val="none"/>
        </w:rPr>
        <w:t>监理人需要使用施工控制网的，承包人应提供必</w:t>
      </w:r>
      <w:r>
        <w:rPr>
          <w:rFonts w:ascii="宋体" w:hAnsi="宋体" w:eastAsia="宋体" w:cs="宋体"/>
          <w:color w:val="auto"/>
          <w:spacing w:val="-1"/>
          <w:sz w:val="21"/>
          <w:szCs w:val="21"/>
          <w:highlight w:val="none"/>
        </w:rPr>
        <w:t>要的协助，发包人不再为此支付费用。</w:t>
      </w:r>
    </w:p>
    <w:p w14:paraId="4C44C380">
      <w:pPr>
        <w:spacing w:before="175" w:line="226" w:lineRule="auto"/>
        <w:ind w:left="6"/>
        <w:outlineLvl w:val="2"/>
        <w:rPr>
          <w:rFonts w:ascii="宋体" w:hAnsi="宋体" w:eastAsia="宋体" w:cs="宋体"/>
          <w:color w:val="auto"/>
          <w:sz w:val="31"/>
          <w:szCs w:val="31"/>
          <w:highlight w:val="none"/>
        </w:rPr>
      </w:pPr>
      <w:bookmarkStart w:id="244" w:name="_Toc4768"/>
      <w:bookmarkStart w:id="245" w:name="_Toc24674"/>
      <w:r>
        <w:rPr>
          <w:rFonts w:ascii="宋体" w:hAnsi="宋体" w:eastAsia="宋体" w:cs="宋体"/>
          <w:b/>
          <w:bCs/>
          <w:color w:val="auto"/>
          <w:spacing w:val="6"/>
          <w:sz w:val="31"/>
          <w:szCs w:val="31"/>
          <w:highlight w:val="none"/>
        </w:rPr>
        <w:t>9.</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施工安全、治安保卫和环境保护</w:t>
      </w:r>
      <w:bookmarkEnd w:id="244"/>
      <w:bookmarkEnd w:id="245"/>
    </w:p>
    <w:p w14:paraId="111E4659">
      <w:pPr>
        <w:spacing w:before="273" w:line="220"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9.1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发包人的施工安全责任</w:t>
      </w:r>
    </w:p>
    <w:p w14:paraId="2864824E">
      <w:pPr>
        <w:spacing w:before="281" w:line="290" w:lineRule="auto"/>
        <w:ind w:right="1"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9.1.1 发包人应按合同约定履行安全职责，授权监理人按合同约定</w:t>
      </w:r>
      <w:r>
        <w:rPr>
          <w:rFonts w:ascii="宋体" w:hAnsi="宋体" w:eastAsia="宋体" w:cs="宋体"/>
          <w:color w:val="auto"/>
          <w:sz w:val="21"/>
          <w:szCs w:val="21"/>
          <w:highlight w:val="none"/>
        </w:rPr>
        <w:t>的安全工作内容监督、检查 承包人安全工作的实施，组织承包人和有关单位进行安全</w:t>
      </w:r>
      <w:r>
        <w:rPr>
          <w:rFonts w:ascii="宋体" w:hAnsi="宋体" w:eastAsia="宋体" w:cs="宋体"/>
          <w:color w:val="auto"/>
          <w:spacing w:val="-1"/>
          <w:sz w:val="21"/>
          <w:szCs w:val="21"/>
          <w:highlight w:val="none"/>
        </w:rPr>
        <w:t>检查。</w:t>
      </w:r>
    </w:p>
    <w:p w14:paraId="4AA84913">
      <w:pPr>
        <w:spacing w:before="158" w:line="290" w:lineRule="auto"/>
        <w:ind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9.1.2 发包人应对其现场机构雇佣的全部人员的工伤事故承担责任</w:t>
      </w:r>
      <w:r>
        <w:rPr>
          <w:rFonts w:ascii="宋体" w:hAnsi="宋体" w:eastAsia="宋体" w:cs="宋体"/>
          <w:color w:val="auto"/>
          <w:sz w:val="21"/>
          <w:szCs w:val="21"/>
          <w:highlight w:val="none"/>
        </w:rPr>
        <w:t xml:space="preserve">，但由于承包人原因造成发 </w:t>
      </w:r>
      <w:r>
        <w:rPr>
          <w:rFonts w:ascii="宋体" w:hAnsi="宋体" w:eastAsia="宋体" w:cs="宋体"/>
          <w:color w:val="auto"/>
          <w:spacing w:val="-2"/>
          <w:sz w:val="21"/>
          <w:szCs w:val="21"/>
          <w:highlight w:val="none"/>
        </w:rPr>
        <w:t>包人人员工伤的，应由承包人承担责任。</w:t>
      </w:r>
    </w:p>
    <w:p w14:paraId="1CA115F6">
      <w:pPr>
        <w:spacing w:before="157" w:line="221" w:lineRule="auto"/>
        <w:ind w:left="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9.1.3 发包人应负责赔偿以下各种情况造成的第三者人身伤亡和财产损失：</w:t>
      </w:r>
    </w:p>
    <w:p w14:paraId="3C924C27">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 工程或工程的任何部分对土地的占用所造成的第三者财产损</w:t>
      </w:r>
      <w:r>
        <w:rPr>
          <w:rFonts w:ascii="宋体" w:hAnsi="宋体" w:eastAsia="宋体" w:cs="宋体"/>
          <w:color w:val="auto"/>
          <w:spacing w:val="-2"/>
          <w:sz w:val="21"/>
          <w:szCs w:val="21"/>
          <w:highlight w:val="none"/>
        </w:rPr>
        <w:t>失；</w:t>
      </w:r>
    </w:p>
    <w:p w14:paraId="70AA0D37">
      <w:pPr>
        <w:spacing w:before="41"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r>
        <w:rPr>
          <w:rFonts w:ascii="宋体" w:hAnsi="宋体" w:eastAsia="宋体" w:cs="宋体"/>
          <w:color w:val="auto"/>
          <w:spacing w:val="33"/>
          <w:sz w:val="21"/>
          <w:szCs w:val="21"/>
          <w:highlight w:val="none"/>
        </w:rPr>
        <w:t xml:space="preserve"> </w:t>
      </w:r>
      <w:r>
        <w:rPr>
          <w:rFonts w:ascii="宋体" w:hAnsi="宋体" w:eastAsia="宋体" w:cs="宋体"/>
          <w:color w:val="auto"/>
          <w:spacing w:val="-1"/>
          <w:sz w:val="21"/>
          <w:szCs w:val="21"/>
          <w:highlight w:val="none"/>
        </w:rPr>
        <w:t>由于发包人原因在施工场地及其毗邻地带造成的第三者人身伤亡和财</w:t>
      </w:r>
      <w:r>
        <w:rPr>
          <w:rFonts w:ascii="宋体" w:hAnsi="宋体" w:eastAsia="宋体" w:cs="宋体"/>
          <w:color w:val="auto"/>
          <w:spacing w:val="-2"/>
          <w:sz w:val="21"/>
          <w:szCs w:val="21"/>
          <w:highlight w:val="none"/>
        </w:rPr>
        <w:t>产损失。</w:t>
      </w:r>
    </w:p>
    <w:p w14:paraId="76B26FC1">
      <w:pPr>
        <w:spacing w:line="333" w:lineRule="auto"/>
        <w:rPr>
          <w:rFonts w:ascii="Arial"/>
          <w:color w:val="auto"/>
          <w:sz w:val="21"/>
          <w:highlight w:val="none"/>
        </w:rPr>
      </w:pPr>
    </w:p>
    <w:p w14:paraId="5651F012">
      <w:pPr>
        <w:spacing w:before="91" w:line="220"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9.2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承包人的施工安全责任</w:t>
      </w:r>
    </w:p>
    <w:p w14:paraId="664C93E3">
      <w:pPr>
        <w:spacing w:before="279" w:line="290" w:lineRule="auto"/>
        <w:ind w:left="5" w:right="4" w:firstLine="4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9.2.1 承包人应按合同约定履行安全职责,执行监理人有关安</w:t>
      </w:r>
      <w:r>
        <w:rPr>
          <w:rFonts w:ascii="宋体" w:hAnsi="宋体" w:eastAsia="宋体" w:cs="宋体"/>
          <w:color w:val="auto"/>
          <w:sz w:val="21"/>
          <w:szCs w:val="21"/>
          <w:highlight w:val="none"/>
        </w:rPr>
        <w:t xml:space="preserve">全工作的指示,并在专用合同条款 </w:t>
      </w:r>
      <w:r>
        <w:rPr>
          <w:rFonts w:ascii="宋体" w:hAnsi="宋体" w:eastAsia="宋体" w:cs="宋体"/>
          <w:color w:val="auto"/>
          <w:spacing w:val="-1"/>
          <w:sz w:val="21"/>
          <w:szCs w:val="21"/>
          <w:highlight w:val="none"/>
        </w:rPr>
        <w:t>约定的期限内，按合同约定的安全工作内容，编制施工安全措施计划报送监理人审批。</w:t>
      </w:r>
    </w:p>
    <w:p w14:paraId="7D7C864D">
      <w:pPr>
        <w:spacing w:before="157" w:line="290" w:lineRule="auto"/>
        <w:ind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9.2.2 承包人应加强施工作业安全管理，特别应加强易燃、易爆材</w:t>
      </w:r>
      <w:r>
        <w:rPr>
          <w:rFonts w:ascii="宋体" w:hAnsi="宋体" w:eastAsia="宋体" w:cs="宋体"/>
          <w:color w:val="auto"/>
          <w:sz w:val="21"/>
          <w:szCs w:val="21"/>
          <w:highlight w:val="none"/>
        </w:rPr>
        <w:t xml:space="preserve">料、火工器材、有毒与腐蚀 </w:t>
      </w:r>
      <w:r>
        <w:rPr>
          <w:rFonts w:ascii="宋体" w:hAnsi="宋体" w:eastAsia="宋体" w:cs="宋体"/>
          <w:color w:val="auto"/>
          <w:spacing w:val="-1"/>
          <w:sz w:val="21"/>
          <w:szCs w:val="21"/>
          <w:highlight w:val="none"/>
        </w:rPr>
        <w:t>性材料和其他危险品的管理，以及对爆破作业和地下工程施工等危险作业的管理。</w:t>
      </w:r>
    </w:p>
    <w:p w14:paraId="1B1BB365">
      <w:pPr>
        <w:spacing w:before="157" w:line="290" w:lineRule="auto"/>
        <w:ind w:left="1"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9.2.3 承包人应严格按照国家安全标准制定施工安全操作规程，配</w:t>
      </w:r>
      <w:r>
        <w:rPr>
          <w:rFonts w:ascii="宋体" w:hAnsi="宋体" w:eastAsia="宋体" w:cs="宋体"/>
          <w:color w:val="auto"/>
          <w:sz w:val="21"/>
          <w:szCs w:val="21"/>
          <w:highlight w:val="none"/>
        </w:rPr>
        <w:t xml:space="preserve">备必要的安全生产和劳动保 </w:t>
      </w:r>
      <w:r>
        <w:rPr>
          <w:rFonts w:ascii="宋体" w:hAnsi="宋体" w:eastAsia="宋体" w:cs="宋体"/>
          <w:color w:val="auto"/>
          <w:spacing w:val="-1"/>
          <w:sz w:val="21"/>
          <w:szCs w:val="21"/>
          <w:highlight w:val="none"/>
        </w:rPr>
        <w:t>护设施，加强对承包人人员的安全教育，并发放安全工作手册和劳动保护用具。</w:t>
      </w:r>
    </w:p>
    <w:p w14:paraId="7CE84E94">
      <w:pPr>
        <w:spacing w:before="156" w:line="291" w:lineRule="auto"/>
        <w:ind w:left="2" w:right="11"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9.2.4 承包人应按监理人的指示制定应对灾害</w:t>
      </w:r>
      <w:r>
        <w:rPr>
          <w:rFonts w:ascii="宋体" w:hAnsi="宋体" w:eastAsia="宋体" w:cs="宋体"/>
          <w:color w:val="auto"/>
          <w:sz w:val="21"/>
          <w:szCs w:val="21"/>
          <w:highlight w:val="none"/>
        </w:rPr>
        <w:t>的紧急预案，报送监理人审批。承包人还应按预 案做好安全检查，配置必要的救助物资和器材，切实保护好有关人员的人身和财产</w:t>
      </w:r>
      <w:r>
        <w:rPr>
          <w:rFonts w:ascii="宋体" w:hAnsi="宋体" w:eastAsia="宋体" w:cs="宋体"/>
          <w:color w:val="auto"/>
          <w:spacing w:val="-1"/>
          <w:sz w:val="21"/>
          <w:szCs w:val="21"/>
          <w:highlight w:val="none"/>
        </w:rPr>
        <w:t>安全。</w:t>
      </w:r>
    </w:p>
    <w:p w14:paraId="55524497">
      <w:pPr>
        <w:spacing w:before="158" w:line="313" w:lineRule="auto"/>
        <w:ind w:left="1" w:right="1"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9.2.5 合同约定的安全作业环境及安全施工措施所需费用应遵守有</w:t>
      </w:r>
      <w:r>
        <w:rPr>
          <w:rFonts w:ascii="宋体" w:hAnsi="宋体" w:eastAsia="宋体" w:cs="宋体"/>
          <w:color w:val="auto"/>
          <w:sz w:val="21"/>
          <w:szCs w:val="21"/>
          <w:highlight w:val="none"/>
        </w:rPr>
        <w:t xml:space="preserve">关规定，并包括在相关工作 </w:t>
      </w:r>
      <w:r>
        <w:rPr>
          <w:rFonts w:ascii="宋体" w:hAnsi="宋体" w:eastAsia="宋体" w:cs="宋体"/>
          <w:color w:val="auto"/>
          <w:spacing w:val="1"/>
          <w:sz w:val="21"/>
          <w:szCs w:val="21"/>
          <w:highlight w:val="none"/>
        </w:rPr>
        <w:t>的合同价格中。因采取合同未约定的安全作业环境及安全施工措施增加的费</w:t>
      </w:r>
      <w:r>
        <w:rPr>
          <w:rFonts w:ascii="宋体" w:hAnsi="宋体" w:eastAsia="宋体" w:cs="宋体"/>
          <w:color w:val="auto"/>
          <w:sz w:val="21"/>
          <w:szCs w:val="21"/>
          <w:highlight w:val="none"/>
        </w:rPr>
        <w:t xml:space="preserve">用，由监理人按第 3.5 </w:t>
      </w:r>
      <w:r>
        <w:rPr>
          <w:rFonts w:ascii="宋体" w:hAnsi="宋体" w:eastAsia="宋体" w:cs="宋体"/>
          <w:color w:val="auto"/>
          <w:spacing w:val="-3"/>
          <w:sz w:val="21"/>
          <w:szCs w:val="21"/>
          <w:highlight w:val="none"/>
        </w:rPr>
        <w:t>款商定或确定。</w:t>
      </w:r>
    </w:p>
    <w:p w14:paraId="628AD838">
      <w:pPr>
        <w:spacing w:before="156" w:line="291" w:lineRule="auto"/>
        <w:ind w:left="4" w:right="2"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9.2.6 承包人应对其履行合同所雇佣的全部人员，包括分包人人员</w:t>
      </w:r>
      <w:r>
        <w:rPr>
          <w:rFonts w:ascii="宋体" w:hAnsi="宋体" w:eastAsia="宋体" w:cs="宋体"/>
          <w:color w:val="auto"/>
          <w:sz w:val="21"/>
          <w:szCs w:val="21"/>
          <w:highlight w:val="none"/>
        </w:rPr>
        <w:t xml:space="preserve">的工伤事故承担责任，但由 </w:t>
      </w:r>
      <w:r>
        <w:rPr>
          <w:rFonts w:ascii="宋体" w:hAnsi="宋体" w:eastAsia="宋体" w:cs="宋体"/>
          <w:color w:val="auto"/>
          <w:spacing w:val="-1"/>
          <w:sz w:val="21"/>
          <w:szCs w:val="21"/>
          <w:highlight w:val="none"/>
        </w:rPr>
        <w:t>于发包人原因造成承包人人员工伤事故的，应由发包人承担责任。</w:t>
      </w:r>
    </w:p>
    <w:p w14:paraId="191A4947">
      <w:pPr>
        <w:spacing w:before="156" w:line="290" w:lineRule="auto"/>
        <w:ind w:left="2" w:right="1" w:firstLine="419"/>
        <w:rPr>
          <w:rFonts w:ascii="宋体" w:hAnsi="宋体" w:eastAsia="宋体" w:cs="宋体"/>
          <w:color w:val="auto"/>
          <w:sz w:val="21"/>
          <w:szCs w:val="21"/>
          <w:highlight w:val="none"/>
        </w:rPr>
      </w:pPr>
      <w:r>
        <w:rPr>
          <w:rFonts w:ascii="宋体" w:hAnsi="宋体" w:eastAsia="宋体" w:cs="宋体"/>
          <w:color w:val="auto"/>
          <w:sz w:val="21"/>
          <w:szCs w:val="21"/>
          <w:highlight w:val="none"/>
        </w:rPr>
        <w:t>9.2.7</w:t>
      </w:r>
      <w:r>
        <w:rPr>
          <w:rFonts w:ascii="宋体" w:hAnsi="宋体" w:eastAsia="宋体" w:cs="宋体"/>
          <w:color w:val="auto"/>
          <w:spacing w:val="34"/>
          <w:sz w:val="21"/>
          <w:szCs w:val="21"/>
          <w:highlight w:val="none"/>
        </w:rPr>
        <w:t xml:space="preserve"> </w:t>
      </w:r>
      <w:r>
        <w:rPr>
          <w:rFonts w:ascii="宋体" w:hAnsi="宋体" w:eastAsia="宋体" w:cs="宋体"/>
          <w:color w:val="auto"/>
          <w:sz w:val="21"/>
          <w:szCs w:val="21"/>
          <w:highlight w:val="none"/>
        </w:rPr>
        <w:t>由于承包人原因在施工场地内及其毗邻地带造成的第三者人员伤亡和财产损失，由</w:t>
      </w:r>
      <w:r>
        <w:rPr>
          <w:rFonts w:ascii="宋体" w:hAnsi="宋体" w:eastAsia="宋体" w:cs="宋体"/>
          <w:color w:val="auto"/>
          <w:spacing w:val="-1"/>
          <w:sz w:val="21"/>
          <w:szCs w:val="21"/>
          <w:highlight w:val="none"/>
        </w:rPr>
        <w:t>承包</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人负责赔偿。</w:t>
      </w:r>
    </w:p>
    <w:p w14:paraId="2311ABB6">
      <w:pPr>
        <w:spacing w:line="333" w:lineRule="auto"/>
        <w:rPr>
          <w:rFonts w:ascii="Arial"/>
          <w:color w:val="auto"/>
          <w:sz w:val="21"/>
          <w:highlight w:val="none"/>
        </w:rPr>
      </w:pPr>
    </w:p>
    <w:p w14:paraId="426A8278">
      <w:pPr>
        <w:spacing w:before="91" w:line="221" w:lineRule="auto"/>
        <w:ind w:left="14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9.3</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6"/>
          <w:sz w:val="28"/>
          <w:szCs w:val="28"/>
          <w:highlight w:val="none"/>
        </w:rPr>
        <w:t>治安保卫</w:t>
      </w:r>
    </w:p>
    <w:p w14:paraId="627124F6">
      <w:pPr>
        <w:spacing w:before="278" w:line="290" w:lineRule="auto"/>
        <w:ind w:left="4" w:right="2"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9.3.1 除合同另有约定外，发包人应与当地公安部门协商，在现场</w:t>
      </w:r>
      <w:r>
        <w:rPr>
          <w:rFonts w:ascii="宋体" w:hAnsi="宋体" w:eastAsia="宋体" w:cs="宋体"/>
          <w:color w:val="auto"/>
          <w:sz w:val="21"/>
          <w:szCs w:val="21"/>
          <w:highlight w:val="none"/>
        </w:rPr>
        <w:t>建立治安管理机构或联防组 织，统一管理施工场地的治安保卫事项，履行合同工程的治</w:t>
      </w:r>
      <w:r>
        <w:rPr>
          <w:rFonts w:ascii="宋体" w:hAnsi="宋体" w:eastAsia="宋体" w:cs="宋体"/>
          <w:color w:val="auto"/>
          <w:spacing w:val="-1"/>
          <w:sz w:val="21"/>
          <w:szCs w:val="21"/>
          <w:highlight w:val="none"/>
        </w:rPr>
        <w:t>安保卫职责。</w:t>
      </w:r>
    </w:p>
    <w:p w14:paraId="69316FA4">
      <w:pPr>
        <w:spacing w:before="160" w:line="289" w:lineRule="auto"/>
        <w:ind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9.3.2 发包人和承包人除应协助现场治安管理机构或联防组织维护</w:t>
      </w:r>
      <w:r>
        <w:rPr>
          <w:rFonts w:ascii="宋体" w:hAnsi="宋体" w:eastAsia="宋体" w:cs="宋体"/>
          <w:color w:val="auto"/>
          <w:sz w:val="21"/>
          <w:szCs w:val="21"/>
          <w:highlight w:val="none"/>
        </w:rPr>
        <w:t xml:space="preserve">施工场地的社会治安外，还 </w:t>
      </w:r>
      <w:r>
        <w:rPr>
          <w:rFonts w:ascii="宋体" w:hAnsi="宋体" w:eastAsia="宋体" w:cs="宋体"/>
          <w:color w:val="auto"/>
          <w:spacing w:val="-1"/>
          <w:sz w:val="21"/>
          <w:szCs w:val="21"/>
          <w:highlight w:val="none"/>
        </w:rPr>
        <w:t>应做好包括生活区在内的各自管辖区的治安保卫工作。</w:t>
      </w:r>
    </w:p>
    <w:p w14:paraId="29B0CBB5">
      <w:pPr>
        <w:spacing w:before="156" w:line="325" w:lineRule="auto"/>
        <w:ind w:firstLine="42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9.3.3 除合同另有约定外，发包人和承包人应在工程开工后，共同编制施工场地治安管理计划，</w:t>
      </w:r>
      <w:r>
        <w:rPr>
          <w:rFonts w:ascii="宋体" w:hAnsi="宋体" w:eastAsia="宋体" w:cs="宋体"/>
          <w:color w:val="auto"/>
          <w:spacing w:val="4"/>
          <w:sz w:val="21"/>
          <w:szCs w:val="21"/>
          <w:highlight w:val="none"/>
        </w:rPr>
        <w:t xml:space="preserve"> </w:t>
      </w:r>
      <w:r>
        <w:rPr>
          <w:rFonts w:ascii="宋体" w:hAnsi="宋体" w:eastAsia="宋体" w:cs="宋体"/>
          <w:color w:val="auto"/>
          <w:spacing w:val="-4"/>
          <w:sz w:val="21"/>
          <w:szCs w:val="21"/>
          <w:highlight w:val="none"/>
        </w:rPr>
        <w:t>并制定应对突发治安事件的紧急预案。在工程施工过程中，发生暴乱、爆炸等恐怖事件，以及群殴、</w:t>
      </w:r>
      <w:r>
        <w:rPr>
          <w:rFonts w:ascii="宋体" w:hAnsi="宋体" w:eastAsia="宋体" w:cs="宋体"/>
          <w:color w:val="auto"/>
          <w:spacing w:val="2"/>
          <w:sz w:val="21"/>
          <w:szCs w:val="21"/>
          <w:highlight w:val="none"/>
        </w:rPr>
        <w:t xml:space="preserve"> </w:t>
      </w:r>
      <w:r>
        <w:rPr>
          <w:rFonts w:ascii="宋体" w:hAnsi="宋体" w:eastAsia="宋体" w:cs="宋体"/>
          <w:color w:val="auto"/>
          <w:spacing w:val="1"/>
          <w:sz w:val="21"/>
          <w:szCs w:val="21"/>
          <w:highlight w:val="none"/>
        </w:rPr>
        <w:t>械斗等群体性突发治安事件的，发包人和承包人应立即向当地政府报告。发包人和</w:t>
      </w:r>
      <w:r>
        <w:rPr>
          <w:rFonts w:ascii="宋体" w:hAnsi="宋体" w:eastAsia="宋体" w:cs="宋体"/>
          <w:color w:val="auto"/>
          <w:sz w:val="21"/>
          <w:szCs w:val="21"/>
          <w:highlight w:val="none"/>
        </w:rPr>
        <w:t>承包人应积极协 助当地有关部门采取措施平息事态，防止事态扩大，尽量减少财产损失和避免人员伤亡。</w:t>
      </w:r>
    </w:p>
    <w:p w14:paraId="3A7B6E4E">
      <w:pPr>
        <w:spacing w:line="334" w:lineRule="auto"/>
        <w:rPr>
          <w:rFonts w:ascii="Arial"/>
          <w:color w:val="auto"/>
          <w:sz w:val="21"/>
          <w:highlight w:val="none"/>
        </w:rPr>
      </w:pPr>
    </w:p>
    <w:p w14:paraId="4BEFCA46">
      <w:pPr>
        <w:spacing w:before="91" w:line="221"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9.4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环境保护</w:t>
      </w:r>
    </w:p>
    <w:p w14:paraId="6FF7849C">
      <w:pPr>
        <w:spacing w:before="279" w:line="290" w:lineRule="auto"/>
        <w:ind w:right="2"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9.4.1 承包人在施工过程中，应遵守有关环境保护的法律，履行合</w:t>
      </w:r>
      <w:r>
        <w:rPr>
          <w:rFonts w:ascii="宋体" w:hAnsi="宋体" w:eastAsia="宋体" w:cs="宋体"/>
          <w:color w:val="auto"/>
          <w:sz w:val="21"/>
          <w:szCs w:val="21"/>
          <w:highlight w:val="none"/>
        </w:rPr>
        <w:t xml:space="preserve">同约定的环境保护义务，并 </w:t>
      </w:r>
      <w:r>
        <w:rPr>
          <w:rFonts w:ascii="宋体" w:hAnsi="宋体" w:eastAsia="宋体" w:cs="宋体"/>
          <w:color w:val="auto"/>
          <w:spacing w:val="-1"/>
          <w:sz w:val="21"/>
          <w:szCs w:val="21"/>
          <w:highlight w:val="none"/>
        </w:rPr>
        <w:t>对违反法律和合同约定义务所造成的环境破坏、人身伤害和财产损失负责。</w:t>
      </w:r>
    </w:p>
    <w:p w14:paraId="40F55934">
      <w:pPr>
        <w:spacing w:before="156" w:line="221" w:lineRule="auto"/>
        <w:ind w:left="421"/>
        <w:rPr>
          <w:rFonts w:ascii="宋体" w:hAnsi="宋体" w:eastAsia="宋体" w:cs="宋体"/>
          <w:color w:val="auto"/>
          <w:sz w:val="21"/>
          <w:szCs w:val="21"/>
          <w:highlight w:val="none"/>
        </w:rPr>
      </w:pPr>
      <w:r>
        <w:rPr>
          <w:rFonts w:ascii="宋体" w:hAnsi="宋体" w:eastAsia="宋体" w:cs="宋体"/>
          <w:color w:val="auto"/>
          <w:sz w:val="21"/>
          <w:szCs w:val="21"/>
          <w:highlight w:val="none"/>
        </w:rPr>
        <w:t>9.4.2 承包人应按合同约定的环保工作内容，编制施工环保措施计划，报送监理人审</w:t>
      </w:r>
      <w:r>
        <w:rPr>
          <w:rFonts w:ascii="宋体" w:hAnsi="宋体" w:eastAsia="宋体" w:cs="宋体"/>
          <w:color w:val="auto"/>
          <w:spacing w:val="-1"/>
          <w:sz w:val="21"/>
          <w:szCs w:val="21"/>
          <w:highlight w:val="none"/>
        </w:rPr>
        <w:t>批。</w:t>
      </w:r>
    </w:p>
    <w:p w14:paraId="7765F05F">
      <w:pPr>
        <w:spacing w:before="159" w:line="221" w:lineRule="auto"/>
        <w:ind w:right="9"/>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9.4.3 承包人应按照批准的施工环保措施计划有序</w:t>
      </w:r>
      <w:r>
        <w:rPr>
          <w:rFonts w:ascii="宋体" w:hAnsi="宋体" w:eastAsia="宋体" w:cs="宋体"/>
          <w:color w:val="auto"/>
          <w:sz w:val="21"/>
          <w:szCs w:val="21"/>
          <w:highlight w:val="none"/>
        </w:rPr>
        <w:t>地堆放和处理施工废弃物，避免对环境造成</w:t>
      </w:r>
    </w:p>
    <w:p w14:paraId="7FA6B546">
      <w:pPr>
        <w:spacing w:before="41" w:line="346" w:lineRule="auto"/>
        <w:ind w:left="9" w:right="73" w:hanging="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破坏。因承包人任意堆放或弃置施工废弃物造成妨碍公共交通、影响城镇居民生活</w:t>
      </w:r>
      <w:r>
        <w:rPr>
          <w:rFonts w:ascii="宋体" w:hAnsi="宋体" w:eastAsia="宋体" w:cs="宋体"/>
          <w:color w:val="auto"/>
          <w:sz w:val="21"/>
          <w:szCs w:val="21"/>
          <w:highlight w:val="none"/>
        </w:rPr>
        <w:t xml:space="preserve">、降低河流行洪 </w:t>
      </w:r>
      <w:r>
        <w:rPr>
          <w:rFonts w:ascii="宋体" w:hAnsi="宋体" w:eastAsia="宋体" w:cs="宋体"/>
          <w:color w:val="auto"/>
          <w:spacing w:val="-1"/>
          <w:sz w:val="21"/>
          <w:szCs w:val="21"/>
          <w:highlight w:val="none"/>
        </w:rPr>
        <w:t>能力、危及居民安全、破坏周边环境，或者影响其他承包人施工等后果的，承包人应承担责任。</w:t>
      </w:r>
    </w:p>
    <w:p w14:paraId="62B15910">
      <w:pPr>
        <w:spacing w:before="29" w:line="290" w:lineRule="auto"/>
        <w:ind w:right="73"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9.4.4 承包人应按合同约定采取有效措</w:t>
      </w:r>
      <w:r>
        <w:rPr>
          <w:rFonts w:ascii="宋体" w:hAnsi="宋体" w:eastAsia="宋体" w:cs="宋体"/>
          <w:color w:val="auto"/>
          <w:spacing w:val="-2"/>
          <w:sz w:val="21"/>
          <w:szCs w:val="21"/>
          <w:highlight w:val="none"/>
        </w:rPr>
        <w:t>施，对施工开挖的边坡及时进行支护,维护排水设施，并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进行水土保护，避免因施工造成的地质灾害。</w:t>
      </w:r>
    </w:p>
    <w:p w14:paraId="2457337C">
      <w:pPr>
        <w:spacing w:before="159" w:line="221" w:lineRule="auto"/>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9.4.5 承包人应按国家饮用水管理标准定期对饮用水源进行监测，防</w:t>
      </w:r>
      <w:r>
        <w:rPr>
          <w:rFonts w:ascii="宋体" w:hAnsi="宋体" w:eastAsia="宋体" w:cs="宋体"/>
          <w:color w:val="auto"/>
          <w:spacing w:val="-3"/>
          <w:sz w:val="21"/>
          <w:szCs w:val="21"/>
          <w:highlight w:val="none"/>
        </w:rPr>
        <w:t>止施工活动污染饮用水源。</w:t>
      </w:r>
    </w:p>
    <w:p w14:paraId="77239460">
      <w:pPr>
        <w:spacing w:before="156" w:line="290" w:lineRule="auto"/>
        <w:ind w:right="121" w:firstLine="421"/>
        <w:rPr>
          <w:rFonts w:ascii="宋体" w:hAnsi="宋体" w:eastAsia="宋体" w:cs="宋体"/>
          <w:color w:val="auto"/>
          <w:sz w:val="21"/>
          <w:szCs w:val="21"/>
          <w:highlight w:val="none"/>
        </w:rPr>
      </w:pPr>
      <w:r>
        <w:rPr>
          <w:rFonts w:ascii="宋体" w:hAnsi="宋体" w:eastAsia="宋体" w:cs="宋体"/>
          <w:color w:val="auto"/>
          <w:sz w:val="21"/>
          <w:szCs w:val="21"/>
          <w:highlight w:val="none"/>
        </w:rPr>
        <w:t>9.4.6 承包人应按合同约定，加强对噪声、粉尘、废气、废水</w:t>
      </w:r>
      <w:r>
        <w:rPr>
          <w:rFonts w:ascii="宋体" w:hAnsi="宋体" w:eastAsia="宋体" w:cs="宋体"/>
          <w:color w:val="auto"/>
          <w:spacing w:val="-1"/>
          <w:sz w:val="21"/>
          <w:szCs w:val="21"/>
          <w:highlight w:val="none"/>
        </w:rPr>
        <w:t>和废油的控制，努力降低噪声，</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控制粉尘和废气浓度，做好废水和废油的治理和排放。</w:t>
      </w:r>
    </w:p>
    <w:p w14:paraId="3B37E0C4">
      <w:pPr>
        <w:spacing w:line="332" w:lineRule="auto"/>
        <w:rPr>
          <w:rFonts w:ascii="Arial"/>
          <w:color w:val="auto"/>
          <w:sz w:val="21"/>
          <w:highlight w:val="none"/>
        </w:rPr>
      </w:pPr>
    </w:p>
    <w:p w14:paraId="2CBD3818">
      <w:pPr>
        <w:spacing w:before="91"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9.5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事故处理</w:t>
      </w:r>
    </w:p>
    <w:p w14:paraId="42C57A87">
      <w:pPr>
        <w:spacing w:before="281" w:line="352" w:lineRule="auto"/>
        <w:ind w:left="1" w:right="73" w:firstLine="422"/>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工程施工过程中发生事故的，承包人应立即通知监理人，监理人应立</w:t>
      </w:r>
      <w:r>
        <w:rPr>
          <w:rFonts w:ascii="宋体" w:hAnsi="宋体" w:eastAsia="宋体" w:cs="宋体"/>
          <w:color w:val="auto"/>
          <w:sz w:val="21"/>
          <w:szCs w:val="21"/>
          <w:highlight w:val="none"/>
        </w:rPr>
        <w:t xml:space="preserve">即通知发包人。发包人和 </w:t>
      </w:r>
      <w:r>
        <w:rPr>
          <w:rFonts w:ascii="宋体" w:hAnsi="宋体" w:eastAsia="宋体" w:cs="宋体"/>
          <w:color w:val="auto"/>
          <w:spacing w:val="1"/>
          <w:sz w:val="21"/>
          <w:szCs w:val="21"/>
          <w:highlight w:val="none"/>
        </w:rPr>
        <w:t>承包人应立即组织人员和设备进行紧急抢救和抢修，减少人员伤亡和财产损失，</w:t>
      </w:r>
      <w:r>
        <w:rPr>
          <w:rFonts w:ascii="宋体" w:hAnsi="宋体" w:eastAsia="宋体" w:cs="宋体"/>
          <w:color w:val="auto"/>
          <w:sz w:val="21"/>
          <w:szCs w:val="21"/>
          <w:highlight w:val="none"/>
        </w:rPr>
        <w:t xml:space="preserve">防止事故扩大，并 </w:t>
      </w:r>
      <w:r>
        <w:rPr>
          <w:rFonts w:ascii="宋体" w:hAnsi="宋体" w:eastAsia="宋体" w:cs="宋体"/>
          <w:color w:val="auto"/>
          <w:spacing w:val="1"/>
          <w:sz w:val="21"/>
          <w:szCs w:val="21"/>
          <w:highlight w:val="none"/>
        </w:rPr>
        <w:t>保护事故现场。需要移动现场物品时，应作出标记和书面记录，妥善保管有关证</w:t>
      </w:r>
      <w:r>
        <w:rPr>
          <w:rFonts w:ascii="宋体" w:hAnsi="宋体" w:eastAsia="宋体" w:cs="宋体"/>
          <w:color w:val="auto"/>
          <w:sz w:val="21"/>
          <w:szCs w:val="21"/>
          <w:highlight w:val="none"/>
        </w:rPr>
        <w:t>据。发包人和承包 人应按国家有关规定，及时如实地向有关部门报告事故发生的情况，以及正在采取的紧急措施等。</w:t>
      </w:r>
    </w:p>
    <w:p w14:paraId="4E53E3B6">
      <w:pPr>
        <w:spacing w:before="46" w:line="226" w:lineRule="auto"/>
        <w:ind w:left="29"/>
        <w:outlineLvl w:val="2"/>
        <w:rPr>
          <w:rFonts w:ascii="宋体" w:hAnsi="宋体" w:eastAsia="宋体" w:cs="宋体"/>
          <w:color w:val="auto"/>
          <w:sz w:val="31"/>
          <w:szCs w:val="31"/>
          <w:highlight w:val="none"/>
        </w:rPr>
      </w:pPr>
      <w:bookmarkStart w:id="246" w:name="_Toc6467"/>
      <w:bookmarkStart w:id="247" w:name="_Toc22517"/>
      <w:r>
        <w:rPr>
          <w:rFonts w:ascii="宋体" w:hAnsi="宋体" w:eastAsia="宋体" w:cs="宋体"/>
          <w:b/>
          <w:bCs/>
          <w:color w:val="auto"/>
          <w:spacing w:val="1"/>
          <w:sz w:val="31"/>
          <w:szCs w:val="31"/>
          <w:highlight w:val="none"/>
        </w:rPr>
        <w:t>10.</w:t>
      </w:r>
      <w:r>
        <w:rPr>
          <w:rFonts w:ascii="宋体" w:hAnsi="宋体" w:eastAsia="宋体" w:cs="宋体"/>
          <w:color w:val="auto"/>
          <w:spacing w:val="1"/>
          <w:sz w:val="31"/>
          <w:szCs w:val="31"/>
          <w:highlight w:val="none"/>
        </w:rPr>
        <w:t xml:space="preserve"> </w:t>
      </w:r>
      <w:r>
        <w:rPr>
          <w:rFonts w:ascii="宋体" w:hAnsi="宋体" w:eastAsia="宋体" w:cs="宋体"/>
          <w:b/>
          <w:bCs/>
          <w:color w:val="auto"/>
          <w:spacing w:val="1"/>
          <w:sz w:val="31"/>
          <w:szCs w:val="31"/>
          <w:highlight w:val="none"/>
        </w:rPr>
        <w:t>进度计划</w:t>
      </w:r>
      <w:bookmarkEnd w:id="246"/>
      <w:bookmarkEnd w:id="247"/>
    </w:p>
    <w:p w14:paraId="66B50540">
      <w:pPr>
        <w:spacing w:before="275"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10.1</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合同进度计划</w:t>
      </w:r>
    </w:p>
    <w:p w14:paraId="6A82B2D0">
      <w:pPr>
        <w:spacing w:before="279" w:line="352" w:lineRule="auto"/>
        <w:ind w:left="2" w:right="73" w:firstLine="419"/>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承包人应按专用合同条款约定的内容和期限，编制详细的施工进度计划和</w:t>
      </w:r>
      <w:r>
        <w:rPr>
          <w:rFonts w:ascii="宋体" w:hAnsi="宋体" w:eastAsia="宋体" w:cs="宋体"/>
          <w:color w:val="auto"/>
          <w:sz w:val="21"/>
          <w:szCs w:val="21"/>
          <w:highlight w:val="none"/>
        </w:rPr>
        <w:t xml:space="preserve">施工方案说明报送监 </w:t>
      </w:r>
      <w:r>
        <w:rPr>
          <w:rFonts w:ascii="宋体" w:hAnsi="宋体" w:eastAsia="宋体" w:cs="宋体"/>
          <w:color w:val="auto"/>
          <w:spacing w:val="1"/>
          <w:sz w:val="21"/>
          <w:szCs w:val="21"/>
          <w:highlight w:val="none"/>
        </w:rPr>
        <w:t>理人。监理人应在专用合同条款约定的期限内批复或提出修改意见，否则该进</w:t>
      </w:r>
      <w:r>
        <w:rPr>
          <w:rFonts w:ascii="宋体" w:hAnsi="宋体" w:eastAsia="宋体" w:cs="宋体"/>
          <w:color w:val="auto"/>
          <w:sz w:val="21"/>
          <w:szCs w:val="21"/>
          <w:highlight w:val="none"/>
        </w:rPr>
        <w:t xml:space="preserve">度计划视为已得到批 </w:t>
      </w:r>
      <w:r>
        <w:rPr>
          <w:rFonts w:ascii="宋体" w:hAnsi="宋体" w:eastAsia="宋体" w:cs="宋体"/>
          <w:color w:val="auto"/>
          <w:spacing w:val="1"/>
          <w:sz w:val="21"/>
          <w:szCs w:val="21"/>
          <w:highlight w:val="none"/>
        </w:rPr>
        <w:t>准。经监理人批准的施工进度计划称合同进度计划，是控制合同工程进度的依</w:t>
      </w:r>
      <w:r>
        <w:rPr>
          <w:rFonts w:ascii="宋体" w:hAnsi="宋体" w:eastAsia="宋体" w:cs="宋体"/>
          <w:color w:val="auto"/>
          <w:sz w:val="21"/>
          <w:szCs w:val="21"/>
          <w:highlight w:val="none"/>
        </w:rPr>
        <w:t>据。承包人还应根据 合同进度计划，编制更为详细的分阶段或分项进度计划，报监理</w:t>
      </w:r>
      <w:r>
        <w:rPr>
          <w:rFonts w:ascii="宋体" w:hAnsi="宋体" w:eastAsia="宋体" w:cs="宋体"/>
          <w:color w:val="auto"/>
          <w:spacing w:val="-1"/>
          <w:sz w:val="21"/>
          <w:szCs w:val="21"/>
          <w:highlight w:val="none"/>
        </w:rPr>
        <w:t>人审批。</w:t>
      </w:r>
    </w:p>
    <w:p w14:paraId="0000EC95">
      <w:pPr>
        <w:spacing w:before="302"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10.2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合同进度计划的修订</w:t>
      </w:r>
    </w:p>
    <w:p w14:paraId="2F88191D">
      <w:pPr>
        <w:spacing w:before="279" w:line="354" w:lineRule="auto"/>
        <w:ind w:right="72" w:firstLine="424"/>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不论何种原因造成工程的实际进度与第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10.1</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款的合同</w:t>
      </w:r>
      <w:r>
        <w:rPr>
          <w:rFonts w:ascii="宋体" w:hAnsi="宋体" w:eastAsia="宋体" w:cs="宋体"/>
          <w:color w:val="auto"/>
          <w:spacing w:val="-3"/>
          <w:sz w:val="21"/>
          <w:szCs w:val="21"/>
          <w:highlight w:val="none"/>
        </w:rPr>
        <w:t>进度计划不符时，承包人可以在专用合同</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条款约定的期限内向监理人提交修订合同进度计划的申请报告，并附有关措施和相关</w:t>
      </w:r>
      <w:r>
        <w:rPr>
          <w:rFonts w:ascii="宋体" w:hAnsi="宋体" w:eastAsia="宋体" w:cs="宋体"/>
          <w:color w:val="auto"/>
          <w:sz w:val="21"/>
          <w:szCs w:val="21"/>
          <w:highlight w:val="none"/>
        </w:rPr>
        <w:t xml:space="preserve">资料，报监理 </w:t>
      </w:r>
      <w:r>
        <w:rPr>
          <w:rFonts w:ascii="宋体" w:hAnsi="宋体" w:eastAsia="宋体" w:cs="宋体"/>
          <w:color w:val="auto"/>
          <w:spacing w:val="1"/>
          <w:sz w:val="21"/>
          <w:szCs w:val="21"/>
          <w:highlight w:val="none"/>
        </w:rPr>
        <w:t>人审批；监理人也可以直接向承包人作出修订合同进度计划的指示，承包人应按该</w:t>
      </w:r>
      <w:r>
        <w:rPr>
          <w:rFonts w:ascii="宋体" w:hAnsi="宋体" w:eastAsia="宋体" w:cs="宋体"/>
          <w:color w:val="auto"/>
          <w:sz w:val="21"/>
          <w:szCs w:val="21"/>
          <w:highlight w:val="none"/>
        </w:rPr>
        <w:t xml:space="preserve">指示修订合同进 </w:t>
      </w:r>
      <w:r>
        <w:rPr>
          <w:rFonts w:ascii="宋体" w:hAnsi="宋体" w:eastAsia="宋体" w:cs="宋体"/>
          <w:color w:val="auto"/>
          <w:spacing w:val="1"/>
          <w:sz w:val="21"/>
          <w:szCs w:val="21"/>
          <w:highlight w:val="none"/>
        </w:rPr>
        <w:t>度计划，报监理人审批。监理人应在专用合同条款约定的期限内批复。监理人在批</w:t>
      </w:r>
      <w:r>
        <w:rPr>
          <w:rFonts w:ascii="宋体" w:hAnsi="宋体" w:eastAsia="宋体" w:cs="宋体"/>
          <w:color w:val="auto"/>
          <w:sz w:val="21"/>
          <w:szCs w:val="21"/>
          <w:highlight w:val="none"/>
        </w:rPr>
        <w:t xml:space="preserve">复前应获得发包 </w:t>
      </w:r>
      <w:r>
        <w:rPr>
          <w:rFonts w:ascii="宋体" w:hAnsi="宋体" w:eastAsia="宋体" w:cs="宋体"/>
          <w:color w:val="auto"/>
          <w:spacing w:val="-1"/>
          <w:sz w:val="21"/>
          <w:szCs w:val="21"/>
          <w:highlight w:val="none"/>
        </w:rPr>
        <w:t>人同意。</w:t>
      </w:r>
    </w:p>
    <w:p w14:paraId="1460909B">
      <w:pPr>
        <w:spacing w:before="46" w:line="225" w:lineRule="auto"/>
        <w:ind w:left="29"/>
        <w:outlineLvl w:val="2"/>
        <w:rPr>
          <w:rFonts w:ascii="宋体" w:hAnsi="宋体" w:eastAsia="宋体" w:cs="宋体"/>
          <w:color w:val="auto"/>
          <w:sz w:val="31"/>
          <w:szCs w:val="31"/>
          <w:highlight w:val="none"/>
        </w:rPr>
      </w:pPr>
      <w:bookmarkStart w:id="248" w:name="_Toc26224"/>
      <w:bookmarkStart w:id="249" w:name="_Toc13057"/>
      <w:r>
        <w:rPr>
          <w:rFonts w:ascii="宋体" w:hAnsi="宋体" w:eastAsia="宋体" w:cs="宋体"/>
          <w:b/>
          <w:bCs/>
          <w:color w:val="auto"/>
          <w:spacing w:val="2"/>
          <w:sz w:val="31"/>
          <w:szCs w:val="31"/>
          <w:highlight w:val="none"/>
        </w:rPr>
        <w:t>11.</w:t>
      </w:r>
      <w:r>
        <w:rPr>
          <w:rFonts w:ascii="宋体" w:hAnsi="宋体" w:eastAsia="宋体" w:cs="宋体"/>
          <w:color w:val="auto"/>
          <w:spacing w:val="2"/>
          <w:sz w:val="31"/>
          <w:szCs w:val="31"/>
          <w:highlight w:val="none"/>
        </w:rPr>
        <w:t xml:space="preserve"> </w:t>
      </w:r>
      <w:r>
        <w:rPr>
          <w:rFonts w:ascii="宋体" w:hAnsi="宋体" w:eastAsia="宋体" w:cs="宋体"/>
          <w:b/>
          <w:bCs/>
          <w:color w:val="auto"/>
          <w:spacing w:val="2"/>
          <w:sz w:val="31"/>
          <w:szCs w:val="31"/>
          <w:highlight w:val="none"/>
        </w:rPr>
        <w:t>开工和竣工</w:t>
      </w:r>
      <w:bookmarkEnd w:id="248"/>
      <w:bookmarkEnd w:id="249"/>
    </w:p>
    <w:p w14:paraId="64CB667A">
      <w:pPr>
        <w:spacing w:before="276" w:line="221" w:lineRule="auto"/>
        <w:ind w:left="161"/>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11.1</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9"/>
          <w:sz w:val="28"/>
          <w:szCs w:val="28"/>
          <w:highlight w:val="none"/>
        </w:rPr>
        <w:t>开工</w:t>
      </w:r>
    </w:p>
    <w:p w14:paraId="6546D40B">
      <w:pPr>
        <w:spacing w:before="277" w:line="319" w:lineRule="auto"/>
        <w:ind w:left="1" w:right="72"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11.1.1 监理人应在开工日期</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7</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天前向承包人发</w:t>
      </w:r>
      <w:r>
        <w:rPr>
          <w:rFonts w:ascii="宋体" w:hAnsi="宋体" w:eastAsia="宋体" w:cs="宋体"/>
          <w:color w:val="auto"/>
          <w:spacing w:val="-3"/>
          <w:sz w:val="21"/>
          <w:szCs w:val="21"/>
          <w:highlight w:val="none"/>
        </w:rPr>
        <w:t>出开工通知。监理人在发出开工通知前应获得发</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包人同意。工期自监理人发出的开工通知中载明的开工日期起计算。承包人应在</w:t>
      </w:r>
      <w:r>
        <w:rPr>
          <w:rFonts w:ascii="宋体" w:hAnsi="宋体" w:eastAsia="宋体" w:cs="宋体"/>
          <w:color w:val="auto"/>
          <w:sz w:val="21"/>
          <w:szCs w:val="21"/>
          <w:highlight w:val="none"/>
        </w:rPr>
        <w:t xml:space="preserve">开工日期后尽快施 </w:t>
      </w:r>
      <w:r>
        <w:rPr>
          <w:rFonts w:ascii="宋体" w:hAnsi="宋体" w:eastAsia="宋体" w:cs="宋体"/>
          <w:color w:val="auto"/>
          <w:spacing w:val="-10"/>
          <w:sz w:val="21"/>
          <w:szCs w:val="21"/>
          <w:highlight w:val="none"/>
        </w:rPr>
        <w:t>工。</w:t>
      </w:r>
    </w:p>
    <w:p w14:paraId="2FCEAE96">
      <w:pPr>
        <w:spacing w:before="41" w:line="346" w:lineRule="auto"/>
        <w:ind w:left="2" w:firstLine="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11.1.2 承包人应按第 10.1</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款约定的合同进度计划，向监理人提</w:t>
      </w:r>
      <w:r>
        <w:rPr>
          <w:rFonts w:ascii="宋体" w:hAnsi="宋体" w:eastAsia="宋体" w:cs="宋体"/>
          <w:color w:val="auto"/>
          <w:spacing w:val="-2"/>
          <w:sz w:val="21"/>
          <w:szCs w:val="21"/>
          <w:highlight w:val="none"/>
        </w:rPr>
        <w:t>交工程开工报审表，经监理人</w:t>
      </w:r>
      <w:r>
        <w:rPr>
          <w:rFonts w:ascii="宋体" w:hAnsi="宋体" w:eastAsia="宋体" w:cs="宋体"/>
          <w:color w:val="auto"/>
          <w:spacing w:val="1"/>
          <w:sz w:val="21"/>
          <w:szCs w:val="21"/>
          <w:highlight w:val="none"/>
        </w:rPr>
        <w:t>审批后执行。开工报审表应详细说明按合同进度计划正常施工所</w:t>
      </w:r>
      <w:r>
        <w:rPr>
          <w:rFonts w:ascii="宋体" w:hAnsi="宋体" w:eastAsia="宋体" w:cs="宋体"/>
          <w:color w:val="auto"/>
          <w:sz w:val="21"/>
          <w:szCs w:val="21"/>
          <w:highlight w:val="none"/>
        </w:rPr>
        <w:t>需的施工道路、临时设施、材料设 备、施工人员等施工组织措施的落实情况以及工程的</w:t>
      </w:r>
      <w:r>
        <w:rPr>
          <w:rFonts w:ascii="宋体" w:hAnsi="宋体" w:eastAsia="宋体" w:cs="宋体"/>
          <w:color w:val="auto"/>
          <w:spacing w:val="-1"/>
          <w:sz w:val="21"/>
          <w:szCs w:val="21"/>
          <w:highlight w:val="none"/>
        </w:rPr>
        <w:t>进度安排。</w:t>
      </w:r>
    </w:p>
    <w:p w14:paraId="0D64EAB4">
      <w:pPr>
        <w:spacing w:before="299" w:line="220" w:lineRule="auto"/>
        <w:ind w:left="160"/>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11.2</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9"/>
          <w:sz w:val="28"/>
          <w:szCs w:val="28"/>
          <w:highlight w:val="none"/>
        </w:rPr>
        <w:t>竣工</w:t>
      </w:r>
    </w:p>
    <w:p w14:paraId="71F52511">
      <w:pPr>
        <w:spacing w:line="318" w:lineRule="auto"/>
        <w:rPr>
          <w:rFonts w:ascii="Arial"/>
          <w:color w:val="auto"/>
          <w:sz w:val="21"/>
          <w:highlight w:val="none"/>
        </w:rPr>
      </w:pPr>
    </w:p>
    <w:p w14:paraId="77C32E13">
      <w:pPr>
        <w:spacing w:before="68" w:line="220" w:lineRule="auto"/>
        <w:ind w:left="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承包人应在第</w:t>
      </w:r>
      <w:r>
        <w:rPr>
          <w:rFonts w:ascii="宋体" w:hAnsi="宋体" w:eastAsia="宋体" w:cs="宋体"/>
          <w:color w:val="auto"/>
          <w:spacing w:val="-20"/>
          <w:sz w:val="21"/>
          <w:szCs w:val="21"/>
          <w:highlight w:val="none"/>
        </w:rPr>
        <w:t xml:space="preserve"> </w:t>
      </w:r>
      <w:r>
        <w:rPr>
          <w:color w:val="auto"/>
          <w:highlight w:val="none"/>
        </w:rPr>
        <w:fldChar w:fldCharType="begin"/>
      </w:r>
      <w:r>
        <w:rPr>
          <w:color w:val="auto"/>
          <w:highlight w:val="none"/>
        </w:rPr>
        <w:instrText xml:space="preserve"> HYPERLINK "1.1.4.3" </w:instrText>
      </w:r>
      <w:r>
        <w:rPr>
          <w:color w:val="auto"/>
          <w:highlight w:val="none"/>
        </w:rPr>
        <w:fldChar w:fldCharType="separate"/>
      </w:r>
      <w:r>
        <w:rPr>
          <w:rFonts w:ascii="宋体" w:hAnsi="宋体" w:eastAsia="宋体" w:cs="宋体"/>
          <w:color w:val="auto"/>
          <w:spacing w:val="-2"/>
          <w:sz w:val="21"/>
          <w:szCs w:val="21"/>
          <w:highlight w:val="none"/>
        </w:rPr>
        <w:t>1.1.4.3</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目约定的期限内完成合同工程。实际竣工日期在接收证书中写明。</w:t>
      </w:r>
    </w:p>
    <w:p w14:paraId="7D6858E1">
      <w:pPr>
        <w:spacing w:before="311" w:line="221" w:lineRule="auto"/>
        <w:ind w:left="16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11.3</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发包人的工期延误</w:t>
      </w:r>
    </w:p>
    <w:p w14:paraId="396FAF53">
      <w:pPr>
        <w:spacing w:before="279" w:line="345" w:lineRule="auto"/>
        <w:ind w:right="2" w:firstLine="4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在履行合同过程中，由于发包人的下列原因造成工期延误的，承包人有权要</w:t>
      </w:r>
      <w:r>
        <w:rPr>
          <w:rFonts w:ascii="宋体" w:hAnsi="宋体" w:eastAsia="宋体" w:cs="宋体"/>
          <w:color w:val="auto"/>
          <w:sz w:val="21"/>
          <w:szCs w:val="21"/>
          <w:highlight w:val="none"/>
        </w:rPr>
        <w:t xml:space="preserve">求发包人延长工期 </w:t>
      </w:r>
      <w:r>
        <w:rPr>
          <w:rFonts w:ascii="宋体" w:hAnsi="宋体" w:eastAsia="宋体" w:cs="宋体"/>
          <w:color w:val="auto"/>
          <w:spacing w:val="-1"/>
          <w:sz w:val="21"/>
          <w:szCs w:val="21"/>
          <w:highlight w:val="none"/>
        </w:rPr>
        <w:t>和（或）增加费用，并支付合理利润。需要修订合同进度计划的，按照第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1"/>
          <w:sz w:val="21"/>
          <w:szCs w:val="21"/>
          <w:highlight w:val="none"/>
        </w:rPr>
        <w:t>1</w:t>
      </w:r>
      <w:r>
        <w:rPr>
          <w:rFonts w:ascii="宋体" w:hAnsi="宋体" w:eastAsia="宋体" w:cs="宋体"/>
          <w:color w:val="auto"/>
          <w:spacing w:val="-2"/>
          <w:sz w:val="21"/>
          <w:szCs w:val="21"/>
          <w:highlight w:val="none"/>
        </w:rPr>
        <w:t>0.2</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款的约定办理。</w:t>
      </w:r>
    </w:p>
    <w:p w14:paraId="31D3F922">
      <w:pPr>
        <w:spacing w:before="30" w:line="221"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（1）增加合同工作内容；</w:t>
      </w:r>
    </w:p>
    <w:p w14:paraId="1A268876">
      <w:pPr>
        <w:spacing w:before="159"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（2）改变合同中任何一项工作的质量要求或其他特性；</w:t>
      </w:r>
    </w:p>
    <w:p w14:paraId="59955401">
      <w:pPr>
        <w:spacing w:before="157" w:line="220"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（3）发包人迟延提供材料、工程设备或变更交货地点的；</w:t>
      </w:r>
    </w:p>
    <w:p w14:paraId="74CAD45C">
      <w:pPr>
        <w:spacing w:before="159" w:line="221" w:lineRule="auto"/>
        <w:ind w:left="42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（4）因发包人原因导致的暂停施工；</w:t>
      </w:r>
    </w:p>
    <w:p w14:paraId="122AD347">
      <w:pPr>
        <w:spacing w:before="156" w:line="220"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（5）提供图纸延误；</w:t>
      </w:r>
    </w:p>
    <w:p w14:paraId="0C4F7F7D">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（6）未按合同约定及时支付预付款、进度款；</w:t>
      </w:r>
    </w:p>
    <w:p w14:paraId="3BEF3CC0">
      <w:pPr>
        <w:spacing w:before="160" w:line="221"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（7）发包人造成工期延误的其他原因。</w:t>
      </w:r>
    </w:p>
    <w:p w14:paraId="6F331E33">
      <w:pPr>
        <w:spacing w:line="332" w:lineRule="auto"/>
        <w:rPr>
          <w:rFonts w:ascii="Arial"/>
          <w:color w:val="auto"/>
          <w:sz w:val="21"/>
          <w:highlight w:val="none"/>
        </w:rPr>
      </w:pPr>
    </w:p>
    <w:p w14:paraId="58EF8E0D">
      <w:pPr>
        <w:spacing w:before="91" w:line="220" w:lineRule="auto"/>
        <w:ind w:left="16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11.4</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异常恶劣的气候条件</w:t>
      </w:r>
    </w:p>
    <w:p w14:paraId="0E9E47DF">
      <w:pPr>
        <w:spacing w:before="280" w:line="346" w:lineRule="auto"/>
        <w:ind w:right="2" w:firstLine="444"/>
        <w:rPr>
          <w:rFonts w:ascii="宋体" w:hAnsi="宋体" w:eastAsia="宋体" w:cs="宋体"/>
          <w:color w:val="auto"/>
          <w:sz w:val="21"/>
          <w:szCs w:val="21"/>
          <w:highlight w:val="none"/>
        </w:rPr>
      </w:pPr>
      <w:r>
        <w:rPr>
          <w:rFonts w:ascii="宋体" w:hAnsi="宋体" w:eastAsia="宋体" w:cs="宋体"/>
          <w:color w:val="auto"/>
          <w:sz w:val="21"/>
          <w:szCs w:val="21"/>
          <w:highlight w:val="none"/>
        </w:rPr>
        <w:t>由于出现专用合同条款规定的异常恶劣气候的条件导致工期延误的，承包人有权要求发包人延</w:t>
      </w:r>
      <w:r>
        <w:rPr>
          <w:rFonts w:ascii="宋体" w:hAnsi="宋体" w:eastAsia="宋体" w:cs="宋体"/>
          <w:color w:val="auto"/>
          <w:spacing w:val="7"/>
          <w:sz w:val="21"/>
          <w:szCs w:val="21"/>
          <w:highlight w:val="none"/>
        </w:rPr>
        <w:t xml:space="preserve"> </w:t>
      </w:r>
      <w:r>
        <w:rPr>
          <w:rFonts w:ascii="宋体" w:hAnsi="宋体" w:eastAsia="宋体" w:cs="宋体"/>
          <w:color w:val="auto"/>
          <w:spacing w:val="-2"/>
          <w:sz w:val="21"/>
          <w:szCs w:val="21"/>
          <w:highlight w:val="none"/>
        </w:rPr>
        <w:t>长工期。</w:t>
      </w:r>
    </w:p>
    <w:p w14:paraId="552A10AF">
      <w:pPr>
        <w:spacing w:before="299" w:line="220" w:lineRule="auto"/>
        <w:ind w:left="16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11.5</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承包人的工期延误</w:t>
      </w:r>
    </w:p>
    <w:p w14:paraId="3A5FDF3C">
      <w:pPr>
        <w:spacing w:before="279" w:line="353" w:lineRule="auto"/>
        <w:ind w:left="1" w:firstLine="443"/>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由于承包人原因，未能按合同进度计划完成工作，或监理人认为承包人施工进度不能满足合同</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工期要求的，承包人应采取措施加快进度，并承担加快进度所增加的费用。</w:t>
      </w:r>
      <w:r>
        <w:rPr>
          <w:rFonts w:ascii="宋体" w:hAnsi="宋体" w:eastAsia="宋体" w:cs="宋体"/>
          <w:color w:val="auto"/>
          <w:sz w:val="21"/>
          <w:szCs w:val="21"/>
          <w:highlight w:val="none"/>
        </w:rPr>
        <w:t xml:space="preserve">由于承包人原因造成工 </w:t>
      </w:r>
      <w:r>
        <w:rPr>
          <w:rFonts w:ascii="宋体" w:hAnsi="宋体" w:eastAsia="宋体" w:cs="宋体"/>
          <w:color w:val="auto"/>
          <w:spacing w:val="1"/>
          <w:sz w:val="21"/>
          <w:szCs w:val="21"/>
          <w:highlight w:val="none"/>
        </w:rPr>
        <w:t>期延误，承包人应支付逾期竣工违约金。逾期竣工违约金的计算方法在专用</w:t>
      </w:r>
      <w:r>
        <w:rPr>
          <w:rFonts w:ascii="宋体" w:hAnsi="宋体" w:eastAsia="宋体" w:cs="宋体"/>
          <w:color w:val="auto"/>
          <w:sz w:val="21"/>
          <w:szCs w:val="21"/>
          <w:highlight w:val="none"/>
        </w:rPr>
        <w:t>合同条款中约定。承包 人支付逾期竣工违约金，不免除承包人完成工程及修补缺</w:t>
      </w:r>
      <w:r>
        <w:rPr>
          <w:rFonts w:ascii="宋体" w:hAnsi="宋体" w:eastAsia="宋体" w:cs="宋体"/>
          <w:color w:val="auto"/>
          <w:spacing w:val="-1"/>
          <w:sz w:val="21"/>
          <w:szCs w:val="21"/>
          <w:highlight w:val="none"/>
        </w:rPr>
        <w:t>陷的义务。</w:t>
      </w:r>
    </w:p>
    <w:p w14:paraId="15CA501B">
      <w:pPr>
        <w:spacing w:before="298" w:line="221" w:lineRule="auto"/>
        <w:ind w:left="160"/>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11.6</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工期提前</w:t>
      </w:r>
    </w:p>
    <w:p w14:paraId="1E4576F2">
      <w:pPr>
        <w:spacing w:before="279" w:line="350" w:lineRule="auto"/>
        <w:ind w:firstLine="423"/>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发包人要求承包人提前竣工，或承包人提出提前竣工的建议能够给</w:t>
      </w:r>
      <w:r>
        <w:rPr>
          <w:rFonts w:ascii="宋体" w:hAnsi="宋体" w:eastAsia="宋体" w:cs="宋体"/>
          <w:color w:val="auto"/>
          <w:sz w:val="21"/>
          <w:szCs w:val="21"/>
          <w:highlight w:val="none"/>
        </w:rPr>
        <w:t xml:space="preserve">发包人带来效益的，应由监 </w:t>
      </w:r>
      <w:r>
        <w:rPr>
          <w:rFonts w:ascii="宋体" w:hAnsi="宋体" w:eastAsia="宋体" w:cs="宋体"/>
          <w:color w:val="auto"/>
          <w:spacing w:val="1"/>
          <w:sz w:val="21"/>
          <w:szCs w:val="21"/>
          <w:highlight w:val="none"/>
        </w:rPr>
        <w:t>理人与承包人共同协商采取加快工程进度的措施和修订合同进度计划。发包人应</w:t>
      </w:r>
      <w:r>
        <w:rPr>
          <w:rFonts w:ascii="宋体" w:hAnsi="宋体" w:eastAsia="宋体" w:cs="宋体"/>
          <w:color w:val="auto"/>
          <w:sz w:val="21"/>
          <w:szCs w:val="21"/>
          <w:highlight w:val="none"/>
        </w:rPr>
        <w:t>承担承包人由此增 加的费用，并向承包人支付专用合同条款约定的相应</w:t>
      </w:r>
      <w:r>
        <w:rPr>
          <w:rFonts w:ascii="宋体" w:hAnsi="宋体" w:eastAsia="宋体" w:cs="宋体"/>
          <w:color w:val="auto"/>
          <w:spacing w:val="-1"/>
          <w:sz w:val="21"/>
          <w:szCs w:val="21"/>
          <w:highlight w:val="none"/>
        </w:rPr>
        <w:t>奖金。</w:t>
      </w:r>
    </w:p>
    <w:p w14:paraId="054685B5">
      <w:pPr>
        <w:spacing w:before="63" w:line="226" w:lineRule="auto"/>
        <w:ind w:left="29"/>
        <w:outlineLvl w:val="2"/>
        <w:rPr>
          <w:rFonts w:ascii="宋体" w:hAnsi="宋体" w:eastAsia="宋体" w:cs="宋体"/>
          <w:color w:val="auto"/>
          <w:sz w:val="31"/>
          <w:szCs w:val="31"/>
          <w:highlight w:val="none"/>
        </w:rPr>
      </w:pPr>
      <w:bookmarkStart w:id="250" w:name="bookmark236"/>
      <w:bookmarkEnd w:id="250"/>
      <w:bookmarkStart w:id="251" w:name="_Toc15515"/>
      <w:bookmarkStart w:id="252" w:name="_Toc27137"/>
      <w:r>
        <w:rPr>
          <w:rFonts w:ascii="宋体" w:hAnsi="宋体" w:eastAsia="宋体" w:cs="宋体"/>
          <w:b/>
          <w:bCs/>
          <w:color w:val="auto"/>
          <w:spacing w:val="-3"/>
          <w:sz w:val="31"/>
          <w:szCs w:val="31"/>
          <w:highlight w:val="none"/>
        </w:rPr>
        <w:t>12.</w:t>
      </w:r>
      <w:r>
        <w:rPr>
          <w:rFonts w:ascii="宋体" w:hAnsi="宋体" w:eastAsia="宋体" w:cs="宋体"/>
          <w:color w:val="auto"/>
          <w:spacing w:val="30"/>
          <w:sz w:val="31"/>
          <w:szCs w:val="31"/>
          <w:highlight w:val="none"/>
        </w:rPr>
        <w:t xml:space="preserve"> </w:t>
      </w:r>
      <w:r>
        <w:rPr>
          <w:rFonts w:ascii="宋体" w:hAnsi="宋体" w:eastAsia="宋体" w:cs="宋体"/>
          <w:b/>
          <w:bCs/>
          <w:color w:val="auto"/>
          <w:spacing w:val="-3"/>
          <w:sz w:val="31"/>
          <w:szCs w:val="31"/>
          <w:highlight w:val="none"/>
        </w:rPr>
        <w:t>暂停施工</w:t>
      </w:r>
      <w:bookmarkEnd w:id="251"/>
      <w:bookmarkEnd w:id="252"/>
    </w:p>
    <w:p w14:paraId="179F4CC6">
      <w:pPr>
        <w:spacing w:before="273"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12.1</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承包人暂停施工的责任</w:t>
      </w:r>
    </w:p>
    <w:p w14:paraId="7F77E5E0">
      <w:pPr>
        <w:spacing w:before="279" w:line="221" w:lineRule="auto"/>
        <w:ind w:left="43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因下列暂停施工增加的费用和（或）工期延误由承包人承担：</w:t>
      </w:r>
    </w:p>
    <w:p w14:paraId="3953B797">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（1）承包人违约引起的暂停施工；</w:t>
      </w:r>
    </w:p>
    <w:p w14:paraId="119BC602">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（2）由于承包人原因为工程合理施工和安全</w:t>
      </w:r>
      <w:r>
        <w:rPr>
          <w:rFonts w:ascii="宋体" w:hAnsi="宋体" w:eastAsia="宋体" w:cs="宋体"/>
          <w:color w:val="auto"/>
          <w:spacing w:val="-1"/>
          <w:sz w:val="21"/>
          <w:szCs w:val="21"/>
          <w:highlight w:val="none"/>
        </w:rPr>
        <w:t>保障所必需的暂停施工；</w:t>
      </w:r>
    </w:p>
    <w:p w14:paraId="2666B225">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（3）承包人擅自暂停施工；</w:t>
      </w:r>
    </w:p>
    <w:p w14:paraId="5285D1CF">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（4）承包人其他原因引起的暂停施工；</w:t>
      </w:r>
    </w:p>
    <w:p w14:paraId="222B0FFF">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（5）专用合同条款约定由承包人承担的其他暂停</w:t>
      </w:r>
      <w:r>
        <w:rPr>
          <w:rFonts w:ascii="宋体" w:hAnsi="宋体" w:eastAsia="宋体" w:cs="宋体"/>
          <w:color w:val="auto"/>
          <w:spacing w:val="-2"/>
          <w:sz w:val="21"/>
          <w:szCs w:val="21"/>
          <w:highlight w:val="none"/>
        </w:rPr>
        <w:t>施工。</w:t>
      </w:r>
    </w:p>
    <w:p w14:paraId="6AA00724">
      <w:pPr>
        <w:spacing w:line="333" w:lineRule="auto"/>
        <w:rPr>
          <w:rFonts w:ascii="Arial"/>
          <w:color w:val="auto"/>
          <w:sz w:val="21"/>
          <w:highlight w:val="none"/>
        </w:rPr>
      </w:pPr>
    </w:p>
    <w:p w14:paraId="6D43FE8C">
      <w:pPr>
        <w:spacing w:before="92"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12.2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发包人暂停施工的责任</w:t>
      </w:r>
    </w:p>
    <w:p w14:paraId="48BCCBC0">
      <w:pPr>
        <w:spacing w:before="281" w:line="345" w:lineRule="auto"/>
        <w:ind w:left="1" w:right="79" w:firstLine="445"/>
        <w:rPr>
          <w:rFonts w:ascii="宋体" w:hAnsi="宋体" w:eastAsia="宋体" w:cs="宋体"/>
          <w:color w:val="auto"/>
          <w:sz w:val="21"/>
          <w:szCs w:val="21"/>
          <w:highlight w:val="none"/>
        </w:rPr>
      </w:pPr>
      <w:r>
        <w:rPr>
          <w:rFonts w:ascii="宋体" w:hAnsi="宋体" w:eastAsia="宋体" w:cs="宋体"/>
          <w:color w:val="auto"/>
          <w:sz w:val="21"/>
          <w:szCs w:val="21"/>
          <w:highlight w:val="none"/>
        </w:rPr>
        <w:t>由于发包人原因引起的暂停施工造成工期延误的，承包人有权要求发包人延长工期和（或）增</w:t>
      </w:r>
      <w:r>
        <w:rPr>
          <w:rFonts w:ascii="宋体" w:hAnsi="宋体" w:eastAsia="宋体" w:cs="宋体"/>
          <w:color w:val="auto"/>
          <w:spacing w:val="7"/>
          <w:sz w:val="21"/>
          <w:szCs w:val="21"/>
          <w:highlight w:val="none"/>
        </w:rPr>
        <w:t xml:space="preserve"> </w:t>
      </w:r>
      <w:r>
        <w:rPr>
          <w:rFonts w:ascii="宋体" w:hAnsi="宋体" w:eastAsia="宋体" w:cs="宋体"/>
          <w:color w:val="auto"/>
          <w:spacing w:val="-1"/>
          <w:sz w:val="21"/>
          <w:szCs w:val="21"/>
          <w:highlight w:val="none"/>
        </w:rPr>
        <w:t>加费用，并支付合理利润。</w:t>
      </w:r>
    </w:p>
    <w:p w14:paraId="0B53E75C">
      <w:pPr>
        <w:spacing w:before="299" w:line="221"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12.3</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监理人暂停施工指示</w:t>
      </w:r>
    </w:p>
    <w:p w14:paraId="5A8F1297">
      <w:pPr>
        <w:spacing w:before="280" w:line="289" w:lineRule="auto"/>
        <w:ind w:left="4" w:right="78"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12.3.1 监理人认为有必要时，可向承包人作出暂停施工的指示，承包人应按监理人指示暂停施</w:t>
      </w:r>
      <w:r>
        <w:rPr>
          <w:rFonts w:ascii="宋体" w:hAnsi="宋体" w:eastAsia="宋体" w:cs="宋体"/>
          <w:color w:val="auto"/>
          <w:spacing w:val="3"/>
          <w:sz w:val="21"/>
          <w:szCs w:val="21"/>
          <w:highlight w:val="none"/>
        </w:rPr>
        <w:t xml:space="preserve"> </w:t>
      </w:r>
      <w:r>
        <w:rPr>
          <w:rFonts w:ascii="宋体" w:hAnsi="宋体" w:eastAsia="宋体" w:cs="宋体"/>
          <w:color w:val="auto"/>
          <w:spacing w:val="-5"/>
          <w:sz w:val="21"/>
          <w:szCs w:val="21"/>
          <w:highlight w:val="none"/>
        </w:rPr>
        <w:t>工。不论由于何种原因引起的暂停施工，暂停施工期间承包人应负责妥善保护工程并提供安全保障。</w:t>
      </w:r>
    </w:p>
    <w:p w14:paraId="7B21CD24">
      <w:pPr>
        <w:spacing w:before="160" w:line="350" w:lineRule="auto"/>
        <w:ind w:left="1" w:right="75" w:firstLine="435"/>
        <w:jc w:val="both"/>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12.3.2</w:t>
      </w:r>
      <w:r>
        <w:rPr>
          <w:rFonts w:ascii="宋体" w:hAnsi="宋体" w:eastAsia="宋体" w:cs="宋体"/>
          <w:color w:val="auto"/>
          <w:spacing w:val="47"/>
          <w:sz w:val="21"/>
          <w:szCs w:val="21"/>
          <w:highlight w:val="none"/>
        </w:rPr>
        <w:t xml:space="preserve"> </w:t>
      </w:r>
      <w:r>
        <w:rPr>
          <w:rFonts w:ascii="宋体" w:hAnsi="宋体" w:eastAsia="宋体" w:cs="宋体"/>
          <w:color w:val="auto"/>
          <w:spacing w:val="-3"/>
          <w:sz w:val="21"/>
          <w:szCs w:val="21"/>
          <w:highlight w:val="none"/>
        </w:rPr>
        <w:t>由于发包人的原因发生暂停施工的紧急情况，且监理人未及时下达暂停施工指示的，承</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包人可先暂停施工，并及时向监理人提出暂停施工的书面请求。监理人应在接到书面请</w:t>
      </w:r>
      <w:r>
        <w:rPr>
          <w:rFonts w:ascii="宋体" w:hAnsi="宋体" w:eastAsia="宋体" w:cs="宋体"/>
          <w:color w:val="auto"/>
          <w:spacing w:val="-3"/>
          <w:sz w:val="21"/>
          <w:szCs w:val="21"/>
          <w:highlight w:val="none"/>
        </w:rPr>
        <w:t>求后的</w:t>
      </w:r>
      <w:r>
        <w:rPr>
          <w:rFonts w:ascii="宋体" w:hAnsi="宋体" w:eastAsia="宋体" w:cs="宋体"/>
          <w:color w:val="auto"/>
          <w:spacing w:val="-42"/>
          <w:sz w:val="21"/>
          <w:szCs w:val="21"/>
          <w:highlight w:val="none"/>
        </w:rPr>
        <w:t xml:space="preserve"> </w:t>
      </w:r>
      <w:r>
        <w:rPr>
          <w:rFonts w:ascii="宋体" w:hAnsi="宋体" w:eastAsia="宋体" w:cs="宋体"/>
          <w:color w:val="auto"/>
          <w:spacing w:val="-3"/>
          <w:sz w:val="21"/>
          <w:szCs w:val="21"/>
          <w:highlight w:val="none"/>
        </w:rPr>
        <w:t>24</w:t>
      </w:r>
      <w:r>
        <w:rPr>
          <w:rFonts w:ascii="宋体" w:hAnsi="宋体" w:eastAsia="宋体" w:cs="宋体"/>
          <w:color w:val="auto"/>
          <w:spacing w:val="-38"/>
          <w:sz w:val="21"/>
          <w:szCs w:val="21"/>
          <w:highlight w:val="none"/>
        </w:rPr>
        <w:t xml:space="preserve"> </w:t>
      </w:r>
      <w:r>
        <w:rPr>
          <w:rFonts w:ascii="宋体" w:hAnsi="宋体" w:eastAsia="宋体" w:cs="宋体"/>
          <w:color w:val="auto"/>
          <w:spacing w:val="-3"/>
          <w:sz w:val="21"/>
          <w:szCs w:val="21"/>
          <w:highlight w:val="none"/>
        </w:rPr>
        <w:t>小</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时内予以答复，逾期未答复的，视为同意承包人的暂停施工请求。</w:t>
      </w:r>
    </w:p>
    <w:p w14:paraId="7770D0E3">
      <w:pPr>
        <w:spacing w:before="299" w:line="221"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12.4</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暂停施工后的复工</w:t>
      </w:r>
    </w:p>
    <w:p w14:paraId="1D499216">
      <w:pPr>
        <w:spacing w:before="279" w:line="351" w:lineRule="auto"/>
        <w:ind w:left="3" w:firstLine="433"/>
        <w:jc w:val="both"/>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12.4.1 暂停施工后，监理人应与发包人和承包人协商，采取有效措施积极消除暂停施工的影响。</w:t>
      </w:r>
      <w:r>
        <w:rPr>
          <w:rFonts w:ascii="宋体" w:hAnsi="宋体" w:eastAsia="宋体" w:cs="宋体"/>
          <w:color w:val="auto"/>
          <w:spacing w:val="11"/>
          <w:sz w:val="21"/>
          <w:szCs w:val="21"/>
          <w:highlight w:val="none"/>
        </w:rPr>
        <w:t xml:space="preserve"> </w:t>
      </w:r>
      <w:r>
        <w:rPr>
          <w:rFonts w:ascii="宋体" w:hAnsi="宋体" w:eastAsia="宋体" w:cs="宋体"/>
          <w:color w:val="auto"/>
          <w:spacing w:val="1"/>
          <w:sz w:val="21"/>
          <w:szCs w:val="21"/>
          <w:highlight w:val="none"/>
        </w:rPr>
        <w:t>当工程具备复工条件时，监理人应立即向承包人发出复工通知。承包人收到</w:t>
      </w:r>
      <w:r>
        <w:rPr>
          <w:rFonts w:ascii="宋体" w:hAnsi="宋体" w:eastAsia="宋体" w:cs="宋体"/>
          <w:color w:val="auto"/>
          <w:sz w:val="21"/>
          <w:szCs w:val="21"/>
          <w:highlight w:val="none"/>
        </w:rPr>
        <w:t xml:space="preserve">复工通知后，应在监理 </w:t>
      </w:r>
      <w:r>
        <w:rPr>
          <w:rFonts w:ascii="宋体" w:hAnsi="宋体" w:eastAsia="宋体" w:cs="宋体"/>
          <w:color w:val="auto"/>
          <w:spacing w:val="-1"/>
          <w:sz w:val="21"/>
          <w:szCs w:val="21"/>
          <w:highlight w:val="none"/>
        </w:rPr>
        <w:t>人指定的期限内复工。</w:t>
      </w:r>
    </w:p>
    <w:p w14:paraId="33CF27AD">
      <w:pPr>
        <w:spacing w:before="30" w:line="345" w:lineRule="auto"/>
        <w:ind w:left="18" w:right="75" w:firstLine="41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12.4.2 承包人无故拖延和拒绝复工的，由此增加的费用和工期延误由承包人承担；因发包人原</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因无法按时复工的，承包人有权要求发包人延长工期和（或）增加费用，并支付合理利润。</w:t>
      </w:r>
    </w:p>
    <w:p w14:paraId="3DC0E39D">
      <w:pPr>
        <w:spacing w:before="300" w:line="220" w:lineRule="auto"/>
        <w:ind w:left="16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12.5</w:t>
      </w:r>
      <w:r>
        <w:rPr>
          <w:rFonts w:ascii="宋体" w:hAnsi="宋体" w:eastAsia="宋体" w:cs="宋体"/>
          <w:color w:val="auto"/>
          <w:spacing w:val="-6"/>
          <w:sz w:val="28"/>
          <w:szCs w:val="28"/>
          <w:highlight w:val="none"/>
        </w:rPr>
        <w:t xml:space="preserve"> </w:t>
      </w:r>
      <w:r>
        <w:rPr>
          <w:rFonts w:ascii="宋体" w:hAnsi="宋体" w:eastAsia="宋体" w:cs="宋体"/>
          <w:b/>
          <w:bCs/>
          <w:color w:val="auto"/>
          <w:spacing w:val="-6"/>
          <w:sz w:val="28"/>
          <w:szCs w:val="28"/>
          <w:highlight w:val="none"/>
        </w:rPr>
        <w:t>暂停施工持续</w:t>
      </w:r>
      <w:r>
        <w:rPr>
          <w:rFonts w:ascii="宋体" w:hAnsi="宋体" w:eastAsia="宋体" w:cs="宋体"/>
          <w:color w:val="auto"/>
          <w:spacing w:val="-51"/>
          <w:sz w:val="28"/>
          <w:szCs w:val="28"/>
          <w:highlight w:val="none"/>
        </w:rPr>
        <w:t xml:space="preserve"> </w:t>
      </w:r>
      <w:r>
        <w:rPr>
          <w:rFonts w:ascii="宋体" w:hAnsi="宋体" w:eastAsia="宋体" w:cs="宋体"/>
          <w:b/>
          <w:bCs/>
          <w:color w:val="auto"/>
          <w:spacing w:val="-6"/>
          <w:sz w:val="28"/>
          <w:szCs w:val="28"/>
          <w:highlight w:val="none"/>
        </w:rPr>
        <w:t>56</w:t>
      </w:r>
      <w:r>
        <w:rPr>
          <w:rFonts w:ascii="宋体" w:hAnsi="宋体" w:eastAsia="宋体" w:cs="宋体"/>
          <w:color w:val="auto"/>
          <w:spacing w:val="-52"/>
          <w:sz w:val="28"/>
          <w:szCs w:val="28"/>
          <w:highlight w:val="none"/>
        </w:rPr>
        <w:t xml:space="preserve"> </w:t>
      </w:r>
      <w:r>
        <w:rPr>
          <w:rFonts w:ascii="宋体" w:hAnsi="宋体" w:eastAsia="宋体" w:cs="宋体"/>
          <w:b/>
          <w:bCs/>
          <w:color w:val="auto"/>
          <w:spacing w:val="-6"/>
          <w:sz w:val="28"/>
          <w:szCs w:val="28"/>
          <w:highlight w:val="none"/>
        </w:rPr>
        <w:t>天以上</w:t>
      </w:r>
    </w:p>
    <w:p w14:paraId="68F2832D">
      <w:pPr>
        <w:spacing w:before="280" w:line="221" w:lineRule="auto"/>
        <w:ind w:left="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12.5.1 监理人发出暂停施工指示后 56 天</w:t>
      </w:r>
      <w:r>
        <w:rPr>
          <w:rFonts w:ascii="宋体" w:hAnsi="宋体" w:eastAsia="宋体" w:cs="宋体"/>
          <w:color w:val="auto"/>
          <w:spacing w:val="2"/>
          <w:sz w:val="21"/>
          <w:szCs w:val="21"/>
          <w:highlight w:val="none"/>
        </w:rPr>
        <w:t>内未向承包人发出复工通知，除了该项停工属于第</w:t>
      </w:r>
    </w:p>
    <w:p w14:paraId="4F4C490E">
      <w:pPr>
        <w:spacing w:before="158" w:line="313" w:lineRule="auto"/>
        <w:ind w:right="75" w:firstLine="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12.1 款的情况外，承包人可向监理人提交书面通知，要求监理人在收到书面通知后 28 天内准许已</w:t>
      </w:r>
      <w:r>
        <w:rPr>
          <w:rFonts w:ascii="宋体" w:hAnsi="宋体" w:eastAsia="宋体" w:cs="宋体"/>
          <w:color w:val="auto"/>
          <w:spacing w:val="12"/>
          <w:sz w:val="21"/>
          <w:szCs w:val="21"/>
          <w:highlight w:val="none"/>
        </w:rPr>
        <w:t xml:space="preserve"> </w:t>
      </w:r>
      <w:r>
        <w:rPr>
          <w:rFonts w:ascii="宋体" w:hAnsi="宋体" w:eastAsia="宋体" w:cs="宋体"/>
          <w:color w:val="auto"/>
          <w:spacing w:val="1"/>
          <w:sz w:val="21"/>
          <w:szCs w:val="21"/>
          <w:highlight w:val="none"/>
        </w:rPr>
        <w:t>暂停施工的工程或其中一部分工程继续施工。如监理人逾期不</w:t>
      </w:r>
      <w:r>
        <w:rPr>
          <w:rFonts w:ascii="宋体" w:hAnsi="宋体" w:eastAsia="宋体" w:cs="宋体"/>
          <w:color w:val="auto"/>
          <w:sz w:val="21"/>
          <w:szCs w:val="21"/>
          <w:highlight w:val="none"/>
        </w:rPr>
        <w:t xml:space="preserve">予批准，则承包人可以通知监理人， </w:t>
      </w:r>
      <w:r>
        <w:rPr>
          <w:rFonts w:ascii="宋体" w:hAnsi="宋体" w:eastAsia="宋体" w:cs="宋体"/>
          <w:color w:val="auto"/>
          <w:spacing w:val="1"/>
          <w:sz w:val="21"/>
          <w:szCs w:val="21"/>
          <w:highlight w:val="none"/>
        </w:rPr>
        <w:t>将工程受影响的部分视为按第 15.1（1）项的可取消工作。如暂停施工影响到</w:t>
      </w:r>
      <w:r>
        <w:rPr>
          <w:rFonts w:ascii="宋体" w:hAnsi="宋体" w:eastAsia="宋体" w:cs="宋体"/>
          <w:color w:val="auto"/>
          <w:sz w:val="21"/>
          <w:szCs w:val="21"/>
          <w:highlight w:val="none"/>
        </w:rPr>
        <w:t>整个工程，可视为发</w:t>
      </w:r>
    </w:p>
    <w:p w14:paraId="2B554C6A">
      <w:pPr>
        <w:spacing w:before="41" w:line="221" w:lineRule="auto"/>
        <w:ind w:left="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包人违约，应按第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22.2</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款的规定办理。</w:t>
      </w:r>
    </w:p>
    <w:p w14:paraId="4A5F632B">
      <w:pPr>
        <w:spacing w:before="157" w:line="345" w:lineRule="auto"/>
        <w:ind w:left="4" w:right="75"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12.5.2</w:t>
      </w:r>
      <w:r>
        <w:rPr>
          <w:rFonts w:ascii="宋体" w:hAnsi="宋体" w:eastAsia="宋体" w:cs="宋体"/>
          <w:color w:val="auto"/>
          <w:spacing w:val="47"/>
          <w:sz w:val="21"/>
          <w:szCs w:val="21"/>
          <w:highlight w:val="none"/>
        </w:rPr>
        <w:t xml:space="preserve"> </w:t>
      </w:r>
      <w:r>
        <w:rPr>
          <w:rFonts w:ascii="宋体" w:hAnsi="宋体" w:eastAsia="宋体" w:cs="宋体"/>
          <w:color w:val="auto"/>
          <w:spacing w:val="-2"/>
          <w:sz w:val="21"/>
          <w:szCs w:val="21"/>
          <w:highlight w:val="none"/>
        </w:rPr>
        <w:t>由于承包人责任引起的暂停施工，如承包人在收到监理人暂停施工指示后</w:t>
      </w:r>
      <w:r>
        <w:rPr>
          <w:rFonts w:ascii="宋体" w:hAnsi="宋体" w:eastAsia="宋体" w:cs="宋体"/>
          <w:color w:val="auto"/>
          <w:spacing w:val="-20"/>
          <w:sz w:val="21"/>
          <w:szCs w:val="21"/>
          <w:highlight w:val="none"/>
        </w:rPr>
        <w:t xml:space="preserve"> </w:t>
      </w:r>
      <w:r>
        <w:rPr>
          <w:rFonts w:ascii="宋体" w:hAnsi="宋体" w:eastAsia="宋体" w:cs="宋体"/>
          <w:color w:val="auto"/>
          <w:spacing w:val="-2"/>
          <w:sz w:val="21"/>
          <w:szCs w:val="21"/>
          <w:highlight w:val="none"/>
        </w:rPr>
        <w:t>56</w:t>
      </w:r>
      <w:r>
        <w:rPr>
          <w:rFonts w:ascii="宋体" w:hAnsi="宋体" w:eastAsia="宋体" w:cs="宋体"/>
          <w:color w:val="auto"/>
          <w:spacing w:val="-23"/>
          <w:sz w:val="21"/>
          <w:szCs w:val="21"/>
          <w:highlight w:val="none"/>
        </w:rPr>
        <w:t xml:space="preserve"> </w:t>
      </w:r>
      <w:r>
        <w:rPr>
          <w:rFonts w:ascii="宋体" w:hAnsi="宋体" w:eastAsia="宋体" w:cs="宋体"/>
          <w:color w:val="auto"/>
          <w:spacing w:val="-2"/>
          <w:sz w:val="21"/>
          <w:szCs w:val="21"/>
          <w:highlight w:val="none"/>
        </w:rPr>
        <w:t>天内不认</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真采取有效的复工措施，造成工期延误，可视为承包人违约，应按第</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22.1</w:t>
      </w:r>
      <w:r>
        <w:rPr>
          <w:rFonts w:ascii="宋体" w:hAnsi="宋体" w:eastAsia="宋体" w:cs="宋体"/>
          <w:color w:val="auto"/>
          <w:spacing w:val="-46"/>
          <w:sz w:val="21"/>
          <w:szCs w:val="21"/>
          <w:highlight w:val="none"/>
        </w:rPr>
        <w:t xml:space="preserve"> </w:t>
      </w:r>
      <w:r>
        <w:rPr>
          <w:rFonts w:ascii="宋体" w:hAnsi="宋体" w:eastAsia="宋体" w:cs="宋体"/>
          <w:color w:val="auto"/>
          <w:spacing w:val="-1"/>
          <w:sz w:val="21"/>
          <w:szCs w:val="21"/>
          <w:highlight w:val="none"/>
        </w:rPr>
        <w:t>款的规定办理。</w:t>
      </w:r>
    </w:p>
    <w:p w14:paraId="34239FE3">
      <w:pPr>
        <w:spacing w:before="46" w:line="226" w:lineRule="auto"/>
        <w:ind w:left="29"/>
        <w:outlineLvl w:val="2"/>
        <w:rPr>
          <w:rFonts w:ascii="宋体" w:hAnsi="宋体" w:eastAsia="宋体" w:cs="宋体"/>
          <w:color w:val="auto"/>
          <w:sz w:val="31"/>
          <w:szCs w:val="31"/>
          <w:highlight w:val="none"/>
        </w:rPr>
      </w:pPr>
      <w:bookmarkStart w:id="253" w:name="bookmark237"/>
      <w:bookmarkEnd w:id="253"/>
      <w:bookmarkStart w:id="254" w:name="_Toc3314"/>
      <w:bookmarkStart w:id="255" w:name="_Toc1099"/>
      <w:r>
        <w:rPr>
          <w:rFonts w:ascii="宋体" w:hAnsi="宋体" w:eastAsia="宋体" w:cs="宋体"/>
          <w:b/>
          <w:bCs/>
          <w:color w:val="auto"/>
          <w:spacing w:val="-2"/>
          <w:sz w:val="31"/>
          <w:szCs w:val="31"/>
          <w:highlight w:val="none"/>
        </w:rPr>
        <w:t>13.</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2"/>
          <w:sz w:val="31"/>
          <w:szCs w:val="31"/>
          <w:highlight w:val="none"/>
        </w:rPr>
        <w:t>工程质量</w:t>
      </w:r>
      <w:bookmarkEnd w:id="254"/>
      <w:bookmarkEnd w:id="255"/>
    </w:p>
    <w:p w14:paraId="50EAAEC5">
      <w:pPr>
        <w:spacing w:before="275"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13.1</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工程质量要求</w:t>
      </w:r>
    </w:p>
    <w:p w14:paraId="31B0E667">
      <w:pPr>
        <w:spacing w:before="278" w:line="221" w:lineRule="auto"/>
        <w:ind w:left="4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13.1.1 工程质量验收按合同约定验收标准执行。</w:t>
      </w:r>
    </w:p>
    <w:p w14:paraId="373EB02F">
      <w:pPr>
        <w:spacing w:before="156" w:line="291" w:lineRule="auto"/>
        <w:ind w:left="3" w:right="75"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13.1.2 因承包人原因造成工程质量达不到合同约定验收标准的，监理人有权要求承包人返工直</w:t>
      </w:r>
      <w:r>
        <w:rPr>
          <w:rFonts w:ascii="宋体" w:hAnsi="宋体" w:eastAsia="宋体" w:cs="宋体"/>
          <w:color w:val="auto"/>
          <w:spacing w:val="5"/>
          <w:sz w:val="21"/>
          <w:szCs w:val="21"/>
          <w:highlight w:val="none"/>
        </w:rPr>
        <w:t xml:space="preserve"> </w:t>
      </w:r>
      <w:r>
        <w:rPr>
          <w:rFonts w:ascii="宋体" w:hAnsi="宋体" w:eastAsia="宋体" w:cs="宋体"/>
          <w:color w:val="auto"/>
          <w:sz w:val="21"/>
          <w:szCs w:val="21"/>
          <w:highlight w:val="none"/>
        </w:rPr>
        <w:t>至符合合同要求为止，由此造成的费用增加和（或）工期延误由承包</w:t>
      </w:r>
      <w:r>
        <w:rPr>
          <w:rFonts w:ascii="宋体" w:hAnsi="宋体" w:eastAsia="宋体" w:cs="宋体"/>
          <w:color w:val="auto"/>
          <w:spacing w:val="-1"/>
          <w:sz w:val="21"/>
          <w:szCs w:val="21"/>
          <w:highlight w:val="none"/>
        </w:rPr>
        <w:t>人承担。</w:t>
      </w:r>
    </w:p>
    <w:p w14:paraId="1D41095C">
      <w:pPr>
        <w:spacing w:before="157" w:line="290" w:lineRule="auto"/>
        <w:ind w:right="75" w:firstLine="4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13.1.3 因发包人原因造成工程质量达不到合同约定验收标准的，发包人应承担由于承包人返工</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造成的费用增加和（或）工期延误，并支付承包人合理利润。</w:t>
      </w:r>
    </w:p>
    <w:p w14:paraId="7F0204E8">
      <w:pPr>
        <w:spacing w:line="333" w:lineRule="auto"/>
        <w:rPr>
          <w:rFonts w:ascii="Arial"/>
          <w:color w:val="auto"/>
          <w:sz w:val="21"/>
          <w:highlight w:val="none"/>
        </w:rPr>
      </w:pPr>
    </w:p>
    <w:p w14:paraId="31D95DD6">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13.2</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承包人的质量管理</w:t>
      </w:r>
    </w:p>
    <w:p w14:paraId="33F11929">
      <w:pPr>
        <w:spacing w:before="280" w:line="351" w:lineRule="auto"/>
        <w:ind w:left="1" w:right="75" w:firstLine="435"/>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13.2.1 承包人应在施工场地设置专门的质量检查机构，配备专职质量检查人员，建立完善的质</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量检查制度。承包人应在合同约定的期限内，提交工程质量保证措施文件，包括</w:t>
      </w:r>
      <w:r>
        <w:rPr>
          <w:rFonts w:ascii="宋体" w:hAnsi="宋体" w:eastAsia="宋体" w:cs="宋体"/>
          <w:color w:val="auto"/>
          <w:sz w:val="21"/>
          <w:szCs w:val="21"/>
          <w:highlight w:val="none"/>
        </w:rPr>
        <w:t xml:space="preserve">质量检查机构的组 </w:t>
      </w:r>
      <w:r>
        <w:rPr>
          <w:rFonts w:ascii="宋体" w:hAnsi="宋体" w:eastAsia="宋体" w:cs="宋体"/>
          <w:color w:val="auto"/>
          <w:spacing w:val="-1"/>
          <w:sz w:val="21"/>
          <w:szCs w:val="21"/>
          <w:highlight w:val="none"/>
        </w:rPr>
        <w:t>织和岗位责任、质检人员的组成、质量检查程序和实施细则等，报送监理人审批。</w:t>
      </w:r>
    </w:p>
    <w:p w14:paraId="29BB9A36">
      <w:pPr>
        <w:spacing w:before="30" w:line="345" w:lineRule="auto"/>
        <w:ind w:left="1" w:right="75"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13.2.2 承包人应加强对施工人员的质量教育和技术培训，定期考核施工人员的劳动技能，严格</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执行规范和操作规程。</w:t>
      </w:r>
    </w:p>
    <w:p w14:paraId="2BFD4750">
      <w:pPr>
        <w:spacing w:before="300"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13.3</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承包人的质量检查</w:t>
      </w:r>
    </w:p>
    <w:p w14:paraId="46BAF995">
      <w:pPr>
        <w:spacing w:before="281" w:line="345" w:lineRule="auto"/>
        <w:ind w:left="4" w:right="78"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承包人应按合同约定对材料、工程设备以及工程的所有部位及其施工工艺</w:t>
      </w:r>
      <w:r>
        <w:rPr>
          <w:rFonts w:ascii="宋体" w:hAnsi="宋体" w:eastAsia="宋体" w:cs="宋体"/>
          <w:color w:val="auto"/>
          <w:sz w:val="21"/>
          <w:szCs w:val="21"/>
          <w:highlight w:val="none"/>
        </w:rPr>
        <w:t xml:space="preserve">进行全过程的质量检 </w:t>
      </w:r>
      <w:r>
        <w:rPr>
          <w:rFonts w:ascii="宋体" w:hAnsi="宋体" w:eastAsia="宋体" w:cs="宋体"/>
          <w:color w:val="auto"/>
          <w:spacing w:val="-1"/>
          <w:sz w:val="21"/>
          <w:szCs w:val="21"/>
          <w:highlight w:val="none"/>
        </w:rPr>
        <w:t>查和检验，并作详细记录，编制工程质量报表，报送监理人审查。</w:t>
      </w:r>
    </w:p>
    <w:p w14:paraId="13534909">
      <w:pPr>
        <w:spacing w:before="302"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13.4</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监理人的质量检查</w:t>
      </w:r>
    </w:p>
    <w:p w14:paraId="4B9C3848">
      <w:pPr>
        <w:spacing w:before="283" w:line="353" w:lineRule="auto"/>
        <w:ind w:right="76" w:firstLine="422"/>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监理人有权对工程的所有部位及其施工工艺、材料和工程设备进行检查和</w:t>
      </w:r>
      <w:r>
        <w:rPr>
          <w:rFonts w:ascii="宋体" w:hAnsi="宋体" w:eastAsia="宋体" w:cs="宋体"/>
          <w:color w:val="auto"/>
          <w:sz w:val="21"/>
          <w:szCs w:val="21"/>
          <w:highlight w:val="none"/>
        </w:rPr>
        <w:t xml:space="preserve">检验。承包人应为监 </w:t>
      </w:r>
      <w:r>
        <w:rPr>
          <w:rFonts w:ascii="宋体" w:hAnsi="宋体" w:eastAsia="宋体" w:cs="宋体"/>
          <w:color w:val="auto"/>
          <w:spacing w:val="1"/>
          <w:sz w:val="21"/>
          <w:szCs w:val="21"/>
          <w:highlight w:val="none"/>
        </w:rPr>
        <w:t>理人的检查和检验提供方便，包括监理人到施工场地，或制造、加工地点，或合同约</w:t>
      </w:r>
      <w:r>
        <w:rPr>
          <w:rFonts w:ascii="宋体" w:hAnsi="宋体" w:eastAsia="宋体" w:cs="宋体"/>
          <w:color w:val="auto"/>
          <w:sz w:val="21"/>
          <w:szCs w:val="21"/>
          <w:highlight w:val="none"/>
        </w:rPr>
        <w:t xml:space="preserve">定的其他地方 </w:t>
      </w:r>
      <w:r>
        <w:rPr>
          <w:rFonts w:ascii="宋体" w:hAnsi="宋体" w:eastAsia="宋体" w:cs="宋体"/>
          <w:color w:val="auto"/>
          <w:spacing w:val="1"/>
          <w:sz w:val="21"/>
          <w:szCs w:val="21"/>
          <w:highlight w:val="none"/>
        </w:rPr>
        <w:t>进行察看和查阅施工原始记录。承包人还应按监理人指示，进行施工场地取样试验、</w:t>
      </w:r>
      <w:r>
        <w:rPr>
          <w:rFonts w:ascii="宋体" w:hAnsi="宋体" w:eastAsia="宋体" w:cs="宋体"/>
          <w:color w:val="auto"/>
          <w:sz w:val="21"/>
          <w:szCs w:val="21"/>
          <w:highlight w:val="none"/>
        </w:rPr>
        <w:t xml:space="preserve">工程复核测量 </w:t>
      </w:r>
      <w:r>
        <w:rPr>
          <w:rFonts w:ascii="宋体" w:hAnsi="宋体" w:eastAsia="宋体" w:cs="宋体"/>
          <w:color w:val="auto"/>
          <w:spacing w:val="1"/>
          <w:sz w:val="21"/>
          <w:szCs w:val="21"/>
          <w:highlight w:val="none"/>
        </w:rPr>
        <w:t>和设备性能检测，提供试验样品、提交试验报告和测量成果以及监理人要求进行的其</w:t>
      </w:r>
      <w:r>
        <w:rPr>
          <w:rFonts w:ascii="宋体" w:hAnsi="宋体" w:eastAsia="宋体" w:cs="宋体"/>
          <w:color w:val="auto"/>
          <w:sz w:val="21"/>
          <w:szCs w:val="21"/>
          <w:highlight w:val="none"/>
        </w:rPr>
        <w:t xml:space="preserve">他工作。监理 </w:t>
      </w:r>
      <w:r>
        <w:rPr>
          <w:rFonts w:ascii="宋体" w:hAnsi="宋体" w:eastAsia="宋体" w:cs="宋体"/>
          <w:color w:val="auto"/>
          <w:spacing w:val="-1"/>
          <w:sz w:val="21"/>
          <w:szCs w:val="21"/>
          <w:highlight w:val="none"/>
        </w:rPr>
        <w:t>人的检查和检验，不免除承包人按合同约定应负的责任。</w:t>
      </w:r>
    </w:p>
    <w:p w14:paraId="7AF5C691">
      <w:pPr>
        <w:spacing w:before="302"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13.5</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工程隐蔽部位覆盖前的检查</w:t>
      </w:r>
    </w:p>
    <w:p w14:paraId="1D8381B1">
      <w:pPr>
        <w:spacing w:before="280"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13.5.1</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通知监理人检查</w:t>
      </w:r>
    </w:p>
    <w:p w14:paraId="1A3C957A">
      <w:pPr>
        <w:spacing w:before="156" w:line="221" w:lineRule="auto"/>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经承包人自检确认的工程隐蔽部位具备覆盖条件后，承包人</w:t>
      </w:r>
      <w:r>
        <w:rPr>
          <w:rFonts w:ascii="宋体" w:hAnsi="宋体" w:eastAsia="宋体" w:cs="宋体"/>
          <w:color w:val="auto"/>
          <w:spacing w:val="-3"/>
          <w:sz w:val="21"/>
          <w:szCs w:val="21"/>
          <w:highlight w:val="none"/>
        </w:rPr>
        <w:t>应通知监理人在约定的期限内检查。</w:t>
      </w:r>
    </w:p>
    <w:p w14:paraId="6CC97AE7">
      <w:pPr>
        <w:spacing w:before="41" w:line="350" w:lineRule="auto"/>
        <w:ind w:left="1" w:right="75"/>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承包人的通知应附有自检记录和必要的检查资料。监理人应按时到场检查。经监</w:t>
      </w:r>
      <w:r>
        <w:rPr>
          <w:rFonts w:ascii="宋体" w:hAnsi="宋体" w:eastAsia="宋体" w:cs="宋体"/>
          <w:color w:val="auto"/>
          <w:sz w:val="21"/>
          <w:szCs w:val="21"/>
          <w:highlight w:val="none"/>
        </w:rPr>
        <w:t xml:space="preserve">理人检查确认质量 </w:t>
      </w:r>
      <w:r>
        <w:rPr>
          <w:rFonts w:ascii="宋体" w:hAnsi="宋体" w:eastAsia="宋体" w:cs="宋体"/>
          <w:color w:val="auto"/>
          <w:spacing w:val="1"/>
          <w:sz w:val="21"/>
          <w:szCs w:val="21"/>
          <w:highlight w:val="none"/>
        </w:rPr>
        <w:t>符合隐蔽要求，并在检查记录上签字后，承包人才能进行覆盖。监理人检查确认</w:t>
      </w:r>
      <w:r>
        <w:rPr>
          <w:rFonts w:ascii="宋体" w:hAnsi="宋体" w:eastAsia="宋体" w:cs="宋体"/>
          <w:color w:val="auto"/>
          <w:sz w:val="21"/>
          <w:szCs w:val="21"/>
          <w:highlight w:val="none"/>
        </w:rPr>
        <w:t>质量不合格的，承 包人应在监理人指示的时间内修整返工后，由监理人重新</w:t>
      </w:r>
      <w:r>
        <w:rPr>
          <w:rFonts w:ascii="宋体" w:hAnsi="宋体" w:eastAsia="宋体" w:cs="宋体"/>
          <w:color w:val="auto"/>
          <w:spacing w:val="-1"/>
          <w:sz w:val="21"/>
          <w:szCs w:val="21"/>
          <w:highlight w:val="none"/>
        </w:rPr>
        <w:t>检查。</w:t>
      </w:r>
    </w:p>
    <w:p w14:paraId="337C15D3">
      <w:pPr>
        <w:spacing w:before="30"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13.5.2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监理人未到场检查</w:t>
      </w:r>
    </w:p>
    <w:p w14:paraId="10BA2F2F">
      <w:pPr>
        <w:spacing w:before="158" w:line="350" w:lineRule="auto"/>
        <w:ind w:left="4" w:right="74" w:firstLine="418"/>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监理人未按第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13.5.1</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项约定的时间进行检查的，</w:t>
      </w:r>
      <w:r>
        <w:rPr>
          <w:rFonts w:ascii="宋体" w:hAnsi="宋体" w:eastAsia="宋体" w:cs="宋体"/>
          <w:color w:val="auto"/>
          <w:spacing w:val="-3"/>
          <w:sz w:val="21"/>
          <w:szCs w:val="21"/>
          <w:highlight w:val="none"/>
        </w:rPr>
        <w:t>除监理人另有指示外，承包人可自行完成覆盖</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工作，并作相应记录报送监理人，监理人应签字确认。监理人事</w:t>
      </w:r>
      <w:r>
        <w:rPr>
          <w:rFonts w:ascii="宋体" w:hAnsi="宋体" w:eastAsia="宋体" w:cs="宋体"/>
          <w:color w:val="auto"/>
          <w:spacing w:val="-10"/>
          <w:sz w:val="21"/>
          <w:szCs w:val="21"/>
          <w:highlight w:val="none"/>
        </w:rPr>
        <w:t>后对检查记录有疑问的，可按第</w:t>
      </w:r>
      <w:r>
        <w:rPr>
          <w:rFonts w:ascii="宋体" w:hAnsi="宋体" w:eastAsia="宋体" w:cs="宋体"/>
          <w:color w:val="auto"/>
          <w:spacing w:val="-39"/>
          <w:sz w:val="21"/>
          <w:szCs w:val="21"/>
          <w:highlight w:val="none"/>
        </w:rPr>
        <w:t xml:space="preserve"> </w:t>
      </w:r>
      <w:r>
        <w:rPr>
          <w:rFonts w:ascii="宋体" w:hAnsi="宋体" w:eastAsia="宋体" w:cs="宋体"/>
          <w:color w:val="auto"/>
          <w:spacing w:val="-10"/>
          <w:sz w:val="21"/>
          <w:szCs w:val="21"/>
          <w:highlight w:val="none"/>
        </w:rPr>
        <w:t>13.5.3</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项的约定重新检查。</w:t>
      </w:r>
    </w:p>
    <w:p w14:paraId="683C2BCA">
      <w:pPr>
        <w:spacing w:before="30"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13.5.3</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监理人重新检查</w:t>
      </w:r>
    </w:p>
    <w:p w14:paraId="164C3B67">
      <w:pPr>
        <w:spacing w:before="161" w:line="353" w:lineRule="auto"/>
        <w:ind w:left="1" w:right="74" w:firstLine="420"/>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承包人按第</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13.5.1</w:t>
      </w:r>
      <w:r>
        <w:rPr>
          <w:rFonts w:ascii="宋体" w:hAnsi="宋体" w:eastAsia="宋体" w:cs="宋体"/>
          <w:color w:val="auto"/>
          <w:spacing w:val="-31"/>
          <w:sz w:val="21"/>
          <w:szCs w:val="21"/>
          <w:highlight w:val="none"/>
        </w:rPr>
        <w:t xml:space="preserve"> </w:t>
      </w:r>
      <w:r>
        <w:rPr>
          <w:rFonts w:ascii="宋体" w:hAnsi="宋体" w:eastAsia="宋体" w:cs="宋体"/>
          <w:color w:val="auto"/>
          <w:spacing w:val="-2"/>
          <w:sz w:val="21"/>
          <w:szCs w:val="21"/>
          <w:highlight w:val="none"/>
        </w:rPr>
        <w:t>项或第 13.5.2</w:t>
      </w:r>
      <w:r>
        <w:rPr>
          <w:rFonts w:ascii="宋体" w:hAnsi="宋体" w:eastAsia="宋体" w:cs="宋体"/>
          <w:color w:val="auto"/>
          <w:spacing w:val="-31"/>
          <w:sz w:val="21"/>
          <w:szCs w:val="21"/>
          <w:highlight w:val="none"/>
        </w:rPr>
        <w:t xml:space="preserve"> </w:t>
      </w:r>
      <w:r>
        <w:rPr>
          <w:rFonts w:ascii="宋体" w:hAnsi="宋体" w:eastAsia="宋体" w:cs="宋体"/>
          <w:color w:val="auto"/>
          <w:spacing w:val="-2"/>
          <w:sz w:val="21"/>
          <w:szCs w:val="21"/>
          <w:highlight w:val="none"/>
        </w:rPr>
        <w:t>项覆盖工程隐蔽部位后，监理人对质量有疑问的，可要求承</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包人对已覆盖的部位进行钻孔探测或揭开重新检验，承包人应遵照执行，并在检</w:t>
      </w:r>
      <w:r>
        <w:rPr>
          <w:rFonts w:ascii="宋体" w:hAnsi="宋体" w:eastAsia="宋体" w:cs="宋体"/>
          <w:color w:val="auto"/>
          <w:sz w:val="21"/>
          <w:szCs w:val="21"/>
          <w:highlight w:val="none"/>
        </w:rPr>
        <w:t xml:space="preserve">验后重新覆盖恢复 </w:t>
      </w:r>
      <w:r>
        <w:rPr>
          <w:rFonts w:ascii="宋体" w:hAnsi="宋体" w:eastAsia="宋体" w:cs="宋体"/>
          <w:color w:val="auto"/>
          <w:spacing w:val="1"/>
          <w:sz w:val="21"/>
          <w:szCs w:val="21"/>
          <w:highlight w:val="none"/>
        </w:rPr>
        <w:t>原状。经检验证明工程质量符合合同要求的，由发包人承担由此增加的费用和（</w:t>
      </w:r>
      <w:r>
        <w:rPr>
          <w:rFonts w:ascii="宋体" w:hAnsi="宋体" w:eastAsia="宋体" w:cs="宋体"/>
          <w:color w:val="auto"/>
          <w:sz w:val="21"/>
          <w:szCs w:val="21"/>
          <w:highlight w:val="none"/>
        </w:rPr>
        <w:t xml:space="preserve">或）工期延误，并 </w:t>
      </w:r>
      <w:r>
        <w:rPr>
          <w:rFonts w:ascii="宋体" w:hAnsi="宋体" w:eastAsia="宋体" w:cs="宋体"/>
          <w:color w:val="auto"/>
          <w:spacing w:val="1"/>
          <w:sz w:val="21"/>
          <w:szCs w:val="21"/>
          <w:highlight w:val="none"/>
        </w:rPr>
        <w:t>支付承包人合理利润；经检验证明工程质量不符合合同要求的，由此增加的费用</w:t>
      </w:r>
      <w:r>
        <w:rPr>
          <w:rFonts w:ascii="宋体" w:hAnsi="宋体" w:eastAsia="宋体" w:cs="宋体"/>
          <w:color w:val="auto"/>
          <w:sz w:val="21"/>
          <w:szCs w:val="21"/>
          <w:highlight w:val="none"/>
        </w:rPr>
        <w:t xml:space="preserve">和（或）工期延误 </w:t>
      </w:r>
      <w:r>
        <w:rPr>
          <w:rFonts w:ascii="宋体" w:hAnsi="宋体" w:eastAsia="宋体" w:cs="宋体"/>
          <w:color w:val="auto"/>
          <w:spacing w:val="-3"/>
          <w:sz w:val="21"/>
          <w:szCs w:val="21"/>
          <w:highlight w:val="none"/>
        </w:rPr>
        <w:t>由承包人承担。</w:t>
      </w:r>
    </w:p>
    <w:p w14:paraId="2DFE8142">
      <w:pPr>
        <w:spacing w:before="32"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13.5.4</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承包人私自覆盖</w:t>
      </w:r>
    </w:p>
    <w:p w14:paraId="22FE2DB2">
      <w:pPr>
        <w:spacing w:before="158" w:line="345" w:lineRule="auto"/>
        <w:ind w:left="4" w:right="77"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承包人未通知监理人到场检查，私自将工程隐蔽部位覆盖的，监理人有权指</w:t>
      </w:r>
      <w:r>
        <w:rPr>
          <w:rFonts w:ascii="宋体" w:hAnsi="宋体" w:eastAsia="宋体" w:cs="宋体"/>
          <w:color w:val="auto"/>
          <w:sz w:val="21"/>
          <w:szCs w:val="21"/>
          <w:highlight w:val="none"/>
        </w:rPr>
        <w:t>示承包人钻孔探测 或揭开检查，由此增加的费用和（或）工期延误由承</w:t>
      </w:r>
      <w:r>
        <w:rPr>
          <w:rFonts w:ascii="宋体" w:hAnsi="宋体" w:eastAsia="宋体" w:cs="宋体"/>
          <w:color w:val="auto"/>
          <w:spacing w:val="-1"/>
          <w:sz w:val="21"/>
          <w:szCs w:val="21"/>
          <w:highlight w:val="none"/>
        </w:rPr>
        <w:t>包人承担。</w:t>
      </w:r>
    </w:p>
    <w:p w14:paraId="39C09A55">
      <w:pPr>
        <w:spacing w:before="300"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13.6</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清除不合格工程</w:t>
      </w:r>
    </w:p>
    <w:p w14:paraId="10C37939">
      <w:pPr>
        <w:spacing w:before="282" w:line="313" w:lineRule="auto"/>
        <w:ind w:left="1" w:right="75"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13.6.1 承包人使用不合格材料、工程设备，或采用不适当的施工工艺，或施工不当，造成工程</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不合格的，监理人可以随时发出指示，要求承包人立即采取措施进行补救，直至</w:t>
      </w:r>
      <w:r>
        <w:rPr>
          <w:rFonts w:ascii="宋体" w:hAnsi="宋体" w:eastAsia="宋体" w:cs="宋体"/>
          <w:color w:val="auto"/>
          <w:sz w:val="21"/>
          <w:szCs w:val="21"/>
          <w:highlight w:val="none"/>
        </w:rPr>
        <w:t>达到合同要求的质 量标准，由此增加的费用和（或）工期延误由承包人</w:t>
      </w:r>
      <w:r>
        <w:rPr>
          <w:rFonts w:ascii="宋体" w:hAnsi="宋体" w:eastAsia="宋体" w:cs="宋体"/>
          <w:color w:val="auto"/>
          <w:spacing w:val="-1"/>
          <w:sz w:val="21"/>
          <w:szCs w:val="21"/>
          <w:highlight w:val="none"/>
        </w:rPr>
        <w:t>承担。</w:t>
      </w:r>
    </w:p>
    <w:p w14:paraId="231A983F">
      <w:pPr>
        <w:spacing w:before="156" w:line="290" w:lineRule="auto"/>
        <w:ind w:left="19" w:right="74"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13.6.2</w:t>
      </w:r>
      <w:r>
        <w:rPr>
          <w:rFonts w:ascii="宋体" w:hAnsi="宋体" w:eastAsia="宋体" w:cs="宋体"/>
          <w:color w:val="auto"/>
          <w:spacing w:val="47"/>
          <w:sz w:val="21"/>
          <w:szCs w:val="21"/>
          <w:highlight w:val="none"/>
        </w:rPr>
        <w:t xml:space="preserve"> </w:t>
      </w:r>
      <w:r>
        <w:rPr>
          <w:rFonts w:ascii="宋体" w:hAnsi="宋体" w:eastAsia="宋体" w:cs="宋体"/>
          <w:color w:val="auto"/>
          <w:spacing w:val="-3"/>
          <w:sz w:val="21"/>
          <w:szCs w:val="21"/>
          <w:highlight w:val="none"/>
        </w:rPr>
        <w:t>由于发包人提供的材料或工程设备不合格造成的工程不合格，需要承包人采取措施补救</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的，发包人应承担由此增加的费用和（或）工期延误，并支付承包人合理利润。</w:t>
      </w:r>
    </w:p>
    <w:p w14:paraId="1BBED7E4">
      <w:pPr>
        <w:spacing w:before="172" w:line="225" w:lineRule="auto"/>
        <w:ind w:left="29"/>
        <w:outlineLvl w:val="2"/>
        <w:rPr>
          <w:rFonts w:ascii="宋体" w:hAnsi="宋体" w:eastAsia="宋体" w:cs="宋体"/>
          <w:color w:val="auto"/>
          <w:sz w:val="31"/>
          <w:szCs w:val="31"/>
          <w:highlight w:val="none"/>
        </w:rPr>
      </w:pPr>
      <w:bookmarkStart w:id="256" w:name="bookmark238"/>
      <w:bookmarkEnd w:id="256"/>
      <w:bookmarkStart w:id="257" w:name="_Toc28801"/>
      <w:bookmarkStart w:id="258" w:name="_Toc16274"/>
      <w:r>
        <w:rPr>
          <w:rFonts w:ascii="宋体" w:hAnsi="宋体" w:eastAsia="宋体" w:cs="宋体"/>
          <w:b/>
          <w:bCs/>
          <w:color w:val="auto"/>
          <w:spacing w:val="2"/>
          <w:sz w:val="31"/>
          <w:szCs w:val="31"/>
          <w:highlight w:val="none"/>
        </w:rPr>
        <w:t>14.</w:t>
      </w:r>
      <w:r>
        <w:rPr>
          <w:rFonts w:ascii="宋体" w:hAnsi="宋体" w:eastAsia="宋体" w:cs="宋体"/>
          <w:color w:val="auto"/>
          <w:spacing w:val="2"/>
          <w:sz w:val="31"/>
          <w:szCs w:val="31"/>
          <w:highlight w:val="none"/>
        </w:rPr>
        <w:t xml:space="preserve"> </w:t>
      </w:r>
      <w:r>
        <w:rPr>
          <w:rFonts w:ascii="宋体" w:hAnsi="宋体" w:eastAsia="宋体" w:cs="宋体"/>
          <w:b/>
          <w:bCs/>
          <w:color w:val="auto"/>
          <w:spacing w:val="2"/>
          <w:sz w:val="31"/>
          <w:szCs w:val="31"/>
          <w:highlight w:val="none"/>
        </w:rPr>
        <w:t>试验和检验</w:t>
      </w:r>
      <w:bookmarkEnd w:id="257"/>
      <w:bookmarkEnd w:id="258"/>
    </w:p>
    <w:p w14:paraId="3CFE8F8A">
      <w:pPr>
        <w:spacing w:before="277" w:line="219"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14.1</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材料、工程设备和工程的试验和检验</w:t>
      </w:r>
    </w:p>
    <w:p w14:paraId="6E8A0549">
      <w:pPr>
        <w:spacing w:before="281" w:line="313" w:lineRule="auto"/>
        <w:ind w:firstLine="43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14.1.1 承包人应按合同约定进行材料、工程设备和工程的试验和检验，并为监理人对上述材料、</w:t>
      </w:r>
      <w:r>
        <w:rPr>
          <w:rFonts w:ascii="宋体" w:hAnsi="宋体" w:eastAsia="宋体" w:cs="宋体"/>
          <w:color w:val="auto"/>
          <w:spacing w:val="10"/>
          <w:sz w:val="21"/>
          <w:szCs w:val="21"/>
          <w:highlight w:val="none"/>
        </w:rPr>
        <w:t xml:space="preserve"> </w:t>
      </w:r>
      <w:r>
        <w:rPr>
          <w:rFonts w:ascii="宋体" w:hAnsi="宋体" w:eastAsia="宋体" w:cs="宋体"/>
          <w:color w:val="auto"/>
          <w:spacing w:val="1"/>
          <w:sz w:val="21"/>
          <w:szCs w:val="21"/>
          <w:highlight w:val="none"/>
        </w:rPr>
        <w:t>工程设备和工程的质量检查提供必要的试验资料和原始记录。按合同约定应由监理人</w:t>
      </w:r>
      <w:r>
        <w:rPr>
          <w:rFonts w:ascii="宋体" w:hAnsi="宋体" w:eastAsia="宋体" w:cs="宋体"/>
          <w:color w:val="auto"/>
          <w:sz w:val="21"/>
          <w:szCs w:val="21"/>
          <w:highlight w:val="none"/>
        </w:rPr>
        <w:t>与承包人共同 进行试验和检验的，由承包人负责提供必要的试验资料和原始记录。</w:t>
      </w:r>
    </w:p>
    <w:p w14:paraId="35496A86">
      <w:pPr>
        <w:spacing w:before="159" w:line="290" w:lineRule="auto"/>
        <w:ind w:left="2" w:right="74"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14.1.2 监理人未按合同约定派员参加试验和检验的，除监理人另有指示外，承包人可自行试验</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和检验，并应立即将试验和检验结果报送监理人，监理人应签字确认。</w:t>
      </w:r>
    </w:p>
    <w:p w14:paraId="065BFDA5">
      <w:pPr>
        <w:spacing w:before="158" w:line="312" w:lineRule="auto"/>
        <w:ind w:left="1" w:right="74"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14.1.3 监理人对承包人的试验和检验结果有疑问的，或为查清承包人试验和检验成果的可靠性</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要求承包人重新试验和检验的，可按合同约定由监理人与承包人共同进行。重新</w:t>
      </w:r>
      <w:r>
        <w:rPr>
          <w:rFonts w:ascii="宋体" w:hAnsi="宋体" w:eastAsia="宋体" w:cs="宋体"/>
          <w:color w:val="auto"/>
          <w:sz w:val="21"/>
          <w:szCs w:val="21"/>
          <w:highlight w:val="none"/>
        </w:rPr>
        <w:t xml:space="preserve">试验和检验的结果 </w:t>
      </w:r>
      <w:r>
        <w:rPr>
          <w:rFonts w:ascii="宋体" w:hAnsi="宋体" w:eastAsia="宋体" w:cs="宋体"/>
          <w:color w:val="auto"/>
          <w:spacing w:val="1"/>
          <w:sz w:val="21"/>
          <w:szCs w:val="21"/>
          <w:highlight w:val="none"/>
        </w:rPr>
        <w:t>证明该项材料、工程设备或工程的质量不符合合同要求的，由此增加的费用和（</w:t>
      </w:r>
      <w:r>
        <w:rPr>
          <w:rFonts w:ascii="宋体" w:hAnsi="宋体" w:eastAsia="宋体" w:cs="宋体"/>
          <w:color w:val="auto"/>
          <w:sz w:val="21"/>
          <w:szCs w:val="21"/>
          <w:highlight w:val="none"/>
        </w:rPr>
        <w:t>或）工期延误由承</w:t>
      </w:r>
    </w:p>
    <w:p w14:paraId="0AC4E2BD">
      <w:pPr>
        <w:spacing w:before="41" w:line="346" w:lineRule="auto"/>
        <w:ind w:right="17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包人承担；重新试验和检验结果证明该项材料、工程设备和工程符合合同要求，</w:t>
      </w:r>
      <w:r>
        <w:rPr>
          <w:rFonts w:ascii="宋体" w:hAnsi="宋体" w:eastAsia="宋体" w:cs="宋体"/>
          <w:color w:val="auto"/>
          <w:sz w:val="21"/>
          <w:szCs w:val="21"/>
          <w:highlight w:val="none"/>
        </w:rPr>
        <w:t xml:space="preserve">由发包人承担由此 </w:t>
      </w:r>
      <w:r>
        <w:rPr>
          <w:rFonts w:ascii="宋体" w:hAnsi="宋体" w:eastAsia="宋体" w:cs="宋体"/>
          <w:color w:val="auto"/>
          <w:spacing w:val="-1"/>
          <w:sz w:val="21"/>
          <w:szCs w:val="21"/>
          <w:highlight w:val="none"/>
        </w:rPr>
        <w:t>增加的费用和（或）工期延误，并支付承包人合理利润。</w:t>
      </w:r>
    </w:p>
    <w:p w14:paraId="445170D0">
      <w:pPr>
        <w:spacing w:before="299" w:line="219"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14.2</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现场材料试验</w:t>
      </w:r>
    </w:p>
    <w:p w14:paraId="1E4F8526">
      <w:pPr>
        <w:spacing w:before="282" w:line="289" w:lineRule="auto"/>
        <w:ind w:right="178" w:firstLine="4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14.2.1 承包人根据合同约定或监理人指示进行的现场材料试验，应由承包人提供试验场所、试</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验人员、试验设备器材以及其他必要的试验条件。</w:t>
      </w:r>
    </w:p>
    <w:p w14:paraId="4653F9D0">
      <w:pPr>
        <w:spacing w:before="160" w:line="289" w:lineRule="auto"/>
        <w:ind w:left="3" w:right="178"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14.2.2 监理人在必要时可以使用承包人的试验场所、试验设备器材以及其他试验条件，进行以</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工程质量检查为目的的复核性材料试验，承包人应予以协助。</w:t>
      </w:r>
    </w:p>
    <w:p w14:paraId="3C3FBD6A">
      <w:pPr>
        <w:spacing w:line="333" w:lineRule="auto"/>
        <w:rPr>
          <w:rFonts w:ascii="Arial"/>
          <w:color w:val="auto"/>
          <w:sz w:val="21"/>
          <w:highlight w:val="none"/>
        </w:rPr>
      </w:pPr>
    </w:p>
    <w:p w14:paraId="13BD8712">
      <w:pPr>
        <w:spacing w:before="91"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14.3</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现场工艺试验</w:t>
      </w:r>
    </w:p>
    <w:p w14:paraId="3C7B2F35">
      <w:pPr>
        <w:spacing w:before="280" w:line="345" w:lineRule="auto"/>
        <w:ind w:left="1" w:right="181"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承包人应按合同约定或监理人指示进行现场工艺试验。对大型的现场工艺</w:t>
      </w:r>
      <w:r>
        <w:rPr>
          <w:rFonts w:ascii="宋体" w:hAnsi="宋体" w:eastAsia="宋体" w:cs="宋体"/>
          <w:color w:val="auto"/>
          <w:sz w:val="21"/>
          <w:szCs w:val="21"/>
          <w:highlight w:val="none"/>
        </w:rPr>
        <w:t>试验，监理人认为必 要时，应由承包人根据监理人提出的工艺试验要求，编制</w:t>
      </w:r>
      <w:r>
        <w:rPr>
          <w:rFonts w:ascii="宋体" w:hAnsi="宋体" w:eastAsia="宋体" w:cs="宋体"/>
          <w:color w:val="auto"/>
          <w:spacing w:val="-1"/>
          <w:sz w:val="21"/>
          <w:szCs w:val="21"/>
          <w:highlight w:val="none"/>
        </w:rPr>
        <w:t>工艺试验措施计划，报送监理人审批。</w:t>
      </w:r>
    </w:p>
    <w:p w14:paraId="78A2CD39">
      <w:pPr>
        <w:spacing w:before="47" w:line="226" w:lineRule="auto"/>
        <w:ind w:left="28"/>
        <w:outlineLvl w:val="2"/>
        <w:rPr>
          <w:rFonts w:ascii="宋体" w:hAnsi="宋体" w:eastAsia="宋体" w:cs="宋体"/>
          <w:color w:val="auto"/>
          <w:sz w:val="31"/>
          <w:szCs w:val="31"/>
          <w:highlight w:val="none"/>
        </w:rPr>
      </w:pPr>
      <w:bookmarkStart w:id="259" w:name="bookmark239"/>
      <w:bookmarkEnd w:id="259"/>
      <w:bookmarkStart w:id="260" w:name="_Toc10296"/>
      <w:bookmarkStart w:id="261" w:name="_Toc20435"/>
      <w:r>
        <w:rPr>
          <w:rFonts w:ascii="宋体" w:hAnsi="宋体" w:eastAsia="宋体" w:cs="宋体"/>
          <w:b/>
          <w:bCs/>
          <w:color w:val="auto"/>
          <w:spacing w:val="-6"/>
          <w:sz w:val="31"/>
          <w:szCs w:val="31"/>
          <w:highlight w:val="none"/>
        </w:rPr>
        <w:t>15.</w:t>
      </w:r>
      <w:r>
        <w:rPr>
          <w:rFonts w:ascii="宋体" w:hAnsi="宋体" w:eastAsia="宋体" w:cs="宋体"/>
          <w:color w:val="auto"/>
          <w:spacing w:val="22"/>
          <w:sz w:val="31"/>
          <w:szCs w:val="31"/>
          <w:highlight w:val="none"/>
        </w:rPr>
        <w:t xml:space="preserve"> </w:t>
      </w:r>
      <w:r>
        <w:rPr>
          <w:rFonts w:ascii="宋体" w:hAnsi="宋体" w:eastAsia="宋体" w:cs="宋体"/>
          <w:b/>
          <w:bCs/>
          <w:color w:val="auto"/>
          <w:spacing w:val="-6"/>
          <w:sz w:val="31"/>
          <w:szCs w:val="31"/>
          <w:highlight w:val="none"/>
        </w:rPr>
        <w:t>变更</w:t>
      </w:r>
      <w:bookmarkEnd w:id="260"/>
      <w:bookmarkEnd w:id="261"/>
    </w:p>
    <w:p w14:paraId="3C326DDB">
      <w:pPr>
        <w:spacing w:before="275"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15.1</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变更的范围和内容</w:t>
      </w:r>
    </w:p>
    <w:p w14:paraId="25F6F8F0">
      <w:pPr>
        <w:spacing w:before="280" w:line="220" w:lineRule="auto"/>
        <w:ind w:left="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除专用合同条款另有约定外，在履行合同中发生以下情形之一，应按照本条规定进行变更。</w:t>
      </w:r>
    </w:p>
    <w:p w14:paraId="40AD6390">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（1）取消合同中任何一项工作，但被取消的工作不能转由发包人或其他人实施；</w:t>
      </w:r>
    </w:p>
    <w:p w14:paraId="643403B1">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（2）改变合同中任何一项工作的质量或其他特性；</w:t>
      </w:r>
    </w:p>
    <w:p w14:paraId="08CF96A6">
      <w:pPr>
        <w:spacing w:before="157" w:line="220"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（3）改变合同工程的基线、标高、位置或尺寸；</w:t>
      </w:r>
    </w:p>
    <w:p w14:paraId="6C89352F">
      <w:pPr>
        <w:spacing w:before="158"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（4）改变合同中任何一项工作的施工时间或改变已批准的施工工艺或顺序；</w:t>
      </w:r>
    </w:p>
    <w:p w14:paraId="2BD77671">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（5）为完成工程需要追加的额外工作。</w:t>
      </w:r>
    </w:p>
    <w:p w14:paraId="65C7AF78">
      <w:pPr>
        <w:spacing w:line="333" w:lineRule="auto"/>
        <w:rPr>
          <w:rFonts w:ascii="Arial"/>
          <w:color w:val="auto"/>
          <w:sz w:val="21"/>
          <w:highlight w:val="none"/>
        </w:rPr>
      </w:pPr>
    </w:p>
    <w:p w14:paraId="4EC152F0">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15.2</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8"/>
          <w:sz w:val="28"/>
          <w:szCs w:val="28"/>
          <w:highlight w:val="none"/>
        </w:rPr>
        <w:t>变更权</w:t>
      </w:r>
    </w:p>
    <w:p w14:paraId="2BECC1BF">
      <w:pPr>
        <w:spacing w:before="281" w:line="347" w:lineRule="auto"/>
        <w:ind w:left="1" w:right="178" w:firstLine="4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在履行合同过程中，经发包人同意，监理人可按第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15.3</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款</w:t>
      </w:r>
      <w:r>
        <w:rPr>
          <w:rFonts w:ascii="宋体" w:hAnsi="宋体" w:eastAsia="宋体" w:cs="宋体"/>
          <w:color w:val="auto"/>
          <w:spacing w:val="-3"/>
          <w:sz w:val="21"/>
          <w:szCs w:val="21"/>
          <w:highlight w:val="none"/>
        </w:rPr>
        <w:t>约定的变更程序向承包人作出变更指</w:t>
      </w:r>
      <w:r>
        <w:rPr>
          <w:rFonts w:ascii="宋体" w:hAnsi="宋体" w:eastAsia="宋体" w:cs="宋体"/>
          <w:color w:val="auto"/>
          <w:sz w:val="21"/>
          <w:szCs w:val="21"/>
          <w:highlight w:val="none"/>
        </w:rPr>
        <w:t xml:space="preserve"> 示，承包人应遵照执行。没有监理人的变更指示，承包人不得擅</w:t>
      </w:r>
      <w:r>
        <w:rPr>
          <w:rFonts w:ascii="宋体" w:hAnsi="宋体" w:eastAsia="宋体" w:cs="宋体"/>
          <w:color w:val="auto"/>
          <w:spacing w:val="-1"/>
          <w:sz w:val="21"/>
          <w:szCs w:val="21"/>
          <w:highlight w:val="none"/>
        </w:rPr>
        <w:t>自变更。</w:t>
      </w:r>
    </w:p>
    <w:p w14:paraId="6FAC1499">
      <w:pPr>
        <w:spacing w:before="297"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15.3</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变更程序</w:t>
      </w:r>
    </w:p>
    <w:p w14:paraId="670B71EF">
      <w:pPr>
        <w:spacing w:before="280" w:line="221" w:lineRule="auto"/>
        <w:ind w:left="429"/>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15.3.1</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变更的提出</w:t>
      </w:r>
    </w:p>
    <w:p w14:paraId="0C32FC67">
      <w:pPr>
        <w:spacing w:before="156" w:line="220" w:lineRule="auto"/>
        <w:ind w:left="42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（1）在合同履行过程中，可能发生第</w:t>
      </w:r>
      <w:r>
        <w:rPr>
          <w:rFonts w:ascii="宋体" w:hAnsi="宋体" w:eastAsia="宋体" w:cs="宋体"/>
          <w:color w:val="auto"/>
          <w:spacing w:val="-23"/>
          <w:sz w:val="21"/>
          <w:szCs w:val="21"/>
          <w:highlight w:val="none"/>
        </w:rPr>
        <w:t xml:space="preserve"> </w:t>
      </w:r>
      <w:r>
        <w:rPr>
          <w:rFonts w:ascii="宋体" w:hAnsi="宋体" w:eastAsia="宋体" w:cs="宋体"/>
          <w:color w:val="auto"/>
          <w:spacing w:val="-5"/>
          <w:sz w:val="21"/>
          <w:szCs w:val="21"/>
          <w:highlight w:val="none"/>
        </w:rPr>
        <w:t>15.1</w:t>
      </w:r>
      <w:r>
        <w:rPr>
          <w:rFonts w:ascii="宋体" w:hAnsi="宋体" w:eastAsia="宋体" w:cs="宋体"/>
          <w:color w:val="auto"/>
          <w:spacing w:val="-44"/>
          <w:sz w:val="21"/>
          <w:szCs w:val="21"/>
          <w:highlight w:val="none"/>
        </w:rPr>
        <w:t xml:space="preserve"> </w:t>
      </w:r>
      <w:r>
        <w:rPr>
          <w:rFonts w:ascii="宋体" w:hAnsi="宋体" w:eastAsia="宋体" w:cs="宋体"/>
          <w:color w:val="auto"/>
          <w:spacing w:val="-5"/>
          <w:sz w:val="21"/>
          <w:szCs w:val="21"/>
          <w:highlight w:val="none"/>
        </w:rPr>
        <w:t>款约定情形的，监理人可向承包人发出变更意向书。</w:t>
      </w:r>
    </w:p>
    <w:p w14:paraId="09083B69">
      <w:pPr>
        <w:spacing w:before="156" w:line="351" w:lineRule="auto"/>
        <w:ind w:left="5" w:hanging="5"/>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变更意向书应说明变更的具体内容和发包人对变更的时间要求，并附必要的图纸</w:t>
      </w:r>
      <w:r>
        <w:rPr>
          <w:rFonts w:ascii="宋体" w:hAnsi="宋体" w:eastAsia="宋体" w:cs="宋体"/>
          <w:color w:val="auto"/>
          <w:sz w:val="21"/>
          <w:szCs w:val="21"/>
          <w:highlight w:val="none"/>
        </w:rPr>
        <w:t xml:space="preserve">和相关资料。变更  </w:t>
      </w:r>
      <w:r>
        <w:rPr>
          <w:rFonts w:ascii="宋体" w:hAnsi="宋体" w:eastAsia="宋体" w:cs="宋体"/>
          <w:color w:val="auto"/>
          <w:spacing w:val="1"/>
          <w:sz w:val="21"/>
          <w:szCs w:val="21"/>
          <w:highlight w:val="none"/>
        </w:rPr>
        <w:t>意向书应要求承包人提交包括拟实施变更工作的计划、措施和竣工</w:t>
      </w:r>
      <w:r>
        <w:rPr>
          <w:rFonts w:ascii="宋体" w:hAnsi="宋体" w:eastAsia="宋体" w:cs="宋体"/>
          <w:color w:val="auto"/>
          <w:sz w:val="21"/>
          <w:szCs w:val="21"/>
          <w:highlight w:val="none"/>
        </w:rPr>
        <w:t xml:space="preserve">时间等内容的实施方案。发包人  </w:t>
      </w:r>
      <w:r>
        <w:rPr>
          <w:rFonts w:ascii="宋体" w:hAnsi="宋体" w:eastAsia="宋体" w:cs="宋体"/>
          <w:color w:val="auto"/>
          <w:spacing w:val="-3"/>
          <w:sz w:val="21"/>
          <w:szCs w:val="21"/>
          <w:highlight w:val="none"/>
        </w:rPr>
        <w:t>同意承包人根据变更意向书要求提交的变更实施方案的，由监理人按第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15.3.3</w:t>
      </w:r>
      <w:r>
        <w:rPr>
          <w:rFonts w:ascii="宋体" w:hAnsi="宋体" w:eastAsia="宋体" w:cs="宋体"/>
          <w:color w:val="auto"/>
          <w:spacing w:val="-41"/>
          <w:sz w:val="21"/>
          <w:szCs w:val="21"/>
          <w:highlight w:val="none"/>
        </w:rPr>
        <w:t xml:space="preserve"> </w:t>
      </w:r>
      <w:r>
        <w:rPr>
          <w:rFonts w:ascii="宋体" w:hAnsi="宋体" w:eastAsia="宋体" w:cs="宋体"/>
          <w:color w:val="auto"/>
          <w:spacing w:val="-3"/>
          <w:sz w:val="21"/>
          <w:szCs w:val="21"/>
          <w:highlight w:val="none"/>
        </w:rPr>
        <w:t>项约定发出变更指示。</w:t>
      </w:r>
    </w:p>
    <w:p w14:paraId="1C33C27F">
      <w:pPr>
        <w:spacing w:before="30"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（2）在合同履行过程中，发生第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3"/>
          <w:sz w:val="21"/>
          <w:szCs w:val="21"/>
          <w:highlight w:val="none"/>
        </w:rPr>
        <w:t>15.1</w:t>
      </w:r>
      <w:r>
        <w:rPr>
          <w:rFonts w:ascii="宋体" w:hAnsi="宋体" w:eastAsia="宋体" w:cs="宋体"/>
          <w:color w:val="auto"/>
          <w:spacing w:val="-43"/>
          <w:sz w:val="21"/>
          <w:szCs w:val="21"/>
          <w:highlight w:val="none"/>
        </w:rPr>
        <w:t xml:space="preserve"> </w:t>
      </w:r>
      <w:r>
        <w:rPr>
          <w:rFonts w:ascii="宋体" w:hAnsi="宋体" w:eastAsia="宋体" w:cs="宋体"/>
          <w:color w:val="auto"/>
          <w:spacing w:val="-3"/>
          <w:sz w:val="21"/>
          <w:szCs w:val="21"/>
          <w:highlight w:val="none"/>
        </w:rPr>
        <w:t>款约定情形的，监理人应按照第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15.3.3</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项约定向承包人</w:t>
      </w:r>
    </w:p>
    <w:p w14:paraId="270018F6">
      <w:pPr>
        <w:spacing w:before="42" w:line="221" w:lineRule="auto"/>
        <w:ind w:left="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发出变更指示。</w:t>
      </w:r>
    </w:p>
    <w:p w14:paraId="19CFEC1B">
      <w:pPr>
        <w:spacing w:before="154" w:line="325" w:lineRule="auto"/>
        <w:ind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（3）承包人收到监理人按合同约定发出的图纸和文件，经检查认为其中存在第 15.</w:t>
      </w:r>
      <w:r>
        <w:rPr>
          <w:rFonts w:ascii="宋体" w:hAnsi="宋体" w:eastAsia="宋体" w:cs="宋体"/>
          <w:color w:val="auto"/>
          <w:spacing w:val="-2"/>
          <w:sz w:val="21"/>
          <w:szCs w:val="21"/>
          <w:highlight w:val="none"/>
        </w:rPr>
        <w:t>1</w:t>
      </w:r>
      <w:r>
        <w:rPr>
          <w:rFonts w:ascii="宋体" w:hAnsi="宋体" w:eastAsia="宋体" w:cs="宋体"/>
          <w:color w:val="auto"/>
          <w:spacing w:val="-26"/>
          <w:sz w:val="21"/>
          <w:szCs w:val="21"/>
          <w:highlight w:val="none"/>
        </w:rPr>
        <w:t xml:space="preserve"> </w:t>
      </w:r>
      <w:r>
        <w:rPr>
          <w:rFonts w:ascii="宋体" w:hAnsi="宋体" w:eastAsia="宋体" w:cs="宋体"/>
          <w:color w:val="auto"/>
          <w:spacing w:val="-2"/>
          <w:sz w:val="21"/>
          <w:szCs w:val="21"/>
          <w:highlight w:val="none"/>
        </w:rPr>
        <w:t>款约定情</w:t>
      </w:r>
      <w:r>
        <w:rPr>
          <w:rFonts w:ascii="宋体" w:hAnsi="宋体" w:eastAsia="宋体" w:cs="宋体"/>
          <w:color w:val="auto"/>
          <w:sz w:val="21"/>
          <w:szCs w:val="21"/>
          <w:highlight w:val="none"/>
        </w:rPr>
        <w:t xml:space="preserve"> 形的，可向监理人提出书面变更建议。变更建议应阐明要求变更的依据，并附必要的图纸和说明。</w:t>
      </w:r>
      <w:r>
        <w:rPr>
          <w:rFonts w:ascii="宋体" w:hAnsi="宋体" w:eastAsia="宋体" w:cs="宋体"/>
          <w:color w:val="auto"/>
          <w:spacing w:val="4"/>
          <w:sz w:val="21"/>
          <w:szCs w:val="21"/>
          <w:highlight w:val="none"/>
        </w:rPr>
        <w:t xml:space="preserve"> </w:t>
      </w:r>
      <w:r>
        <w:rPr>
          <w:rFonts w:ascii="宋体" w:hAnsi="宋体" w:eastAsia="宋体" w:cs="宋体"/>
          <w:color w:val="auto"/>
          <w:spacing w:val="1"/>
          <w:sz w:val="21"/>
          <w:szCs w:val="21"/>
          <w:highlight w:val="none"/>
        </w:rPr>
        <w:t>监理人收到承包人书面建议后，应与发包人共同研究，确认存在变更的，应在</w:t>
      </w:r>
      <w:r>
        <w:rPr>
          <w:rFonts w:ascii="宋体" w:hAnsi="宋体" w:eastAsia="宋体" w:cs="宋体"/>
          <w:color w:val="auto"/>
          <w:sz w:val="21"/>
          <w:szCs w:val="21"/>
          <w:highlight w:val="none"/>
        </w:rPr>
        <w:t xml:space="preserve">收到承包人书面建议 </w:t>
      </w:r>
      <w:r>
        <w:rPr>
          <w:rFonts w:ascii="宋体" w:hAnsi="宋体" w:eastAsia="宋体" w:cs="宋体"/>
          <w:color w:val="auto"/>
          <w:spacing w:val="-1"/>
          <w:sz w:val="21"/>
          <w:szCs w:val="21"/>
          <w:highlight w:val="none"/>
        </w:rPr>
        <w:t>后的</w:t>
      </w:r>
      <w:r>
        <w:rPr>
          <w:rFonts w:ascii="宋体" w:hAnsi="宋体" w:eastAsia="宋体" w:cs="宋体"/>
          <w:color w:val="auto"/>
          <w:spacing w:val="-28"/>
          <w:sz w:val="21"/>
          <w:szCs w:val="21"/>
          <w:highlight w:val="none"/>
        </w:rPr>
        <w:t xml:space="preserve"> </w:t>
      </w:r>
      <w:r>
        <w:rPr>
          <w:rFonts w:ascii="宋体" w:hAnsi="宋体" w:eastAsia="宋体" w:cs="宋体"/>
          <w:color w:val="auto"/>
          <w:spacing w:val="-1"/>
          <w:sz w:val="21"/>
          <w:szCs w:val="21"/>
          <w:highlight w:val="none"/>
        </w:rPr>
        <w:t>14</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天内作出变更指示。经研究后不同意作为</w:t>
      </w:r>
      <w:r>
        <w:rPr>
          <w:rFonts w:ascii="宋体" w:hAnsi="宋体" w:eastAsia="宋体" w:cs="宋体"/>
          <w:color w:val="auto"/>
          <w:spacing w:val="-2"/>
          <w:sz w:val="21"/>
          <w:szCs w:val="21"/>
          <w:highlight w:val="none"/>
        </w:rPr>
        <w:t>变更的，应由监理人书面答复承包人。</w:t>
      </w:r>
    </w:p>
    <w:p w14:paraId="03B4A18C">
      <w:pPr>
        <w:spacing w:before="158" w:line="289" w:lineRule="auto"/>
        <w:ind w:left="16" w:right="16" w:firstLine="40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（4）若承包人收到监理人的变更意向书后认为难以实施此项变更，应立即通知</w:t>
      </w:r>
      <w:r>
        <w:rPr>
          <w:rFonts w:ascii="宋体" w:hAnsi="宋体" w:eastAsia="宋体" w:cs="宋体"/>
          <w:color w:val="auto"/>
          <w:spacing w:val="-3"/>
          <w:sz w:val="21"/>
          <w:szCs w:val="21"/>
          <w:highlight w:val="none"/>
        </w:rPr>
        <w:t>监理人，说明原</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因并附详细依据。监理人与承包人和发包人协商后确定撤销、改变或不改变原变更意向书。</w:t>
      </w:r>
    </w:p>
    <w:p w14:paraId="05BCD315">
      <w:pPr>
        <w:spacing w:before="158" w:line="219" w:lineRule="auto"/>
        <w:ind w:left="428"/>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15.3.2</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变更估价</w:t>
      </w:r>
    </w:p>
    <w:p w14:paraId="64A4BCB4">
      <w:pPr>
        <w:spacing w:before="159" w:line="313" w:lineRule="auto"/>
        <w:ind w:left="1" w:firstLine="42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（1）除专用合同条款对期限另有约定外，承包人应在收到变更指示或变更意向书后的</w:t>
      </w:r>
      <w:r>
        <w:rPr>
          <w:rFonts w:ascii="宋体" w:hAnsi="宋体" w:eastAsia="宋体" w:cs="宋体"/>
          <w:color w:val="auto"/>
          <w:spacing w:val="-28"/>
          <w:sz w:val="21"/>
          <w:szCs w:val="21"/>
          <w:highlight w:val="none"/>
        </w:rPr>
        <w:t xml:space="preserve"> </w:t>
      </w:r>
      <w:r>
        <w:rPr>
          <w:rFonts w:ascii="宋体" w:hAnsi="宋体" w:eastAsia="宋体" w:cs="宋体"/>
          <w:color w:val="auto"/>
          <w:spacing w:val="-5"/>
          <w:sz w:val="21"/>
          <w:szCs w:val="21"/>
          <w:highlight w:val="none"/>
        </w:rPr>
        <w:t>14</w:t>
      </w:r>
      <w:r>
        <w:rPr>
          <w:rFonts w:ascii="宋体" w:hAnsi="宋体" w:eastAsia="宋体" w:cs="宋体"/>
          <w:color w:val="auto"/>
          <w:spacing w:val="-42"/>
          <w:sz w:val="21"/>
          <w:szCs w:val="21"/>
          <w:highlight w:val="none"/>
        </w:rPr>
        <w:t xml:space="preserve"> </w:t>
      </w:r>
      <w:r>
        <w:rPr>
          <w:rFonts w:ascii="宋体" w:hAnsi="宋体" w:eastAsia="宋体" w:cs="宋体"/>
          <w:color w:val="auto"/>
          <w:spacing w:val="-5"/>
          <w:sz w:val="21"/>
          <w:szCs w:val="21"/>
          <w:highlight w:val="none"/>
        </w:rPr>
        <w:t>天内，</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向监理人提交变更报价书，报价内容应根据第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15.4</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款约定的估价原则，</w:t>
      </w:r>
      <w:r>
        <w:rPr>
          <w:rFonts w:ascii="宋体" w:hAnsi="宋体" w:eastAsia="宋体" w:cs="宋体"/>
          <w:color w:val="auto"/>
          <w:spacing w:val="-3"/>
          <w:sz w:val="21"/>
          <w:szCs w:val="21"/>
          <w:highlight w:val="none"/>
        </w:rPr>
        <w:t>详细开列变更工作的价格组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成及其依据，并附必要的施工方法说明和有关图纸。</w:t>
      </w:r>
    </w:p>
    <w:p w14:paraId="5E2B6CAE">
      <w:pPr>
        <w:spacing w:before="157" w:line="290" w:lineRule="auto"/>
        <w:ind w:right="10" w:firstLine="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（2）变更工作影响工期的，承包人应提出调整工期的具体细节。监理人认为有必要时，可</w:t>
      </w:r>
      <w:r>
        <w:rPr>
          <w:rFonts w:ascii="宋体" w:hAnsi="宋体" w:eastAsia="宋体" w:cs="宋体"/>
          <w:color w:val="auto"/>
          <w:spacing w:val="-3"/>
          <w:sz w:val="21"/>
          <w:szCs w:val="21"/>
          <w:highlight w:val="none"/>
        </w:rPr>
        <w:t>要求</w:t>
      </w:r>
      <w:r>
        <w:rPr>
          <w:rFonts w:ascii="宋体" w:hAnsi="宋体" w:eastAsia="宋体" w:cs="宋体"/>
          <w:color w:val="auto"/>
          <w:sz w:val="21"/>
          <w:szCs w:val="21"/>
          <w:highlight w:val="none"/>
        </w:rPr>
        <w:t xml:space="preserve"> 承包人提交要求提前或延长工期的施工进度计划及相应施工措施等详细</w:t>
      </w:r>
      <w:r>
        <w:rPr>
          <w:rFonts w:ascii="宋体" w:hAnsi="宋体" w:eastAsia="宋体" w:cs="宋体"/>
          <w:color w:val="auto"/>
          <w:spacing w:val="-1"/>
          <w:sz w:val="21"/>
          <w:szCs w:val="21"/>
          <w:highlight w:val="none"/>
        </w:rPr>
        <w:t>资料。</w:t>
      </w:r>
    </w:p>
    <w:p w14:paraId="2D492F8B">
      <w:pPr>
        <w:spacing w:before="160" w:line="219" w:lineRule="auto"/>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（3）除专用合同条款对期限另有约定外，监理人收到承包人变更报价</w:t>
      </w:r>
      <w:r>
        <w:rPr>
          <w:rFonts w:ascii="宋体" w:hAnsi="宋体" w:eastAsia="宋体" w:cs="宋体"/>
          <w:color w:val="auto"/>
          <w:spacing w:val="-2"/>
          <w:sz w:val="21"/>
          <w:szCs w:val="21"/>
          <w:highlight w:val="none"/>
        </w:rPr>
        <w:t>书后的 14</w:t>
      </w:r>
      <w:r>
        <w:rPr>
          <w:rFonts w:ascii="宋体" w:hAnsi="宋体" w:eastAsia="宋体" w:cs="宋体"/>
          <w:color w:val="auto"/>
          <w:spacing w:val="-21"/>
          <w:sz w:val="21"/>
          <w:szCs w:val="21"/>
          <w:highlight w:val="none"/>
        </w:rPr>
        <w:t xml:space="preserve"> </w:t>
      </w:r>
      <w:r>
        <w:rPr>
          <w:rFonts w:ascii="宋体" w:hAnsi="宋体" w:eastAsia="宋体" w:cs="宋体"/>
          <w:color w:val="auto"/>
          <w:spacing w:val="-2"/>
          <w:sz w:val="21"/>
          <w:szCs w:val="21"/>
          <w:highlight w:val="none"/>
        </w:rPr>
        <w:t>天内，根据第</w:t>
      </w:r>
    </w:p>
    <w:p w14:paraId="5CDF1A67">
      <w:pPr>
        <w:spacing w:before="158" w:line="219" w:lineRule="auto"/>
        <w:ind w:left="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15.4</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款约定的估价原则，按照第</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3.5</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款商定或确定变更</w:t>
      </w:r>
      <w:r>
        <w:rPr>
          <w:rFonts w:ascii="宋体" w:hAnsi="宋体" w:eastAsia="宋体" w:cs="宋体"/>
          <w:color w:val="auto"/>
          <w:spacing w:val="-3"/>
          <w:sz w:val="21"/>
          <w:szCs w:val="21"/>
          <w:highlight w:val="none"/>
        </w:rPr>
        <w:t>价格。</w:t>
      </w:r>
    </w:p>
    <w:p w14:paraId="4D2B8637">
      <w:pPr>
        <w:spacing w:before="159" w:line="222" w:lineRule="auto"/>
        <w:ind w:left="428"/>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15.3.3</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变更指示</w:t>
      </w:r>
    </w:p>
    <w:p w14:paraId="346CF3FA">
      <w:pPr>
        <w:spacing w:before="156" w:line="221"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（1）变更指示只能由监理人发出。</w:t>
      </w:r>
    </w:p>
    <w:p w14:paraId="470B3252">
      <w:pPr>
        <w:spacing w:before="157" w:line="290" w:lineRule="auto"/>
        <w:ind w:left="16" w:right="9" w:firstLine="40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（2）变更指示应说明变更的目的、范围、变更内容以及变更的工程量及其进度和技术要求，并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附有关图纸和文件。承包人收到变更指示后，应按变更指示进行变更工作。</w:t>
      </w:r>
    </w:p>
    <w:p w14:paraId="0D8BBF7C">
      <w:pPr>
        <w:spacing w:line="333" w:lineRule="auto"/>
        <w:rPr>
          <w:rFonts w:ascii="Arial"/>
          <w:color w:val="auto"/>
          <w:sz w:val="21"/>
          <w:highlight w:val="none"/>
        </w:rPr>
      </w:pPr>
    </w:p>
    <w:p w14:paraId="4D18041A">
      <w:pPr>
        <w:spacing w:before="92" w:line="219" w:lineRule="auto"/>
        <w:ind w:left="16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15.4</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变更的估价原则</w:t>
      </w:r>
    </w:p>
    <w:p w14:paraId="46AC8BF0">
      <w:pPr>
        <w:spacing w:before="282" w:line="219" w:lineRule="auto"/>
        <w:ind w:left="43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除专用合同条款另有约定外，因变更引起的价格调整按照本款约定处理。</w:t>
      </w:r>
    </w:p>
    <w:p w14:paraId="23A147CC">
      <w:pPr>
        <w:spacing w:before="159" w:line="219" w:lineRule="auto"/>
        <w:ind w:left="4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15.4.1</w:t>
      </w:r>
      <w:r>
        <w:rPr>
          <w:rFonts w:ascii="宋体" w:hAnsi="宋体" w:eastAsia="宋体" w:cs="宋体"/>
          <w:color w:val="auto"/>
          <w:spacing w:val="30"/>
          <w:sz w:val="21"/>
          <w:szCs w:val="21"/>
          <w:highlight w:val="none"/>
        </w:rPr>
        <w:t xml:space="preserve"> </w:t>
      </w:r>
      <w:r>
        <w:rPr>
          <w:rFonts w:ascii="宋体" w:hAnsi="宋体" w:eastAsia="宋体" w:cs="宋体"/>
          <w:color w:val="auto"/>
          <w:spacing w:val="-1"/>
          <w:sz w:val="21"/>
          <w:szCs w:val="21"/>
          <w:highlight w:val="none"/>
        </w:rPr>
        <w:t>已标价工程量清单中有适用于变更工作的</w:t>
      </w:r>
      <w:r>
        <w:rPr>
          <w:rFonts w:ascii="宋体" w:hAnsi="宋体" w:eastAsia="宋体" w:cs="宋体"/>
          <w:color w:val="auto"/>
          <w:spacing w:val="-2"/>
          <w:sz w:val="21"/>
          <w:szCs w:val="21"/>
          <w:highlight w:val="none"/>
        </w:rPr>
        <w:t>子目的，采用该子目的单价。</w:t>
      </w:r>
    </w:p>
    <w:p w14:paraId="139B8E89">
      <w:pPr>
        <w:spacing w:before="159" w:line="290" w:lineRule="auto"/>
        <w:ind w:firstLine="43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15.4.2</w:t>
      </w:r>
      <w:r>
        <w:rPr>
          <w:rFonts w:ascii="宋体" w:hAnsi="宋体" w:eastAsia="宋体" w:cs="宋体"/>
          <w:color w:val="auto"/>
          <w:spacing w:val="47"/>
          <w:sz w:val="21"/>
          <w:szCs w:val="21"/>
          <w:highlight w:val="none"/>
        </w:rPr>
        <w:t xml:space="preserve"> </w:t>
      </w:r>
      <w:r>
        <w:rPr>
          <w:rFonts w:ascii="宋体" w:hAnsi="宋体" w:eastAsia="宋体" w:cs="宋体"/>
          <w:color w:val="auto"/>
          <w:spacing w:val="-3"/>
          <w:sz w:val="21"/>
          <w:szCs w:val="21"/>
          <w:highlight w:val="none"/>
        </w:rPr>
        <w:t>已标价工程量清单中无适用于变更工作的子目，但有类似子目的，可在合理范围内参照</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类似子目的单价，由监理人按第</w:t>
      </w:r>
      <w:r>
        <w:rPr>
          <w:rFonts w:ascii="宋体" w:hAnsi="宋体" w:eastAsia="宋体" w:cs="宋体"/>
          <w:color w:val="auto"/>
          <w:spacing w:val="-31"/>
          <w:sz w:val="21"/>
          <w:szCs w:val="21"/>
          <w:highlight w:val="none"/>
        </w:rPr>
        <w:t xml:space="preserve"> </w:t>
      </w:r>
      <w:r>
        <w:rPr>
          <w:rFonts w:ascii="宋体" w:hAnsi="宋体" w:eastAsia="宋体" w:cs="宋体"/>
          <w:color w:val="auto"/>
          <w:spacing w:val="-1"/>
          <w:sz w:val="21"/>
          <w:szCs w:val="21"/>
          <w:highlight w:val="none"/>
        </w:rPr>
        <w:t>3.5</w:t>
      </w:r>
      <w:r>
        <w:rPr>
          <w:rFonts w:ascii="宋体" w:hAnsi="宋体" w:eastAsia="宋体" w:cs="宋体"/>
          <w:color w:val="auto"/>
          <w:spacing w:val="-46"/>
          <w:sz w:val="21"/>
          <w:szCs w:val="21"/>
          <w:highlight w:val="none"/>
        </w:rPr>
        <w:t xml:space="preserve"> </w:t>
      </w:r>
      <w:r>
        <w:rPr>
          <w:rFonts w:ascii="宋体" w:hAnsi="宋体" w:eastAsia="宋体" w:cs="宋体"/>
          <w:color w:val="auto"/>
          <w:spacing w:val="-1"/>
          <w:sz w:val="21"/>
          <w:szCs w:val="21"/>
          <w:highlight w:val="none"/>
        </w:rPr>
        <w:t>款商定或确定变更工作的单价。</w:t>
      </w:r>
    </w:p>
    <w:p w14:paraId="542FDC54">
      <w:pPr>
        <w:spacing w:before="158" w:line="289" w:lineRule="auto"/>
        <w:ind w:firstLine="43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15.4.3</w:t>
      </w:r>
      <w:r>
        <w:rPr>
          <w:rFonts w:ascii="宋体" w:hAnsi="宋体" w:eastAsia="宋体" w:cs="宋体"/>
          <w:color w:val="auto"/>
          <w:spacing w:val="47"/>
          <w:sz w:val="21"/>
          <w:szCs w:val="21"/>
          <w:highlight w:val="none"/>
        </w:rPr>
        <w:t xml:space="preserve"> </w:t>
      </w:r>
      <w:r>
        <w:rPr>
          <w:rFonts w:ascii="宋体" w:hAnsi="宋体" w:eastAsia="宋体" w:cs="宋体"/>
          <w:color w:val="auto"/>
          <w:spacing w:val="-3"/>
          <w:sz w:val="21"/>
          <w:szCs w:val="21"/>
          <w:highlight w:val="none"/>
        </w:rPr>
        <w:t>已标价工程量清单中无适用或类似子目的单价，可按照成本加利润的原则，由监理人按</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3.5</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款商定或确定变更工作的单价。</w:t>
      </w:r>
    </w:p>
    <w:p w14:paraId="12177412">
      <w:pPr>
        <w:spacing w:line="334" w:lineRule="auto"/>
        <w:rPr>
          <w:rFonts w:ascii="Arial"/>
          <w:color w:val="auto"/>
          <w:sz w:val="21"/>
          <w:highlight w:val="none"/>
        </w:rPr>
      </w:pPr>
    </w:p>
    <w:p w14:paraId="571D95BB">
      <w:pPr>
        <w:spacing w:before="92" w:line="220" w:lineRule="auto"/>
        <w:ind w:left="16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15.5</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承包人的合理化建议</w:t>
      </w:r>
    </w:p>
    <w:p w14:paraId="12E25281">
      <w:pPr>
        <w:spacing w:before="279" w:line="325" w:lineRule="auto"/>
        <w:ind w:right="1"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15.5.1 在履行合同过程中，承包人对发包人提供的图纸、技术要求以及其他方面提出的合理化</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建议，均应以书面形式提交监理人。合理化建议书的内容应包括建议工作的详细</w:t>
      </w:r>
      <w:r>
        <w:rPr>
          <w:rFonts w:ascii="宋体" w:hAnsi="宋体" w:eastAsia="宋体" w:cs="宋体"/>
          <w:color w:val="auto"/>
          <w:sz w:val="21"/>
          <w:szCs w:val="21"/>
          <w:highlight w:val="none"/>
        </w:rPr>
        <w:t xml:space="preserve">说明、进度计划和 </w:t>
      </w:r>
      <w:r>
        <w:rPr>
          <w:rFonts w:ascii="宋体" w:hAnsi="宋体" w:eastAsia="宋体" w:cs="宋体"/>
          <w:color w:val="auto"/>
          <w:spacing w:val="1"/>
          <w:sz w:val="21"/>
          <w:szCs w:val="21"/>
          <w:highlight w:val="none"/>
        </w:rPr>
        <w:t>效益以及与其他工作的协调等，并附必要的设计文件。监理人应与发包人协商是</w:t>
      </w:r>
      <w:r>
        <w:rPr>
          <w:rFonts w:ascii="宋体" w:hAnsi="宋体" w:eastAsia="宋体" w:cs="宋体"/>
          <w:color w:val="auto"/>
          <w:sz w:val="21"/>
          <w:szCs w:val="21"/>
          <w:highlight w:val="none"/>
        </w:rPr>
        <w:t xml:space="preserve">否采纳建议。建议 </w:t>
      </w:r>
      <w:r>
        <w:rPr>
          <w:rFonts w:ascii="宋体" w:hAnsi="宋体" w:eastAsia="宋体" w:cs="宋体"/>
          <w:color w:val="auto"/>
          <w:spacing w:val="-1"/>
          <w:sz w:val="21"/>
          <w:szCs w:val="21"/>
          <w:highlight w:val="none"/>
        </w:rPr>
        <w:t>被采纳并构成变更的，应按第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1"/>
          <w:sz w:val="21"/>
          <w:szCs w:val="21"/>
          <w:highlight w:val="none"/>
        </w:rPr>
        <w:t>15.3.3</w:t>
      </w:r>
      <w:r>
        <w:rPr>
          <w:rFonts w:ascii="宋体" w:hAnsi="宋体" w:eastAsia="宋体" w:cs="宋体"/>
          <w:color w:val="auto"/>
          <w:spacing w:val="-41"/>
          <w:sz w:val="21"/>
          <w:szCs w:val="21"/>
          <w:highlight w:val="none"/>
        </w:rPr>
        <w:t xml:space="preserve"> </w:t>
      </w:r>
      <w:r>
        <w:rPr>
          <w:rFonts w:ascii="宋体" w:hAnsi="宋体" w:eastAsia="宋体" w:cs="宋体"/>
          <w:color w:val="auto"/>
          <w:spacing w:val="-1"/>
          <w:sz w:val="21"/>
          <w:szCs w:val="21"/>
          <w:highlight w:val="none"/>
        </w:rPr>
        <w:t>项约定向承包</w:t>
      </w:r>
      <w:r>
        <w:rPr>
          <w:rFonts w:ascii="宋体" w:hAnsi="宋体" w:eastAsia="宋体" w:cs="宋体"/>
          <w:color w:val="auto"/>
          <w:spacing w:val="-2"/>
          <w:sz w:val="21"/>
          <w:szCs w:val="21"/>
          <w:highlight w:val="none"/>
        </w:rPr>
        <w:t>人发出变更指示。</w:t>
      </w:r>
    </w:p>
    <w:p w14:paraId="3072AE9D">
      <w:pPr>
        <w:spacing w:before="158" w:line="219" w:lineRule="auto"/>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15.5.2 承包人提出的合理化建议降低了合同价格、缩短了工期或者提高了工程经济效益的，发</w:t>
      </w:r>
    </w:p>
    <w:p w14:paraId="777D1EAD">
      <w:pPr>
        <w:spacing w:before="41" w:line="221"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包人可按国家有关规定在专用合同条款中约定给予奖励。</w:t>
      </w:r>
    </w:p>
    <w:p w14:paraId="748DD889">
      <w:pPr>
        <w:spacing w:line="333" w:lineRule="auto"/>
        <w:rPr>
          <w:rFonts w:ascii="Arial"/>
          <w:color w:val="auto"/>
          <w:sz w:val="21"/>
          <w:highlight w:val="none"/>
        </w:rPr>
      </w:pPr>
    </w:p>
    <w:p w14:paraId="1FD35217">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15.6</w:t>
      </w:r>
      <w:r>
        <w:rPr>
          <w:rFonts w:ascii="宋体" w:hAnsi="宋体" w:eastAsia="宋体" w:cs="宋体"/>
          <w:color w:val="auto"/>
          <w:spacing w:val="22"/>
          <w:sz w:val="28"/>
          <w:szCs w:val="28"/>
          <w:highlight w:val="none"/>
        </w:rPr>
        <w:t xml:space="preserve"> </w:t>
      </w:r>
      <w:r>
        <w:rPr>
          <w:rFonts w:ascii="宋体" w:hAnsi="宋体" w:eastAsia="宋体" w:cs="宋体"/>
          <w:b/>
          <w:bCs/>
          <w:color w:val="auto"/>
          <w:spacing w:val="-8"/>
          <w:sz w:val="28"/>
          <w:szCs w:val="28"/>
          <w:highlight w:val="none"/>
        </w:rPr>
        <w:t>暂列金额</w:t>
      </w:r>
    </w:p>
    <w:p w14:paraId="04EA45A3">
      <w:pPr>
        <w:spacing w:before="280" w:line="219"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暂列金额只能按照监理人的指示使用，并对合同</w:t>
      </w:r>
      <w:r>
        <w:rPr>
          <w:rFonts w:ascii="宋体" w:hAnsi="宋体" w:eastAsia="宋体" w:cs="宋体"/>
          <w:color w:val="auto"/>
          <w:spacing w:val="-1"/>
          <w:sz w:val="21"/>
          <w:szCs w:val="21"/>
          <w:highlight w:val="none"/>
        </w:rPr>
        <w:t>价格进行相应调整。</w:t>
      </w:r>
    </w:p>
    <w:p w14:paraId="24169457">
      <w:pPr>
        <w:spacing w:line="335" w:lineRule="auto"/>
        <w:rPr>
          <w:rFonts w:ascii="Arial"/>
          <w:color w:val="auto"/>
          <w:sz w:val="21"/>
          <w:highlight w:val="none"/>
        </w:rPr>
      </w:pPr>
    </w:p>
    <w:p w14:paraId="763D3A1F">
      <w:pPr>
        <w:spacing w:before="91" w:line="221"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15.7</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8"/>
          <w:sz w:val="28"/>
          <w:szCs w:val="28"/>
          <w:highlight w:val="none"/>
        </w:rPr>
        <w:t>计日工</w:t>
      </w:r>
    </w:p>
    <w:p w14:paraId="0F750133">
      <w:pPr>
        <w:spacing w:before="278" w:line="289" w:lineRule="auto"/>
        <w:ind w:left="2"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15.7.1 发包人认为有必要时，由监理人通知承包人以计日工方式实施变更的零星工作。其价款</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按列入已标价工程量清单中的计日工计价子目及其单价进行计算。</w:t>
      </w:r>
    </w:p>
    <w:p w14:paraId="6DF72685">
      <w:pPr>
        <w:spacing w:before="160" w:line="290" w:lineRule="auto"/>
        <w:ind w:right="2" w:firstLine="4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15.7.2 采用计日工计价的任何一项变更工作，应从暂列金额中支付，承包人应在该项变更的实</w:t>
      </w:r>
      <w:r>
        <w:rPr>
          <w:rFonts w:ascii="宋体" w:hAnsi="宋体" w:eastAsia="宋体" w:cs="宋体"/>
          <w:color w:val="auto"/>
          <w:spacing w:val="3"/>
          <w:sz w:val="21"/>
          <w:szCs w:val="21"/>
          <w:highlight w:val="none"/>
        </w:rPr>
        <w:t xml:space="preserve"> </w:t>
      </w:r>
      <w:r>
        <w:rPr>
          <w:rFonts w:ascii="宋体" w:hAnsi="宋体" w:eastAsia="宋体" w:cs="宋体"/>
          <w:color w:val="auto"/>
          <w:sz w:val="21"/>
          <w:szCs w:val="21"/>
          <w:highlight w:val="none"/>
        </w:rPr>
        <w:t>施过程中，每天提交以下报表和有关凭证报送监理人审</w:t>
      </w:r>
      <w:r>
        <w:rPr>
          <w:rFonts w:ascii="宋体" w:hAnsi="宋体" w:eastAsia="宋体" w:cs="宋体"/>
          <w:color w:val="auto"/>
          <w:spacing w:val="-1"/>
          <w:sz w:val="21"/>
          <w:szCs w:val="21"/>
          <w:highlight w:val="none"/>
        </w:rPr>
        <w:t>批：</w:t>
      </w:r>
    </w:p>
    <w:p w14:paraId="2F6D9E5F">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（1）工作名称、内容和数量；</w:t>
      </w:r>
    </w:p>
    <w:p w14:paraId="2102C5EA">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（2）投入该工作所有人员的姓名、工种、级别和耗用工时；</w:t>
      </w:r>
    </w:p>
    <w:p w14:paraId="732C5460">
      <w:pPr>
        <w:spacing w:before="157" w:line="220"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（3）投入该工作的材料类别和数量；</w:t>
      </w:r>
    </w:p>
    <w:p w14:paraId="3E84126E">
      <w:pPr>
        <w:spacing w:before="160"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（4）投入该工作的施工设备型号、台数和耗用台时；</w:t>
      </w:r>
    </w:p>
    <w:p w14:paraId="01114B82">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（5）监理人要求提交的其他资料和凭证。</w:t>
      </w:r>
    </w:p>
    <w:p w14:paraId="2CCB5B55">
      <w:pPr>
        <w:spacing w:before="157" w:line="290" w:lineRule="auto"/>
        <w:ind w:left="2" w:firstLine="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15.7.3 计日工由承包人汇总后，按第 17.3.2</w:t>
      </w:r>
      <w:r>
        <w:rPr>
          <w:rFonts w:ascii="宋体" w:hAnsi="宋体" w:eastAsia="宋体" w:cs="宋体"/>
          <w:color w:val="auto"/>
          <w:spacing w:val="-22"/>
          <w:sz w:val="21"/>
          <w:szCs w:val="21"/>
          <w:highlight w:val="none"/>
        </w:rPr>
        <w:t xml:space="preserve"> </w:t>
      </w:r>
      <w:r>
        <w:rPr>
          <w:rFonts w:ascii="宋体" w:hAnsi="宋体" w:eastAsia="宋体" w:cs="宋体"/>
          <w:color w:val="auto"/>
          <w:spacing w:val="-1"/>
          <w:sz w:val="21"/>
          <w:szCs w:val="21"/>
          <w:highlight w:val="none"/>
        </w:rPr>
        <w:t>项的约定列入</w:t>
      </w:r>
      <w:r>
        <w:rPr>
          <w:rFonts w:ascii="宋体" w:hAnsi="宋体" w:eastAsia="宋体" w:cs="宋体"/>
          <w:color w:val="auto"/>
          <w:spacing w:val="-2"/>
          <w:sz w:val="21"/>
          <w:szCs w:val="21"/>
          <w:highlight w:val="none"/>
        </w:rPr>
        <w:t>进度付款申请单，由监理人复核并</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经发包人同意后列入进度付款。</w:t>
      </w:r>
    </w:p>
    <w:p w14:paraId="6C730DFF">
      <w:pPr>
        <w:spacing w:line="334" w:lineRule="auto"/>
        <w:rPr>
          <w:rFonts w:ascii="Arial"/>
          <w:color w:val="auto"/>
          <w:sz w:val="21"/>
          <w:highlight w:val="none"/>
        </w:rPr>
      </w:pPr>
    </w:p>
    <w:p w14:paraId="4300A0CC">
      <w:pPr>
        <w:spacing w:before="91" w:line="219" w:lineRule="auto"/>
        <w:ind w:left="161"/>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15.8</w:t>
      </w:r>
      <w:r>
        <w:rPr>
          <w:rFonts w:ascii="宋体" w:hAnsi="宋体" w:eastAsia="宋体" w:cs="宋体"/>
          <w:color w:val="auto"/>
          <w:spacing w:val="25"/>
          <w:sz w:val="28"/>
          <w:szCs w:val="28"/>
          <w:highlight w:val="none"/>
        </w:rPr>
        <w:t xml:space="preserve"> </w:t>
      </w:r>
      <w:r>
        <w:rPr>
          <w:rFonts w:ascii="宋体" w:hAnsi="宋体" w:eastAsia="宋体" w:cs="宋体"/>
          <w:b/>
          <w:bCs/>
          <w:color w:val="auto"/>
          <w:spacing w:val="-9"/>
          <w:sz w:val="28"/>
          <w:szCs w:val="28"/>
          <w:highlight w:val="none"/>
        </w:rPr>
        <w:t>暂估价</w:t>
      </w:r>
    </w:p>
    <w:p w14:paraId="300AEBB9">
      <w:pPr>
        <w:spacing w:before="283" w:line="324" w:lineRule="auto"/>
        <w:ind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15.8.1 发包人在工程量清单中给定暂估价的材料、工程设备和专业工程属于依法必须招标的范</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围并达到规定的规模标准的，由发包人和承包人以招标的方式选择供应商或分包</w:t>
      </w:r>
      <w:r>
        <w:rPr>
          <w:rFonts w:ascii="宋体" w:hAnsi="宋体" w:eastAsia="宋体" w:cs="宋体"/>
          <w:color w:val="auto"/>
          <w:sz w:val="21"/>
          <w:szCs w:val="21"/>
          <w:highlight w:val="none"/>
        </w:rPr>
        <w:t xml:space="preserve">人。发包人和承包 </w:t>
      </w:r>
      <w:r>
        <w:rPr>
          <w:rFonts w:ascii="宋体" w:hAnsi="宋体" w:eastAsia="宋体" w:cs="宋体"/>
          <w:color w:val="auto"/>
          <w:spacing w:val="1"/>
          <w:sz w:val="21"/>
          <w:szCs w:val="21"/>
          <w:highlight w:val="none"/>
        </w:rPr>
        <w:t>人的权利义务关系在专用合同条款中约定。中标金额与工程量清单中所列的暂估</w:t>
      </w:r>
      <w:r>
        <w:rPr>
          <w:rFonts w:ascii="宋体" w:hAnsi="宋体" w:eastAsia="宋体" w:cs="宋体"/>
          <w:color w:val="auto"/>
          <w:sz w:val="21"/>
          <w:szCs w:val="21"/>
          <w:highlight w:val="none"/>
        </w:rPr>
        <w:t xml:space="preserve">价的金额差以及相 </w:t>
      </w:r>
      <w:r>
        <w:rPr>
          <w:rFonts w:ascii="宋体" w:hAnsi="宋体" w:eastAsia="宋体" w:cs="宋体"/>
          <w:color w:val="auto"/>
          <w:spacing w:val="-2"/>
          <w:sz w:val="21"/>
          <w:szCs w:val="21"/>
          <w:highlight w:val="none"/>
        </w:rPr>
        <w:t>应的税金等其他费用列入合同价格。</w:t>
      </w:r>
    </w:p>
    <w:p w14:paraId="62A26A28">
      <w:pPr>
        <w:spacing w:before="158" w:line="313" w:lineRule="auto"/>
        <w:ind w:firstLine="43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15.8.2 发包人在工程量清单中给定暂估价的材料和</w:t>
      </w:r>
      <w:r>
        <w:rPr>
          <w:rFonts w:ascii="宋体" w:hAnsi="宋体" w:eastAsia="宋体" w:cs="宋体"/>
          <w:color w:val="auto"/>
          <w:spacing w:val="2"/>
          <w:sz w:val="21"/>
          <w:szCs w:val="21"/>
          <w:highlight w:val="none"/>
        </w:rPr>
        <w:t>工程设备不属于依法必须招标的范围或未</w:t>
      </w:r>
      <w:r>
        <w:rPr>
          <w:rFonts w:ascii="宋体" w:hAnsi="宋体" w:eastAsia="宋体" w:cs="宋体"/>
          <w:color w:val="auto"/>
          <w:sz w:val="21"/>
          <w:szCs w:val="21"/>
          <w:highlight w:val="none"/>
        </w:rPr>
        <w:t xml:space="preserve"> 达到规定的规模标准的，应由承包人按第</w:t>
      </w:r>
      <w:r>
        <w:rPr>
          <w:rFonts w:ascii="宋体" w:hAnsi="宋体" w:eastAsia="宋体" w:cs="宋体"/>
          <w:color w:val="auto"/>
          <w:spacing w:val="-20"/>
          <w:sz w:val="21"/>
          <w:szCs w:val="21"/>
          <w:highlight w:val="none"/>
        </w:rPr>
        <w:t xml:space="preserve"> </w:t>
      </w:r>
      <w:r>
        <w:rPr>
          <w:rFonts w:ascii="宋体" w:hAnsi="宋体" w:eastAsia="宋体" w:cs="宋体"/>
          <w:color w:val="auto"/>
          <w:sz w:val="21"/>
          <w:szCs w:val="21"/>
          <w:highlight w:val="none"/>
        </w:rPr>
        <w:t>5.</w:t>
      </w:r>
      <w:r>
        <w:rPr>
          <w:rFonts w:ascii="宋体" w:hAnsi="宋体" w:eastAsia="宋体" w:cs="宋体"/>
          <w:color w:val="auto"/>
          <w:spacing w:val="-1"/>
          <w:sz w:val="21"/>
          <w:szCs w:val="21"/>
          <w:highlight w:val="none"/>
        </w:rPr>
        <w:t>1</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款的约定提供。经监理人确认的材料、工程设备的价</w:t>
      </w:r>
      <w:r>
        <w:rPr>
          <w:rFonts w:ascii="宋体" w:hAnsi="宋体" w:eastAsia="宋体" w:cs="宋体"/>
          <w:color w:val="auto"/>
          <w:sz w:val="21"/>
          <w:szCs w:val="21"/>
          <w:highlight w:val="none"/>
        </w:rPr>
        <w:t xml:space="preserve"> 格与工程量清单中所列的暂估价的金额差以及相应的税金等其他费用列入合同价格。</w:t>
      </w:r>
    </w:p>
    <w:p w14:paraId="4EA5913D">
      <w:pPr>
        <w:spacing w:before="160" w:line="312" w:lineRule="auto"/>
        <w:ind w:firstLine="43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15.8.3 发包人在工程量清单中给定暂估价的专业工</w:t>
      </w:r>
      <w:r>
        <w:rPr>
          <w:rFonts w:ascii="宋体" w:hAnsi="宋体" w:eastAsia="宋体" w:cs="宋体"/>
          <w:color w:val="auto"/>
          <w:spacing w:val="2"/>
          <w:sz w:val="21"/>
          <w:szCs w:val="21"/>
          <w:highlight w:val="none"/>
        </w:rPr>
        <w:t>程不属于依法必须招标的范围或未达到规</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定的规模标准的，由监理人按照第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15.4</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款进行估价，但专用合同条款另有约定</w:t>
      </w:r>
      <w:r>
        <w:rPr>
          <w:rFonts w:ascii="宋体" w:hAnsi="宋体" w:eastAsia="宋体" w:cs="宋体"/>
          <w:color w:val="auto"/>
          <w:spacing w:val="-3"/>
          <w:sz w:val="21"/>
          <w:szCs w:val="21"/>
          <w:highlight w:val="none"/>
        </w:rPr>
        <w:t>的除外。经估价的专</w:t>
      </w:r>
      <w:r>
        <w:rPr>
          <w:rFonts w:ascii="宋体" w:hAnsi="宋体" w:eastAsia="宋体" w:cs="宋体"/>
          <w:color w:val="auto"/>
          <w:sz w:val="21"/>
          <w:szCs w:val="21"/>
          <w:highlight w:val="none"/>
        </w:rPr>
        <w:t xml:space="preserve"> 业工程与工程量清单中所列的暂估价的金额差以及相应的税金等其他费用列入合同价格。</w:t>
      </w:r>
    </w:p>
    <w:p w14:paraId="4172D8E7">
      <w:pPr>
        <w:spacing w:before="175" w:line="224" w:lineRule="auto"/>
        <w:ind w:left="28"/>
        <w:outlineLvl w:val="2"/>
        <w:rPr>
          <w:rFonts w:ascii="宋体" w:hAnsi="宋体" w:eastAsia="宋体" w:cs="宋体"/>
          <w:color w:val="auto"/>
          <w:sz w:val="31"/>
          <w:szCs w:val="31"/>
          <w:highlight w:val="none"/>
        </w:rPr>
      </w:pPr>
      <w:bookmarkStart w:id="262" w:name="bookmark240"/>
      <w:bookmarkEnd w:id="262"/>
      <w:bookmarkStart w:id="263" w:name="_Toc27242"/>
      <w:bookmarkStart w:id="264" w:name="_Toc1645"/>
      <w:r>
        <w:rPr>
          <w:rFonts w:ascii="宋体" w:hAnsi="宋体" w:eastAsia="宋体" w:cs="宋体"/>
          <w:b/>
          <w:bCs/>
          <w:color w:val="auto"/>
          <w:spacing w:val="-2"/>
          <w:sz w:val="31"/>
          <w:szCs w:val="31"/>
          <w:highlight w:val="none"/>
        </w:rPr>
        <w:t>16.</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2"/>
          <w:sz w:val="31"/>
          <w:szCs w:val="31"/>
          <w:highlight w:val="none"/>
        </w:rPr>
        <w:t>价格调整</w:t>
      </w:r>
      <w:bookmarkEnd w:id="263"/>
      <w:bookmarkEnd w:id="264"/>
    </w:p>
    <w:p w14:paraId="58912724">
      <w:pPr>
        <w:spacing w:before="277" w:line="219"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16.1</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物价波动引起的价格调整</w:t>
      </w:r>
    </w:p>
    <w:p w14:paraId="73EC4D63">
      <w:pPr>
        <w:spacing w:before="282" w:line="219" w:lineRule="auto"/>
        <w:ind w:left="433"/>
        <w:rPr>
          <w:rFonts w:ascii="宋体" w:hAnsi="宋体" w:eastAsia="宋体" w:cs="宋体"/>
          <w:color w:val="auto"/>
          <w:sz w:val="21"/>
          <w:szCs w:val="21"/>
          <w:highlight w:val="none"/>
        </w:rPr>
      </w:pPr>
      <w:r>
        <w:rPr>
          <w:rFonts w:ascii="宋体" w:hAnsi="宋体" w:eastAsia="宋体" w:cs="宋体"/>
          <w:color w:val="auto"/>
          <w:sz w:val="21"/>
          <w:szCs w:val="21"/>
          <w:highlight w:val="none"/>
        </w:rPr>
        <w:t>除专用合同条款另有约定外，因物价波动引</w:t>
      </w:r>
      <w:r>
        <w:rPr>
          <w:rFonts w:ascii="宋体" w:hAnsi="宋体" w:eastAsia="宋体" w:cs="宋体"/>
          <w:color w:val="auto"/>
          <w:spacing w:val="-1"/>
          <w:sz w:val="21"/>
          <w:szCs w:val="21"/>
          <w:highlight w:val="none"/>
        </w:rPr>
        <w:t>起的价格调整按照本款约定处理。</w:t>
      </w:r>
    </w:p>
    <w:p w14:paraId="10526279">
      <w:pPr>
        <w:spacing w:before="42" w:line="219" w:lineRule="auto"/>
        <w:ind w:left="42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16.1.1</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采用价格指数调整价格差额</w:t>
      </w:r>
    </w:p>
    <w:p w14:paraId="42284855">
      <w:pPr>
        <w:spacing w:before="159" w:line="219"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"16.1.1.1" </w:instrText>
      </w:r>
      <w:r>
        <w:rPr>
          <w:color w:val="auto"/>
          <w:highlight w:val="none"/>
        </w:rPr>
        <w:fldChar w:fldCharType="separate"/>
      </w:r>
      <w:r>
        <w:rPr>
          <w:rFonts w:ascii="宋体" w:hAnsi="宋体" w:eastAsia="宋体" w:cs="宋体"/>
          <w:color w:val="auto"/>
          <w:spacing w:val="-2"/>
          <w:sz w:val="21"/>
          <w:szCs w:val="21"/>
          <w:highlight w:val="none"/>
        </w:rPr>
        <w:t>16.1.1.1</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价格调整公式</w:t>
      </w:r>
    </w:p>
    <w:p w14:paraId="7205BBC8">
      <w:pPr>
        <w:spacing w:before="159" w:line="344" w:lineRule="auto"/>
        <w:ind w:left="17" w:right="2" w:firstLine="419"/>
        <w:rPr>
          <w:rFonts w:ascii="宋体" w:hAnsi="宋体" w:eastAsia="宋体" w:cs="宋体"/>
          <w:color w:val="auto"/>
          <w:sz w:val="21"/>
          <w:szCs w:val="21"/>
          <w:highlight w:val="none"/>
        </w:rPr>
      </w:pPr>
      <w:r>
        <w:rPr>
          <w:rFonts w:ascii="宋体" w:hAnsi="宋体" w:eastAsia="宋体" w:cs="宋体"/>
          <w:color w:val="auto"/>
          <w:sz w:val="21"/>
          <w:szCs w:val="21"/>
          <w:highlight w:val="none"/>
        </w:rPr>
        <w:t>因人工、材料和设备等价格波动影响合同价格时，根据投标函附录中的价格指数和权重表约定</w:t>
      </w:r>
      <w:r>
        <w:rPr>
          <w:rFonts w:ascii="宋体" w:hAnsi="宋体" w:eastAsia="宋体" w:cs="宋体"/>
          <w:color w:val="auto"/>
          <w:spacing w:val="16"/>
          <w:sz w:val="21"/>
          <w:szCs w:val="21"/>
          <w:highlight w:val="none"/>
        </w:rPr>
        <w:t xml:space="preserve"> </w:t>
      </w:r>
      <w:r>
        <w:rPr>
          <w:rFonts w:ascii="宋体" w:hAnsi="宋体" w:eastAsia="宋体" w:cs="宋体"/>
          <w:color w:val="auto"/>
          <w:spacing w:val="-1"/>
          <w:sz w:val="21"/>
          <w:szCs w:val="21"/>
          <w:highlight w:val="none"/>
        </w:rPr>
        <w:t>的数据，按以下公式计算差额并调整合同价格。</w:t>
      </w:r>
    </w:p>
    <w:p w14:paraId="074F9237">
      <w:pPr>
        <w:spacing w:line="243" w:lineRule="auto"/>
        <w:rPr>
          <w:rFonts w:ascii="Arial"/>
          <w:color w:val="auto"/>
          <w:sz w:val="21"/>
          <w:highlight w:val="none"/>
        </w:rPr>
      </w:pPr>
      <w:r>
        <w:rPr>
          <w:color w:val="auto"/>
          <w:highlight w:val="none"/>
        </w:rPr>
        <w:drawing>
          <wp:inline distT="0" distB="0" distL="114300" distR="114300">
            <wp:extent cx="5749290" cy="775970"/>
            <wp:effectExtent l="0" t="0" r="1143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749290" cy="775970"/>
                    </a:xfrm>
                    <a:prstGeom prst="rect">
                      <a:avLst/>
                    </a:prstGeom>
                    <a:noFill/>
                    <a:ln>
                      <a:noFill/>
                    </a:ln>
                  </pic:spPr>
                </pic:pic>
              </a:graphicData>
            </a:graphic>
          </wp:inline>
        </w:drawing>
      </w:r>
    </w:p>
    <w:p w14:paraId="7AEE8DE9">
      <w:pPr>
        <w:spacing w:before="69" w:line="219" w:lineRule="auto"/>
        <w:ind w:left="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式中： △P --</w:t>
      </w:r>
      <w:r>
        <w:rPr>
          <w:rFonts w:ascii="宋体" w:hAnsi="宋体" w:eastAsia="宋体" w:cs="宋体"/>
          <w:color w:val="auto"/>
          <w:spacing w:val="20"/>
          <w:sz w:val="21"/>
          <w:szCs w:val="21"/>
          <w:highlight w:val="none"/>
        </w:rPr>
        <w:t xml:space="preserve"> </w:t>
      </w:r>
      <w:r>
        <w:rPr>
          <w:rFonts w:ascii="宋体" w:hAnsi="宋体" w:eastAsia="宋体" w:cs="宋体"/>
          <w:color w:val="auto"/>
          <w:spacing w:val="-3"/>
          <w:sz w:val="21"/>
          <w:szCs w:val="21"/>
          <w:highlight w:val="none"/>
        </w:rPr>
        <w:t>需调整的价格差额；</w:t>
      </w:r>
    </w:p>
    <w:p w14:paraId="31E5999B">
      <w:pPr>
        <w:spacing w:before="157" w:line="351" w:lineRule="auto"/>
        <w:ind w:firstLine="8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P0</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 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17.3.3</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项、第</w:t>
      </w:r>
      <w:r>
        <w:rPr>
          <w:rFonts w:ascii="宋体" w:hAnsi="宋体" w:eastAsia="宋体" w:cs="宋体"/>
          <w:color w:val="auto"/>
          <w:spacing w:val="-30"/>
          <w:sz w:val="21"/>
          <w:szCs w:val="21"/>
          <w:highlight w:val="none"/>
        </w:rPr>
        <w:t xml:space="preserve"> </w:t>
      </w:r>
      <w:r>
        <w:rPr>
          <w:rFonts w:ascii="宋体" w:hAnsi="宋体" w:eastAsia="宋体" w:cs="宋体"/>
          <w:color w:val="auto"/>
          <w:spacing w:val="-2"/>
          <w:sz w:val="21"/>
          <w:szCs w:val="21"/>
          <w:highlight w:val="none"/>
        </w:rPr>
        <w:t>17.5.2</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项和第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17</w:t>
      </w:r>
      <w:r>
        <w:rPr>
          <w:rFonts w:ascii="宋体" w:hAnsi="宋体" w:eastAsia="宋体" w:cs="宋体"/>
          <w:color w:val="auto"/>
          <w:spacing w:val="-3"/>
          <w:sz w:val="21"/>
          <w:szCs w:val="21"/>
          <w:highlight w:val="none"/>
        </w:rPr>
        <w:t>.6.2</w:t>
      </w:r>
      <w:r>
        <w:rPr>
          <w:rFonts w:ascii="宋体" w:hAnsi="宋体" w:eastAsia="宋体" w:cs="宋体"/>
          <w:color w:val="auto"/>
          <w:spacing w:val="-43"/>
          <w:sz w:val="21"/>
          <w:szCs w:val="21"/>
          <w:highlight w:val="none"/>
        </w:rPr>
        <w:t xml:space="preserve"> </w:t>
      </w:r>
      <w:r>
        <w:rPr>
          <w:rFonts w:ascii="宋体" w:hAnsi="宋体" w:eastAsia="宋体" w:cs="宋体"/>
          <w:color w:val="auto"/>
          <w:spacing w:val="-3"/>
          <w:sz w:val="21"/>
          <w:szCs w:val="21"/>
          <w:highlight w:val="none"/>
        </w:rPr>
        <w:t>项约定的付款证书中承包人应得到的已完成</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工程量的金额。此项金额应不包括价格调整、不计质量保证金的扣留和支付、预付款的支付和扣回。</w:t>
      </w:r>
      <w:r>
        <w:rPr>
          <w:rFonts w:ascii="宋体" w:hAnsi="宋体" w:eastAsia="宋体" w:cs="宋体"/>
          <w:color w:val="auto"/>
          <w:spacing w:val="16"/>
          <w:sz w:val="21"/>
          <w:szCs w:val="21"/>
          <w:highlight w:val="none"/>
        </w:rPr>
        <w:t xml:space="preserve"> </w:t>
      </w:r>
      <w:r>
        <w:rPr>
          <w:rFonts w:ascii="宋体" w:hAnsi="宋体" w:eastAsia="宋体" w:cs="宋体"/>
          <w:color w:val="auto"/>
          <w:spacing w:val="-2"/>
          <w:sz w:val="21"/>
          <w:szCs w:val="21"/>
          <w:highlight w:val="none"/>
        </w:rPr>
        <w:t>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15</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条约定的变更及其他金额已按现行价格计价的，也不计在内；</w:t>
      </w:r>
    </w:p>
    <w:p w14:paraId="7ABA8342">
      <w:pPr>
        <w:spacing w:before="30" w:line="221" w:lineRule="auto"/>
        <w:ind w:left="833"/>
        <w:rPr>
          <w:rFonts w:ascii="宋体" w:hAnsi="宋体" w:eastAsia="宋体" w:cs="宋体"/>
          <w:color w:val="auto"/>
          <w:sz w:val="21"/>
          <w:szCs w:val="21"/>
          <w:highlight w:val="none"/>
        </w:rPr>
      </w:pPr>
      <w:r>
        <w:rPr>
          <w:rFonts w:ascii="宋体" w:hAnsi="宋体" w:eastAsia="宋体" w:cs="宋体"/>
          <w:color w:val="auto"/>
          <w:sz w:val="21"/>
          <w:szCs w:val="21"/>
          <w:highlight w:val="none"/>
        </w:rPr>
        <w:t>A -- 定值权重(即不调部分的权重)；</w:t>
      </w:r>
    </w:p>
    <w:p w14:paraId="12A0CAAE">
      <w:pPr>
        <w:spacing w:before="156" w:line="347" w:lineRule="auto"/>
        <w:ind w:right="2" w:firstLine="834"/>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B1； B2</w:t>
      </w:r>
      <w:r>
        <w:rPr>
          <w:rFonts w:ascii="宋体" w:hAnsi="宋体" w:eastAsia="宋体" w:cs="宋体"/>
          <w:color w:val="auto"/>
          <w:spacing w:val="27"/>
          <w:sz w:val="21"/>
          <w:szCs w:val="21"/>
          <w:highlight w:val="none"/>
        </w:rPr>
        <w:t xml:space="preserve"> </w:t>
      </w:r>
      <w:r>
        <w:rPr>
          <w:rFonts w:ascii="宋体" w:hAnsi="宋体" w:eastAsia="宋体" w:cs="宋体"/>
          <w:color w:val="auto"/>
          <w:spacing w:val="-10"/>
          <w:sz w:val="21"/>
          <w:szCs w:val="21"/>
          <w:highlight w:val="none"/>
        </w:rPr>
        <w:t>；B3</w:t>
      </w:r>
      <w:r>
        <w:rPr>
          <w:rFonts w:ascii="宋体" w:hAnsi="宋体" w:eastAsia="宋体" w:cs="宋体"/>
          <w:color w:val="auto"/>
          <w:spacing w:val="-24"/>
          <w:sz w:val="21"/>
          <w:szCs w:val="21"/>
          <w:highlight w:val="none"/>
        </w:rPr>
        <w:t xml:space="preserve"> </w:t>
      </w:r>
      <w:r>
        <w:rPr>
          <w:rFonts w:ascii="宋体" w:hAnsi="宋体" w:eastAsia="宋体" w:cs="宋体"/>
          <w:color w:val="auto"/>
          <w:spacing w:val="-10"/>
          <w:sz w:val="21"/>
          <w:szCs w:val="21"/>
          <w:highlight w:val="none"/>
        </w:rPr>
        <w:t>·····Bn -- 各可调因子的变值权重(即可调部分的权</w:t>
      </w:r>
      <w:r>
        <w:rPr>
          <w:rFonts w:ascii="宋体" w:hAnsi="宋体" w:eastAsia="宋体" w:cs="宋体"/>
          <w:color w:val="auto"/>
          <w:spacing w:val="-11"/>
          <w:sz w:val="21"/>
          <w:szCs w:val="21"/>
          <w:highlight w:val="none"/>
        </w:rPr>
        <w:t>重)为各可调因子在投</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标函投标总报价中所占的比例；</w:t>
      </w:r>
    </w:p>
    <w:p w14:paraId="7CCF2DA5">
      <w:pPr>
        <w:spacing w:before="31" w:line="344" w:lineRule="auto"/>
        <w:ind w:right="2" w:firstLine="835"/>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Ft1；Ft2；Ft3</w:t>
      </w:r>
      <w:r>
        <w:rPr>
          <w:rFonts w:ascii="宋体" w:hAnsi="宋体" w:eastAsia="宋体" w:cs="宋体"/>
          <w:color w:val="auto"/>
          <w:spacing w:val="-20"/>
          <w:sz w:val="21"/>
          <w:szCs w:val="21"/>
          <w:highlight w:val="none"/>
        </w:rPr>
        <w:t xml:space="preserve"> </w:t>
      </w:r>
      <w:r>
        <w:rPr>
          <w:rFonts w:ascii="宋体" w:hAnsi="宋体" w:eastAsia="宋体" w:cs="宋体"/>
          <w:color w:val="auto"/>
          <w:spacing w:val="-11"/>
          <w:sz w:val="21"/>
          <w:szCs w:val="21"/>
          <w:highlight w:val="none"/>
        </w:rPr>
        <w:t>·····Ftn -- 各可调因子的现行价格指数，指第 17.3.3</w:t>
      </w:r>
      <w:r>
        <w:rPr>
          <w:rFonts w:ascii="宋体" w:hAnsi="宋体" w:eastAsia="宋体" w:cs="宋体"/>
          <w:color w:val="auto"/>
          <w:spacing w:val="-31"/>
          <w:sz w:val="21"/>
          <w:szCs w:val="21"/>
          <w:highlight w:val="none"/>
        </w:rPr>
        <w:t xml:space="preserve"> </w:t>
      </w:r>
      <w:r>
        <w:rPr>
          <w:rFonts w:ascii="宋体" w:hAnsi="宋体" w:eastAsia="宋体" w:cs="宋体"/>
          <w:color w:val="auto"/>
          <w:spacing w:val="-11"/>
          <w:sz w:val="21"/>
          <w:szCs w:val="21"/>
          <w:highlight w:val="none"/>
        </w:rPr>
        <w:t>项、第 17.5.2</w:t>
      </w:r>
      <w:r>
        <w:rPr>
          <w:rFonts w:ascii="宋体" w:hAnsi="宋体" w:eastAsia="宋体" w:cs="宋体"/>
          <w:color w:val="auto"/>
          <w:spacing w:val="-31"/>
          <w:sz w:val="21"/>
          <w:szCs w:val="21"/>
          <w:highlight w:val="none"/>
        </w:rPr>
        <w:t xml:space="preserve"> </w:t>
      </w:r>
      <w:r>
        <w:rPr>
          <w:rFonts w:ascii="宋体" w:hAnsi="宋体" w:eastAsia="宋体" w:cs="宋体"/>
          <w:color w:val="auto"/>
          <w:spacing w:val="-11"/>
          <w:sz w:val="21"/>
          <w:szCs w:val="21"/>
          <w:highlight w:val="none"/>
        </w:rPr>
        <w:t>项</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和第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1"/>
          <w:sz w:val="21"/>
          <w:szCs w:val="21"/>
          <w:highlight w:val="none"/>
        </w:rPr>
        <w:t>17.6.2</w:t>
      </w:r>
      <w:r>
        <w:rPr>
          <w:rFonts w:ascii="宋体" w:hAnsi="宋体" w:eastAsia="宋体" w:cs="宋体"/>
          <w:color w:val="auto"/>
          <w:spacing w:val="-41"/>
          <w:sz w:val="21"/>
          <w:szCs w:val="21"/>
          <w:highlight w:val="none"/>
        </w:rPr>
        <w:t xml:space="preserve"> </w:t>
      </w:r>
      <w:r>
        <w:rPr>
          <w:rFonts w:ascii="宋体" w:hAnsi="宋体" w:eastAsia="宋体" w:cs="宋体"/>
          <w:color w:val="auto"/>
          <w:spacing w:val="-1"/>
          <w:sz w:val="21"/>
          <w:szCs w:val="21"/>
          <w:highlight w:val="none"/>
        </w:rPr>
        <w:t>项约定的付款证书相关周期最后</w:t>
      </w:r>
      <w:r>
        <w:rPr>
          <w:rFonts w:ascii="宋体" w:hAnsi="宋体" w:eastAsia="宋体" w:cs="宋体"/>
          <w:color w:val="auto"/>
          <w:spacing w:val="-2"/>
          <w:sz w:val="21"/>
          <w:szCs w:val="21"/>
          <w:highlight w:val="none"/>
        </w:rPr>
        <w:t>一天的前</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42</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天的各可调因子的价格指数；</w:t>
      </w:r>
    </w:p>
    <w:p w14:paraId="3FEF5155">
      <w:pPr>
        <w:spacing w:before="32" w:line="345" w:lineRule="auto"/>
        <w:ind w:right="2" w:firstLine="836"/>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Fo1； Fo2；Fo3</w:t>
      </w:r>
      <w:r>
        <w:rPr>
          <w:rFonts w:ascii="宋体" w:hAnsi="宋体" w:eastAsia="宋体" w:cs="宋体"/>
          <w:color w:val="auto"/>
          <w:spacing w:val="-6"/>
          <w:sz w:val="21"/>
          <w:szCs w:val="21"/>
          <w:highlight w:val="none"/>
        </w:rPr>
        <w:t xml:space="preserve"> </w:t>
      </w:r>
      <w:r>
        <w:rPr>
          <w:rFonts w:ascii="宋体" w:hAnsi="宋体" w:eastAsia="宋体" w:cs="宋体"/>
          <w:color w:val="auto"/>
          <w:spacing w:val="-11"/>
          <w:sz w:val="21"/>
          <w:szCs w:val="21"/>
          <w:highlight w:val="none"/>
        </w:rPr>
        <w:t>·····Fon</w:t>
      </w:r>
      <w:r>
        <w:rPr>
          <w:rFonts w:ascii="宋体" w:hAnsi="宋体" w:eastAsia="宋体" w:cs="宋体"/>
          <w:color w:val="auto"/>
          <w:spacing w:val="-48"/>
          <w:sz w:val="21"/>
          <w:szCs w:val="21"/>
          <w:highlight w:val="none"/>
        </w:rPr>
        <w:t xml:space="preserve"> </w:t>
      </w:r>
      <w:r>
        <w:rPr>
          <w:rFonts w:ascii="宋体" w:hAnsi="宋体" w:eastAsia="宋体" w:cs="宋体"/>
          <w:color w:val="auto"/>
          <w:spacing w:val="-11"/>
          <w:sz w:val="21"/>
          <w:szCs w:val="21"/>
          <w:highlight w:val="none"/>
        </w:rPr>
        <w:t>-- 各可调因子的基本价格指数，指基准日期的各可调因子的价</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格指数。</w:t>
      </w:r>
    </w:p>
    <w:p w14:paraId="27F85A9E">
      <w:pPr>
        <w:spacing w:before="35" w:line="349" w:lineRule="auto"/>
        <w:ind w:right="3" w:firstLine="443"/>
        <w:rPr>
          <w:rFonts w:ascii="宋体" w:hAnsi="宋体" w:eastAsia="宋体" w:cs="宋体"/>
          <w:color w:val="auto"/>
          <w:sz w:val="21"/>
          <w:szCs w:val="21"/>
          <w:highlight w:val="none"/>
        </w:rPr>
      </w:pPr>
      <w:r>
        <w:rPr>
          <w:rFonts w:ascii="宋体" w:hAnsi="宋体" w:eastAsia="宋体" w:cs="宋体"/>
          <w:color w:val="auto"/>
          <w:sz w:val="21"/>
          <w:szCs w:val="21"/>
          <w:highlight w:val="none"/>
        </w:rPr>
        <w:t>以上价格调整公式中的各可调因子、定值和变值权重，以及基本价格指数及其来源在投标函附</w:t>
      </w:r>
      <w:r>
        <w:rPr>
          <w:rFonts w:ascii="宋体" w:hAnsi="宋体" w:eastAsia="宋体" w:cs="宋体"/>
          <w:color w:val="auto"/>
          <w:spacing w:val="9"/>
          <w:sz w:val="21"/>
          <w:szCs w:val="21"/>
          <w:highlight w:val="none"/>
        </w:rPr>
        <w:t xml:space="preserve"> </w:t>
      </w:r>
      <w:r>
        <w:rPr>
          <w:rFonts w:ascii="宋体" w:hAnsi="宋体" w:eastAsia="宋体" w:cs="宋体"/>
          <w:color w:val="auto"/>
          <w:spacing w:val="-4"/>
          <w:sz w:val="21"/>
          <w:szCs w:val="21"/>
          <w:highlight w:val="none"/>
        </w:rPr>
        <w:t>录价格指数和权重表中约定。价格指数应首先采用有关部门提供的价格指数，缺乏上述价格指数</w:t>
      </w:r>
      <w:r>
        <w:rPr>
          <w:rFonts w:ascii="宋体" w:hAnsi="宋体" w:eastAsia="宋体" w:cs="宋体"/>
          <w:color w:val="auto"/>
          <w:spacing w:val="-5"/>
          <w:sz w:val="21"/>
          <w:szCs w:val="21"/>
          <w:highlight w:val="none"/>
        </w:rPr>
        <w:t>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可采用有关部门提供的价格代替。</w:t>
      </w:r>
    </w:p>
    <w:p w14:paraId="7127E54B">
      <w:pPr>
        <w:spacing w:before="32"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"16.1.1.2" </w:instrText>
      </w:r>
      <w:r>
        <w:rPr>
          <w:color w:val="auto"/>
          <w:highlight w:val="none"/>
        </w:rPr>
        <w:fldChar w:fldCharType="separate"/>
      </w:r>
      <w:r>
        <w:rPr>
          <w:rFonts w:ascii="宋体" w:hAnsi="宋体" w:eastAsia="宋体" w:cs="宋体"/>
          <w:color w:val="auto"/>
          <w:spacing w:val="-2"/>
          <w:sz w:val="21"/>
          <w:szCs w:val="21"/>
          <w:highlight w:val="none"/>
        </w:rPr>
        <w:t>16.1.1.2</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暂时确定调整差额</w:t>
      </w:r>
    </w:p>
    <w:p w14:paraId="2AC29C83">
      <w:pPr>
        <w:spacing w:before="156" w:line="347" w:lineRule="auto"/>
        <w:ind w:left="1" w:right="3"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在计算调整差额时得不到现行价格指数的，可暂用上一次价格指数计算，并</w:t>
      </w:r>
      <w:r>
        <w:rPr>
          <w:rFonts w:ascii="宋体" w:hAnsi="宋体" w:eastAsia="宋体" w:cs="宋体"/>
          <w:color w:val="auto"/>
          <w:sz w:val="21"/>
          <w:szCs w:val="21"/>
          <w:highlight w:val="none"/>
        </w:rPr>
        <w:t xml:space="preserve">在以后的付款中再 </w:t>
      </w:r>
      <w:r>
        <w:rPr>
          <w:rFonts w:ascii="宋体" w:hAnsi="宋体" w:eastAsia="宋体" w:cs="宋体"/>
          <w:color w:val="auto"/>
          <w:spacing w:val="-1"/>
          <w:sz w:val="21"/>
          <w:szCs w:val="21"/>
          <w:highlight w:val="none"/>
        </w:rPr>
        <w:t>按实际价格指数进行调整。</w:t>
      </w:r>
    </w:p>
    <w:p w14:paraId="2A6A4CB7">
      <w:pPr>
        <w:spacing w:before="29"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"16.1.1.3" </w:instrText>
      </w:r>
      <w:r>
        <w:rPr>
          <w:color w:val="auto"/>
          <w:highlight w:val="none"/>
        </w:rPr>
        <w:fldChar w:fldCharType="separate"/>
      </w:r>
      <w:r>
        <w:rPr>
          <w:rFonts w:ascii="宋体" w:hAnsi="宋体" w:eastAsia="宋体" w:cs="宋体"/>
          <w:color w:val="auto"/>
          <w:spacing w:val="-2"/>
          <w:sz w:val="21"/>
          <w:szCs w:val="21"/>
          <w:highlight w:val="none"/>
        </w:rPr>
        <w:t>16.1.1.3</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权重的调整</w:t>
      </w:r>
    </w:p>
    <w:p w14:paraId="454EFE29">
      <w:pPr>
        <w:spacing w:before="156" w:line="346" w:lineRule="auto"/>
        <w:ind w:left="3" w:firstLine="4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15.1</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款约定的变更导致原定合同中的权重不合理时，</w:t>
      </w:r>
      <w:r>
        <w:rPr>
          <w:rFonts w:ascii="宋体" w:hAnsi="宋体" w:eastAsia="宋体" w:cs="宋体"/>
          <w:color w:val="auto"/>
          <w:spacing w:val="-3"/>
          <w:sz w:val="21"/>
          <w:szCs w:val="21"/>
          <w:highlight w:val="none"/>
        </w:rPr>
        <w:t>由监理人与承包人和发包人协商后进</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行调整。</w:t>
      </w:r>
    </w:p>
    <w:p w14:paraId="5DCA7216">
      <w:pPr>
        <w:spacing w:before="33" w:line="219"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"16.1.1.4" </w:instrText>
      </w:r>
      <w:r>
        <w:rPr>
          <w:color w:val="auto"/>
          <w:highlight w:val="none"/>
        </w:rPr>
        <w:fldChar w:fldCharType="separate"/>
      </w:r>
      <w:r>
        <w:rPr>
          <w:rFonts w:ascii="宋体" w:hAnsi="宋体" w:eastAsia="宋体" w:cs="宋体"/>
          <w:color w:val="auto"/>
          <w:spacing w:val="-1"/>
          <w:sz w:val="21"/>
          <w:szCs w:val="21"/>
          <w:highlight w:val="none"/>
        </w:rPr>
        <w:t>16.1.1.4</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承包人工期延误后的价格调整</w:t>
      </w:r>
    </w:p>
    <w:p w14:paraId="44841063">
      <w:pPr>
        <w:spacing w:before="160" w:line="349" w:lineRule="auto"/>
        <w:ind w:right="2" w:firstLine="444"/>
        <w:rPr>
          <w:rFonts w:ascii="宋体" w:hAnsi="宋体" w:eastAsia="宋体" w:cs="宋体"/>
          <w:color w:val="auto"/>
          <w:sz w:val="21"/>
          <w:szCs w:val="21"/>
          <w:highlight w:val="none"/>
        </w:rPr>
      </w:pPr>
      <w:r>
        <w:rPr>
          <w:rFonts w:ascii="宋体" w:hAnsi="宋体" w:eastAsia="宋体" w:cs="宋体"/>
          <w:color w:val="auto"/>
          <w:sz w:val="21"/>
          <w:szCs w:val="21"/>
          <w:highlight w:val="none"/>
        </w:rPr>
        <w:t>由于承包人原因未在约定的工期内竣工的，则对原约定竣工日期后继续施工的工程，在使用第</w:t>
      </w:r>
      <w:r>
        <w:rPr>
          <w:rFonts w:ascii="宋体" w:hAnsi="宋体" w:eastAsia="宋体" w:cs="宋体"/>
          <w:color w:val="auto"/>
          <w:spacing w:val="7"/>
          <w:sz w:val="21"/>
          <w:szCs w:val="21"/>
          <w:highlight w:val="none"/>
        </w:rPr>
        <w:t xml:space="preserve"> </w:t>
      </w:r>
      <w:r>
        <w:rPr>
          <w:color w:val="auto"/>
          <w:highlight w:val="none"/>
        </w:rPr>
        <w:fldChar w:fldCharType="begin"/>
      </w:r>
      <w:r>
        <w:rPr>
          <w:color w:val="auto"/>
          <w:highlight w:val="none"/>
        </w:rPr>
        <w:instrText xml:space="preserve"> HYPERLINK "16.1.1.1" </w:instrText>
      </w:r>
      <w:r>
        <w:rPr>
          <w:color w:val="auto"/>
          <w:highlight w:val="none"/>
        </w:rPr>
        <w:fldChar w:fldCharType="separate"/>
      </w:r>
      <w:r>
        <w:rPr>
          <w:rFonts w:ascii="宋体" w:hAnsi="宋体" w:eastAsia="宋体" w:cs="宋体"/>
          <w:color w:val="auto"/>
          <w:spacing w:val="-1"/>
          <w:sz w:val="21"/>
          <w:szCs w:val="21"/>
          <w:highlight w:val="none"/>
        </w:rPr>
        <w:t>16.1.1.1</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目价格调整公式时，应采用原约定</w:t>
      </w:r>
      <w:r>
        <w:rPr>
          <w:rFonts w:ascii="宋体" w:hAnsi="宋体" w:eastAsia="宋体" w:cs="宋体"/>
          <w:color w:val="auto"/>
          <w:spacing w:val="-2"/>
          <w:sz w:val="21"/>
          <w:szCs w:val="21"/>
          <w:highlight w:val="none"/>
        </w:rPr>
        <w:t>竣工日期与实际竣工日期的两个价格指数中较低的一个</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作为现行价格指数。</w:t>
      </w:r>
    </w:p>
    <w:p w14:paraId="3F97BB54">
      <w:pPr>
        <w:spacing w:before="32" w:line="219" w:lineRule="auto"/>
        <w:ind w:left="42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16.1.2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采用造价信息调整价格差额</w:t>
      </w:r>
    </w:p>
    <w:p w14:paraId="4CA4F8A8">
      <w:pPr>
        <w:spacing w:before="162" w:line="344" w:lineRule="auto"/>
        <w:ind w:left="20" w:firstLine="39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施工期内，因人工、材料、设备和机械台班</w:t>
      </w:r>
      <w:r>
        <w:rPr>
          <w:rFonts w:ascii="宋体" w:hAnsi="宋体" w:eastAsia="宋体" w:cs="宋体"/>
          <w:color w:val="auto"/>
          <w:sz w:val="21"/>
          <w:szCs w:val="21"/>
          <w:highlight w:val="none"/>
        </w:rPr>
        <w:t>价格波动影响合同价格时，人工、机械使用费按照 国家或省、自治区、直辖市建设行政管理部门、行业建设管理部门或其授权的工程造价管理机构发</w:t>
      </w:r>
    </w:p>
    <w:p w14:paraId="7A6BA5D6">
      <w:pPr>
        <w:spacing w:before="41" w:line="350" w:lineRule="auto"/>
        <w:ind w:right="57"/>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布的人工成本信息、机械台班单价或机械使用费系数进行调整；需要进行价格调</w:t>
      </w:r>
      <w:r>
        <w:rPr>
          <w:rFonts w:ascii="宋体" w:hAnsi="宋体" w:eastAsia="宋体" w:cs="宋体"/>
          <w:color w:val="auto"/>
          <w:sz w:val="21"/>
          <w:szCs w:val="21"/>
          <w:highlight w:val="none"/>
        </w:rPr>
        <w:t xml:space="preserve">整的材料，其单价 </w:t>
      </w:r>
      <w:r>
        <w:rPr>
          <w:rFonts w:ascii="宋体" w:hAnsi="宋体" w:eastAsia="宋体" w:cs="宋体"/>
          <w:color w:val="auto"/>
          <w:spacing w:val="1"/>
          <w:sz w:val="21"/>
          <w:szCs w:val="21"/>
          <w:highlight w:val="none"/>
        </w:rPr>
        <w:t>和采购数应由监理人复核，监理人确认需调整的材料单价及数量，作为调整工程合</w:t>
      </w:r>
      <w:r>
        <w:rPr>
          <w:rFonts w:ascii="宋体" w:hAnsi="宋体" w:eastAsia="宋体" w:cs="宋体"/>
          <w:color w:val="auto"/>
          <w:sz w:val="21"/>
          <w:szCs w:val="21"/>
          <w:highlight w:val="none"/>
        </w:rPr>
        <w:t xml:space="preserve">同价格差额的依 </w:t>
      </w:r>
      <w:r>
        <w:rPr>
          <w:rFonts w:ascii="宋体" w:hAnsi="宋体" w:eastAsia="宋体" w:cs="宋体"/>
          <w:color w:val="auto"/>
          <w:spacing w:val="-9"/>
          <w:sz w:val="21"/>
          <w:szCs w:val="21"/>
          <w:highlight w:val="none"/>
        </w:rPr>
        <w:t>据。</w:t>
      </w:r>
    </w:p>
    <w:p w14:paraId="25E53013">
      <w:pPr>
        <w:spacing w:before="298" w:line="219"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16.2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法律变化引起的价格调整</w:t>
      </w:r>
    </w:p>
    <w:p w14:paraId="5C091CEC">
      <w:pPr>
        <w:spacing w:before="283" w:line="350" w:lineRule="auto"/>
        <w:ind w:left="5" w:right="55" w:firstLine="414"/>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在基准日后，因法律变化导致承包人在合同履行中所需要的工程费用</w:t>
      </w:r>
      <w:r>
        <w:rPr>
          <w:rFonts w:ascii="宋体" w:hAnsi="宋体" w:eastAsia="宋体" w:cs="宋体"/>
          <w:color w:val="auto"/>
          <w:spacing w:val="-3"/>
          <w:sz w:val="21"/>
          <w:szCs w:val="21"/>
          <w:highlight w:val="none"/>
        </w:rPr>
        <w:t>发生除第</w:t>
      </w:r>
      <w:r>
        <w:rPr>
          <w:rFonts w:ascii="宋体" w:hAnsi="宋体" w:eastAsia="宋体" w:cs="宋体"/>
          <w:color w:val="auto"/>
          <w:spacing w:val="-31"/>
          <w:sz w:val="21"/>
          <w:szCs w:val="21"/>
          <w:highlight w:val="none"/>
        </w:rPr>
        <w:t xml:space="preserve"> </w:t>
      </w:r>
      <w:r>
        <w:rPr>
          <w:rFonts w:ascii="宋体" w:hAnsi="宋体" w:eastAsia="宋体" w:cs="宋体"/>
          <w:color w:val="auto"/>
          <w:spacing w:val="-3"/>
          <w:sz w:val="21"/>
          <w:szCs w:val="21"/>
          <w:highlight w:val="none"/>
        </w:rPr>
        <w:t>16.1</w:t>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款约定以外</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的增减时，监理人应根据法律、国家或省、自治区、直辖市有关部门的规定，按第 3.5</w:t>
      </w:r>
      <w:r>
        <w:rPr>
          <w:rFonts w:ascii="宋体" w:hAnsi="宋体" w:eastAsia="宋体" w:cs="宋体"/>
          <w:color w:val="auto"/>
          <w:spacing w:val="-24"/>
          <w:sz w:val="21"/>
          <w:szCs w:val="21"/>
          <w:highlight w:val="none"/>
        </w:rPr>
        <w:t xml:space="preserve"> </w:t>
      </w:r>
      <w:r>
        <w:rPr>
          <w:rFonts w:ascii="宋体" w:hAnsi="宋体" w:eastAsia="宋体" w:cs="宋体"/>
          <w:color w:val="auto"/>
          <w:spacing w:val="-2"/>
          <w:sz w:val="21"/>
          <w:szCs w:val="21"/>
          <w:highlight w:val="none"/>
        </w:rPr>
        <w:t>款商定或确</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定需调整的合同价款。</w:t>
      </w:r>
    </w:p>
    <w:p w14:paraId="2622EE82">
      <w:pPr>
        <w:spacing w:before="46" w:line="225" w:lineRule="auto"/>
        <w:ind w:left="28"/>
        <w:outlineLvl w:val="2"/>
        <w:rPr>
          <w:rFonts w:ascii="宋体" w:hAnsi="宋体" w:eastAsia="宋体" w:cs="宋体"/>
          <w:color w:val="auto"/>
          <w:sz w:val="31"/>
          <w:szCs w:val="31"/>
          <w:highlight w:val="none"/>
        </w:rPr>
      </w:pPr>
      <w:bookmarkStart w:id="265" w:name="bookmark241"/>
      <w:bookmarkEnd w:id="265"/>
      <w:bookmarkStart w:id="266" w:name="_Toc30294"/>
      <w:bookmarkStart w:id="267" w:name="_Toc25504"/>
      <w:r>
        <w:rPr>
          <w:rFonts w:ascii="宋体" w:hAnsi="宋体" w:eastAsia="宋体" w:cs="宋体"/>
          <w:b/>
          <w:bCs/>
          <w:color w:val="auto"/>
          <w:spacing w:val="2"/>
          <w:sz w:val="31"/>
          <w:szCs w:val="31"/>
          <w:highlight w:val="none"/>
        </w:rPr>
        <w:t>17.</w:t>
      </w:r>
      <w:r>
        <w:rPr>
          <w:rFonts w:ascii="宋体" w:hAnsi="宋体" w:eastAsia="宋体" w:cs="宋体"/>
          <w:color w:val="auto"/>
          <w:spacing w:val="2"/>
          <w:sz w:val="31"/>
          <w:szCs w:val="31"/>
          <w:highlight w:val="none"/>
        </w:rPr>
        <w:t xml:space="preserve"> </w:t>
      </w:r>
      <w:r>
        <w:rPr>
          <w:rFonts w:ascii="宋体" w:hAnsi="宋体" w:eastAsia="宋体" w:cs="宋体"/>
          <w:b/>
          <w:bCs/>
          <w:color w:val="auto"/>
          <w:spacing w:val="2"/>
          <w:sz w:val="31"/>
          <w:szCs w:val="31"/>
          <w:highlight w:val="none"/>
        </w:rPr>
        <w:t>计量与支付</w:t>
      </w:r>
      <w:bookmarkEnd w:id="266"/>
      <w:bookmarkEnd w:id="267"/>
    </w:p>
    <w:p w14:paraId="0ACF979F">
      <w:pPr>
        <w:spacing w:before="278" w:line="221" w:lineRule="auto"/>
        <w:ind w:left="161"/>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17.1</w:t>
      </w:r>
      <w:r>
        <w:rPr>
          <w:rFonts w:ascii="宋体" w:hAnsi="宋体" w:eastAsia="宋体" w:cs="宋体"/>
          <w:color w:val="auto"/>
          <w:spacing w:val="17"/>
          <w:sz w:val="28"/>
          <w:szCs w:val="28"/>
          <w:highlight w:val="none"/>
        </w:rPr>
        <w:t xml:space="preserve"> </w:t>
      </w:r>
      <w:r>
        <w:rPr>
          <w:rFonts w:ascii="宋体" w:hAnsi="宋体" w:eastAsia="宋体" w:cs="宋体"/>
          <w:b/>
          <w:bCs/>
          <w:color w:val="auto"/>
          <w:spacing w:val="-9"/>
          <w:sz w:val="28"/>
          <w:szCs w:val="28"/>
          <w:highlight w:val="none"/>
        </w:rPr>
        <w:t>计量</w:t>
      </w:r>
    </w:p>
    <w:p w14:paraId="307A3415">
      <w:pPr>
        <w:spacing w:before="279" w:line="221" w:lineRule="auto"/>
        <w:ind w:left="429"/>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17.1.1</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计量单位</w:t>
      </w:r>
    </w:p>
    <w:p w14:paraId="29AAB10F">
      <w:pPr>
        <w:spacing w:before="156" w:line="220" w:lineRule="auto"/>
        <w:ind w:left="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计量采用国家法定的计量单位。</w:t>
      </w:r>
    </w:p>
    <w:p w14:paraId="3728CD36">
      <w:pPr>
        <w:spacing w:before="158" w:line="222" w:lineRule="auto"/>
        <w:ind w:left="429"/>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17.1.2</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计量方法</w:t>
      </w:r>
    </w:p>
    <w:p w14:paraId="0C6A39FC">
      <w:pPr>
        <w:spacing w:before="155" w:line="221" w:lineRule="auto"/>
        <w:ind w:left="423"/>
        <w:rPr>
          <w:rFonts w:ascii="宋体" w:hAnsi="宋体" w:eastAsia="宋体" w:cs="宋体"/>
          <w:color w:val="auto"/>
          <w:sz w:val="21"/>
          <w:szCs w:val="21"/>
          <w:highlight w:val="none"/>
        </w:rPr>
      </w:pPr>
      <w:r>
        <w:rPr>
          <w:rFonts w:ascii="宋体" w:hAnsi="宋体" w:eastAsia="宋体" w:cs="宋体"/>
          <w:color w:val="auto"/>
          <w:sz w:val="21"/>
          <w:szCs w:val="21"/>
          <w:highlight w:val="none"/>
        </w:rPr>
        <w:t>工程量清单中的工程量计算规则应按有关国家标准、行业标准的规定，并在合同中约</w:t>
      </w:r>
      <w:r>
        <w:rPr>
          <w:rFonts w:ascii="宋体" w:hAnsi="宋体" w:eastAsia="宋体" w:cs="宋体"/>
          <w:color w:val="auto"/>
          <w:spacing w:val="-1"/>
          <w:sz w:val="21"/>
          <w:szCs w:val="21"/>
          <w:highlight w:val="none"/>
        </w:rPr>
        <w:t>定执行。</w:t>
      </w:r>
    </w:p>
    <w:p w14:paraId="5AB71F34">
      <w:pPr>
        <w:spacing w:before="160" w:line="221" w:lineRule="auto"/>
        <w:ind w:left="429"/>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17.1.3</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计量周期</w:t>
      </w:r>
    </w:p>
    <w:p w14:paraId="29C506B5">
      <w:pPr>
        <w:spacing w:before="157" w:line="344" w:lineRule="auto"/>
        <w:ind w:left="1" w:right="59" w:firstLine="43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除专用合同条款另有约定外，单价子目已完成</w:t>
      </w:r>
      <w:r>
        <w:rPr>
          <w:rFonts w:ascii="宋体" w:hAnsi="宋体" w:eastAsia="宋体" w:cs="宋体"/>
          <w:color w:val="auto"/>
          <w:sz w:val="21"/>
          <w:szCs w:val="21"/>
          <w:highlight w:val="none"/>
        </w:rPr>
        <w:t xml:space="preserve">工程量按月计量，总价子目的计量周期按批准的 </w:t>
      </w:r>
      <w:r>
        <w:rPr>
          <w:rFonts w:ascii="宋体" w:hAnsi="宋体" w:eastAsia="宋体" w:cs="宋体"/>
          <w:color w:val="auto"/>
          <w:spacing w:val="-3"/>
          <w:sz w:val="21"/>
          <w:szCs w:val="21"/>
          <w:highlight w:val="none"/>
        </w:rPr>
        <w:t>支付分解报告确定。</w:t>
      </w:r>
    </w:p>
    <w:p w14:paraId="0A2B47AA">
      <w:pPr>
        <w:spacing w:before="32" w:line="219" w:lineRule="auto"/>
        <w:ind w:left="429"/>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17.1.4</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单价子目的计量</w:t>
      </w:r>
    </w:p>
    <w:p w14:paraId="7FBE0C6D">
      <w:pPr>
        <w:spacing w:before="159" w:line="291" w:lineRule="auto"/>
        <w:ind w:left="5" w:firstLine="421"/>
        <w:rPr>
          <w:rFonts w:ascii="宋体" w:hAnsi="宋体" w:eastAsia="宋体" w:cs="宋体"/>
          <w:color w:val="auto"/>
          <w:sz w:val="21"/>
          <w:szCs w:val="21"/>
          <w:highlight w:val="none"/>
        </w:rPr>
      </w:pPr>
      <w:r>
        <w:rPr>
          <w:rFonts w:ascii="宋体" w:hAnsi="宋体" w:eastAsia="宋体" w:cs="宋体"/>
          <w:color w:val="auto"/>
          <w:sz w:val="21"/>
          <w:szCs w:val="21"/>
          <w:highlight w:val="none"/>
        </w:rPr>
        <w:t>（1）已标价工程量清单中的单价子目工程量为估算</w:t>
      </w:r>
      <w:r>
        <w:rPr>
          <w:rFonts w:ascii="宋体" w:hAnsi="宋体" w:eastAsia="宋体" w:cs="宋体"/>
          <w:color w:val="auto"/>
          <w:spacing w:val="-1"/>
          <w:sz w:val="21"/>
          <w:szCs w:val="21"/>
          <w:highlight w:val="none"/>
        </w:rPr>
        <w:t>工程量。结算工程量是承包人实际完成的，</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并按合同约定的计量方法进行计量的工程量。</w:t>
      </w:r>
    </w:p>
    <w:p w14:paraId="522FE962">
      <w:pPr>
        <w:spacing w:before="157" w:line="290" w:lineRule="auto"/>
        <w:ind w:left="4" w:right="66"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（2）承包人对已完成的工程进行计量，向监理人提交进度付款申请单、已完成工程量报表</w:t>
      </w:r>
      <w:r>
        <w:rPr>
          <w:rFonts w:ascii="宋体" w:hAnsi="宋体" w:eastAsia="宋体" w:cs="宋体"/>
          <w:color w:val="auto"/>
          <w:spacing w:val="-3"/>
          <w:sz w:val="21"/>
          <w:szCs w:val="21"/>
          <w:highlight w:val="none"/>
        </w:rPr>
        <w:t>和有</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关计量资料。</w:t>
      </w:r>
    </w:p>
    <w:p w14:paraId="708C4F96">
      <w:pPr>
        <w:spacing w:before="155" w:line="325" w:lineRule="auto"/>
        <w:ind w:left="1" w:right="56" w:firstLine="425"/>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（3）监理人对承包人提交的工程量报表进行复核，以确定实际完成的工程量。对数量有异议的，</w:t>
      </w:r>
      <w:r>
        <w:rPr>
          <w:rFonts w:ascii="宋体" w:hAnsi="宋体" w:eastAsia="宋体" w:cs="宋体"/>
          <w:color w:val="auto"/>
          <w:spacing w:val="16"/>
          <w:sz w:val="21"/>
          <w:szCs w:val="21"/>
          <w:highlight w:val="none"/>
        </w:rPr>
        <w:t xml:space="preserve"> </w:t>
      </w:r>
      <w:r>
        <w:rPr>
          <w:rFonts w:ascii="宋体" w:hAnsi="宋体" w:eastAsia="宋体" w:cs="宋体"/>
          <w:color w:val="auto"/>
          <w:sz w:val="21"/>
          <w:szCs w:val="21"/>
          <w:highlight w:val="none"/>
        </w:rPr>
        <w:t>可要求承包人按第</w:t>
      </w:r>
      <w:r>
        <w:rPr>
          <w:rFonts w:ascii="宋体" w:hAnsi="宋体" w:eastAsia="宋体" w:cs="宋体"/>
          <w:color w:val="auto"/>
          <w:spacing w:val="-25"/>
          <w:sz w:val="21"/>
          <w:szCs w:val="21"/>
          <w:highlight w:val="none"/>
        </w:rPr>
        <w:t xml:space="preserve"> </w:t>
      </w:r>
      <w:r>
        <w:rPr>
          <w:rFonts w:ascii="宋体" w:hAnsi="宋体" w:eastAsia="宋体" w:cs="宋体"/>
          <w:color w:val="auto"/>
          <w:sz w:val="21"/>
          <w:szCs w:val="21"/>
          <w:highlight w:val="none"/>
        </w:rPr>
        <w:t>8.2</w:t>
      </w:r>
      <w:r>
        <w:rPr>
          <w:rFonts w:ascii="宋体" w:hAnsi="宋体" w:eastAsia="宋体" w:cs="宋体"/>
          <w:color w:val="auto"/>
          <w:spacing w:val="-26"/>
          <w:sz w:val="21"/>
          <w:szCs w:val="21"/>
          <w:highlight w:val="none"/>
        </w:rPr>
        <w:t xml:space="preserve"> </w:t>
      </w:r>
      <w:r>
        <w:rPr>
          <w:rFonts w:ascii="宋体" w:hAnsi="宋体" w:eastAsia="宋体" w:cs="宋体"/>
          <w:color w:val="auto"/>
          <w:sz w:val="21"/>
          <w:szCs w:val="21"/>
          <w:highlight w:val="none"/>
        </w:rPr>
        <w:t>款约定进行共同复核和抽样复测</w:t>
      </w:r>
      <w:r>
        <w:rPr>
          <w:rFonts w:ascii="宋体" w:hAnsi="宋体" w:eastAsia="宋体" w:cs="宋体"/>
          <w:color w:val="auto"/>
          <w:spacing w:val="-1"/>
          <w:sz w:val="21"/>
          <w:szCs w:val="21"/>
          <w:highlight w:val="none"/>
        </w:rPr>
        <w:t>。承包人应协助监理人进行复核并按监理人</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要求提供补充计量资料。承包人未按监理人要求参加复核，监理人复核或修正</w:t>
      </w:r>
      <w:r>
        <w:rPr>
          <w:rFonts w:ascii="宋体" w:hAnsi="宋体" w:eastAsia="宋体" w:cs="宋体"/>
          <w:color w:val="auto"/>
          <w:sz w:val="21"/>
          <w:szCs w:val="21"/>
          <w:highlight w:val="none"/>
        </w:rPr>
        <w:t xml:space="preserve">的工程量视为承包人 </w:t>
      </w:r>
      <w:r>
        <w:rPr>
          <w:rFonts w:ascii="宋体" w:hAnsi="宋体" w:eastAsia="宋体" w:cs="宋体"/>
          <w:color w:val="auto"/>
          <w:spacing w:val="-3"/>
          <w:sz w:val="21"/>
          <w:szCs w:val="21"/>
          <w:highlight w:val="none"/>
        </w:rPr>
        <w:t>实际完成的工程量。</w:t>
      </w:r>
    </w:p>
    <w:p w14:paraId="519A399E">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（4）监理人认为有必要时，可通知承包人共同进行联合测量、计量，</w:t>
      </w:r>
      <w:r>
        <w:rPr>
          <w:rFonts w:ascii="宋体" w:hAnsi="宋体" w:eastAsia="宋体" w:cs="宋体"/>
          <w:color w:val="auto"/>
          <w:spacing w:val="-1"/>
          <w:sz w:val="21"/>
          <w:szCs w:val="21"/>
          <w:highlight w:val="none"/>
        </w:rPr>
        <w:t>承包人应遵照执行。</w:t>
      </w:r>
    </w:p>
    <w:p w14:paraId="7DC724FF">
      <w:pPr>
        <w:spacing w:before="157" w:line="325" w:lineRule="auto"/>
        <w:ind w:right="57"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（5）承包人完成工程量清单中每个子目的工程量后，监理人应要求承包人派员共同对每个子目</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的历次计量报表进行汇总，以核实最终结算工程量。监理人可要求承包人提供补充</w:t>
      </w:r>
      <w:r>
        <w:rPr>
          <w:rFonts w:ascii="宋体" w:hAnsi="宋体" w:eastAsia="宋体" w:cs="宋体"/>
          <w:color w:val="auto"/>
          <w:sz w:val="21"/>
          <w:szCs w:val="21"/>
          <w:highlight w:val="none"/>
        </w:rPr>
        <w:t xml:space="preserve">计量资料，以确 </w:t>
      </w:r>
      <w:r>
        <w:rPr>
          <w:rFonts w:ascii="宋体" w:hAnsi="宋体" w:eastAsia="宋体" w:cs="宋体"/>
          <w:color w:val="auto"/>
          <w:spacing w:val="1"/>
          <w:sz w:val="21"/>
          <w:szCs w:val="21"/>
          <w:highlight w:val="none"/>
        </w:rPr>
        <w:t>定最后一次进度付款的准确工程量。承包人未按监理人要求派员参加的，监理人最</w:t>
      </w:r>
      <w:r>
        <w:rPr>
          <w:rFonts w:ascii="宋体" w:hAnsi="宋体" w:eastAsia="宋体" w:cs="宋体"/>
          <w:color w:val="auto"/>
          <w:sz w:val="21"/>
          <w:szCs w:val="21"/>
          <w:highlight w:val="none"/>
        </w:rPr>
        <w:t xml:space="preserve">终核实的工程量 </w:t>
      </w:r>
      <w:r>
        <w:rPr>
          <w:rFonts w:ascii="宋体" w:hAnsi="宋体" w:eastAsia="宋体" w:cs="宋体"/>
          <w:color w:val="auto"/>
          <w:spacing w:val="-1"/>
          <w:sz w:val="21"/>
          <w:szCs w:val="21"/>
          <w:highlight w:val="none"/>
        </w:rPr>
        <w:t>视为承包人完成该子目的准确工程量。</w:t>
      </w:r>
    </w:p>
    <w:p w14:paraId="23EE71D4">
      <w:pPr>
        <w:spacing w:before="156" w:line="289" w:lineRule="auto"/>
        <w:ind w:left="3" w:right="55"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（6）监理人应在收到承包人提交的工程量报表后的</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7</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天内进</w:t>
      </w:r>
      <w:r>
        <w:rPr>
          <w:rFonts w:ascii="宋体" w:hAnsi="宋体" w:eastAsia="宋体" w:cs="宋体"/>
          <w:color w:val="auto"/>
          <w:spacing w:val="-3"/>
          <w:sz w:val="21"/>
          <w:szCs w:val="21"/>
          <w:highlight w:val="none"/>
        </w:rPr>
        <w:t>行复核，监理人未在约定时间内复</w:t>
      </w:r>
      <w:r>
        <w:rPr>
          <w:rFonts w:ascii="宋体" w:hAnsi="宋体" w:eastAsia="宋体" w:cs="宋体"/>
          <w:color w:val="auto"/>
          <w:sz w:val="21"/>
          <w:szCs w:val="21"/>
          <w:highlight w:val="none"/>
        </w:rPr>
        <w:t xml:space="preserve"> 核的，承包人提交的工程量报表中的工程量视为承包</w:t>
      </w:r>
      <w:r>
        <w:rPr>
          <w:rFonts w:ascii="宋体" w:hAnsi="宋体" w:eastAsia="宋体" w:cs="宋体"/>
          <w:color w:val="auto"/>
          <w:spacing w:val="-1"/>
          <w:sz w:val="21"/>
          <w:szCs w:val="21"/>
          <w:highlight w:val="none"/>
        </w:rPr>
        <w:t>人实际完成的工程量，据此计算工程价款。</w:t>
      </w:r>
    </w:p>
    <w:p w14:paraId="232A386F">
      <w:pPr>
        <w:spacing w:before="42" w:line="219"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17.1.5</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总价子目的计量</w:t>
      </w:r>
    </w:p>
    <w:p w14:paraId="22B32867">
      <w:pPr>
        <w:spacing w:before="159" w:line="219"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除专用合同条款另有约定外，总价子目的分解和计量按照下述约定进行。</w:t>
      </w:r>
    </w:p>
    <w:p w14:paraId="731A3865">
      <w:pPr>
        <w:spacing w:before="159" w:line="289" w:lineRule="auto"/>
        <w:ind w:left="16" w:firstLine="41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（1）总价子目的计量和支付应以总价为基础，不因第 16.1</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款中的因素而进行调整</w:t>
      </w:r>
      <w:r>
        <w:rPr>
          <w:rFonts w:ascii="宋体" w:hAnsi="宋体" w:eastAsia="宋体" w:cs="宋体"/>
          <w:color w:val="auto"/>
          <w:spacing w:val="-2"/>
          <w:sz w:val="21"/>
          <w:szCs w:val="21"/>
          <w:highlight w:val="none"/>
        </w:rPr>
        <w:t>。承包人实</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际完成的工程量，是进行工程目标管理和控制进度支付的依据。</w:t>
      </w:r>
    </w:p>
    <w:p w14:paraId="4B76301F">
      <w:pPr>
        <w:spacing w:before="159" w:line="313" w:lineRule="auto"/>
        <w:ind w:right="1"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（2）承包人在合同约定的每个计量周期内，对已完成的工程进行计量，并向监理人提交进度付</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款申请单、专用合同条款约定的合同总价支付分解表所表示的阶段性或分项计量的</w:t>
      </w:r>
      <w:r>
        <w:rPr>
          <w:rFonts w:ascii="宋体" w:hAnsi="宋体" w:eastAsia="宋体" w:cs="宋体"/>
          <w:color w:val="auto"/>
          <w:sz w:val="21"/>
          <w:szCs w:val="21"/>
          <w:highlight w:val="none"/>
        </w:rPr>
        <w:t xml:space="preserve">支持性资料，以 </w:t>
      </w:r>
      <w:r>
        <w:rPr>
          <w:rFonts w:ascii="宋体" w:hAnsi="宋体" w:eastAsia="宋体" w:cs="宋体"/>
          <w:color w:val="auto"/>
          <w:spacing w:val="-1"/>
          <w:sz w:val="21"/>
          <w:szCs w:val="21"/>
          <w:highlight w:val="none"/>
        </w:rPr>
        <w:t>及所达到工程形象目标或分阶段需完成的工程量和有关计量资料。</w:t>
      </w:r>
    </w:p>
    <w:p w14:paraId="567C5A1A">
      <w:pPr>
        <w:spacing w:before="156" w:line="291" w:lineRule="auto"/>
        <w:ind w:left="2" w:right="40" w:firstLine="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（3）监理人对承包人提交的上述资料进行复核，以确定分阶段实际完成的工程量和工程形象目</w:t>
      </w:r>
      <w:r>
        <w:rPr>
          <w:rFonts w:ascii="宋体" w:hAnsi="宋体" w:eastAsia="宋体" w:cs="宋体"/>
          <w:color w:val="auto"/>
          <w:spacing w:val="10"/>
          <w:sz w:val="21"/>
          <w:szCs w:val="21"/>
          <w:highlight w:val="none"/>
        </w:rPr>
        <w:t xml:space="preserve"> </w:t>
      </w:r>
      <w:r>
        <w:rPr>
          <w:rFonts w:ascii="宋体" w:hAnsi="宋体" w:eastAsia="宋体" w:cs="宋体"/>
          <w:color w:val="auto"/>
          <w:spacing w:val="-1"/>
          <w:sz w:val="21"/>
          <w:szCs w:val="21"/>
          <w:highlight w:val="none"/>
        </w:rPr>
        <w:t>标。对其有异议的，可要求承包人按第</w:t>
      </w:r>
      <w:r>
        <w:rPr>
          <w:rFonts w:ascii="宋体" w:hAnsi="宋体" w:eastAsia="宋体" w:cs="宋体"/>
          <w:color w:val="auto"/>
          <w:spacing w:val="-30"/>
          <w:sz w:val="21"/>
          <w:szCs w:val="21"/>
          <w:highlight w:val="none"/>
        </w:rPr>
        <w:t xml:space="preserve"> </w:t>
      </w:r>
      <w:r>
        <w:rPr>
          <w:rFonts w:ascii="宋体" w:hAnsi="宋体" w:eastAsia="宋体" w:cs="宋体"/>
          <w:color w:val="auto"/>
          <w:spacing w:val="-1"/>
          <w:sz w:val="21"/>
          <w:szCs w:val="21"/>
          <w:highlight w:val="none"/>
        </w:rPr>
        <w:t>8.2</w:t>
      </w:r>
      <w:r>
        <w:rPr>
          <w:rFonts w:ascii="宋体" w:hAnsi="宋体" w:eastAsia="宋体" w:cs="宋体"/>
          <w:color w:val="auto"/>
          <w:spacing w:val="-44"/>
          <w:sz w:val="21"/>
          <w:szCs w:val="21"/>
          <w:highlight w:val="none"/>
        </w:rPr>
        <w:t xml:space="preserve"> </w:t>
      </w:r>
      <w:r>
        <w:rPr>
          <w:rFonts w:ascii="宋体" w:hAnsi="宋体" w:eastAsia="宋体" w:cs="宋体"/>
          <w:color w:val="auto"/>
          <w:spacing w:val="-1"/>
          <w:sz w:val="21"/>
          <w:szCs w:val="21"/>
          <w:highlight w:val="none"/>
        </w:rPr>
        <w:t>款约定进行共同复核和抽样复测。</w:t>
      </w:r>
    </w:p>
    <w:p w14:paraId="222ED63D">
      <w:pPr>
        <w:spacing w:before="157" w:line="219"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（4）除按照第</w:t>
      </w:r>
      <w:r>
        <w:rPr>
          <w:rFonts w:ascii="宋体" w:hAnsi="宋体" w:eastAsia="宋体" w:cs="宋体"/>
          <w:color w:val="auto"/>
          <w:spacing w:val="-31"/>
          <w:sz w:val="21"/>
          <w:szCs w:val="21"/>
          <w:highlight w:val="none"/>
        </w:rPr>
        <w:t xml:space="preserve"> </w:t>
      </w:r>
      <w:r>
        <w:rPr>
          <w:rFonts w:ascii="宋体" w:hAnsi="宋体" w:eastAsia="宋体" w:cs="宋体"/>
          <w:color w:val="auto"/>
          <w:spacing w:val="-1"/>
          <w:sz w:val="21"/>
          <w:szCs w:val="21"/>
          <w:highlight w:val="none"/>
        </w:rPr>
        <w:t>15</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条约定的变更外，总价子目的工程量是承包人用于结算的最终工程量。</w:t>
      </w:r>
    </w:p>
    <w:p w14:paraId="624A3393">
      <w:pPr>
        <w:spacing w:line="335" w:lineRule="auto"/>
        <w:rPr>
          <w:rFonts w:ascii="Arial"/>
          <w:color w:val="auto"/>
          <w:sz w:val="21"/>
          <w:highlight w:val="none"/>
        </w:rPr>
      </w:pPr>
    </w:p>
    <w:p w14:paraId="25054187">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17.2</w:t>
      </w:r>
      <w:r>
        <w:rPr>
          <w:rFonts w:ascii="宋体" w:hAnsi="宋体" w:eastAsia="宋体" w:cs="宋体"/>
          <w:color w:val="auto"/>
          <w:spacing w:val="16"/>
          <w:sz w:val="28"/>
          <w:szCs w:val="28"/>
          <w:highlight w:val="none"/>
        </w:rPr>
        <w:t xml:space="preserve"> </w:t>
      </w:r>
      <w:r>
        <w:rPr>
          <w:rFonts w:ascii="宋体" w:hAnsi="宋体" w:eastAsia="宋体" w:cs="宋体"/>
          <w:b/>
          <w:bCs/>
          <w:color w:val="auto"/>
          <w:spacing w:val="-8"/>
          <w:sz w:val="28"/>
          <w:szCs w:val="28"/>
          <w:highlight w:val="none"/>
        </w:rPr>
        <w:t>预付款</w:t>
      </w:r>
    </w:p>
    <w:p w14:paraId="2D2EBD2A">
      <w:pPr>
        <w:spacing w:before="280" w:line="221" w:lineRule="auto"/>
        <w:ind w:left="430"/>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17.2.1</w:t>
      </w:r>
      <w:r>
        <w:rPr>
          <w:rFonts w:ascii="宋体" w:hAnsi="宋体" w:eastAsia="宋体" w:cs="宋体"/>
          <w:color w:val="auto"/>
          <w:spacing w:val="12"/>
          <w:sz w:val="21"/>
          <w:szCs w:val="21"/>
          <w:highlight w:val="none"/>
        </w:rPr>
        <w:t xml:space="preserve"> </w:t>
      </w:r>
      <w:r>
        <w:rPr>
          <w:rFonts w:ascii="宋体" w:hAnsi="宋体" w:eastAsia="宋体" w:cs="宋体"/>
          <w:b/>
          <w:bCs/>
          <w:color w:val="auto"/>
          <w:spacing w:val="-5"/>
          <w:sz w:val="21"/>
          <w:szCs w:val="21"/>
          <w:highlight w:val="none"/>
        </w:rPr>
        <w:t>预付款</w:t>
      </w:r>
    </w:p>
    <w:p w14:paraId="743AF82E">
      <w:pPr>
        <w:spacing w:before="157" w:line="345" w:lineRule="auto"/>
        <w:ind w:left="4" w:right="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预付款用于承包人为合同工程施工购置材料、工程设备、施工设备、修</w:t>
      </w:r>
      <w:r>
        <w:rPr>
          <w:rFonts w:ascii="宋体" w:hAnsi="宋体" w:eastAsia="宋体" w:cs="宋体"/>
          <w:color w:val="auto"/>
          <w:sz w:val="21"/>
          <w:szCs w:val="21"/>
          <w:highlight w:val="none"/>
        </w:rPr>
        <w:t>建临时设施以及组织施 工队伍进场等。预付款的额度和预付办法在专用合同</w:t>
      </w:r>
      <w:r>
        <w:rPr>
          <w:rFonts w:ascii="宋体" w:hAnsi="宋体" w:eastAsia="宋体" w:cs="宋体"/>
          <w:color w:val="auto"/>
          <w:spacing w:val="-1"/>
          <w:sz w:val="21"/>
          <w:szCs w:val="21"/>
          <w:highlight w:val="none"/>
        </w:rPr>
        <w:t>条款中约定。预付款必须专用于合同工程。</w:t>
      </w:r>
    </w:p>
    <w:p w14:paraId="41BD21B8">
      <w:pPr>
        <w:spacing w:before="33"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17.2.2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预付款保函</w:t>
      </w:r>
    </w:p>
    <w:p w14:paraId="07818353">
      <w:pPr>
        <w:spacing w:before="157" w:line="345" w:lineRule="auto"/>
        <w:ind w:left="2" w:right="3" w:firstLine="43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除专用合同条款另有约定外，承包人应在收到</w:t>
      </w:r>
      <w:r>
        <w:rPr>
          <w:rFonts w:ascii="宋体" w:hAnsi="宋体" w:eastAsia="宋体" w:cs="宋体"/>
          <w:color w:val="auto"/>
          <w:sz w:val="21"/>
          <w:szCs w:val="21"/>
          <w:highlight w:val="none"/>
        </w:rPr>
        <w:t>预付款的同时向发包人提交预付款保函，预付款 保函的担保金额应与预付款金额相同。保函的担保金</w:t>
      </w:r>
      <w:r>
        <w:rPr>
          <w:rFonts w:ascii="宋体" w:hAnsi="宋体" w:eastAsia="宋体" w:cs="宋体"/>
          <w:color w:val="auto"/>
          <w:spacing w:val="-1"/>
          <w:sz w:val="21"/>
          <w:szCs w:val="21"/>
          <w:highlight w:val="none"/>
        </w:rPr>
        <w:t>额可根据预付款扣回的金额相应递减。</w:t>
      </w:r>
    </w:p>
    <w:p w14:paraId="7847E276">
      <w:pPr>
        <w:spacing w:before="30"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17.2.3</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预付款的扣回与还清</w:t>
      </w:r>
    </w:p>
    <w:p w14:paraId="1B16B2C4">
      <w:pPr>
        <w:spacing w:before="157" w:line="351" w:lineRule="auto"/>
        <w:ind w:left="1" w:right="1" w:firstLine="421"/>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预付款在进度付款中扣回，扣回办法在专用合同条款中约定。在颁发工</w:t>
      </w:r>
      <w:r>
        <w:rPr>
          <w:rFonts w:ascii="宋体" w:hAnsi="宋体" w:eastAsia="宋体" w:cs="宋体"/>
          <w:color w:val="auto"/>
          <w:sz w:val="21"/>
          <w:szCs w:val="21"/>
          <w:highlight w:val="none"/>
        </w:rPr>
        <w:t xml:space="preserve">程接收证书前，由于不 </w:t>
      </w:r>
      <w:r>
        <w:rPr>
          <w:rFonts w:ascii="宋体" w:hAnsi="宋体" w:eastAsia="宋体" w:cs="宋体"/>
          <w:color w:val="auto"/>
          <w:spacing w:val="1"/>
          <w:sz w:val="21"/>
          <w:szCs w:val="21"/>
          <w:highlight w:val="none"/>
        </w:rPr>
        <w:t>可抗力或其他原因解除合同时，预付款尚未扣清的，尚未扣清的预付款余额应作</w:t>
      </w:r>
      <w:r>
        <w:rPr>
          <w:rFonts w:ascii="宋体" w:hAnsi="宋体" w:eastAsia="宋体" w:cs="宋体"/>
          <w:color w:val="auto"/>
          <w:sz w:val="21"/>
          <w:szCs w:val="21"/>
          <w:highlight w:val="none"/>
        </w:rPr>
        <w:t xml:space="preserve">为承包人的到期应 </w:t>
      </w:r>
      <w:r>
        <w:rPr>
          <w:rFonts w:ascii="宋体" w:hAnsi="宋体" w:eastAsia="宋体" w:cs="宋体"/>
          <w:color w:val="auto"/>
          <w:spacing w:val="-8"/>
          <w:sz w:val="21"/>
          <w:szCs w:val="21"/>
          <w:highlight w:val="none"/>
        </w:rPr>
        <w:t>付款。</w:t>
      </w:r>
    </w:p>
    <w:p w14:paraId="2D57E014">
      <w:pPr>
        <w:spacing w:before="299"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17.3</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工程进度付款</w:t>
      </w:r>
    </w:p>
    <w:p w14:paraId="7347A0FB">
      <w:pPr>
        <w:spacing w:before="280" w:line="221" w:lineRule="auto"/>
        <w:ind w:left="430"/>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17.3.1</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付款周期</w:t>
      </w:r>
    </w:p>
    <w:p w14:paraId="2237A979">
      <w:pPr>
        <w:spacing w:before="156" w:line="221" w:lineRule="auto"/>
        <w:ind w:left="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付款周期同计量周期。</w:t>
      </w:r>
    </w:p>
    <w:p w14:paraId="360CD298">
      <w:pPr>
        <w:spacing w:before="157"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17.3.2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进度付款申请单</w:t>
      </w:r>
    </w:p>
    <w:p w14:paraId="28A655CD">
      <w:pPr>
        <w:spacing w:before="159" w:line="350" w:lineRule="auto"/>
        <w:ind w:right="3" w:firstLine="421"/>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承包人应在每个付款周期末，按监理人批准的格式和专用合同条款约定的</w:t>
      </w:r>
      <w:r>
        <w:rPr>
          <w:rFonts w:ascii="宋体" w:hAnsi="宋体" w:eastAsia="宋体" w:cs="宋体"/>
          <w:color w:val="auto"/>
          <w:sz w:val="21"/>
          <w:szCs w:val="21"/>
          <w:highlight w:val="none"/>
        </w:rPr>
        <w:t xml:space="preserve">份数，向监理人提交 </w:t>
      </w:r>
      <w:r>
        <w:rPr>
          <w:rFonts w:ascii="宋体" w:hAnsi="宋体" w:eastAsia="宋体" w:cs="宋体"/>
          <w:color w:val="auto"/>
          <w:spacing w:val="1"/>
          <w:sz w:val="21"/>
          <w:szCs w:val="21"/>
          <w:highlight w:val="none"/>
        </w:rPr>
        <w:t>进度付款申请单，并附相应的支持性证明文件。除专用合同条</w:t>
      </w:r>
      <w:r>
        <w:rPr>
          <w:rFonts w:ascii="宋体" w:hAnsi="宋体" w:eastAsia="宋体" w:cs="宋体"/>
          <w:color w:val="auto"/>
          <w:sz w:val="21"/>
          <w:szCs w:val="21"/>
          <w:highlight w:val="none"/>
        </w:rPr>
        <w:t xml:space="preserve">款另有约定外，进度付款申请单应包 </w:t>
      </w:r>
      <w:r>
        <w:rPr>
          <w:rFonts w:ascii="宋体" w:hAnsi="宋体" w:eastAsia="宋体" w:cs="宋体"/>
          <w:color w:val="auto"/>
          <w:spacing w:val="-1"/>
          <w:sz w:val="21"/>
          <w:szCs w:val="21"/>
          <w:highlight w:val="none"/>
        </w:rPr>
        <w:t>括下列内容：</w:t>
      </w:r>
    </w:p>
    <w:p w14:paraId="7F7CE2F1">
      <w:pPr>
        <w:spacing w:before="31" w:line="219"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（1）截至本次付款周期末已实施工程的价款；</w:t>
      </w:r>
    </w:p>
    <w:p w14:paraId="3AF885B2">
      <w:pPr>
        <w:spacing w:before="160" w:line="221" w:lineRule="auto"/>
        <w:ind w:left="42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（2）根据第</w:t>
      </w:r>
      <w:r>
        <w:rPr>
          <w:rFonts w:ascii="宋体" w:hAnsi="宋体" w:eastAsia="宋体" w:cs="宋体"/>
          <w:color w:val="auto"/>
          <w:spacing w:val="-12"/>
          <w:sz w:val="21"/>
          <w:szCs w:val="21"/>
          <w:highlight w:val="none"/>
        </w:rPr>
        <w:t xml:space="preserve"> </w:t>
      </w:r>
      <w:r>
        <w:rPr>
          <w:rFonts w:ascii="宋体" w:hAnsi="宋体" w:eastAsia="宋体" w:cs="宋体"/>
          <w:color w:val="auto"/>
          <w:spacing w:val="-4"/>
          <w:sz w:val="21"/>
          <w:szCs w:val="21"/>
          <w:highlight w:val="none"/>
        </w:rPr>
        <w:t>15</w:t>
      </w:r>
      <w:r>
        <w:rPr>
          <w:rFonts w:ascii="宋体" w:hAnsi="宋体" w:eastAsia="宋体" w:cs="宋体"/>
          <w:color w:val="auto"/>
          <w:spacing w:val="-45"/>
          <w:sz w:val="21"/>
          <w:szCs w:val="21"/>
          <w:highlight w:val="none"/>
        </w:rPr>
        <w:t xml:space="preserve"> </w:t>
      </w:r>
      <w:r>
        <w:rPr>
          <w:rFonts w:ascii="宋体" w:hAnsi="宋体" w:eastAsia="宋体" w:cs="宋体"/>
          <w:color w:val="auto"/>
          <w:spacing w:val="-4"/>
          <w:sz w:val="21"/>
          <w:szCs w:val="21"/>
          <w:highlight w:val="none"/>
        </w:rPr>
        <w:t>条应增加和扣减的变更金额；</w:t>
      </w:r>
    </w:p>
    <w:p w14:paraId="02D5F569">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（3）根据第</w:t>
      </w:r>
      <w:r>
        <w:rPr>
          <w:rFonts w:ascii="宋体" w:hAnsi="宋体" w:eastAsia="宋体" w:cs="宋体"/>
          <w:color w:val="auto"/>
          <w:spacing w:val="-33"/>
          <w:sz w:val="21"/>
          <w:szCs w:val="21"/>
          <w:highlight w:val="none"/>
        </w:rPr>
        <w:t xml:space="preserve"> </w:t>
      </w:r>
      <w:r>
        <w:rPr>
          <w:rFonts w:ascii="宋体" w:hAnsi="宋体" w:eastAsia="宋体" w:cs="宋体"/>
          <w:color w:val="auto"/>
          <w:spacing w:val="-3"/>
          <w:sz w:val="21"/>
          <w:szCs w:val="21"/>
          <w:highlight w:val="none"/>
        </w:rPr>
        <w:t>23</w:t>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条应增加和扣减的索赔金额；</w:t>
      </w:r>
    </w:p>
    <w:p w14:paraId="59ED6B54">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（4）根据第</w:t>
      </w:r>
      <w:r>
        <w:rPr>
          <w:rFonts w:ascii="宋体" w:hAnsi="宋体" w:eastAsia="宋体" w:cs="宋体"/>
          <w:color w:val="auto"/>
          <w:spacing w:val="-11"/>
          <w:sz w:val="21"/>
          <w:szCs w:val="21"/>
          <w:highlight w:val="none"/>
        </w:rPr>
        <w:t xml:space="preserve"> </w:t>
      </w:r>
      <w:r>
        <w:rPr>
          <w:rFonts w:ascii="宋体" w:hAnsi="宋体" w:eastAsia="宋体" w:cs="宋体"/>
          <w:color w:val="auto"/>
          <w:spacing w:val="-2"/>
          <w:sz w:val="21"/>
          <w:szCs w:val="21"/>
          <w:highlight w:val="none"/>
        </w:rPr>
        <w:t>17.2</w:t>
      </w:r>
      <w:r>
        <w:rPr>
          <w:rFonts w:ascii="宋体" w:hAnsi="宋体" w:eastAsia="宋体" w:cs="宋体"/>
          <w:color w:val="auto"/>
          <w:spacing w:val="-44"/>
          <w:sz w:val="21"/>
          <w:szCs w:val="21"/>
          <w:highlight w:val="none"/>
        </w:rPr>
        <w:t xml:space="preserve"> </w:t>
      </w:r>
      <w:r>
        <w:rPr>
          <w:rFonts w:ascii="宋体" w:hAnsi="宋体" w:eastAsia="宋体" w:cs="宋体"/>
          <w:color w:val="auto"/>
          <w:spacing w:val="-2"/>
          <w:sz w:val="21"/>
          <w:szCs w:val="21"/>
          <w:highlight w:val="none"/>
        </w:rPr>
        <w:t>款约定应支付的预付款和扣减的返还预付款；</w:t>
      </w:r>
    </w:p>
    <w:p w14:paraId="32970D6D">
      <w:pPr>
        <w:spacing w:before="41"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（5）根据第</w:t>
      </w:r>
      <w:r>
        <w:rPr>
          <w:rFonts w:ascii="宋体" w:hAnsi="宋体" w:eastAsia="宋体" w:cs="宋体"/>
          <w:color w:val="auto"/>
          <w:spacing w:val="-23"/>
          <w:sz w:val="21"/>
          <w:szCs w:val="21"/>
          <w:highlight w:val="none"/>
        </w:rPr>
        <w:t xml:space="preserve"> </w:t>
      </w:r>
      <w:r>
        <w:rPr>
          <w:rFonts w:ascii="宋体" w:hAnsi="宋体" w:eastAsia="宋体" w:cs="宋体"/>
          <w:color w:val="auto"/>
          <w:spacing w:val="-3"/>
          <w:sz w:val="21"/>
          <w:szCs w:val="21"/>
          <w:highlight w:val="none"/>
        </w:rPr>
        <w:t>17.4.1</w:t>
      </w:r>
      <w:r>
        <w:rPr>
          <w:rFonts w:ascii="宋体" w:hAnsi="宋体" w:eastAsia="宋体" w:cs="宋体"/>
          <w:color w:val="auto"/>
          <w:spacing w:val="-43"/>
          <w:sz w:val="21"/>
          <w:szCs w:val="21"/>
          <w:highlight w:val="none"/>
        </w:rPr>
        <w:t xml:space="preserve"> </w:t>
      </w:r>
      <w:r>
        <w:rPr>
          <w:rFonts w:ascii="宋体" w:hAnsi="宋体" w:eastAsia="宋体" w:cs="宋体"/>
          <w:color w:val="auto"/>
          <w:spacing w:val="-3"/>
          <w:sz w:val="21"/>
          <w:szCs w:val="21"/>
          <w:highlight w:val="none"/>
        </w:rPr>
        <w:t>项约定应扣减的质量保证金；</w:t>
      </w:r>
    </w:p>
    <w:p w14:paraId="6E51F068">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（6）根据合同应增加和扣减的其他金额。</w:t>
      </w:r>
    </w:p>
    <w:p w14:paraId="5F3FA560">
      <w:pPr>
        <w:spacing w:before="156" w:line="220" w:lineRule="auto"/>
        <w:ind w:left="429"/>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17.3.3</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进度付款证书和支付时间</w:t>
      </w:r>
    </w:p>
    <w:p w14:paraId="7B22B331">
      <w:pPr>
        <w:spacing w:before="156" w:line="325" w:lineRule="auto"/>
        <w:ind w:right="179" w:firstLine="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（1）监理人在收到承包人进度付款申请单以及相应的支持性证明文件后的</w:t>
      </w:r>
      <w:r>
        <w:rPr>
          <w:rFonts w:ascii="宋体" w:hAnsi="宋体" w:eastAsia="宋体" w:cs="宋体"/>
          <w:color w:val="auto"/>
          <w:spacing w:val="-2"/>
          <w:sz w:val="21"/>
          <w:szCs w:val="21"/>
          <w:highlight w:val="none"/>
        </w:rPr>
        <w:t xml:space="preserve"> 14</w:t>
      </w:r>
      <w:r>
        <w:rPr>
          <w:rFonts w:ascii="宋体" w:hAnsi="宋体" w:eastAsia="宋体" w:cs="宋体"/>
          <w:color w:val="auto"/>
          <w:spacing w:val="-23"/>
          <w:sz w:val="21"/>
          <w:szCs w:val="21"/>
          <w:highlight w:val="none"/>
        </w:rPr>
        <w:t xml:space="preserve"> </w:t>
      </w:r>
      <w:r>
        <w:rPr>
          <w:rFonts w:ascii="宋体" w:hAnsi="宋体" w:eastAsia="宋体" w:cs="宋体"/>
          <w:color w:val="auto"/>
          <w:spacing w:val="-2"/>
          <w:sz w:val="21"/>
          <w:szCs w:val="21"/>
          <w:highlight w:val="none"/>
        </w:rPr>
        <w:t>天内完成核查，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提出发包人到期应支付给承包人的金额以及相应的支持性材料，经发包人审查同</w:t>
      </w:r>
      <w:r>
        <w:rPr>
          <w:rFonts w:ascii="宋体" w:hAnsi="宋体" w:eastAsia="宋体" w:cs="宋体"/>
          <w:color w:val="auto"/>
          <w:sz w:val="21"/>
          <w:szCs w:val="21"/>
          <w:highlight w:val="none"/>
        </w:rPr>
        <w:t xml:space="preserve">意后，由监理人向 </w:t>
      </w:r>
      <w:r>
        <w:rPr>
          <w:rFonts w:ascii="宋体" w:hAnsi="宋体" w:eastAsia="宋体" w:cs="宋体"/>
          <w:color w:val="auto"/>
          <w:spacing w:val="1"/>
          <w:sz w:val="21"/>
          <w:szCs w:val="21"/>
          <w:highlight w:val="none"/>
        </w:rPr>
        <w:t>承包人出具经发包人签认的进度付款证书。监理人有权扣发承包人未能按照合同</w:t>
      </w:r>
      <w:r>
        <w:rPr>
          <w:rFonts w:ascii="宋体" w:hAnsi="宋体" w:eastAsia="宋体" w:cs="宋体"/>
          <w:color w:val="auto"/>
          <w:sz w:val="21"/>
          <w:szCs w:val="21"/>
          <w:highlight w:val="none"/>
        </w:rPr>
        <w:t xml:space="preserve">要求履行任何工作 </w:t>
      </w:r>
      <w:r>
        <w:rPr>
          <w:rFonts w:ascii="宋体" w:hAnsi="宋体" w:eastAsia="宋体" w:cs="宋体"/>
          <w:color w:val="auto"/>
          <w:spacing w:val="-3"/>
          <w:sz w:val="21"/>
          <w:szCs w:val="21"/>
          <w:highlight w:val="none"/>
        </w:rPr>
        <w:t>或义务的相应金额。</w:t>
      </w:r>
    </w:p>
    <w:p w14:paraId="5024F50F">
      <w:pPr>
        <w:spacing w:before="156" w:line="291" w:lineRule="auto"/>
        <w:ind w:left="2" w:right="178"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（2）发包人应在监理人收到进度付款申请单后的</w:t>
      </w:r>
      <w:r>
        <w:rPr>
          <w:rFonts w:ascii="宋体" w:hAnsi="宋体" w:eastAsia="宋体" w:cs="宋体"/>
          <w:color w:val="auto"/>
          <w:spacing w:val="-11"/>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2"/>
          <w:sz w:val="21"/>
          <w:szCs w:val="21"/>
          <w:highlight w:val="none"/>
        </w:rPr>
        <w:t xml:space="preserve"> </w:t>
      </w:r>
      <w:r>
        <w:rPr>
          <w:rFonts w:ascii="宋体" w:hAnsi="宋体" w:eastAsia="宋体" w:cs="宋体"/>
          <w:color w:val="auto"/>
          <w:spacing w:val="-1"/>
          <w:sz w:val="21"/>
          <w:szCs w:val="21"/>
          <w:highlight w:val="none"/>
        </w:rPr>
        <w:t>天内，将进度应付款支付给承包人。发包</w:t>
      </w:r>
      <w:r>
        <w:rPr>
          <w:rFonts w:ascii="宋体" w:hAnsi="宋体" w:eastAsia="宋体" w:cs="宋体"/>
          <w:color w:val="auto"/>
          <w:sz w:val="21"/>
          <w:szCs w:val="21"/>
          <w:highlight w:val="none"/>
        </w:rPr>
        <w:t xml:space="preserve"> 人不按期支付的，按专用合同条款的约定支付逾期付</w:t>
      </w:r>
      <w:r>
        <w:rPr>
          <w:rFonts w:ascii="宋体" w:hAnsi="宋体" w:eastAsia="宋体" w:cs="宋体"/>
          <w:color w:val="auto"/>
          <w:spacing w:val="-1"/>
          <w:sz w:val="21"/>
          <w:szCs w:val="21"/>
          <w:highlight w:val="none"/>
        </w:rPr>
        <w:t>款违约金。</w:t>
      </w:r>
    </w:p>
    <w:p w14:paraId="2534D6E4">
      <w:pPr>
        <w:spacing w:before="158" w:line="290" w:lineRule="auto"/>
        <w:ind w:left="1" w:right="178" w:firstLine="4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（3）监理人出具进度付款证书，不应视为监理人已同意、批准或接受了承包人完成的该部分工</w:t>
      </w:r>
      <w:r>
        <w:rPr>
          <w:rFonts w:ascii="宋体" w:hAnsi="宋体" w:eastAsia="宋体" w:cs="宋体"/>
          <w:color w:val="auto"/>
          <w:spacing w:val="9"/>
          <w:sz w:val="21"/>
          <w:szCs w:val="21"/>
          <w:highlight w:val="none"/>
        </w:rPr>
        <w:t xml:space="preserve"> </w:t>
      </w:r>
      <w:r>
        <w:rPr>
          <w:rFonts w:ascii="宋体" w:hAnsi="宋体" w:eastAsia="宋体" w:cs="宋体"/>
          <w:color w:val="auto"/>
          <w:spacing w:val="-10"/>
          <w:sz w:val="21"/>
          <w:szCs w:val="21"/>
          <w:highlight w:val="none"/>
        </w:rPr>
        <w:t>作。</w:t>
      </w:r>
    </w:p>
    <w:p w14:paraId="2626D94E">
      <w:pPr>
        <w:spacing w:before="155" w:line="290" w:lineRule="auto"/>
        <w:ind w:left="5" w:right="192"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（4）进度付款涉及政府投资资金的，按照国库集中支付等国家相关规定和专用合同</w:t>
      </w:r>
      <w:r>
        <w:rPr>
          <w:rFonts w:ascii="宋体" w:hAnsi="宋体" w:eastAsia="宋体" w:cs="宋体"/>
          <w:color w:val="auto"/>
          <w:spacing w:val="-3"/>
          <w:sz w:val="21"/>
          <w:szCs w:val="21"/>
          <w:highlight w:val="none"/>
        </w:rPr>
        <w:t>条款的约定</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办理。</w:t>
      </w:r>
    </w:p>
    <w:p w14:paraId="4CD7F5C9">
      <w:pPr>
        <w:spacing w:before="159" w:line="221" w:lineRule="auto"/>
        <w:ind w:left="429"/>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17.3.4</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工程进度付款的修正</w:t>
      </w:r>
    </w:p>
    <w:p w14:paraId="56D6859F">
      <w:pPr>
        <w:spacing w:before="157" w:line="345" w:lineRule="auto"/>
        <w:ind w:right="201" w:firstLine="419"/>
        <w:rPr>
          <w:rFonts w:ascii="宋体" w:hAnsi="宋体" w:eastAsia="宋体" w:cs="宋体"/>
          <w:color w:val="auto"/>
          <w:sz w:val="21"/>
          <w:szCs w:val="21"/>
          <w:highlight w:val="none"/>
        </w:rPr>
      </w:pPr>
      <w:r>
        <w:rPr>
          <w:rFonts w:ascii="宋体" w:hAnsi="宋体" w:eastAsia="宋体" w:cs="宋体"/>
          <w:color w:val="auto"/>
          <w:sz w:val="21"/>
          <w:szCs w:val="21"/>
          <w:highlight w:val="none"/>
        </w:rPr>
        <w:t>在对以往历次已签发的进度付款证书进行汇总和复核中发现错、漏或重复的，监理人有权予以</w:t>
      </w:r>
      <w:r>
        <w:rPr>
          <w:rFonts w:ascii="宋体" w:hAnsi="宋体" w:eastAsia="宋体" w:cs="宋体"/>
          <w:color w:val="auto"/>
          <w:spacing w:val="14"/>
          <w:sz w:val="21"/>
          <w:szCs w:val="21"/>
          <w:highlight w:val="none"/>
        </w:rPr>
        <w:t xml:space="preserve"> </w:t>
      </w:r>
      <w:r>
        <w:rPr>
          <w:rFonts w:ascii="宋体" w:hAnsi="宋体" w:eastAsia="宋体" w:cs="宋体"/>
          <w:color w:val="auto"/>
          <w:sz w:val="21"/>
          <w:szCs w:val="21"/>
          <w:highlight w:val="none"/>
        </w:rPr>
        <w:t>修正，承包人也有权提出修正申请。经双方复核同意的修正</w:t>
      </w:r>
      <w:r>
        <w:rPr>
          <w:rFonts w:ascii="宋体" w:hAnsi="宋体" w:eastAsia="宋体" w:cs="宋体"/>
          <w:color w:val="auto"/>
          <w:spacing w:val="-1"/>
          <w:sz w:val="21"/>
          <w:szCs w:val="21"/>
          <w:highlight w:val="none"/>
        </w:rPr>
        <w:t>，应在本次进度付款中支付或</w:t>
      </w:r>
      <w:r>
        <w:rPr>
          <w:rFonts w:hint="eastAsia" w:ascii="宋体" w:hAnsi="宋体" w:eastAsia="宋体" w:cs="宋体"/>
          <w:color w:val="auto"/>
          <w:spacing w:val="-1"/>
          <w:sz w:val="21"/>
          <w:szCs w:val="21"/>
          <w:highlight w:val="none"/>
          <w:lang w:eastAsia="zh-CN"/>
        </w:rPr>
        <w:t>支付</w:t>
      </w:r>
      <w:r>
        <w:rPr>
          <w:rFonts w:ascii="宋体" w:hAnsi="宋体" w:eastAsia="宋体" w:cs="宋体"/>
          <w:color w:val="auto"/>
          <w:spacing w:val="-1"/>
          <w:sz w:val="21"/>
          <w:szCs w:val="21"/>
          <w:highlight w:val="none"/>
        </w:rPr>
        <w:t>。</w:t>
      </w:r>
    </w:p>
    <w:p w14:paraId="7D37691B">
      <w:pPr>
        <w:spacing w:before="300"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17.4</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质量保证金</w:t>
      </w:r>
    </w:p>
    <w:p w14:paraId="4B9534B8">
      <w:pPr>
        <w:spacing w:before="279" w:line="313" w:lineRule="auto"/>
        <w:ind w:right="179"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17.4.1 监理人应从第一个付款周期开始，在发包人的进度付款中，按专用合同条款的约定扣留</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质量保证金，直至扣留的质量保证金总额达到专用合同条款约定的金额或比例为</w:t>
      </w:r>
      <w:r>
        <w:rPr>
          <w:rFonts w:ascii="宋体" w:hAnsi="宋体" w:eastAsia="宋体" w:cs="宋体"/>
          <w:color w:val="auto"/>
          <w:sz w:val="21"/>
          <w:szCs w:val="21"/>
          <w:highlight w:val="none"/>
        </w:rPr>
        <w:t>止。质量保证金的 计算额度不包括预付款的支付、扣回以及价格调整的</w:t>
      </w:r>
      <w:r>
        <w:rPr>
          <w:rFonts w:ascii="宋体" w:hAnsi="宋体" w:eastAsia="宋体" w:cs="宋体"/>
          <w:color w:val="auto"/>
          <w:spacing w:val="-1"/>
          <w:sz w:val="21"/>
          <w:szCs w:val="21"/>
          <w:highlight w:val="none"/>
        </w:rPr>
        <w:t>金额。</w:t>
      </w:r>
    </w:p>
    <w:p w14:paraId="4E571158">
      <w:pPr>
        <w:spacing w:before="158" w:line="313" w:lineRule="auto"/>
        <w:ind w:left="1" w:firstLine="43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17.4.2 在第</w:t>
      </w:r>
      <w:r>
        <w:rPr>
          <w:rFonts w:ascii="宋体" w:hAnsi="宋体" w:eastAsia="宋体" w:cs="宋体"/>
          <w:color w:val="auto"/>
          <w:spacing w:val="-28"/>
          <w:sz w:val="21"/>
          <w:szCs w:val="21"/>
          <w:highlight w:val="none"/>
        </w:rPr>
        <w:t xml:space="preserve"> </w:t>
      </w: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ascii="宋体" w:hAnsi="宋体" w:eastAsia="宋体" w:cs="宋体"/>
          <w:color w:val="auto"/>
          <w:spacing w:val="-3"/>
          <w:sz w:val="21"/>
          <w:szCs w:val="21"/>
          <w:highlight w:val="none"/>
        </w:rPr>
        <w:t>1.1.4.5</w:t>
      </w:r>
      <w:r>
        <w:rPr>
          <w:rFonts w:ascii="宋体" w:hAnsi="宋体" w:eastAsia="宋体" w:cs="宋体"/>
          <w:color w:val="auto"/>
          <w:spacing w:val="-3"/>
          <w:sz w:val="21"/>
          <w:szCs w:val="21"/>
          <w:highlight w:val="none"/>
        </w:rPr>
        <w:fldChar w:fldCharType="end"/>
      </w:r>
      <w:r>
        <w:rPr>
          <w:rFonts w:ascii="宋体" w:hAnsi="宋体" w:eastAsia="宋体" w:cs="宋体"/>
          <w:color w:val="auto"/>
          <w:spacing w:val="-3"/>
          <w:sz w:val="21"/>
          <w:szCs w:val="21"/>
          <w:highlight w:val="none"/>
        </w:rPr>
        <w:t xml:space="preserve"> 目约定的缺陷责任期满时，承包人向发</w:t>
      </w:r>
      <w:r>
        <w:rPr>
          <w:rFonts w:ascii="宋体" w:hAnsi="宋体" w:eastAsia="宋体" w:cs="宋体"/>
          <w:color w:val="auto"/>
          <w:spacing w:val="-4"/>
          <w:sz w:val="21"/>
          <w:szCs w:val="21"/>
          <w:highlight w:val="none"/>
        </w:rPr>
        <w:t>包人申请到期应返还承包人剩余的</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质量保证金金额，发包人应在</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14</w:t>
      </w:r>
      <w:r>
        <w:rPr>
          <w:rFonts w:ascii="宋体" w:hAnsi="宋体" w:eastAsia="宋体" w:cs="宋体"/>
          <w:color w:val="auto"/>
          <w:spacing w:val="-42"/>
          <w:sz w:val="21"/>
          <w:szCs w:val="21"/>
          <w:highlight w:val="none"/>
        </w:rPr>
        <w:t xml:space="preserve"> </w:t>
      </w:r>
      <w:r>
        <w:rPr>
          <w:rFonts w:ascii="宋体" w:hAnsi="宋体" w:eastAsia="宋体" w:cs="宋体"/>
          <w:color w:val="auto"/>
          <w:spacing w:val="-3"/>
          <w:sz w:val="21"/>
          <w:szCs w:val="21"/>
          <w:highlight w:val="none"/>
        </w:rPr>
        <w:t>天内会同承包人按照合同约定的内容核实承包人是否完成缺陷责任。</w:t>
      </w:r>
      <w:r>
        <w:rPr>
          <w:rFonts w:ascii="宋体" w:hAnsi="宋体" w:eastAsia="宋体" w:cs="宋体"/>
          <w:color w:val="auto"/>
          <w:sz w:val="21"/>
          <w:szCs w:val="21"/>
          <w:highlight w:val="none"/>
        </w:rPr>
        <w:t xml:space="preserve"> 如无异议，发包人应当在核实后将剩余保证金返还</w:t>
      </w:r>
      <w:r>
        <w:rPr>
          <w:rFonts w:ascii="宋体" w:hAnsi="宋体" w:eastAsia="宋体" w:cs="宋体"/>
          <w:color w:val="auto"/>
          <w:spacing w:val="-1"/>
          <w:sz w:val="21"/>
          <w:szCs w:val="21"/>
          <w:highlight w:val="none"/>
        </w:rPr>
        <w:t>承包人。</w:t>
      </w:r>
    </w:p>
    <w:p w14:paraId="05F8EFB3">
      <w:pPr>
        <w:spacing w:before="158" w:line="313" w:lineRule="auto"/>
        <w:ind w:right="178" w:firstLine="43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17.4.3 在第</w:t>
      </w:r>
      <w:r>
        <w:rPr>
          <w:rFonts w:ascii="宋体" w:hAnsi="宋体" w:eastAsia="宋体" w:cs="宋体"/>
          <w:color w:val="auto"/>
          <w:spacing w:val="-29"/>
          <w:sz w:val="21"/>
          <w:szCs w:val="21"/>
          <w:highlight w:val="none"/>
        </w:rPr>
        <w:t xml:space="preserve"> </w:t>
      </w: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ascii="宋体" w:hAnsi="宋体" w:eastAsia="宋体" w:cs="宋体"/>
          <w:color w:val="auto"/>
          <w:spacing w:val="-3"/>
          <w:sz w:val="21"/>
          <w:szCs w:val="21"/>
          <w:highlight w:val="none"/>
        </w:rPr>
        <w:t>1.1.4.5</w:t>
      </w:r>
      <w:r>
        <w:rPr>
          <w:rFonts w:ascii="宋体" w:hAnsi="宋体" w:eastAsia="宋体" w:cs="宋体"/>
          <w:color w:val="auto"/>
          <w:spacing w:val="-3"/>
          <w:sz w:val="21"/>
          <w:szCs w:val="21"/>
          <w:highlight w:val="none"/>
        </w:rPr>
        <w:fldChar w:fldCharType="end"/>
      </w:r>
      <w:r>
        <w:rPr>
          <w:rFonts w:ascii="宋体" w:hAnsi="宋体" w:eastAsia="宋体" w:cs="宋体"/>
          <w:color w:val="auto"/>
          <w:spacing w:val="-3"/>
          <w:sz w:val="21"/>
          <w:szCs w:val="21"/>
          <w:highlight w:val="none"/>
        </w:rPr>
        <w:t xml:space="preserve"> 目约定的缺陷责任期满时，承包人没有完</w:t>
      </w:r>
      <w:r>
        <w:rPr>
          <w:rFonts w:ascii="宋体" w:hAnsi="宋体" w:eastAsia="宋体" w:cs="宋体"/>
          <w:color w:val="auto"/>
          <w:spacing w:val="-4"/>
          <w:sz w:val="21"/>
          <w:szCs w:val="21"/>
          <w:highlight w:val="none"/>
        </w:rPr>
        <w:t>成缺陷责任的，发包人有权扣留</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与未履行责任剩余工作所需金额相应的质量保证金余额，并有权根据第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19.3</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w:t>
      </w:r>
      <w:r>
        <w:rPr>
          <w:rFonts w:ascii="宋体" w:hAnsi="宋体" w:eastAsia="宋体" w:cs="宋体"/>
          <w:color w:val="auto"/>
          <w:spacing w:val="-3"/>
          <w:sz w:val="21"/>
          <w:szCs w:val="21"/>
          <w:highlight w:val="none"/>
        </w:rPr>
        <w:t>约定要求延长缺陷责</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任期，直至完成剩余工作为止。</w:t>
      </w:r>
    </w:p>
    <w:p w14:paraId="0FB288D3">
      <w:pPr>
        <w:spacing w:line="333" w:lineRule="auto"/>
        <w:rPr>
          <w:rFonts w:ascii="Arial"/>
          <w:color w:val="auto"/>
          <w:sz w:val="21"/>
          <w:highlight w:val="none"/>
        </w:rPr>
      </w:pPr>
    </w:p>
    <w:p w14:paraId="6D47DA14">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17.5</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竣工结算</w:t>
      </w:r>
    </w:p>
    <w:p w14:paraId="5BBA1A0E">
      <w:pPr>
        <w:spacing w:before="281" w:line="221" w:lineRule="auto"/>
        <w:ind w:left="429"/>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17.5.1</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竣工付款申请单</w:t>
      </w:r>
    </w:p>
    <w:p w14:paraId="46CCBD18">
      <w:pPr>
        <w:spacing w:before="156" w:line="313" w:lineRule="auto"/>
        <w:ind w:left="3" w:right="179"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（1）工程接收证书颁发后，承包人应按专用合同条款约定的份数和期限向监理人提交竣工付款</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申请单，并提供相关证明材料。除专用合同条款另有约定外，竣工付款申</w:t>
      </w:r>
      <w:r>
        <w:rPr>
          <w:rFonts w:ascii="宋体" w:hAnsi="宋体" w:eastAsia="宋体" w:cs="宋体"/>
          <w:color w:val="auto"/>
          <w:sz w:val="21"/>
          <w:szCs w:val="21"/>
          <w:highlight w:val="none"/>
        </w:rPr>
        <w:t xml:space="preserve">请单应包括下列内容：竣 </w:t>
      </w:r>
      <w:r>
        <w:rPr>
          <w:rFonts w:ascii="宋体" w:hAnsi="宋体" w:eastAsia="宋体" w:cs="宋体"/>
          <w:color w:val="auto"/>
          <w:spacing w:val="-4"/>
          <w:sz w:val="21"/>
          <w:szCs w:val="21"/>
          <w:highlight w:val="none"/>
        </w:rPr>
        <w:t>工结算合同总价、发包人已支付承包人的工程价款、应扣留的质量保证金、应支付的竣工付款金</w:t>
      </w:r>
      <w:r>
        <w:rPr>
          <w:rFonts w:ascii="宋体" w:hAnsi="宋体" w:eastAsia="宋体" w:cs="宋体"/>
          <w:color w:val="auto"/>
          <w:spacing w:val="-5"/>
          <w:sz w:val="21"/>
          <w:szCs w:val="21"/>
          <w:highlight w:val="none"/>
        </w:rPr>
        <w:t>额。</w:t>
      </w:r>
    </w:p>
    <w:p w14:paraId="6913A63D">
      <w:pPr>
        <w:spacing w:before="159" w:line="220"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（2）监理人对竣工付款申请单有异议的，有权要求承包人进行修正和提供补充资料。经监理人</w:t>
      </w:r>
    </w:p>
    <w:p w14:paraId="49FE7F1E">
      <w:pPr>
        <w:spacing w:before="41" w:line="221" w:lineRule="auto"/>
        <w:rPr>
          <w:rFonts w:ascii="宋体" w:hAnsi="宋体" w:eastAsia="宋体" w:cs="宋体"/>
          <w:color w:val="auto"/>
          <w:sz w:val="21"/>
          <w:szCs w:val="21"/>
          <w:highlight w:val="none"/>
        </w:rPr>
      </w:pPr>
      <w:r>
        <w:rPr>
          <w:rFonts w:ascii="宋体" w:hAnsi="宋体" w:eastAsia="宋体" w:cs="宋体"/>
          <w:color w:val="auto"/>
          <w:sz w:val="21"/>
          <w:szCs w:val="21"/>
          <w:highlight w:val="none"/>
        </w:rPr>
        <w:t>和承包人协商后，由承包人向监理人提交修正后的竣工付款</w:t>
      </w:r>
      <w:r>
        <w:rPr>
          <w:rFonts w:ascii="宋体" w:hAnsi="宋体" w:eastAsia="宋体" w:cs="宋体"/>
          <w:color w:val="auto"/>
          <w:spacing w:val="-1"/>
          <w:sz w:val="21"/>
          <w:szCs w:val="21"/>
          <w:highlight w:val="none"/>
        </w:rPr>
        <w:t>申请单。</w:t>
      </w:r>
    </w:p>
    <w:p w14:paraId="7690900B">
      <w:pPr>
        <w:spacing w:before="157" w:line="220" w:lineRule="auto"/>
        <w:ind w:left="42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17.5.2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竣工付款证书及支付时间</w:t>
      </w:r>
    </w:p>
    <w:p w14:paraId="46074274">
      <w:pPr>
        <w:spacing w:before="159" w:line="331" w:lineRule="auto"/>
        <w:ind w:firstLine="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（1）监理人在收到承包人提交的竣工付款申请单后的 14</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天内完成</w:t>
      </w:r>
      <w:r>
        <w:rPr>
          <w:rFonts w:ascii="宋体" w:hAnsi="宋体" w:eastAsia="宋体" w:cs="宋体"/>
          <w:color w:val="auto"/>
          <w:spacing w:val="-2"/>
          <w:sz w:val="21"/>
          <w:szCs w:val="21"/>
          <w:highlight w:val="none"/>
        </w:rPr>
        <w:t>核查，提出发包人到期应支</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付给承包人的价款送发包人审核并抄送承包人。发包人应在收到后</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14</w:t>
      </w:r>
      <w:r>
        <w:rPr>
          <w:rFonts w:ascii="宋体" w:hAnsi="宋体" w:eastAsia="宋体" w:cs="宋体"/>
          <w:color w:val="auto"/>
          <w:spacing w:val="-42"/>
          <w:sz w:val="21"/>
          <w:szCs w:val="21"/>
          <w:highlight w:val="none"/>
        </w:rPr>
        <w:t xml:space="preserve"> </w:t>
      </w:r>
      <w:r>
        <w:rPr>
          <w:rFonts w:ascii="宋体" w:hAnsi="宋体" w:eastAsia="宋体" w:cs="宋体"/>
          <w:color w:val="auto"/>
          <w:spacing w:val="-3"/>
          <w:sz w:val="21"/>
          <w:szCs w:val="21"/>
          <w:highlight w:val="none"/>
        </w:rPr>
        <w:t>天内审核完毕，由监理人向承</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包人出具经发包人签认的竣工付款证书。监理人未在约定时间内核查，又未提出</w:t>
      </w:r>
      <w:r>
        <w:rPr>
          <w:rFonts w:ascii="宋体" w:hAnsi="宋体" w:eastAsia="宋体" w:cs="宋体"/>
          <w:color w:val="auto"/>
          <w:sz w:val="21"/>
          <w:szCs w:val="21"/>
          <w:highlight w:val="none"/>
        </w:rPr>
        <w:t xml:space="preserve">具体意见的，视为 </w:t>
      </w:r>
      <w:r>
        <w:rPr>
          <w:rFonts w:ascii="宋体" w:hAnsi="宋体" w:eastAsia="宋体" w:cs="宋体"/>
          <w:color w:val="auto"/>
          <w:spacing w:val="1"/>
          <w:sz w:val="21"/>
          <w:szCs w:val="21"/>
          <w:highlight w:val="none"/>
        </w:rPr>
        <w:t>承包人提交的竣工付款申请单已经监理人核查同意；发包人未在约定时间内审核</w:t>
      </w:r>
      <w:r>
        <w:rPr>
          <w:rFonts w:ascii="宋体" w:hAnsi="宋体" w:eastAsia="宋体" w:cs="宋体"/>
          <w:color w:val="auto"/>
          <w:sz w:val="21"/>
          <w:szCs w:val="21"/>
          <w:highlight w:val="none"/>
        </w:rPr>
        <w:t>又未提出具体意见 的，监理人提出发包人到期应支付给承包人的价款视为已经发包人</w:t>
      </w:r>
      <w:r>
        <w:rPr>
          <w:rFonts w:ascii="宋体" w:hAnsi="宋体" w:eastAsia="宋体" w:cs="宋体"/>
          <w:color w:val="auto"/>
          <w:spacing w:val="-1"/>
          <w:sz w:val="21"/>
          <w:szCs w:val="21"/>
          <w:highlight w:val="none"/>
        </w:rPr>
        <w:t>同意。</w:t>
      </w:r>
    </w:p>
    <w:p w14:paraId="5B684771">
      <w:pPr>
        <w:spacing w:before="158" w:line="291" w:lineRule="auto"/>
        <w:ind w:left="1"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（2）发包人应在监理人出具竣工付款证书后的 14</w:t>
      </w:r>
      <w:r>
        <w:rPr>
          <w:rFonts w:ascii="宋体" w:hAnsi="宋体" w:eastAsia="宋体" w:cs="宋体"/>
          <w:color w:val="auto"/>
          <w:spacing w:val="-21"/>
          <w:sz w:val="21"/>
          <w:szCs w:val="21"/>
          <w:highlight w:val="none"/>
        </w:rPr>
        <w:t xml:space="preserve"> </w:t>
      </w:r>
      <w:r>
        <w:rPr>
          <w:rFonts w:ascii="宋体" w:hAnsi="宋体" w:eastAsia="宋体" w:cs="宋体"/>
          <w:color w:val="auto"/>
          <w:spacing w:val="-1"/>
          <w:sz w:val="21"/>
          <w:szCs w:val="21"/>
          <w:highlight w:val="none"/>
        </w:rPr>
        <w:t>天内，将应支付</w:t>
      </w:r>
      <w:r>
        <w:rPr>
          <w:rFonts w:ascii="宋体" w:hAnsi="宋体" w:eastAsia="宋体" w:cs="宋体"/>
          <w:color w:val="auto"/>
          <w:spacing w:val="-2"/>
          <w:sz w:val="21"/>
          <w:szCs w:val="21"/>
          <w:highlight w:val="none"/>
        </w:rPr>
        <w:t>款支付给承包人。发包人不</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按期支付的，按第</w:t>
      </w:r>
      <w:r>
        <w:rPr>
          <w:rFonts w:ascii="宋体" w:hAnsi="宋体" w:eastAsia="宋体" w:cs="宋体"/>
          <w:color w:val="auto"/>
          <w:spacing w:val="-12"/>
          <w:sz w:val="21"/>
          <w:szCs w:val="21"/>
          <w:highlight w:val="none"/>
        </w:rPr>
        <w:t xml:space="preserve"> </w:t>
      </w:r>
      <w:r>
        <w:rPr>
          <w:rFonts w:ascii="宋体" w:hAnsi="宋体" w:eastAsia="宋体" w:cs="宋体"/>
          <w:color w:val="auto"/>
          <w:spacing w:val="-3"/>
          <w:sz w:val="21"/>
          <w:szCs w:val="21"/>
          <w:highlight w:val="none"/>
        </w:rPr>
        <w:t>17.3.3（2）</w:t>
      </w:r>
      <w:r>
        <w:rPr>
          <w:rFonts w:ascii="宋体" w:hAnsi="宋体" w:eastAsia="宋体" w:cs="宋体"/>
          <w:color w:val="auto"/>
          <w:spacing w:val="-58"/>
          <w:sz w:val="21"/>
          <w:szCs w:val="21"/>
          <w:highlight w:val="none"/>
        </w:rPr>
        <w:t xml:space="preserve"> </w:t>
      </w:r>
      <w:r>
        <w:rPr>
          <w:rFonts w:ascii="宋体" w:hAnsi="宋体" w:eastAsia="宋体" w:cs="宋体"/>
          <w:color w:val="auto"/>
          <w:spacing w:val="-3"/>
          <w:sz w:val="21"/>
          <w:szCs w:val="21"/>
          <w:highlight w:val="none"/>
        </w:rPr>
        <w:t>目的约定，将逾期付款违约金支付给承包人。</w:t>
      </w:r>
    </w:p>
    <w:p w14:paraId="5FFD2BE5">
      <w:pPr>
        <w:spacing w:before="156" w:line="290" w:lineRule="auto"/>
        <w:ind w:left="20" w:right="14" w:firstLine="40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（3）承包人对发包人签认的竣工付款证书有异议的，发包人可出具竣工付款申请单</w:t>
      </w:r>
      <w:r>
        <w:rPr>
          <w:rFonts w:ascii="宋体" w:hAnsi="宋体" w:eastAsia="宋体" w:cs="宋体"/>
          <w:color w:val="auto"/>
          <w:spacing w:val="-3"/>
          <w:sz w:val="21"/>
          <w:szCs w:val="21"/>
          <w:highlight w:val="none"/>
        </w:rPr>
        <w:t>中承包人已</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同意部分的临时付款证书。存在争议的部分，按第</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24</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条的约定办理。</w:t>
      </w:r>
    </w:p>
    <w:p w14:paraId="1B3C33C0">
      <w:pPr>
        <w:spacing w:before="157" w:line="220"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（4）竣工付款涉及政府投资资金的，按第</w:t>
      </w:r>
      <w:r>
        <w:rPr>
          <w:rFonts w:ascii="宋体" w:hAnsi="宋体" w:eastAsia="宋体" w:cs="宋体"/>
          <w:color w:val="auto"/>
          <w:spacing w:val="-11"/>
          <w:sz w:val="21"/>
          <w:szCs w:val="21"/>
          <w:highlight w:val="none"/>
        </w:rPr>
        <w:t xml:space="preserve"> </w:t>
      </w:r>
      <w:r>
        <w:rPr>
          <w:rFonts w:ascii="宋体" w:hAnsi="宋体" w:eastAsia="宋体" w:cs="宋体"/>
          <w:color w:val="auto"/>
          <w:spacing w:val="-2"/>
          <w:sz w:val="21"/>
          <w:szCs w:val="21"/>
          <w:highlight w:val="none"/>
        </w:rPr>
        <w:t>17.3.3（4）目的约定办理。</w:t>
      </w:r>
    </w:p>
    <w:p w14:paraId="2B08FC75">
      <w:pPr>
        <w:spacing w:line="333" w:lineRule="auto"/>
        <w:rPr>
          <w:rFonts w:ascii="Arial"/>
          <w:color w:val="auto"/>
          <w:sz w:val="21"/>
          <w:highlight w:val="none"/>
        </w:rPr>
      </w:pPr>
    </w:p>
    <w:p w14:paraId="1F29DB5B">
      <w:pPr>
        <w:spacing w:before="91" w:line="220" w:lineRule="auto"/>
        <w:ind w:left="160"/>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17.6</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最终结清</w:t>
      </w:r>
    </w:p>
    <w:p w14:paraId="753EE9CF">
      <w:pPr>
        <w:spacing w:before="280" w:line="221" w:lineRule="auto"/>
        <w:ind w:left="42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17.6.1</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最终结清申请单</w:t>
      </w:r>
    </w:p>
    <w:p w14:paraId="356174A9">
      <w:pPr>
        <w:spacing w:before="160" w:line="289" w:lineRule="auto"/>
        <w:ind w:left="3" w:right="10"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（1）缺陷责任期终止证书签发后，承包人可按专用合同条款约定的份数和期限向监理人提</w:t>
      </w:r>
      <w:r>
        <w:rPr>
          <w:rFonts w:ascii="宋体" w:hAnsi="宋体" w:eastAsia="宋体" w:cs="宋体"/>
          <w:color w:val="auto"/>
          <w:spacing w:val="-3"/>
          <w:sz w:val="21"/>
          <w:szCs w:val="21"/>
          <w:highlight w:val="none"/>
        </w:rPr>
        <w:t>交最</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终结清申请单，并提供相关证明材料。</w:t>
      </w:r>
    </w:p>
    <w:p w14:paraId="21715B58">
      <w:pPr>
        <w:spacing w:before="157" w:line="290" w:lineRule="auto"/>
        <w:ind w:right="10" w:firstLine="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（2）发包人对最终结清申请单内容有异议的，有权要求承包人进行修正和提供补充资料，由承</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包人向监理人提交修正后的最终结清申请单。</w:t>
      </w:r>
    </w:p>
    <w:p w14:paraId="5FB43A5C">
      <w:pPr>
        <w:spacing w:before="158" w:line="220" w:lineRule="auto"/>
        <w:ind w:left="42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17.6.2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最终结清证书和支付时间</w:t>
      </w:r>
    </w:p>
    <w:p w14:paraId="046E2562">
      <w:pPr>
        <w:spacing w:before="161" w:line="331" w:lineRule="auto"/>
        <w:ind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（1）监理人收到承包人提交的最终结清申请单后的 14</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天内，提出</w:t>
      </w:r>
      <w:r>
        <w:rPr>
          <w:rFonts w:ascii="宋体" w:hAnsi="宋体" w:eastAsia="宋体" w:cs="宋体"/>
          <w:color w:val="auto"/>
          <w:spacing w:val="-2"/>
          <w:sz w:val="21"/>
          <w:szCs w:val="21"/>
          <w:highlight w:val="none"/>
        </w:rPr>
        <w:t>发包人应支付给承包人的价</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款送发包人审核并抄送承包人。发包人应在收到后</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14</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天</w:t>
      </w:r>
      <w:r>
        <w:rPr>
          <w:rFonts w:ascii="宋体" w:hAnsi="宋体" w:eastAsia="宋体" w:cs="宋体"/>
          <w:color w:val="auto"/>
          <w:spacing w:val="-3"/>
          <w:sz w:val="21"/>
          <w:szCs w:val="21"/>
          <w:highlight w:val="none"/>
        </w:rPr>
        <w:t>内审核完毕，由监理人向承包人出具经发包</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人签认的最终结清证书。监理人未在约定时间内核查，</w:t>
      </w:r>
      <w:r>
        <w:rPr>
          <w:rFonts w:ascii="宋体" w:hAnsi="宋体" w:eastAsia="宋体" w:cs="宋体"/>
          <w:color w:val="auto"/>
          <w:sz w:val="21"/>
          <w:szCs w:val="21"/>
          <w:highlight w:val="none"/>
        </w:rPr>
        <w:t xml:space="preserve">又未提出具体意见的，视为承包人提交的最 </w:t>
      </w:r>
      <w:r>
        <w:rPr>
          <w:rFonts w:ascii="宋体" w:hAnsi="宋体" w:eastAsia="宋体" w:cs="宋体"/>
          <w:color w:val="auto"/>
          <w:spacing w:val="1"/>
          <w:sz w:val="21"/>
          <w:szCs w:val="21"/>
          <w:highlight w:val="none"/>
        </w:rPr>
        <w:t>终结清申请已经监理人核查同意；发包人未在约定时间内审核又未提出具体意</w:t>
      </w:r>
      <w:r>
        <w:rPr>
          <w:rFonts w:ascii="宋体" w:hAnsi="宋体" w:eastAsia="宋体" w:cs="宋体"/>
          <w:color w:val="auto"/>
          <w:sz w:val="21"/>
          <w:szCs w:val="21"/>
          <w:highlight w:val="none"/>
        </w:rPr>
        <w:t xml:space="preserve">见的，监理人提出应 </w:t>
      </w:r>
      <w:r>
        <w:rPr>
          <w:rFonts w:ascii="宋体" w:hAnsi="宋体" w:eastAsia="宋体" w:cs="宋体"/>
          <w:color w:val="auto"/>
          <w:spacing w:val="-1"/>
          <w:sz w:val="21"/>
          <w:szCs w:val="21"/>
          <w:highlight w:val="none"/>
        </w:rPr>
        <w:t>支付给承包人的价款视为已经发包人同意。</w:t>
      </w:r>
    </w:p>
    <w:p w14:paraId="3BF45C7B">
      <w:pPr>
        <w:spacing w:before="158" w:line="290" w:lineRule="auto"/>
        <w:ind w:left="1"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（2）发包人应在监理人出具最终结清证书后的 14</w:t>
      </w:r>
      <w:r>
        <w:rPr>
          <w:rFonts w:ascii="宋体" w:hAnsi="宋体" w:eastAsia="宋体" w:cs="宋体"/>
          <w:color w:val="auto"/>
          <w:spacing w:val="-21"/>
          <w:sz w:val="21"/>
          <w:szCs w:val="21"/>
          <w:highlight w:val="none"/>
        </w:rPr>
        <w:t xml:space="preserve"> </w:t>
      </w:r>
      <w:r>
        <w:rPr>
          <w:rFonts w:ascii="宋体" w:hAnsi="宋体" w:eastAsia="宋体" w:cs="宋体"/>
          <w:color w:val="auto"/>
          <w:spacing w:val="-1"/>
          <w:sz w:val="21"/>
          <w:szCs w:val="21"/>
          <w:highlight w:val="none"/>
        </w:rPr>
        <w:t>天内，将应支付</w:t>
      </w:r>
      <w:r>
        <w:rPr>
          <w:rFonts w:ascii="宋体" w:hAnsi="宋体" w:eastAsia="宋体" w:cs="宋体"/>
          <w:color w:val="auto"/>
          <w:spacing w:val="-2"/>
          <w:sz w:val="21"/>
          <w:szCs w:val="21"/>
          <w:highlight w:val="none"/>
        </w:rPr>
        <w:t>款支付给承包人。发包人不</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按期支付的，按第</w:t>
      </w:r>
      <w:r>
        <w:rPr>
          <w:rFonts w:ascii="宋体" w:hAnsi="宋体" w:eastAsia="宋体" w:cs="宋体"/>
          <w:color w:val="auto"/>
          <w:spacing w:val="-12"/>
          <w:sz w:val="21"/>
          <w:szCs w:val="21"/>
          <w:highlight w:val="none"/>
        </w:rPr>
        <w:t xml:space="preserve"> </w:t>
      </w:r>
      <w:r>
        <w:rPr>
          <w:rFonts w:ascii="宋体" w:hAnsi="宋体" w:eastAsia="宋体" w:cs="宋体"/>
          <w:color w:val="auto"/>
          <w:spacing w:val="-3"/>
          <w:sz w:val="21"/>
          <w:szCs w:val="21"/>
          <w:highlight w:val="none"/>
        </w:rPr>
        <w:t>17.3.3（2）</w:t>
      </w:r>
      <w:r>
        <w:rPr>
          <w:rFonts w:ascii="宋体" w:hAnsi="宋体" w:eastAsia="宋体" w:cs="宋体"/>
          <w:color w:val="auto"/>
          <w:spacing w:val="-58"/>
          <w:sz w:val="21"/>
          <w:szCs w:val="21"/>
          <w:highlight w:val="none"/>
        </w:rPr>
        <w:t xml:space="preserve"> </w:t>
      </w:r>
      <w:r>
        <w:rPr>
          <w:rFonts w:ascii="宋体" w:hAnsi="宋体" w:eastAsia="宋体" w:cs="宋体"/>
          <w:color w:val="auto"/>
          <w:spacing w:val="-3"/>
          <w:sz w:val="21"/>
          <w:szCs w:val="21"/>
          <w:highlight w:val="none"/>
        </w:rPr>
        <w:t>目的约定，将逾期付款违约金支付给承包人。</w:t>
      </w:r>
    </w:p>
    <w:p w14:paraId="259DCD2A">
      <w:pPr>
        <w:spacing w:before="157" w:line="220"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（3）承包人对发包人签认的最终结清证书有异议的，按第</w:t>
      </w:r>
      <w:r>
        <w:rPr>
          <w:rFonts w:ascii="宋体" w:hAnsi="宋体" w:eastAsia="宋体" w:cs="宋体"/>
          <w:color w:val="auto"/>
          <w:spacing w:val="-37"/>
          <w:sz w:val="21"/>
          <w:szCs w:val="21"/>
          <w:highlight w:val="none"/>
        </w:rPr>
        <w:t xml:space="preserve"> </w:t>
      </w:r>
      <w:r>
        <w:rPr>
          <w:rFonts w:ascii="宋体" w:hAnsi="宋体" w:eastAsia="宋体" w:cs="宋体"/>
          <w:color w:val="auto"/>
          <w:spacing w:val="-1"/>
          <w:sz w:val="21"/>
          <w:szCs w:val="21"/>
          <w:highlight w:val="none"/>
        </w:rPr>
        <w:t>24</w:t>
      </w:r>
      <w:r>
        <w:rPr>
          <w:rFonts w:ascii="宋体" w:hAnsi="宋体" w:eastAsia="宋体" w:cs="宋体"/>
          <w:color w:val="auto"/>
          <w:spacing w:val="-44"/>
          <w:sz w:val="21"/>
          <w:szCs w:val="21"/>
          <w:highlight w:val="none"/>
        </w:rPr>
        <w:t xml:space="preserve"> </w:t>
      </w:r>
      <w:r>
        <w:rPr>
          <w:rFonts w:ascii="宋体" w:hAnsi="宋体" w:eastAsia="宋体" w:cs="宋体"/>
          <w:color w:val="auto"/>
          <w:spacing w:val="-1"/>
          <w:sz w:val="21"/>
          <w:szCs w:val="21"/>
          <w:highlight w:val="none"/>
        </w:rPr>
        <w:t>条的约定办理。</w:t>
      </w:r>
    </w:p>
    <w:p w14:paraId="664112F0">
      <w:pPr>
        <w:spacing w:before="158" w:line="220" w:lineRule="auto"/>
        <w:ind w:left="42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（4）最终结清付款涉及政府投资资金的，按第</w:t>
      </w:r>
      <w:r>
        <w:rPr>
          <w:rFonts w:ascii="宋体" w:hAnsi="宋体" w:eastAsia="宋体" w:cs="宋体"/>
          <w:color w:val="auto"/>
          <w:spacing w:val="-22"/>
          <w:sz w:val="21"/>
          <w:szCs w:val="21"/>
          <w:highlight w:val="none"/>
        </w:rPr>
        <w:t xml:space="preserve"> </w:t>
      </w:r>
      <w:r>
        <w:rPr>
          <w:rFonts w:ascii="宋体" w:hAnsi="宋体" w:eastAsia="宋体" w:cs="宋体"/>
          <w:color w:val="auto"/>
          <w:spacing w:val="4"/>
          <w:sz w:val="21"/>
          <w:szCs w:val="21"/>
          <w:highlight w:val="none"/>
        </w:rPr>
        <w:t>17.3.3 (4)目的约定办理。</w:t>
      </w:r>
    </w:p>
    <w:p w14:paraId="11FE2C2E">
      <w:pPr>
        <w:spacing w:before="176" w:line="225" w:lineRule="auto"/>
        <w:ind w:left="27"/>
        <w:outlineLvl w:val="2"/>
        <w:rPr>
          <w:rFonts w:ascii="宋体" w:hAnsi="宋体" w:eastAsia="宋体" w:cs="宋体"/>
          <w:color w:val="auto"/>
          <w:sz w:val="31"/>
          <w:szCs w:val="31"/>
          <w:highlight w:val="none"/>
        </w:rPr>
      </w:pPr>
      <w:bookmarkStart w:id="268" w:name="bookmark242"/>
      <w:bookmarkEnd w:id="268"/>
      <w:bookmarkStart w:id="269" w:name="_Toc17983"/>
      <w:bookmarkStart w:id="270" w:name="_Toc3316"/>
      <w:r>
        <w:rPr>
          <w:rFonts w:ascii="宋体" w:hAnsi="宋体" w:eastAsia="宋体" w:cs="宋体"/>
          <w:b/>
          <w:bCs/>
          <w:color w:val="auto"/>
          <w:spacing w:val="-2"/>
          <w:sz w:val="31"/>
          <w:szCs w:val="31"/>
          <w:highlight w:val="none"/>
        </w:rPr>
        <w:t>18.</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2"/>
          <w:sz w:val="31"/>
          <w:szCs w:val="31"/>
          <w:highlight w:val="none"/>
        </w:rPr>
        <w:t>竣工验收</w:t>
      </w:r>
      <w:bookmarkEnd w:id="269"/>
      <w:bookmarkEnd w:id="270"/>
    </w:p>
    <w:p w14:paraId="253FC798">
      <w:pPr>
        <w:spacing w:before="274" w:line="220" w:lineRule="auto"/>
        <w:ind w:left="16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18.1</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竣工验收的含义</w:t>
      </w:r>
    </w:p>
    <w:p w14:paraId="516C5C72">
      <w:pPr>
        <w:spacing w:before="280" w:line="221" w:lineRule="auto"/>
        <w:ind w:left="4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18.1.1 竣工验收指承包人完成了全部合同工作后，发包人按合同要求进行的验收。</w:t>
      </w:r>
    </w:p>
    <w:p w14:paraId="05F7FB92">
      <w:pPr>
        <w:spacing w:before="41" w:line="221" w:lineRule="auto"/>
        <w:ind w:left="19" w:firstLine="412" w:firstLineChars="20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18.1.2</w:t>
      </w:r>
      <w:r>
        <w:rPr>
          <w:rFonts w:ascii="宋体" w:hAnsi="宋体" w:eastAsia="宋体" w:cs="宋体"/>
          <w:color w:val="auto"/>
          <w:spacing w:val="27"/>
          <w:sz w:val="21"/>
          <w:szCs w:val="21"/>
          <w:highlight w:val="none"/>
        </w:rPr>
        <w:t xml:space="preserve"> </w:t>
      </w:r>
      <w:r>
        <w:rPr>
          <w:rFonts w:ascii="宋体" w:hAnsi="宋体" w:eastAsia="宋体" w:cs="宋体"/>
          <w:color w:val="auto"/>
          <w:spacing w:val="-2"/>
          <w:sz w:val="21"/>
          <w:szCs w:val="21"/>
          <w:highlight w:val="none"/>
        </w:rPr>
        <w:t>国家验收是政府有关部门根据法</w:t>
      </w:r>
      <w:r>
        <w:rPr>
          <w:rFonts w:ascii="宋体" w:hAnsi="宋体" w:eastAsia="宋体" w:cs="宋体"/>
          <w:color w:val="auto"/>
          <w:spacing w:val="-3"/>
          <w:sz w:val="21"/>
          <w:szCs w:val="21"/>
          <w:highlight w:val="none"/>
        </w:rPr>
        <w:t>律、规范、规程和政策要求，针对发包人全面组织实施的整个工程正式交付投运前的验收。</w:t>
      </w:r>
    </w:p>
    <w:p w14:paraId="5A77BEC3">
      <w:pPr>
        <w:spacing w:before="158" w:line="350" w:lineRule="auto"/>
        <w:ind w:left="6" w:right="60" w:firstLine="430"/>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18.1.3 需要进行国家验收的，竣工验收是国家验收的一部分。竣工验收所采用的各项验收和评</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定标准应符合国家验收标准。发包人和承包人为竣工验收提供的各项</w:t>
      </w:r>
      <w:r>
        <w:rPr>
          <w:rFonts w:ascii="宋体" w:hAnsi="宋体" w:eastAsia="宋体" w:cs="宋体"/>
          <w:color w:val="auto"/>
          <w:sz w:val="21"/>
          <w:szCs w:val="21"/>
          <w:highlight w:val="none"/>
        </w:rPr>
        <w:t xml:space="preserve">竣工验收资料应符合国家验收 </w:t>
      </w:r>
      <w:r>
        <w:rPr>
          <w:rFonts w:ascii="宋体" w:hAnsi="宋体" w:eastAsia="宋体" w:cs="宋体"/>
          <w:color w:val="auto"/>
          <w:spacing w:val="-3"/>
          <w:sz w:val="21"/>
          <w:szCs w:val="21"/>
          <w:highlight w:val="none"/>
        </w:rPr>
        <w:t>的要求。</w:t>
      </w:r>
    </w:p>
    <w:p w14:paraId="55CD2CE6">
      <w:pPr>
        <w:spacing w:before="299" w:line="219"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18.2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竣工验收申请报告</w:t>
      </w:r>
    </w:p>
    <w:p w14:paraId="71D33A92">
      <w:pPr>
        <w:spacing w:before="282" w:line="219"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当工程具备以下条件时，承包人即可向监理人报</w:t>
      </w:r>
      <w:r>
        <w:rPr>
          <w:rFonts w:ascii="宋体" w:hAnsi="宋体" w:eastAsia="宋体" w:cs="宋体"/>
          <w:color w:val="auto"/>
          <w:spacing w:val="-2"/>
          <w:sz w:val="21"/>
          <w:szCs w:val="21"/>
          <w:highlight w:val="none"/>
        </w:rPr>
        <w:t>送竣工验收申请报告：</w:t>
      </w:r>
    </w:p>
    <w:p w14:paraId="59187218">
      <w:pPr>
        <w:spacing w:before="159" w:line="313" w:lineRule="auto"/>
        <w:ind w:left="19" w:right="60" w:firstLine="40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（1）除监理人同意列入缺陷责任期内完成的尾工（甩项）工程和缺陷修补工作外，合同范围内</w:t>
      </w:r>
      <w:r>
        <w:rPr>
          <w:rFonts w:ascii="宋体" w:hAnsi="宋体" w:eastAsia="宋体" w:cs="宋体"/>
          <w:color w:val="auto"/>
          <w:spacing w:val="8"/>
          <w:sz w:val="21"/>
          <w:szCs w:val="21"/>
          <w:highlight w:val="none"/>
        </w:rPr>
        <w:t xml:space="preserve"> </w:t>
      </w:r>
      <w:r>
        <w:rPr>
          <w:rFonts w:ascii="宋体" w:hAnsi="宋体" w:eastAsia="宋体" w:cs="宋体"/>
          <w:color w:val="auto"/>
          <w:sz w:val="21"/>
          <w:szCs w:val="21"/>
          <w:highlight w:val="none"/>
        </w:rPr>
        <w:t>的全部单位工程以及有关工作，包括合同要求的试验、试运行以及检验和验收均已完成，并符合合</w:t>
      </w:r>
      <w:r>
        <w:rPr>
          <w:rFonts w:ascii="宋体" w:hAnsi="宋体" w:eastAsia="宋体" w:cs="宋体"/>
          <w:color w:val="auto"/>
          <w:spacing w:val="18"/>
          <w:sz w:val="21"/>
          <w:szCs w:val="21"/>
          <w:highlight w:val="none"/>
        </w:rPr>
        <w:t xml:space="preserve"> </w:t>
      </w:r>
      <w:r>
        <w:rPr>
          <w:rFonts w:ascii="宋体" w:hAnsi="宋体" w:eastAsia="宋体" w:cs="宋体"/>
          <w:color w:val="auto"/>
          <w:spacing w:val="-6"/>
          <w:sz w:val="21"/>
          <w:szCs w:val="21"/>
          <w:highlight w:val="none"/>
        </w:rPr>
        <w:t>同要求；</w:t>
      </w:r>
    </w:p>
    <w:p w14:paraId="426743D4">
      <w:pPr>
        <w:spacing w:before="158"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（2）已按合同约定的内容和份数备齐了符合</w:t>
      </w:r>
      <w:r>
        <w:rPr>
          <w:rFonts w:ascii="宋体" w:hAnsi="宋体" w:eastAsia="宋体" w:cs="宋体"/>
          <w:color w:val="auto"/>
          <w:spacing w:val="-2"/>
          <w:sz w:val="21"/>
          <w:szCs w:val="21"/>
          <w:highlight w:val="none"/>
        </w:rPr>
        <w:t>要求的竣工资料；</w:t>
      </w:r>
    </w:p>
    <w:p w14:paraId="1EF956CD">
      <w:pPr>
        <w:spacing w:before="158" w:line="290" w:lineRule="auto"/>
        <w:ind w:right="78"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（3）已按监理人的要求编制了在缺陷责任期内完成的尾工（甩项）工</w:t>
      </w:r>
      <w:r>
        <w:rPr>
          <w:rFonts w:ascii="宋体" w:hAnsi="宋体" w:eastAsia="宋体" w:cs="宋体"/>
          <w:color w:val="auto"/>
          <w:spacing w:val="-3"/>
          <w:sz w:val="21"/>
          <w:szCs w:val="21"/>
          <w:highlight w:val="none"/>
        </w:rPr>
        <w:t>程和缺陷修补工作清单以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及相应施工计划；</w:t>
      </w:r>
    </w:p>
    <w:p w14:paraId="4F769504">
      <w:pPr>
        <w:spacing w:before="155"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（4）监理人要求在竣工验收前应完成的其他工作；</w:t>
      </w:r>
    </w:p>
    <w:p w14:paraId="3AA3EB3E">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（5）监理人要求提交的竣工验收资料清单。</w:t>
      </w:r>
    </w:p>
    <w:p w14:paraId="4549D6D6">
      <w:pPr>
        <w:spacing w:line="335" w:lineRule="auto"/>
        <w:rPr>
          <w:rFonts w:ascii="Arial"/>
          <w:color w:val="auto"/>
          <w:sz w:val="21"/>
          <w:highlight w:val="none"/>
        </w:rPr>
      </w:pPr>
    </w:p>
    <w:p w14:paraId="0A6A847B">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18.3</w:t>
      </w:r>
      <w:r>
        <w:rPr>
          <w:rFonts w:ascii="宋体" w:hAnsi="宋体" w:eastAsia="宋体" w:cs="宋体"/>
          <w:color w:val="auto"/>
          <w:spacing w:val="17"/>
          <w:sz w:val="28"/>
          <w:szCs w:val="28"/>
          <w:highlight w:val="none"/>
        </w:rPr>
        <w:t xml:space="preserve"> </w:t>
      </w:r>
      <w:r>
        <w:rPr>
          <w:rFonts w:ascii="宋体" w:hAnsi="宋体" w:eastAsia="宋体" w:cs="宋体"/>
          <w:b/>
          <w:bCs/>
          <w:color w:val="auto"/>
          <w:spacing w:val="-9"/>
          <w:sz w:val="28"/>
          <w:szCs w:val="28"/>
          <w:highlight w:val="none"/>
        </w:rPr>
        <w:t>验收</w:t>
      </w:r>
    </w:p>
    <w:p w14:paraId="27D3F8FA">
      <w:pPr>
        <w:spacing w:before="281" w:line="345" w:lineRule="auto"/>
        <w:ind w:left="6"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监理人收到承包人按第 18.2</w:t>
      </w:r>
      <w:r>
        <w:rPr>
          <w:rFonts w:ascii="宋体" w:hAnsi="宋体" w:eastAsia="宋体" w:cs="宋体"/>
          <w:color w:val="auto"/>
          <w:spacing w:val="-24"/>
          <w:sz w:val="21"/>
          <w:szCs w:val="21"/>
          <w:highlight w:val="none"/>
        </w:rPr>
        <w:t xml:space="preserve"> </w:t>
      </w:r>
      <w:r>
        <w:rPr>
          <w:rFonts w:ascii="宋体" w:hAnsi="宋体" w:eastAsia="宋体" w:cs="宋体"/>
          <w:color w:val="auto"/>
          <w:spacing w:val="-2"/>
          <w:sz w:val="21"/>
          <w:szCs w:val="21"/>
          <w:highlight w:val="none"/>
        </w:rPr>
        <w:t>款约定提交的竣工验收申请报告后，应审查申请报告的各项</w:t>
      </w:r>
      <w:r>
        <w:rPr>
          <w:rFonts w:ascii="宋体" w:hAnsi="宋体" w:eastAsia="宋体" w:cs="宋体"/>
          <w:color w:val="auto"/>
          <w:spacing w:val="-3"/>
          <w:sz w:val="21"/>
          <w:szCs w:val="21"/>
          <w:highlight w:val="none"/>
        </w:rPr>
        <w:t>内容，</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并按以下不同情况进行处理。</w:t>
      </w:r>
    </w:p>
    <w:p w14:paraId="26ADCBF2">
      <w:pPr>
        <w:spacing w:before="32" w:line="312" w:lineRule="auto"/>
        <w:ind w:left="1" w:right="59" w:firstLine="4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18.3.1 监理人审查后认为尚不具备竣工验收条件的，应在收到竣工验收申请报告后的</w:t>
      </w:r>
      <w:r>
        <w:rPr>
          <w:rFonts w:ascii="宋体" w:hAnsi="宋体" w:eastAsia="宋体" w:cs="宋体"/>
          <w:color w:val="auto"/>
          <w:spacing w:val="-17"/>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2"/>
          <w:sz w:val="21"/>
          <w:szCs w:val="21"/>
          <w:highlight w:val="none"/>
        </w:rPr>
        <w:t xml:space="preserve"> </w:t>
      </w:r>
      <w:r>
        <w:rPr>
          <w:rFonts w:ascii="宋体" w:hAnsi="宋体" w:eastAsia="宋体" w:cs="宋体"/>
          <w:color w:val="auto"/>
          <w:spacing w:val="-1"/>
          <w:sz w:val="21"/>
          <w:szCs w:val="21"/>
          <w:highlight w:val="none"/>
        </w:rPr>
        <w:t>天内</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通知承包人，指出在颁发接收证书前承包人还需进行的工作内容。承包人完成监</w:t>
      </w:r>
      <w:r>
        <w:rPr>
          <w:rFonts w:ascii="宋体" w:hAnsi="宋体" w:eastAsia="宋体" w:cs="宋体"/>
          <w:color w:val="auto"/>
          <w:sz w:val="21"/>
          <w:szCs w:val="21"/>
          <w:highlight w:val="none"/>
        </w:rPr>
        <w:t xml:space="preserve">理人通知的全部工 </w:t>
      </w:r>
      <w:r>
        <w:rPr>
          <w:rFonts w:ascii="宋体" w:hAnsi="宋体" w:eastAsia="宋体" w:cs="宋体"/>
          <w:color w:val="auto"/>
          <w:spacing w:val="-1"/>
          <w:sz w:val="21"/>
          <w:szCs w:val="21"/>
          <w:highlight w:val="none"/>
        </w:rPr>
        <w:t>作内容后，应再次提交竣工验收申请报告，直至监理人同意为止。</w:t>
      </w:r>
    </w:p>
    <w:p w14:paraId="17F89917">
      <w:pPr>
        <w:spacing w:before="160" w:line="290" w:lineRule="auto"/>
        <w:ind w:right="59" w:firstLine="4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18.3.2 监理人审查后认为已具备竣工验收条件的，应在收到竣工验收申请报告后的</w:t>
      </w:r>
      <w:r>
        <w:rPr>
          <w:rFonts w:ascii="宋体" w:hAnsi="宋体" w:eastAsia="宋体" w:cs="宋体"/>
          <w:color w:val="auto"/>
          <w:spacing w:val="-19"/>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天内提</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请发包人进行工程验收。</w:t>
      </w:r>
    </w:p>
    <w:p w14:paraId="25671B7E">
      <w:pPr>
        <w:spacing w:before="159" w:line="352" w:lineRule="auto"/>
        <w:ind w:left="3" w:right="60"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18.3.3 发包人经过验收后同意接受工程的，应在监理人收到竣工验收申请报告后的 56 天内，</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由监理人向承包人出具经发包人签认的工程接收证书。发包人验收后同意接</w:t>
      </w:r>
      <w:r>
        <w:rPr>
          <w:rFonts w:ascii="宋体" w:hAnsi="宋体" w:eastAsia="宋体" w:cs="宋体"/>
          <w:color w:val="auto"/>
          <w:sz w:val="21"/>
          <w:szCs w:val="21"/>
          <w:highlight w:val="none"/>
        </w:rPr>
        <w:t xml:space="preserve">收工程但提出整修和完 </w:t>
      </w:r>
      <w:r>
        <w:rPr>
          <w:rFonts w:ascii="宋体" w:hAnsi="宋体" w:eastAsia="宋体" w:cs="宋体"/>
          <w:color w:val="auto"/>
          <w:spacing w:val="1"/>
          <w:sz w:val="21"/>
          <w:szCs w:val="21"/>
          <w:highlight w:val="none"/>
        </w:rPr>
        <w:t>善要求的，限期修好，并缓发工程接收证书。整修和完善工作完成后，监理</w:t>
      </w:r>
      <w:r>
        <w:rPr>
          <w:rFonts w:ascii="宋体" w:hAnsi="宋体" w:eastAsia="宋体" w:cs="宋体"/>
          <w:color w:val="auto"/>
          <w:sz w:val="21"/>
          <w:szCs w:val="21"/>
          <w:highlight w:val="none"/>
        </w:rPr>
        <w:t xml:space="preserve">人复查达到要求的，经 </w:t>
      </w:r>
      <w:r>
        <w:rPr>
          <w:rFonts w:ascii="宋体" w:hAnsi="宋体" w:eastAsia="宋体" w:cs="宋体"/>
          <w:color w:val="auto"/>
          <w:spacing w:val="-1"/>
          <w:sz w:val="21"/>
          <w:szCs w:val="21"/>
          <w:highlight w:val="none"/>
        </w:rPr>
        <w:t>发包人同意后，再向承包人出具工程接收证书。</w:t>
      </w:r>
    </w:p>
    <w:p w14:paraId="1E043F1C">
      <w:pPr>
        <w:spacing w:before="31" w:line="325" w:lineRule="auto"/>
        <w:ind w:left="3" w:right="59"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18.3.4 发包人验收后不同意接收工程的，监理人应按照发包人的验收意见发出指示，要求承包</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人对不合格工程认真返工重作或进行补救处理，并承担由此产生的费用。承</w:t>
      </w:r>
      <w:r>
        <w:rPr>
          <w:rFonts w:ascii="宋体" w:hAnsi="宋体" w:eastAsia="宋体" w:cs="宋体"/>
          <w:color w:val="auto"/>
          <w:sz w:val="21"/>
          <w:szCs w:val="21"/>
          <w:highlight w:val="none"/>
        </w:rPr>
        <w:t xml:space="preserve">包人在完成不合格工程 </w:t>
      </w:r>
      <w:r>
        <w:rPr>
          <w:rFonts w:ascii="宋体" w:hAnsi="宋体" w:eastAsia="宋体" w:cs="宋体"/>
          <w:color w:val="auto"/>
          <w:spacing w:val="-6"/>
          <w:sz w:val="21"/>
          <w:szCs w:val="21"/>
          <w:highlight w:val="none"/>
        </w:rPr>
        <w:t>的返工重作或补救工作后，应重新提交竣工验收申请报告，按第</w:t>
      </w:r>
      <w:r>
        <w:rPr>
          <w:rFonts w:ascii="宋体" w:hAnsi="宋体" w:eastAsia="宋体" w:cs="宋体"/>
          <w:color w:val="auto"/>
          <w:spacing w:val="-30"/>
          <w:sz w:val="21"/>
          <w:szCs w:val="21"/>
          <w:highlight w:val="none"/>
        </w:rPr>
        <w:t xml:space="preserve"> </w:t>
      </w:r>
      <w:r>
        <w:rPr>
          <w:rFonts w:ascii="宋体" w:hAnsi="宋体" w:eastAsia="宋体" w:cs="宋体"/>
          <w:color w:val="auto"/>
          <w:spacing w:val="-6"/>
          <w:sz w:val="21"/>
          <w:szCs w:val="21"/>
          <w:highlight w:val="none"/>
        </w:rPr>
        <w:t>18.3.1</w:t>
      </w:r>
      <w:r>
        <w:rPr>
          <w:rFonts w:ascii="宋体" w:hAnsi="宋体" w:eastAsia="宋体" w:cs="宋体"/>
          <w:color w:val="auto"/>
          <w:spacing w:val="-43"/>
          <w:sz w:val="21"/>
          <w:szCs w:val="21"/>
          <w:highlight w:val="none"/>
        </w:rPr>
        <w:t xml:space="preserve"> </w:t>
      </w:r>
      <w:r>
        <w:rPr>
          <w:rFonts w:ascii="宋体" w:hAnsi="宋体" w:eastAsia="宋体" w:cs="宋体"/>
          <w:color w:val="auto"/>
          <w:spacing w:val="-6"/>
          <w:sz w:val="21"/>
          <w:szCs w:val="21"/>
          <w:highlight w:val="none"/>
        </w:rPr>
        <w:t>项、第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6"/>
          <w:sz w:val="21"/>
          <w:szCs w:val="21"/>
          <w:highlight w:val="none"/>
        </w:rPr>
        <w:t>18.3.2</w:t>
      </w:r>
      <w:r>
        <w:rPr>
          <w:rFonts w:ascii="宋体" w:hAnsi="宋体" w:eastAsia="宋体" w:cs="宋体"/>
          <w:color w:val="auto"/>
          <w:spacing w:val="-43"/>
          <w:sz w:val="21"/>
          <w:szCs w:val="21"/>
          <w:highlight w:val="none"/>
        </w:rPr>
        <w:t xml:space="preserve"> </w:t>
      </w:r>
      <w:r>
        <w:rPr>
          <w:rFonts w:ascii="宋体" w:hAnsi="宋体" w:eastAsia="宋体" w:cs="宋体"/>
          <w:color w:val="auto"/>
          <w:spacing w:val="-6"/>
          <w:sz w:val="21"/>
          <w:szCs w:val="21"/>
          <w:highlight w:val="none"/>
        </w:rPr>
        <w:t>项和第</w:t>
      </w:r>
      <w:r>
        <w:rPr>
          <w:rFonts w:ascii="宋体" w:hAnsi="宋体" w:eastAsia="宋体" w:cs="宋体"/>
          <w:color w:val="auto"/>
          <w:spacing w:val="-27"/>
          <w:sz w:val="21"/>
          <w:szCs w:val="21"/>
          <w:highlight w:val="none"/>
        </w:rPr>
        <w:t xml:space="preserve"> </w:t>
      </w:r>
      <w:r>
        <w:rPr>
          <w:rFonts w:ascii="宋体" w:hAnsi="宋体" w:eastAsia="宋体" w:cs="宋体"/>
          <w:color w:val="auto"/>
          <w:spacing w:val="-7"/>
          <w:sz w:val="21"/>
          <w:szCs w:val="21"/>
          <w:highlight w:val="none"/>
        </w:rPr>
        <w:t>18.3.3</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项的约定进行。</w:t>
      </w:r>
    </w:p>
    <w:p w14:paraId="2E54C90C">
      <w:pPr>
        <w:spacing w:before="41" w:line="345" w:lineRule="auto"/>
        <w:ind w:left="3" w:right="162" w:firstLine="433"/>
        <w:rPr>
          <w:rFonts w:ascii="宋体" w:hAnsi="宋体" w:eastAsia="宋体" w:cs="宋体"/>
          <w:color w:val="auto"/>
          <w:spacing w:val="-1"/>
          <w:sz w:val="21"/>
          <w:szCs w:val="21"/>
          <w:highlight w:val="none"/>
        </w:rPr>
      </w:pPr>
      <w:r>
        <w:rPr>
          <w:rFonts w:ascii="宋体" w:hAnsi="宋体" w:eastAsia="宋体" w:cs="宋体"/>
          <w:color w:val="auto"/>
          <w:spacing w:val="-2"/>
          <w:sz w:val="21"/>
          <w:szCs w:val="21"/>
          <w:highlight w:val="none"/>
        </w:rPr>
        <w:t>18.3.5 除专用合同条款另有约定外，经验收合格工程的实际竣工日期，以提交竣工验收申请报</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告的日期为准，并在工程接收证书中写明。</w:t>
      </w:r>
    </w:p>
    <w:p w14:paraId="4D43A257">
      <w:pPr>
        <w:spacing w:before="41" w:line="345" w:lineRule="auto"/>
        <w:ind w:left="3" w:right="162" w:firstLine="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18.3.6 发包人在收到承包人竣工验收申请报告</w:t>
      </w:r>
      <w:r>
        <w:rPr>
          <w:rFonts w:ascii="宋体" w:hAnsi="宋体" w:eastAsia="宋体" w:cs="宋体"/>
          <w:color w:val="auto"/>
          <w:spacing w:val="-19"/>
          <w:sz w:val="21"/>
          <w:szCs w:val="21"/>
          <w:highlight w:val="none"/>
        </w:rPr>
        <w:t xml:space="preserve"> </w:t>
      </w:r>
      <w:r>
        <w:rPr>
          <w:rFonts w:ascii="宋体" w:hAnsi="宋体" w:eastAsia="宋体" w:cs="宋体"/>
          <w:color w:val="auto"/>
          <w:spacing w:val="-1"/>
          <w:sz w:val="21"/>
          <w:szCs w:val="21"/>
          <w:highlight w:val="none"/>
        </w:rPr>
        <w:t>56</w:t>
      </w:r>
      <w:r>
        <w:rPr>
          <w:rFonts w:ascii="宋体" w:hAnsi="宋体" w:eastAsia="宋体" w:cs="宋体"/>
          <w:color w:val="auto"/>
          <w:spacing w:val="-21"/>
          <w:sz w:val="21"/>
          <w:szCs w:val="21"/>
          <w:highlight w:val="none"/>
        </w:rPr>
        <w:t xml:space="preserve"> </w:t>
      </w:r>
      <w:r>
        <w:rPr>
          <w:rFonts w:ascii="宋体" w:hAnsi="宋体" w:eastAsia="宋体" w:cs="宋体"/>
          <w:color w:val="auto"/>
          <w:spacing w:val="-1"/>
          <w:sz w:val="21"/>
          <w:szCs w:val="21"/>
          <w:highlight w:val="none"/>
        </w:rPr>
        <w:t>天后未进行验收的，视为验收合格，实际竣</w:t>
      </w:r>
      <w:r>
        <w:rPr>
          <w:rFonts w:ascii="宋体" w:hAnsi="宋体" w:eastAsia="宋体" w:cs="宋体"/>
          <w:color w:val="auto"/>
          <w:sz w:val="21"/>
          <w:szCs w:val="21"/>
          <w:highlight w:val="none"/>
        </w:rPr>
        <w:t xml:space="preserve"> 工日期以提交竣工验收申请报告的日期为准，但</w:t>
      </w:r>
      <w:r>
        <w:rPr>
          <w:rFonts w:ascii="宋体" w:hAnsi="宋体" w:eastAsia="宋体" w:cs="宋体"/>
          <w:color w:val="auto"/>
          <w:spacing w:val="-1"/>
          <w:sz w:val="21"/>
          <w:szCs w:val="21"/>
          <w:highlight w:val="none"/>
        </w:rPr>
        <w:t>发包人由于不可抗力不能进行验收的除外。</w:t>
      </w:r>
    </w:p>
    <w:p w14:paraId="2D3F4168">
      <w:pPr>
        <w:spacing w:before="301"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18.4</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单位工程验收</w:t>
      </w:r>
    </w:p>
    <w:p w14:paraId="341AD1B5">
      <w:pPr>
        <w:spacing w:before="281" w:line="331" w:lineRule="auto"/>
        <w:ind w:right="162" w:firstLine="4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18.4.1 发包人根据合同进度计划安排，在全部工程竣工前需要使用已经竣工的单位工程时，或</w:t>
      </w:r>
      <w:r>
        <w:rPr>
          <w:rFonts w:ascii="宋体" w:hAnsi="宋体" w:eastAsia="宋体" w:cs="宋体"/>
          <w:color w:val="auto"/>
          <w:spacing w:val="5"/>
          <w:sz w:val="21"/>
          <w:szCs w:val="21"/>
          <w:highlight w:val="none"/>
        </w:rPr>
        <w:t xml:space="preserve"> </w:t>
      </w:r>
      <w:r>
        <w:rPr>
          <w:rFonts w:ascii="宋体" w:hAnsi="宋体" w:eastAsia="宋体" w:cs="宋体"/>
          <w:color w:val="auto"/>
          <w:spacing w:val="-2"/>
          <w:sz w:val="21"/>
          <w:szCs w:val="21"/>
          <w:highlight w:val="none"/>
        </w:rPr>
        <w:t>承包人提出经发包人同意时，可进行单位工程验收。验收的程序可参照第</w:t>
      </w:r>
      <w:r>
        <w:rPr>
          <w:rFonts w:ascii="宋体" w:hAnsi="宋体" w:eastAsia="宋体" w:cs="宋体"/>
          <w:color w:val="auto"/>
          <w:spacing w:val="-12"/>
          <w:sz w:val="21"/>
          <w:szCs w:val="21"/>
          <w:highlight w:val="none"/>
        </w:rPr>
        <w:t xml:space="preserve"> </w:t>
      </w:r>
      <w:r>
        <w:rPr>
          <w:rFonts w:ascii="宋体" w:hAnsi="宋体" w:eastAsia="宋体" w:cs="宋体"/>
          <w:color w:val="auto"/>
          <w:spacing w:val="-2"/>
          <w:sz w:val="21"/>
          <w:szCs w:val="21"/>
          <w:highlight w:val="none"/>
        </w:rPr>
        <w:t>18.2</w:t>
      </w:r>
      <w:r>
        <w:rPr>
          <w:rFonts w:ascii="宋体" w:hAnsi="宋体" w:eastAsia="宋体" w:cs="宋体"/>
          <w:color w:val="auto"/>
          <w:spacing w:val="-33"/>
          <w:sz w:val="21"/>
          <w:szCs w:val="21"/>
          <w:highlight w:val="none"/>
        </w:rPr>
        <w:t xml:space="preserve"> </w:t>
      </w:r>
      <w:r>
        <w:rPr>
          <w:rFonts w:ascii="宋体" w:hAnsi="宋体" w:eastAsia="宋体" w:cs="宋体"/>
          <w:color w:val="auto"/>
          <w:spacing w:val="-2"/>
          <w:sz w:val="21"/>
          <w:szCs w:val="21"/>
          <w:highlight w:val="none"/>
        </w:rPr>
        <w:t>款与第 18.3</w:t>
      </w:r>
      <w:r>
        <w:rPr>
          <w:rFonts w:ascii="宋体" w:hAnsi="宋体" w:eastAsia="宋体" w:cs="宋体"/>
          <w:color w:val="auto"/>
          <w:spacing w:val="-34"/>
          <w:sz w:val="21"/>
          <w:szCs w:val="21"/>
          <w:highlight w:val="none"/>
        </w:rPr>
        <w:t xml:space="preserve"> </w:t>
      </w:r>
      <w:r>
        <w:rPr>
          <w:rFonts w:ascii="宋体" w:hAnsi="宋体" w:eastAsia="宋体" w:cs="宋体"/>
          <w:color w:val="auto"/>
          <w:spacing w:val="-2"/>
          <w:sz w:val="21"/>
          <w:szCs w:val="21"/>
          <w:highlight w:val="none"/>
        </w:rPr>
        <w:t>款的约</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定进行。验收合格后，由监理人向承包人出具经发包人签认的单位工程验收证书。</w:t>
      </w:r>
      <w:r>
        <w:rPr>
          <w:rFonts w:ascii="宋体" w:hAnsi="宋体" w:eastAsia="宋体" w:cs="宋体"/>
          <w:color w:val="auto"/>
          <w:sz w:val="21"/>
          <w:szCs w:val="21"/>
          <w:highlight w:val="none"/>
        </w:rPr>
        <w:t xml:space="preserve">已签发单位工程 </w:t>
      </w:r>
      <w:r>
        <w:rPr>
          <w:rFonts w:ascii="宋体" w:hAnsi="宋体" w:eastAsia="宋体" w:cs="宋体"/>
          <w:color w:val="auto"/>
          <w:spacing w:val="1"/>
          <w:sz w:val="21"/>
          <w:szCs w:val="21"/>
          <w:highlight w:val="none"/>
        </w:rPr>
        <w:t>接收证书的单位工程由发包人负责照管。单位工程的验收成果和结论作为全部工程</w:t>
      </w:r>
      <w:r>
        <w:rPr>
          <w:rFonts w:ascii="宋体" w:hAnsi="宋体" w:eastAsia="宋体" w:cs="宋体"/>
          <w:color w:val="auto"/>
          <w:sz w:val="21"/>
          <w:szCs w:val="21"/>
          <w:highlight w:val="none"/>
        </w:rPr>
        <w:t xml:space="preserve">竣工验收申请报 </w:t>
      </w:r>
      <w:r>
        <w:rPr>
          <w:rFonts w:ascii="宋体" w:hAnsi="宋体" w:eastAsia="宋体" w:cs="宋体"/>
          <w:color w:val="auto"/>
          <w:spacing w:val="-4"/>
          <w:sz w:val="21"/>
          <w:szCs w:val="21"/>
          <w:highlight w:val="none"/>
        </w:rPr>
        <w:t>告的附件。</w:t>
      </w:r>
    </w:p>
    <w:p w14:paraId="5A6045C2">
      <w:pPr>
        <w:spacing w:before="158" w:line="291" w:lineRule="auto"/>
        <w:ind w:left="1" w:right="162"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18.4.2 发包人在全部工程竣工前，使用已接收的单位工程导致承包人费用增加的，发包人应承</w:t>
      </w:r>
      <w:r>
        <w:rPr>
          <w:rFonts w:ascii="宋体" w:hAnsi="宋体" w:eastAsia="宋体" w:cs="宋体"/>
          <w:color w:val="auto"/>
          <w:spacing w:val="5"/>
          <w:sz w:val="21"/>
          <w:szCs w:val="21"/>
          <w:highlight w:val="none"/>
        </w:rPr>
        <w:t xml:space="preserve"> </w:t>
      </w:r>
      <w:r>
        <w:rPr>
          <w:rFonts w:ascii="宋体" w:hAnsi="宋体" w:eastAsia="宋体" w:cs="宋体"/>
          <w:color w:val="auto"/>
          <w:sz w:val="21"/>
          <w:szCs w:val="21"/>
          <w:highlight w:val="none"/>
        </w:rPr>
        <w:t>担由此增加的费用和（或）工期延误，并支付承包人合</w:t>
      </w:r>
      <w:r>
        <w:rPr>
          <w:rFonts w:ascii="宋体" w:hAnsi="宋体" w:eastAsia="宋体" w:cs="宋体"/>
          <w:color w:val="auto"/>
          <w:spacing w:val="-1"/>
          <w:sz w:val="21"/>
          <w:szCs w:val="21"/>
          <w:highlight w:val="none"/>
        </w:rPr>
        <w:t>理利润。</w:t>
      </w:r>
    </w:p>
    <w:p w14:paraId="2547E0AA">
      <w:pPr>
        <w:spacing w:line="332" w:lineRule="auto"/>
        <w:rPr>
          <w:rFonts w:ascii="Arial"/>
          <w:color w:val="auto"/>
          <w:sz w:val="21"/>
          <w:highlight w:val="none"/>
        </w:rPr>
      </w:pPr>
    </w:p>
    <w:p w14:paraId="1D90778B">
      <w:pPr>
        <w:spacing w:before="91"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18.5</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施工期运行</w:t>
      </w:r>
    </w:p>
    <w:p w14:paraId="57197B47">
      <w:pPr>
        <w:spacing w:before="281" w:line="312" w:lineRule="auto"/>
        <w:ind w:left="1" w:right="162"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18.5.1 施工期运行是指合同工程尚未全部竣工，其中某项或某几项单位工程或工程设备安装已</w:t>
      </w:r>
      <w:r>
        <w:rPr>
          <w:rFonts w:ascii="宋体" w:hAnsi="宋体" w:eastAsia="宋体" w:cs="宋体"/>
          <w:color w:val="auto"/>
          <w:spacing w:val="5"/>
          <w:sz w:val="21"/>
          <w:szCs w:val="21"/>
          <w:highlight w:val="none"/>
        </w:rPr>
        <w:t xml:space="preserve"> </w:t>
      </w:r>
      <w:r>
        <w:rPr>
          <w:rFonts w:ascii="宋体" w:hAnsi="宋体" w:eastAsia="宋体" w:cs="宋体"/>
          <w:color w:val="auto"/>
          <w:spacing w:val="-2"/>
          <w:sz w:val="21"/>
          <w:szCs w:val="21"/>
          <w:highlight w:val="none"/>
        </w:rPr>
        <w:t>竣工，根据专用合同条款约定，需要投入施工期运行的，经发包人按第</w:t>
      </w:r>
      <w:r>
        <w:rPr>
          <w:rFonts w:ascii="宋体" w:hAnsi="宋体" w:eastAsia="宋体" w:cs="宋体"/>
          <w:color w:val="auto"/>
          <w:spacing w:val="-31"/>
          <w:sz w:val="21"/>
          <w:szCs w:val="21"/>
          <w:highlight w:val="none"/>
        </w:rPr>
        <w:t xml:space="preserve"> </w:t>
      </w:r>
      <w:r>
        <w:rPr>
          <w:rFonts w:ascii="宋体" w:hAnsi="宋体" w:eastAsia="宋体" w:cs="宋体"/>
          <w:color w:val="auto"/>
          <w:spacing w:val="-2"/>
          <w:sz w:val="21"/>
          <w:szCs w:val="21"/>
          <w:highlight w:val="none"/>
        </w:rPr>
        <w:t>18.4</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w:t>
      </w:r>
      <w:r>
        <w:rPr>
          <w:rFonts w:ascii="宋体" w:hAnsi="宋体" w:eastAsia="宋体" w:cs="宋体"/>
          <w:color w:val="auto"/>
          <w:spacing w:val="-3"/>
          <w:sz w:val="21"/>
          <w:szCs w:val="21"/>
          <w:highlight w:val="none"/>
        </w:rPr>
        <w:t>的约定验收合格，证</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明能确保安全后，才能在施工期投入运行。</w:t>
      </w:r>
    </w:p>
    <w:p w14:paraId="146CE447">
      <w:pPr>
        <w:spacing w:before="157" w:line="291" w:lineRule="auto"/>
        <w:ind w:left="4" w:right="162" w:firstLine="43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18.5.2 在施工期运行中发现工程或工程设备损坏或存在缺陷的，由承包</w:t>
      </w:r>
      <w:r>
        <w:rPr>
          <w:rFonts w:ascii="宋体" w:hAnsi="宋体" w:eastAsia="宋体" w:cs="宋体"/>
          <w:color w:val="auto"/>
          <w:spacing w:val="-2"/>
          <w:sz w:val="21"/>
          <w:szCs w:val="21"/>
          <w:highlight w:val="none"/>
        </w:rPr>
        <w:t>人按第 19.2</w:t>
      </w:r>
      <w:r>
        <w:rPr>
          <w:rFonts w:ascii="宋体" w:hAnsi="宋体" w:eastAsia="宋体" w:cs="宋体"/>
          <w:color w:val="auto"/>
          <w:spacing w:val="-25"/>
          <w:sz w:val="21"/>
          <w:szCs w:val="21"/>
          <w:highlight w:val="none"/>
        </w:rPr>
        <w:t xml:space="preserve"> </w:t>
      </w:r>
      <w:r>
        <w:rPr>
          <w:rFonts w:ascii="宋体" w:hAnsi="宋体" w:eastAsia="宋体" w:cs="宋体"/>
          <w:color w:val="auto"/>
          <w:spacing w:val="-2"/>
          <w:sz w:val="21"/>
          <w:szCs w:val="21"/>
          <w:highlight w:val="none"/>
        </w:rPr>
        <w:t>款约定进</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行修复。</w:t>
      </w:r>
    </w:p>
    <w:p w14:paraId="0CCFD6DF">
      <w:pPr>
        <w:spacing w:line="333" w:lineRule="auto"/>
        <w:rPr>
          <w:rFonts w:ascii="Arial"/>
          <w:color w:val="auto"/>
          <w:sz w:val="21"/>
          <w:highlight w:val="none"/>
        </w:rPr>
      </w:pPr>
    </w:p>
    <w:p w14:paraId="65ED24F9">
      <w:pPr>
        <w:spacing w:before="91" w:line="221"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18.6</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8"/>
          <w:sz w:val="28"/>
          <w:szCs w:val="28"/>
          <w:highlight w:val="none"/>
        </w:rPr>
        <w:t>试运行</w:t>
      </w:r>
    </w:p>
    <w:p w14:paraId="7940148E">
      <w:pPr>
        <w:spacing w:before="280" w:line="289" w:lineRule="auto"/>
        <w:ind w:left="9" w:firstLine="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18.6.1 除专用合同条款另有约定外，承包人应按专用合同条款约定进行工程及工程设备试运行，</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负责提供试运行所需的人员、器材和必要的条件，并承担全部试运行费用。</w:t>
      </w:r>
    </w:p>
    <w:p w14:paraId="3B967E1C">
      <w:pPr>
        <w:spacing w:before="159" w:line="313" w:lineRule="auto"/>
        <w:ind w:left="12" w:right="162" w:firstLine="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18.6.2</w:t>
      </w:r>
      <w:r>
        <w:rPr>
          <w:rFonts w:ascii="宋体" w:hAnsi="宋体" w:eastAsia="宋体" w:cs="宋体"/>
          <w:color w:val="auto"/>
          <w:spacing w:val="47"/>
          <w:sz w:val="21"/>
          <w:szCs w:val="21"/>
          <w:highlight w:val="none"/>
        </w:rPr>
        <w:t xml:space="preserve"> </w:t>
      </w:r>
      <w:r>
        <w:rPr>
          <w:rFonts w:ascii="宋体" w:hAnsi="宋体" w:eastAsia="宋体" w:cs="宋体"/>
          <w:color w:val="auto"/>
          <w:spacing w:val="-3"/>
          <w:sz w:val="21"/>
          <w:szCs w:val="21"/>
          <w:highlight w:val="none"/>
        </w:rPr>
        <w:t>由于承包人的原因导致试运行失败的，承包人应采取措施保证试运行合格，并承担相应</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费用。由于发包人的原因导致试运行失败的，承包人应</w:t>
      </w:r>
      <w:r>
        <w:rPr>
          <w:rFonts w:ascii="宋体" w:hAnsi="宋体" w:eastAsia="宋体" w:cs="宋体"/>
          <w:color w:val="auto"/>
          <w:sz w:val="21"/>
          <w:szCs w:val="21"/>
          <w:highlight w:val="none"/>
        </w:rPr>
        <w:t xml:space="preserve">当采取措施保证试运行合格，发包人应承担 </w:t>
      </w:r>
      <w:r>
        <w:rPr>
          <w:rFonts w:ascii="宋体" w:hAnsi="宋体" w:eastAsia="宋体" w:cs="宋体"/>
          <w:color w:val="auto"/>
          <w:spacing w:val="-1"/>
          <w:sz w:val="21"/>
          <w:szCs w:val="21"/>
          <w:highlight w:val="none"/>
        </w:rPr>
        <w:t>由此产生的费用，并支付承包人合理利润。</w:t>
      </w:r>
    </w:p>
    <w:p w14:paraId="7FB7F8DD">
      <w:pPr>
        <w:spacing w:line="333" w:lineRule="auto"/>
        <w:rPr>
          <w:rFonts w:ascii="Arial"/>
          <w:color w:val="auto"/>
          <w:sz w:val="21"/>
          <w:highlight w:val="none"/>
        </w:rPr>
      </w:pPr>
    </w:p>
    <w:p w14:paraId="5EE20F9F">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18.7</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竣工清场</w:t>
      </w:r>
    </w:p>
    <w:p w14:paraId="4C928B79">
      <w:pPr>
        <w:spacing w:before="281" w:line="290" w:lineRule="auto"/>
        <w:ind w:left="2" w:right="109" w:firstLine="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18.7.1 除合同另有约定外，工程接收证书颁发后，承包人应按以下要求对施工场地进行清理，</w:t>
      </w:r>
      <w:r>
        <w:rPr>
          <w:rFonts w:ascii="宋体" w:hAnsi="宋体" w:eastAsia="宋体" w:cs="宋体"/>
          <w:color w:val="auto"/>
          <w:spacing w:val="14"/>
          <w:sz w:val="21"/>
          <w:szCs w:val="21"/>
          <w:highlight w:val="none"/>
        </w:rPr>
        <w:t xml:space="preserve"> </w:t>
      </w:r>
      <w:r>
        <w:rPr>
          <w:rFonts w:ascii="宋体" w:hAnsi="宋体" w:eastAsia="宋体" w:cs="宋体"/>
          <w:color w:val="auto"/>
          <w:spacing w:val="-1"/>
          <w:sz w:val="21"/>
          <w:szCs w:val="21"/>
          <w:highlight w:val="none"/>
        </w:rPr>
        <w:t>直至监理人检验合格为止。竣工清场费用由承包人承担。</w:t>
      </w:r>
    </w:p>
    <w:p w14:paraId="2FC78451">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（1）施工场地内残留的垃圾已全部清除出场；</w:t>
      </w:r>
    </w:p>
    <w:p w14:paraId="6A1EEED4">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（2）临时工程已拆除，场地已按合同要求进行清理、</w:t>
      </w:r>
      <w:r>
        <w:rPr>
          <w:rFonts w:ascii="宋体" w:hAnsi="宋体" w:eastAsia="宋体" w:cs="宋体"/>
          <w:color w:val="auto"/>
          <w:spacing w:val="-2"/>
          <w:sz w:val="21"/>
          <w:szCs w:val="21"/>
          <w:highlight w:val="none"/>
        </w:rPr>
        <w:t>平整或复原；</w:t>
      </w:r>
    </w:p>
    <w:p w14:paraId="44C88C38">
      <w:pPr>
        <w:spacing w:before="159" w:line="290" w:lineRule="auto"/>
        <w:ind w:left="4" w:right="171"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（3）按合同约定应撤离的承包人设备和剩余的材料，包括废弃的施工设备和材料，已按计划撤</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离施工场地；</w:t>
      </w:r>
    </w:p>
    <w:p w14:paraId="1FCCA0D2">
      <w:pPr>
        <w:spacing w:before="42" w:line="220"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（4）工程建筑物周边及其附近道路、河道的施工堆积物，已按</w:t>
      </w:r>
      <w:r>
        <w:rPr>
          <w:rFonts w:ascii="宋体" w:hAnsi="宋体" w:eastAsia="宋体" w:cs="宋体"/>
          <w:color w:val="auto"/>
          <w:spacing w:val="-1"/>
          <w:sz w:val="21"/>
          <w:szCs w:val="21"/>
          <w:highlight w:val="none"/>
        </w:rPr>
        <w:t>监理人指示全部清理；</w:t>
      </w:r>
    </w:p>
    <w:p w14:paraId="502AA13A">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（5）监理人指示的其他场地清理工作已全部完成。</w:t>
      </w:r>
    </w:p>
    <w:p w14:paraId="37F872B1">
      <w:pPr>
        <w:spacing w:before="157" w:line="289" w:lineRule="auto"/>
        <w:ind w:right="74" w:firstLine="4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18.7.2 承包人未按监理人的要求恢复临时占地，或者场地清理未达到合同约定的，发包人有权</w:t>
      </w:r>
      <w:r>
        <w:rPr>
          <w:rFonts w:ascii="宋体" w:hAnsi="宋体" w:eastAsia="宋体" w:cs="宋体"/>
          <w:color w:val="auto"/>
          <w:spacing w:val="5"/>
          <w:sz w:val="21"/>
          <w:szCs w:val="21"/>
          <w:highlight w:val="none"/>
        </w:rPr>
        <w:t xml:space="preserve"> </w:t>
      </w:r>
      <w:r>
        <w:rPr>
          <w:rFonts w:ascii="宋体" w:hAnsi="宋体" w:eastAsia="宋体" w:cs="宋体"/>
          <w:color w:val="auto"/>
          <w:sz w:val="21"/>
          <w:szCs w:val="21"/>
          <w:highlight w:val="none"/>
        </w:rPr>
        <w:t>委托其他人恢复或清理，所发生的金额从拟支付给承包人的款项中</w:t>
      </w:r>
      <w:r>
        <w:rPr>
          <w:rFonts w:hint="eastAsia" w:ascii="宋体" w:hAnsi="宋体" w:eastAsia="宋体" w:cs="宋体"/>
          <w:color w:val="auto"/>
          <w:sz w:val="21"/>
          <w:szCs w:val="21"/>
          <w:highlight w:val="none"/>
          <w:lang w:eastAsia="zh-CN"/>
        </w:rPr>
        <w:t>支付</w:t>
      </w:r>
      <w:r>
        <w:rPr>
          <w:rFonts w:ascii="宋体" w:hAnsi="宋体" w:eastAsia="宋体" w:cs="宋体"/>
          <w:color w:val="auto"/>
          <w:spacing w:val="-1"/>
          <w:sz w:val="21"/>
          <w:szCs w:val="21"/>
          <w:highlight w:val="none"/>
        </w:rPr>
        <w:t>。</w:t>
      </w:r>
    </w:p>
    <w:p w14:paraId="65030E3A">
      <w:pPr>
        <w:spacing w:line="335" w:lineRule="auto"/>
        <w:rPr>
          <w:rFonts w:ascii="Arial"/>
          <w:color w:val="auto"/>
          <w:sz w:val="21"/>
          <w:highlight w:val="none"/>
        </w:rPr>
      </w:pPr>
    </w:p>
    <w:p w14:paraId="51E88A5B">
      <w:pPr>
        <w:spacing w:before="91"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18.8</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施工队伍的撤离</w:t>
      </w:r>
    </w:p>
    <w:p w14:paraId="7694405D">
      <w:pPr>
        <w:spacing w:before="278" w:line="350" w:lineRule="auto"/>
        <w:ind w:firstLine="423"/>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工程接收证书颁发后的</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56</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天内，除了经监理人同意需在</w:t>
      </w:r>
      <w:r>
        <w:rPr>
          <w:rFonts w:ascii="宋体" w:hAnsi="宋体" w:eastAsia="宋体" w:cs="宋体"/>
          <w:color w:val="auto"/>
          <w:spacing w:val="-2"/>
          <w:sz w:val="21"/>
          <w:szCs w:val="21"/>
          <w:highlight w:val="none"/>
        </w:rPr>
        <w:t>缺陷责任期内继续工作和使用的人员、</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施工设备和临时工程外，其余的人员、施工设备和临时工程均应撤离施工场地或拆</w:t>
      </w:r>
      <w:r>
        <w:rPr>
          <w:rFonts w:ascii="宋体" w:hAnsi="宋体" w:eastAsia="宋体" w:cs="宋体"/>
          <w:color w:val="auto"/>
          <w:sz w:val="21"/>
          <w:szCs w:val="21"/>
          <w:highlight w:val="none"/>
        </w:rPr>
        <w:t xml:space="preserve">除。除合同另有 </w:t>
      </w:r>
      <w:r>
        <w:rPr>
          <w:rFonts w:ascii="宋体" w:hAnsi="宋体" w:eastAsia="宋体" w:cs="宋体"/>
          <w:color w:val="auto"/>
          <w:spacing w:val="-1"/>
          <w:sz w:val="21"/>
          <w:szCs w:val="21"/>
          <w:highlight w:val="none"/>
        </w:rPr>
        <w:t>约定外，缺陷责任期满时，承包人的人员和施工设备应全部撤离施工场地。</w:t>
      </w:r>
    </w:p>
    <w:p w14:paraId="09C94E95">
      <w:pPr>
        <w:spacing w:before="46" w:line="225" w:lineRule="auto"/>
        <w:ind w:left="29"/>
        <w:outlineLvl w:val="2"/>
        <w:rPr>
          <w:rFonts w:ascii="宋体" w:hAnsi="宋体" w:eastAsia="宋体" w:cs="宋体"/>
          <w:color w:val="auto"/>
          <w:sz w:val="31"/>
          <w:szCs w:val="31"/>
          <w:highlight w:val="none"/>
        </w:rPr>
      </w:pPr>
      <w:bookmarkStart w:id="271" w:name="bookmark243"/>
      <w:bookmarkEnd w:id="271"/>
      <w:bookmarkStart w:id="272" w:name="_Toc14678"/>
      <w:bookmarkStart w:id="273" w:name="_Toc16988"/>
      <w:r>
        <w:rPr>
          <w:rFonts w:ascii="宋体" w:hAnsi="宋体" w:eastAsia="宋体" w:cs="宋体"/>
          <w:b/>
          <w:bCs/>
          <w:color w:val="auto"/>
          <w:spacing w:val="3"/>
          <w:sz w:val="31"/>
          <w:szCs w:val="31"/>
          <w:highlight w:val="none"/>
        </w:rPr>
        <w:t>19.</w:t>
      </w:r>
      <w:r>
        <w:rPr>
          <w:rFonts w:ascii="宋体" w:hAnsi="宋体" w:eastAsia="宋体" w:cs="宋体"/>
          <w:color w:val="auto"/>
          <w:spacing w:val="3"/>
          <w:sz w:val="31"/>
          <w:szCs w:val="31"/>
          <w:highlight w:val="none"/>
        </w:rPr>
        <w:t xml:space="preserve"> </w:t>
      </w:r>
      <w:r>
        <w:rPr>
          <w:rFonts w:ascii="宋体" w:hAnsi="宋体" w:eastAsia="宋体" w:cs="宋体"/>
          <w:b/>
          <w:bCs/>
          <w:color w:val="auto"/>
          <w:spacing w:val="3"/>
          <w:sz w:val="31"/>
          <w:szCs w:val="31"/>
          <w:highlight w:val="none"/>
        </w:rPr>
        <w:t>缺陷责任与保修责任</w:t>
      </w:r>
      <w:bookmarkEnd w:id="272"/>
      <w:bookmarkEnd w:id="273"/>
    </w:p>
    <w:p w14:paraId="05E0338C">
      <w:pPr>
        <w:spacing w:before="278"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19.1</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缺陷责任期的起算时间</w:t>
      </w:r>
    </w:p>
    <w:p w14:paraId="62D19A61">
      <w:pPr>
        <w:spacing w:before="281" w:line="345" w:lineRule="auto"/>
        <w:ind w:left="2" w:right="120" w:firstLine="41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缺陷责任期自实际竣工日期起计算。在全部工程竣工验收前，已经发包人</w:t>
      </w:r>
      <w:r>
        <w:rPr>
          <w:rFonts w:ascii="宋体" w:hAnsi="宋体" w:eastAsia="宋体" w:cs="宋体"/>
          <w:color w:val="auto"/>
          <w:spacing w:val="-6"/>
          <w:sz w:val="21"/>
          <w:szCs w:val="21"/>
          <w:highlight w:val="none"/>
        </w:rPr>
        <w:t>提前验收的单位工程，</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其缺陷责任期的起算日期相应提前。</w:t>
      </w:r>
    </w:p>
    <w:p w14:paraId="5F454CDF">
      <w:pPr>
        <w:spacing w:before="299"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19.2</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缺陷责任</w:t>
      </w:r>
    </w:p>
    <w:p w14:paraId="71B7E1CD">
      <w:pPr>
        <w:spacing w:before="280" w:line="221" w:lineRule="auto"/>
        <w:ind w:left="4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19.2.1 承包人应在缺陷责任期内对已交付使用的工程承担缺陷责任。</w:t>
      </w:r>
    </w:p>
    <w:p w14:paraId="430048EA">
      <w:pPr>
        <w:spacing w:before="159" w:line="350" w:lineRule="auto"/>
        <w:ind w:left="1" w:right="20" w:firstLine="435"/>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19.2.2 缺陷责任期内，发包人对已接收使用的工程负责日常维护工作。发包人在使用过程中，</w:t>
      </w:r>
      <w:r>
        <w:rPr>
          <w:rFonts w:ascii="宋体" w:hAnsi="宋体" w:eastAsia="宋体" w:cs="宋体"/>
          <w:color w:val="auto"/>
          <w:spacing w:val="14"/>
          <w:sz w:val="21"/>
          <w:szCs w:val="21"/>
          <w:highlight w:val="none"/>
        </w:rPr>
        <w:t xml:space="preserve"> </w:t>
      </w:r>
      <w:r>
        <w:rPr>
          <w:rFonts w:ascii="宋体" w:hAnsi="宋体" w:eastAsia="宋体" w:cs="宋体"/>
          <w:color w:val="auto"/>
          <w:spacing w:val="1"/>
          <w:sz w:val="21"/>
          <w:szCs w:val="21"/>
          <w:highlight w:val="none"/>
        </w:rPr>
        <w:t>发现已接收的工程存在新的缺陷或已修复的缺陷部位或部件又遭损坏的，承包人</w:t>
      </w:r>
      <w:r>
        <w:rPr>
          <w:rFonts w:ascii="宋体" w:hAnsi="宋体" w:eastAsia="宋体" w:cs="宋体"/>
          <w:color w:val="auto"/>
          <w:sz w:val="21"/>
          <w:szCs w:val="21"/>
          <w:highlight w:val="none"/>
        </w:rPr>
        <w:t xml:space="preserve">应负责修复，直至 </w:t>
      </w:r>
      <w:r>
        <w:rPr>
          <w:rFonts w:ascii="宋体" w:hAnsi="宋体" w:eastAsia="宋体" w:cs="宋体"/>
          <w:color w:val="auto"/>
          <w:spacing w:val="-3"/>
          <w:sz w:val="21"/>
          <w:szCs w:val="21"/>
          <w:highlight w:val="none"/>
        </w:rPr>
        <w:t>检验合格为止。</w:t>
      </w:r>
    </w:p>
    <w:p w14:paraId="25777A07">
      <w:pPr>
        <w:spacing w:before="30" w:line="351" w:lineRule="auto"/>
        <w:ind w:left="6" w:right="76" w:firstLine="4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19.2.3 监理人和承包人应共同查清缺陷和（或）损坏的原因。经查明属承包人原因造成的，应</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由承包人承担修复和查验的费用。经查验属发</w:t>
      </w:r>
      <w:r>
        <w:rPr>
          <w:rFonts w:ascii="宋体" w:hAnsi="宋体" w:eastAsia="宋体" w:cs="宋体"/>
          <w:color w:val="auto"/>
          <w:sz w:val="21"/>
          <w:szCs w:val="21"/>
          <w:highlight w:val="none"/>
        </w:rPr>
        <w:t xml:space="preserve">包人原因造成的，发包人应承担修复和查验的费用， </w:t>
      </w:r>
      <w:r>
        <w:rPr>
          <w:rFonts w:ascii="宋体" w:hAnsi="宋体" w:eastAsia="宋体" w:cs="宋体"/>
          <w:color w:val="auto"/>
          <w:spacing w:val="-3"/>
          <w:sz w:val="21"/>
          <w:szCs w:val="21"/>
          <w:highlight w:val="none"/>
        </w:rPr>
        <w:t>并支付承包人合理利润。</w:t>
      </w:r>
    </w:p>
    <w:p w14:paraId="193AAAD2">
      <w:pPr>
        <w:spacing w:before="30" w:line="345" w:lineRule="auto"/>
        <w:ind w:left="2" w:right="74"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19.2.4 承包人不能在合理时间内修复缺陷的，发包人可自行修复或委托其他人修复，所需费用</w:t>
      </w:r>
      <w:r>
        <w:rPr>
          <w:rFonts w:ascii="宋体" w:hAnsi="宋体" w:eastAsia="宋体" w:cs="宋体"/>
          <w:color w:val="auto"/>
          <w:spacing w:val="5"/>
          <w:sz w:val="21"/>
          <w:szCs w:val="21"/>
          <w:highlight w:val="none"/>
        </w:rPr>
        <w:t xml:space="preserve"> </w:t>
      </w:r>
      <w:r>
        <w:rPr>
          <w:rFonts w:ascii="宋体" w:hAnsi="宋体" w:eastAsia="宋体" w:cs="宋体"/>
          <w:color w:val="auto"/>
          <w:spacing w:val="-2"/>
          <w:sz w:val="21"/>
          <w:szCs w:val="21"/>
          <w:highlight w:val="none"/>
        </w:rPr>
        <w:t>和利润的承担，按第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19.2.3</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项约定办</w:t>
      </w:r>
      <w:r>
        <w:rPr>
          <w:rFonts w:ascii="宋体" w:hAnsi="宋体" w:eastAsia="宋体" w:cs="宋体"/>
          <w:color w:val="auto"/>
          <w:spacing w:val="-3"/>
          <w:sz w:val="21"/>
          <w:szCs w:val="21"/>
          <w:highlight w:val="none"/>
        </w:rPr>
        <w:t>理。</w:t>
      </w:r>
    </w:p>
    <w:p w14:paraId="1E9EAF2B">
      <w:pPr>
        <w:spacing w:before="300"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19.3</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缺陷责任期的延长</w:t>
      </w:r>
    </w:p>
    <w:p w14:paraId="0949164F">
      <w:pPr>
        <w:spacing w:before="279" w:line="346" w:lineRule="auto"/>
        <w:ind w:left="4" w:right="78" w:firstLine="443"/>
        <w:rPr>
          <w:rFonts w:ascii="宋体" w:hAnsi="宋体" w:eastAsia="宋体" w:cs="宋体"/>
          <w:color w:val="auto"/>
          <w:sz w:val="21"/>
          <w:szCs w:val="21"/>
          <w:highlight w:val="none"/>
        </w:rPr>
      </w:pPr>
      <w:r>
        <w:rPr>
          <w:rFonts w:ascii="宋体" w:hAnsi="宋体" w:eastAsia="宋体" w:cs="宋体"/>
          <w:color w:val="auto"/>
          <w:sz w:val="21"/>
          <w:szCs w:val="21"/>
          <w:highlight w:val="none"/>
        </w:rPr>
        <w:t>由于承包人原因造成某项缺陷或损坏使某项工程或工程设备不能按原定目标使用而需要再次检</w:t>
      </w:r>
      <w:r>
        <w:rPr>
          <w:rFonts w:ascii="宋体" w:hAnsi="宋体" w:eastAsia="宋体" w:cs="宋体"/>
          <w:color w:val="auto"/>
          <w:spacing w:val="7"/>
          <w:sz w:val="21"/>
          <w:szCs w:val="21"/>
          <w:highlight w:val="none"/>
        </w:rPr>
        <w:t xml:space="preserve"> </w:t>
      </w:r>
      <w:r>
        <w:rPr>
          <w:rFonts w:ascii="宋体" w:hAnsi="宋体" w:eastAsia="宋体" w:cs="宋体"/>
          <w:color w:val="auto"/>
          <w:spacing w:val="-1"/>
          <w:sz w:val="21"/>
          <w:szCs w:val="21"/>
          <w:highlight w:val="none"/>
        </w:rPr>
        <w:t>查、检验和修复的，发包人有权要求承包人相应延长缺陷责任期，但缺陷责任期最长不超过</w:t>
      </w:r>
      <w:r>
        <w:rPr>
          <w:rFonts w:ascii="宋体" w:hAnsi="宋体" w:eastAsia="宋体" w:cs="宋体"/>
          <w:color w:val="auto"/>
          <w:spacing w:val="-34"/>
          <w:sz w:val="21"/>
          <w:szCs w:val="21"/>
          <w:highlight w:val="none"/>
        </w:rPr>
        <w:t xml:space="preserve"> </w:t>
      </w:r>
      <w:r>
        <w:rPr>
          <w:rFonts w:ascii="宋体" w:hAnsi="宋体" w:eastAsia="宋体" w:cs="宋体"/>
          <w:color w:val="auto"/>
          <w:spacing w:val="-1"/>
          <w:sz w:val="21"/>
          <w:szCs w:val="21"/>
          <w:highlight w:val="none"/>
        </w:rPr>
        <w:t>2</w:t>
      </w:r>
      <w:r>
        <w:rPr>
          <w:rFonts w:ascii="宋体" w:hAnsi="宋体" w:eastAsia="宋体" w:cs="宋体"/>
          <w:color w:val="auto"/>
          <w:spacing w:val="-43"/>
          <w:sz w:val="21"/>
          <w:szCs w:val="21"/>
          <w:highlight w:val="none"/>
        </w:rPr>
        <w:t xml:space="preserve"> </w:t>
      </w:r>
      <w:r>
        <w:rPr>
          <w:rFonts w:ascii="宋体" w:hAnsi="宋体" w:eastAsia="宋体" w:cs="宋体"/>
          <w:color w:val="auto"/>
          <w:spacing w:val="-1"/>
          <w:sz w:val="21"/>
          <w:szCs w:val="21"/>
          <w:highlight w:val="none"/>
        </w:rPr>
        <w:t>年。</w:t>
      </w:r>
    </w:p>
    <w:p w14:paraId="7163EB3A">
      <w:pPr>
        <w:spacing w:before="302"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19.4</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进一步试验和试运行</w:t>
      </w:r>
    </w:p>
    <w:p w14:paraId="2E433484">
      <w:pPr>
        <w:spacing w:before="281" w:line="345" w:lineRule="auto"/>
        <w:ind w:right="77"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任何一项缺陷或损坏修复后，经检查证明其影响了工程或工程设备的使用性能</w:t>
      </w:r>
      <w:r>
        <w:rPr>
          <w:rFonts w:ascii="宋体" w:hAnsi="宋体" w:eastAsia="宋体" w:cs="宋体"/>
          <w:color w:val="auto"/>
          <w:sz w:val="21"/>
          <w:szCs w:val="21"/>
          <w:highlight w:val="none"/>
        </w:rPr>
        <w:t xml:space="preserve">，承包人应重新 </w:t>
      </w:r>
      <w:r>
        <w:rPr>
          <w:rFonts w:ascii="宋体" w:hAnsi="宋体" w:eastAsia="宋体" w:cs="宋体"/>
          <w:color w:val="auto"/>
          <w:spacing w:val="-1"/>
          <w:sz w:val="21"/>
          <w:szCs w:val="21"/>
          <w:highlight w:val="none"/>
        </w:rPr>
        <w:t>进行合同约定的试验和试运行，试验和试运行的全部费用应由责任方承担。</w:t>
      </w:r>
    </w:p>
    <w:p w14:paraId="7B0002F1">
      <w:pPr>
        <w:spacing w:before="56" w:line="220" w:lineRule="auto"/>
        <w:ind w:left="159"/>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19.5</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承包人的进入权</w:t>
      </w:r>
    </w:p>
    <w:p w14:paraId="65A8698F">
      <w:pPr>
        <w:spacing w:before="280" w:line="348" w:lineRule="auto"/>
        <w:ind w:right="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缺陷责任期内承包人为缺陷修复工作需要，有权进入工程现场，但应遵守</w:t>
      </w:r>
      <w:r>
        <w:rPr>
          <w:rFonts w:ascii="宋体" w:hAnsi="宋体" w:eastAsia="宋体" w:cs="宋体"/>
          <w:color w:val="auto"/>
          <w:sz w:val="21"/>
          <w:szCs w:val="21"/>
          <w:highlight w:val="none"/>
        </w:rPr>
        <w:t xml:space="preserve">发包人的保安和保密 </w:t>
      </w:r>
      <w:r>
        <w:rPr>
          <w:rFonts w:ascii="宋体" w:hAnsi="宋体" w:eastAsia="宋体" w:cs="宋体"/>
          <w:color w:val="auto"/>
          <w:spacing w:val="-8"/>
          <w:sz w:val="21"/>
          <w:szCs w:val="21"/>
          <w:highlight w:val="none"/>
        </w:rPr>
        <w:t>规定。</w:t>
      </w:r>
    </w:p>
    <w:p w14:paraId="3A928608">
      <w:pPr>
        <w:spacing w:before="296" w:line="219" w:lineRule="auto"/>
        <w:ind w:left="159"/>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19.6</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缺陷责任期终止证书</w:t>
      </w:r>
    </w:p>
    <w:p w14:paraId="41E900E8">
      <w:pPr>
        <w:spacing w:before="281" w:line="345" w:lineRule="auto"/>
        <w:ind w:left="20" w:right="2" w:firstLine="39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在第</w:t>
      </w:r>
      <w:r>
        <w:rPr>
          <w:rFonts w:ascii="宋体" w:hAnsi="宋体" w:eastAsia="宋体" w:cs="宋体"/>
          <w:color w:val="auto"/>
          <w:spacing w:val="-24"/>
          <w:sz w:val="21"/>
          <w:szCs w:val="21"/>
          <w:highlight w:val="none"/>
        </w:rPr>
        <w:t xml:space="preserve"> </w:t>
      </w: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ascii="宋体" w:hAnsi="宋体" w:eastAsia="宋体" w:cs="宋体"/>
          <w:color w:val="auto"/>
          <w:spacing w:val="-3"/>
          <w:sz w:val="21"/>
          <w:szCs w:val="21"/>
          <w:highlight w:val="none"/>
        </w:rPr>
        <w:t>1.1.4.5</w:t>
      </w:r>
      <w:r>
        <w:rPr>
          <w:rFonts w:ascii="宋体" w:hAnsi="宋体" w:eastAsia="宋体" w:cs="宋体"/>
          <w:color w:val="auto"/>
          <w:spacing w:val="-3"/>
          <w:sz w:val="21"/>
          <w:szCs w:val="21"/>
          <w:highlight w:val="none"/>
        </w:rPr>
        <w:fldChar w:fldCharType="end"/>
      </w:r>
      <w:r>
        <w:rPr>
          <w:rFonts w:ascii="宋体" w:hAnsi="宋体" w:eastAsia="宋体" w:cs="宋体"/>
          <w:color w:val="auto"/>
          <w:spacing w:val="-3"/>
          <w:sz w:val="21"/>
          <w:szCs w:val="21"/>
          <w:highlight w:val="none"/>
        </w:rPr>
        <w:t xml:space="preserve"> 目约定的缺陷责任期，包括根据第</w:t>
      </w:r>
      <w:r>
        <w:rPr>
          <w:rFonts w:ascii="宋体" w:hAnsi="宋体" w:eastAsia="宋体" w:cs="宋体"/>
          <w:color w:val="auto"/>
          <w:spacing w:val="-23"/>
          <w:sz w:val="21"/>
          <w:szCs w:val="21"/>
          <w:highlight w:val="none"/>
        </w:rPr>
        <w:t xml:space="preserve"> </w:t>
      </w:r>
      <w:r>
        <w:rPr>
          <w:rFonts w:ascii="宋体" w:hAnsi="宋体" w:eastAsia="宋体" w:cs="宋体"/>
          <w:color w:val="auto"/>
          <w:spacing w:val="-3"/>
          <w:sz w:val="21"/>
          <w:szCs w:val="21"/>
          <w:highlight w:val="none"/>
        </w:rPr>
        <w:t>19.3</w:t>
      </w:r>
      <w:r>
        <w:rPr>
          <w:rFonts w:ascii="宋体" w:hAnsi="宋体" w:eastAsia="宋体" w:cs="宋体"/>
          <w:color w:val="auto"/>
          <w:spacing w:val="-36"/>
          <w:sz w:val="21"/>
          <w:szCs w:val="21"/>
          <w:highlight w:val="none"/>
        </w:rPr>
        <w:t xml:space="preserve"> </w:t>
      </w:r>
      <w:r>
        <w:rPr>
          <w:rFonts w:ascii="宋体" w:hAnsi="宋体" w:eastAsia="宋体" w:cs="宋体"/>
          <w:color w:val="auto"/>
          <w:spacing w:val="-3"/>
          <w:sz w:val="21"/>
          <w:szCs w:val="21"/>
          <w:highlight w:val="none"/>
        </w:rPr>
        <w:t>款延长的期限终止后</w:t>
      </w:r>
      <w:r>
        <w:rPr>
          <w:rFonts w:ascii="宋体" w:hAnsi="宋体" w:eastAsia="宋体" w:cs="宋体"/>
          <w:color w:val="auto"/>
          <w:spacing w:val="-21"/>
          <w:sz w:val="21"/>
          <w:szCs w:val="21"/>
          <w:highlight w:val="none"/>
        </w:rPr>
        <w:t xml:space="preserve"> </w:t>
      </w:r>
      <w:r>
        <w:rPr>
          <w:rFonts w:ascii="宋体" w:hAnsi="宋体" w:eastAsia="宋体" w:cs="宋体"/>
          <w:color w:val="auto"/>
          <w:spacing w:val="-3"/>
          <w:sz w:val="21"/>
          <w:szCs w:val="21"/>
          <w:highlight w:val="none"/>
        </w:rPr>
        <w:t>14</w:t>
      </w:r>
      <w:r>
        <w:rPr>
          <w:rFonts w:ascii="宋体" w:hAnsi="宋体" w:eastAsia="宋体" w:cs="宋体"/>
          <w:color w:val="auto"/>
          <w:spacing w:val="-33"/>
          <w:sz w:val="21"/>
          <w:szCs w:val="21"/>
          <w:highlight w:val="none"/>
        </w:rPr>
        <w:t xml:space="preserve"> </w:t>
      </w:r>
      <w:r>
        <w:rPr>
          <w:rFonts w:ascii="宋体" w:hAnsi="宋体" w:eastAsia="宋体" w:cs="宋体"/>
          <w:color w:val="auto"/>
          <w:spacing w:val="-3"/>
          <w:sz w:val="21"/>
          <w:szCs w:val="21"/>
          <w:highlight w:val="none"/>
        </w:rPr>
        <w:t>天内，由</w:t>
      </w:r>
      <w:r>
        <w:rPr>
          <w:rFonts w:ascii="宋体" w:hAnsi="宋体" w:eastAsia="宋体" w:cs="宋体"/>
          <w:color w:val="auto"/>
          <w:spacing w:val="-4"/>
          <w:sz w:val="21"/>
          <w:szCs w:val="21"/>
          <w:highlight w:val="none"/>
        </w:rPr>
        <w:t>监理人</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向承包人出具经发包人签认的缺陷责任期终止证书，并退还剩余的质量</w:t>
      </w:r>
      <w:r>
        <w:rPr>
          <w:rFonts w:ascii="宋体" w:hAnsi="宋体" w:eastAsia="宋体" w:cs="宋体"/>
          <w:color w:val="auto"/>
          <w:spacing w:val="-2"/>
          <w:sz w:val="21"/>
          <w:szCs w:val="21"/>
          <w:highlight w:val="none"/>
        </w:rPr>
        <w:t>保证金。</w:t>
      </w:r>
    </w:p>
    <w:p w14:paraId="64A28810">
      <w:pPr>
        <w:spacing w:before="300" w:line="220" w:lineRule="auto"/>
        <w:ind w:left="159"/>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19.7</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保修责任</w:t>
      </w:r>
    </w:p>
    <w:p w14:paraId="2A4D5854">
      <w:pPr>
        <w:spacing w:before="280" w:line="351" w:lineRule="auto"/>
        <w:ind w:right="1" w:firstLine="42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合同当事人根据有关法律规定，在专用合同条款中约定工程质量保修范围</w:t>
      </w:r>
      <w:r>
        <w:rPr>
          <w:rFonts w:ascii="宋体" w:hAnsi="宋体" w:eastAsia="宋体" w:cs="宋体"/>
          <w:color w:val="auto"/>
          <w:sz w:val="21"/>
          <w:szCs w:val="21"/>
          <w:highlight w:val="none"/>
        </w:rPr>
        <w:t xml:space="preserve">、期限和责任。保修 </w:t>
      </w:r>
      <w:r>
        <w:rPr>
          <w:rFonts w:ascii="宋体" w:hAnsi="宋体" w:eastAsia="宋体" w:cs="宋体"/>
          <w:color w:val="auto"/>
          <w:spacing w:val="1"/>
          <w:sz w:val="21"/>
          <w:szCs w:val="21"/>
          <w:highlight w:val="none"/>
        </w:rPr>
        <w:t>期自实际竣工日期起计算。在全部工程竣工验收前，已经发包人提前验收的单</w:t>
      </w:r>
      <w:r>
        <w:rPr>
          <w:rFonts w:ascii="宋体" w:hAnsi="宋体" w:eastAsia="宋体" w:cs="宋体"/>
          <w:color w:val="auto"/>
          <w:sz w:val="21"/>
          <w:szCs w:val="21"/>
          <w:highlight w:val="none"/>
        </w:rPr>
        <w:t xml:space="preserve">位工程，其保修期的 </w:t>
      </w:r>
      <w:r>
        <w:rPr>
          <w:rFonts w:ascii="宋体" w:hAnsi="宋体" w:eastAsia="宋体" w:cs="宋体"/>
          <w:color w:val="auto"/>
          <w:spacing w:val="-3"/>
          <w:sz w:val="21"/>
          <w:szCs w:val="21"/>
          <w:highlight w:val="none"/>
        </w:rPr>
        <w:t>起算日期相应提前。</w:t>
      </w:r>
    </w:p>
    <w:p w14:paraId="16B09794">
      <w:pPr>
        <w:spacing w:before="44" w:line="226" w:lineRule="auto"/>
        <w:ind w:left="7"/>
        <w:outlineLvl w:val="2"/>
        <w:rPr>
          <w:rFonts w:ascii="宋体" w:hAnsi="宋体" w:eastAsia="宋体" w:cs="宋体"/>
          <w:color w:val="auto"/>
          <w:sz w:val="31"/>
          <w:szCs w:val="31"/>
          <w:highlight w:val="none"/>
        </w:rPr>
      </w:pPr>
      <w:bookmarkStart w:id="274" w:name="bookmark244"/>
      <w:bookmarkEnd w:id="274"/>
      <w:bookmarkStart w:id="275" w:name="_Toc23983"/>
      <w:bookmarkStart w:id="276" w:name="_Toc29037"/>
      <w:r>
        <w:rPr>
          <w:rFonts w:ascii="宋体" w:hAnsi="宋体" w:eastAsia="宋体" w:cs="宋体"/>
          <w:b/>
          <w:bCs/>
          <w:color w:val="auto"/>
          <w:spacing w:val="-2"/>
          <w:sz w:val="31"/>
          <w:szCs w:val="31"/>
          <w:highlight w:val="none"/>
        </w:rPr>
        <w:t>20.</w:t>
      </w:r>
      <w:r>
        <w:rPr>
          <w:rFonts w:ascii="宋体" w:hAnsi="宋体" w:eastAsia="宋体" w:cs="宋体"/>
          <w:color w:val="auto"/>
          <w:spacing w:val="22"/>
          <w:sz w:val="31"/>
          <w:szCs w:val="31"/>
          <w:highlight w:val="none"/>
        </w:rPr>
        <w:t xml:space="preserve"> </w:t>
      </w:r>
      <w:r>
        <w:rPr>
          <w:rFonts w:ascii="宋体" w:hAnsi="宋体" w:eastAsia="宋体" w:cs="宋体"/>
          <w:b/>
          <w:bCs/>
          <w:color w:val="auto"/>
          <w:spacing w:val="-2"/>
          <w:sz w:val="31"/>
          <w:szCs w:val="31"/>
          <w:highlight w:val="none"/>
        </w:rPr>
        <w:t>保险</w:t>
      </w:r>
      <w:bookmarkEnd w:id="275"/>
      <w:bookmarkEnd w:id="276"/>
    </w:p>
    <w:p w14:paraId="527D60B5">
      <w:pPr>
        <w:spacing w:before="275" w:line="221" w:lineRule="auto"/>
        <w:ind w:left="142"/>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20.1</w:t>
      </w:r>
      <w:r>
        <w:rPr>
          <w:rFonts w:ascii="宋体" w:hAnsi="宋体" w:eastAsia="宋体" w:cs="宋体"/>
          <w:color w:val="auto"/>
          <w:spacing w:val="23"/>
          <w:sz w:val="28"/>
          <w:szCs w:val="28"/>
          <w:highlight w:val="none"/>
        </w:rPr>
        <w:t xml:space="preserve"> </w:t>
      </w:r>
      <w:r>
        <w:rPr>
          <w:rFonts w:ascii="宋体" w:hAnsi="宋体" w:eastAsia="宋体" w:cs="宋体"/>
          <w:b/>
          <w:bCs/>
          <w:color w:val="auto"/>
          <w:spacing w:val="-6"/>
          <w:sz w:val="28"/>
          <w:szCs w:val="28"/>
          <w:highlight w:val="none"/>
        </w:rPr>
        <w:t>工程保险</w:t>
      </w:r>
    </w:p>
    <w:p w14:paraId="459C02A8">
      <w:pPr>
        <w:spacing w:before="278" w:line="350" w:lineRule="auto"/>
        <w:ind w:left="1" w:right="1" w:firstLine="429"/>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除专用合同条款另有约定外，承包人应以发包</w:t>
      </w:r>
      <w:r>
        <w:rPr>
          <w:rFonts w:ascii="宋体" w:hAnsi="宋体" w:eastAsia="宋体" w:cs="宋体"/>
          <w:color w:val="auto"/>
          <w:sz w:val="21"/>
          <w:szCs w:val="21"/>
          <w:highlight w:val="none"/>
        </w:rPr>
        <w:t xml:space="preserve">人和承包人的共同名义向双方同意的保险人投保 </w:t>
      </w:r>
      <w:r>
        <w:rPr>
          <w:rFonts w:ascii="宋体" w:hAnsi="宋体" w:eastAsia="宋体" w:cs="宋体"/>
          <w:color w:val="auto"/>
          <w:spacing w:val="1"/>
          <w:sz w:val="21"/>
          <w:szCs w:val="21"/>
          <w:highlight w:val="none"/>
        </w:rPr>
        <w:t>建筑工程一切险、安装工程一切险。其具体的投保内容、保险金额、保险</w:t>
      </w:r>
      <w:r>
        <w:rPr>
          <w:rFonts w:ascii="宋体" w:hAnsi="宋体" w:eastAsia="宋体" w:cs="宋体"/>
          <w:color w:val="auto"/>
          <w:sz w:val="21"/>
          <w:szCs w:val="21"/>
          <w:highlight w:val="none"/>
        </w:rPr>
        <w:t xml:space="preserve">费率、保险期限等有关内 </w:t>
      </w:r>
      <w:r>
        <w:rPr>
          <w:rFonts w:ascii="宋体" w:hAnsi="宋体" w:eastAsia="宋体" w:cs="宋体"/>
          <w:color w:val="auto"/>
          <w:spacing w:val="-1"/>
          <w:sz w:val="21"/>
          <w:szCs w:val="21"/>
          <w:highlight w:val="none"/>
        </w:rPr>
        <w:t>容在专用合同条款中约定。</w:t>
      </w:r>
    </w:p>
    <w:p w14:paraId="179B2F43">
      <w:pPr>
        <w:spacing w:before="301"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人员工伤事故的保险</w:t>
      </w:r>
    </w:p>
    <w:p w14:paraId="20E84DB8">
      <w:pPr>
        <w:spacing w:before="280"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20.2.1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承包人员工伤事故的保险</w:t>
      </w:r>
    </w:p>
    <w:p w14:paraId="1CE558D2">
      <w:pPr>
        <w:spacing w:before="157" w:line="347" w:lineRule="auto"/>
        <w:ind w:left="4" w:right="45" w:firstLine="41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承包人应依照有关法律规定参加工伤保险，为其履行合同所雇佣的全部人</w:t>
      </w:r>
      <w:r>
        <w:rPr>
          <w:rFonts w:ascii="宋体" w:hAnsi="宋体" w:eastAsia="宋体" w:cs="宋体"/>
          <w:color w:val="auto"/>
          <w:spacing w:val="-6"/>
          <w:sz w:val="21"/>
          <w:szCs w:val="21"/>
          <w:highlight w:val="none"/>
        </w:rPr>
        <w:t>员，缴纳工伤保险费，</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并要求其分包人也进行此项保险。</w:t>
      </w:r>
    </w:p>
    <w:p w14:paraId="7C32F5C7">
      <w:pPr>
        <w:spacing w:before="28"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20.2.2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发包人员工伤事故的保险</w:t>
      </w:r>
    </w:p>
    <w:p w14:paraId="3C5A48C4">
      <w:pPr>
        <w:spacing w:before="158" w:line="345" w:lineRule="auto"/>
        <w:ind w:left="4" w:right="49" w:firstLine="418"/>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发包人应依照有关法律规定参加工伤保险，为其现场机</w:t>
      </w:r>
      <w:r>
        <w:rPr>
          <w:rFonts w:ascii="宋体" w:hAnsi="宋体" w:eastAsia="宋体" w:cs="宋体"/>
          <w:color w:val="auto"/>
          <w:spacing w:val="-1"/>
          <w:sz w:val="21"/>
          <w:szCs w:val="21"/>
          <w:highlight w:val="none"/>
        </w:rPr>
        <w:t>构雇佣的全部人员，缴纳工伤保险费，</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并要求其监理人也进行此项保险。</w:t>
      </w:r>
    </w:p>
    <w:p w14:paraId="17ABF3DE">
      <w:pPr>
        <w:spacing w:before="299"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人身意外伤害险</w:t>
      </w:r>
    </w:p>
    <w:p w14:paraId="2BBD96FA">
      <w:pPr>
        <w:spacing w:before="281" w:line="291" w:lineRule="auto"/>
        <w:ind w:left="10" w:firstLine="41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20.3.1 发包人应在整个施工期间为其现场机构雇用的全部人员，投保人身意外伤害险，缴纳保</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险费，并要求其监理人也进行此项保险。</w:t>
      </w:r>
    </w:p>
    <w:p w14:paraId="7297B7C8">
      <w:pPr>
        <w:spacing w:before="156" w:line="290" w:lineRule="auto"/>
        <w:ind w:left="10" w:firstLine="41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20.3.2 承包人应在整个施工期间为其现场机构雇用的全部人员，投保人身意外伤害险，缴纳保</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险费，并要求其分包人也进行此项保险。</w:t>
      </w:r>
    </w:p>
    <w:p w14:paraId="6BEA9F1C">
      <w:pPr>
        <w:spacing w:before="56"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第三者责任险</w:t>
      </w:r>
    </w:p>
    <w:p w14:paraId="13D8B7EE">
      <w:pPr>
        <w:spacing w:before="281" w:line="313" w:lineRule="auto"/>
        <w:ind w:left="1"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20.4.1 第三者责任系指在保险期内，对因工程意外事故造成的、依法应由被保险人负责的工地</w:t>
      </w:r>
      <w:r>
        <w:rPr>
          <w:rFonts w:ascii="宋体" w:hAnsi="宋体" w:eastAsia="宋体" w:cs="宋体"/>
          <w:color w:val="auto"/>
          <w:spacing w:val="16"/>
          <w:sz w:val="21"/>
          <w:szCs w:val="21"/>
          <w:highlight w:val="none"/>
        </w:rPr>
        <w:t xml:space="preserve"> </w:t>
      </w:r>
      <w:r>
        <w:rPr>
          <w:rFonts w:ascii="宋体" w:hAnsi="宋体" w:eastAsia="宋体" w:cs="宋体"/>
          <w:color w:val="auto"/>
          <w:spacing w:val="-3"/>
          <w:sz w:val="21"/>
          <w:szCs w:val="21"/>
          <w:highlight w:val="none"/>
        </w:rPr>
        <w:t>上及毗邻地区的第三者人身伤亡、疾病或财产损失（本工程除外</w:t>
      </w:r>
      <w:r>
        <w:rPr>
          <w:rFonts w:ascii="宋体" w:hAnsi="宋体" w:eastAsia="宋体" w:cs="宋体"/>
          <w:color w:val="auto"/>
          <w:spacing w:val="-19"/>
          <w:sz w:val="21"/>
          <w:szCs w:val="21"/>
          <w:highlight w:val="none"/>
        </w:rPr>
        <w:t>），</w:t>
      </w:r>
      <w:r>
        <w:rPr>
          <w:rFonts w:ascii="宋体" w:hAnsi="宋体" w:eastAsia="宋体" w:cs="宋体"/>
          <w:color w:val="auto"/>
          <w:spacing w:val="-3"/>
          <w:sz w:val="21"/>
          <w:szCs w:val="21"/>
          <w:highlight w:val="none"/>
        </w:rPr>
        <w:t>以</w:t>
      </w:r>
      <w:r>
        <w:rPr>
          <w:rFonts w:ascii="宋体" w:hAnsi="宋体" w:eastAsia="宋体" w:cs="宋体"/>
          <w:color w:val="auto"/>
          <w:spacing w:val="-4"/>
          <w:sz w:val="21"/>
          <w:szCs w:val="21"/>
          <w:highlight w:val="none"/>
        </w:rPr>
        <w:t>及被保险人因此而支付的诉讼</w:t>
      </w:r>
      <w:r>
        <w:rPr>
          <w:rFonts w:ascii="宋体" w:hAnsi="宋体" w:eastAsia="宋体" w:cs="宋体"/>
          <w:color w:val="auto"/>
          <w:spacing w:val="1"/>
          <w:sz w:val="21"/>
          <w:szCs w:val="21"/>
          <w:highlight w:val="none"/>
        </w:rPr>
        <w:t xml:space="preserve"> </w:t>
      </w:r>
      <w:r>
        <w:rPr>
          <w:rFonts w:ascii="宋体" w:hAnsi="宋体" w:eastAsia="宋体" w:cs="宋体"/>
          <w:color w:val="auto"/>
          <w:sz w:val="21"/>
          <w:szCs w:val="21"/>
          <w:highlight w:val="none"/>
        </w:rPr>
        <w:t>费用和事先经保险人书面同意支付的其他费用等</w:t>
      </w:r>
      <w:r>
        <w:rPr>
          <w:rFonts w:ascii="宋体" w:hAnsi="宋体" w:eastAsia="宋体" w:cs="宋体"/>
          <w:color w:val="auto"/>
          <w:spacing w:val="-1"/>
          <w:sz w:val="21"/>
          <w:szCs w:val="21"/>
          <w:highlight w:val="none"/>
        </w:rPr>
        <w:t>赔偿责任。</w:t>
      </w:r>
    </w:p>
    <w:p w14:paraId="305B8929">
      <w:pPr>
        <w:spacing w:before="157" w:line="290" w:lineRule="auto"/>
        <w:ind w:left="3" w:right="2" w:firstLine="4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20.4.2 在缺陷责任期终止证书颁发前，承包人应以承包人和发包人的共同名义，投保第</w:t>
      </w:r>
      <w:r>
        <w:rPr>
          <w:rFonts w:ascii="宋体" w:hAnsi="宋体" w:eastAsia="宋体" w:cs="宋体"/>
          <w:color w:val="auto"/>
          <w:spacing w:val="-35"/>
          <w:sz w:val="21"/>
          <w:szCs w:val="21"/>
          <w:highlight w:val="none"/>
        </w:rPr>
        <w:t xml:space="preserve"> </w:t>
      </w:r>
      <w:r>
        <w:rPr>
          <w:rFonts w:ascii="宋体" w:hAnsi="宋体" w:eastAsia="宋体" w:cs="宋体"/>
          <w:color w:val="auto"/>
          <w:spacing w:val="-3"/>
          <w:sz w:val="21"/>
          <w:szCs w:val="21"/>
          <w:highlight w:val="none"/>
        </w:rPr>
        <w:t>20.4.1</w:t>
      </w:r>
      <w:r>
        <w:rPr>
          <w:rFonts w:ascii="宋体" w:hAnsi="宋体" w:eastAsia="宋体" w:cs="宋体"/>
          <w:color w:val="auto"/>
          <w:sz w:val="21"/>
          <w:szCs w:val="21"/>
          <w:highlight w:val="none"/>
        </w:rPr>
        <w:t xml:space="preserve"> 项约定的第三者责任险，其保险费率、保险金额等有关内容在专用合同条</w:t>
      </w:r>
      <w:r>
        <w:rPr>
          <w:rFonts w:ascii="宋体" w:hAnsi="宋体" w:eastAsia="宋体" w:cs="宋体"/>
          <w:color w:val="auto"/>
          <w:spacing w:val="-1"/>
          <w:sz w:val="21"/>
          <w:szCs w:val="21"/>
          <w:highlight w:val="none"/>
        </w:rPr>
        <w:t>款中约定。</w:t>
      </w:r>
    </w:p>
    <w:p w14:paraId="6555ADDA">
      <w:pPr>
        <w:spacing w:line="335" w:lineRule="auto"/>
        <w:rPr>
          <w:rFonts w:ascii="Arial"/>
          <w:color w:val="auto"/>
          <w:sz w:val="21"/>
          <w:highlight w:val="none"/>
        </w:rPr>
      </w:pPr>
    </w:p>
    <w:p w14:paraId="24FFA4EB">
      <w:pPr>
        <w:spacing w:before="91"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其他保险</w:t>
      </w:r>
    </w:p>
    <w:p w14:paraId="614BBE58">
      <w:pPr>
        <w:spacing w:before="279" w:line="220" w:lineRule="auto"/>
        <w:ind w:left="43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除专用合同条款另有约定外，承包人应为其施工设备、进场的材料和工程设备等办理保险。</w:t>
      </w:r>
    </w:p>
    <w:p w14:paraId="74EDF51E">
      <w:pPr>
        <w:spacing w:line="334" w:lineRule="auto"/>
        <w:rPr>
          <w:rFonts w:ascii="Arial"/>
          <w:color w:val="auto"/>
          <w:sz w:val="21"/>
          <w:highlight w:val="none"/>
        </w:rPr>
      </w:pPr>
    </w:p>
    <w:p w14:paraId="6ED55698">
      <w:pPr>
        <w:spacing w:before="91"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20.6</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对各项保险的一般要求</w:t>
      </w:r>
    </w:p>
    <w:p w14:paraId="4A7DB005">
      <w:pPr>
        <w:spacing w:before="278"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保险凭证</w:t>
      </w:r>
    </w:p>
    <w:p w14:paraId="08782D1F">
      <w:pPr>
        <w:spacing w:before="157" w:line="345" w:lineRule="auto"/>
        <w:ind w:left="1" w:right="3" w:firstLine="4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承包人应在专用合同条款约定的期限内向发包人提交各项保险生效的证据</w:t>
      </w:r>
      <w:r>
        <w:rPr>
          <w:rFonts w:ascii="宋体" w:hAnsi="宋体" w:eastAsia="宋体" w:cs="宋体"/>
          <w:color w:val="auto"/>
          <w:sz w:val="21"/>
          <w:szCs w:val="21"/>
          <w:highlight w:val="none"/>
        </w:rPr>
        <w:t xml:space="preserve">和保险单副本，保险 </w:t>
      </w:r>
      <w:r>
        <w:rPr>
          <w:rFonts w:ascii="宋体" w:hAnsi="宋体" w:eastAsia="宋体" w:cs="宋体"/>
          <w:color w:val="auto"/>
          <w:spacing w:val="-1"/>
          <w:sz w:val="21"/>
          <w:szCs w:val="21"/>
          <w:highlight w:val="none"/>
        </w:rPr>
        <w:t>单必须与专用合同条款约定的条件保持一致。</w:t>
      </w:r>
    </w:p>
    <w:p w14:paraId="575F1100">
      <w:pPr>
        <w:spacing w:before="30"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保险合同条款的变动</w:t>
      </w:r>
    </w:p>
    <w:p w14:paraId="40F6EF2C">
      <w:pPr>
        <w:spacing w:before="160" w:line="345" w:lineRule="auto"/>
        <w:ind w:right="46" w:firstLine="4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承包人需要变动保险合同条款时，应事先征得发包人同意，并通知监理人</w:t>
      </w:r>
      <w:r>
        <w:rPr>
          <w:rFonts w:ascii="宋体" w:hAnsi="宋体" w:eastAsia="宋体" w:cs="宋体"/>
          <w:color w:val="auto"/>
          <w:spacing w:val="-6"/>
          <w:sz w:val="21"/>
          <w:szCs w:val="21"/>
          <w:highlight w:val="none"/>
        </w:rPr>
        <w:t>。保险人作出变动的，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承包人应在收到保险人通知后立即通知发包人和监理人。</w:t>
      </w:r>
    </w:p>
    <w:p w14:paraId="429ECF36">
      <w:pPr>
        <w:spacing w:before="30"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20.6.3</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持续保险</w:t>
      </w:r>
    </w:p>
    <w:p w14:paraId="242EB93A">
      <w:pPr>
        <w:spacing w:before="158" w:line="345" w:lineRule="auto"/>
        <w:ind w:right="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承包人应与保险人保持联系，使保险人能够随时了解工程实施中的变动，</w:t>
      </w:r>
      <w:r>
        <w:rPr>
          <w:rFonts w:ascii="宋体" w:hAnsi="宋体" w:eastAsia="宋体" w:cs="宋体"/>
          <w:color w:val="auto"/>
          <w:sz w:val="21"/>
          <w:szCs w:val="21"/>
          <w:highlight w:val="none"/>
        </w:rPr>
        <w:t xml:space="preserve">并确保按保险合同条 </w:t>
      </w:r>
      <w:r>
        <w:rPr>
          <w:rFonts w:ascii="宋体" w:hAnsi="宋体" w:eastAsia="宋体" w:cs="宋体"/>
          <w:color w:val="auto"/>
          <w:spacing w:val="-1"/>
          <w:sz w:val="21"/>
          <w:szCs w:val="21"/>
          <w:highlight w:val="none"/>
        </w:rPr>
        <w:t>款要求持续保险。</w:t>
      </w:r>
    </w:p>
    <w:p w14:paraId="1CCE3984">
      <w:pPr>
        <w:spacing w:before="34"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20.6.4</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保险金不足的补偿</w:t>
      </w:r>
    </w:p>
    <w:p w14:paraId="5F66CF62">
      <w:pPr>
        <w:spacing w:before="155"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保险金不足以补偿损失的，应由承包人和（或）发包人按合同约定负责</w:t>
      </w:r>
      <w:r>
        <w:rPr>
          <w:rFonts w:ascii="宋体" w:hAnsi="宋体" w:eastAsia="宋体" w:cs="宋体"/>
          <w:color w:val="auto"/>
          <w:spacing w:val="-1"/>
          <w:sz w:val="21"/>
          <w:szCs w:val="21"/>
          <w:highlight w:val="none"/>
        </w:rPr>
        <w:t>补偿。</w:t>
      </w:r>
    </w:p>
    <w:p w14:paraId="16F071C2">
      <w:pPr>
        <w:spacing w:before="157"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20.6.5</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未按约定投保的补救</w:t>
      </w:r>
    </w:p>
    <w:p w14:paraId="360EC452">
      <w:pPr>
        <w:spacing w:before="156" w:line="290" w:lineRule="auto"/>
        <w:ind w:firstLine="4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（1）由于负有投保义务的一方当事人未按合同约定办理保险，或未能使保险持续有效的，另一</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方当事人可代为办理，所需费用由对方当事人承担。</w:t>
      </w:r>
    </w:p>
    <w:p w14:paraId="1ABDFAA4">
      <w:pPr>
        <w:spacing w:before="159" w:line="290" w:lineRule="auto"/>
        <w:ind w:left="17" w:firstLine="40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（2）由于负有投保义务的一方当事人未按合同约定办理某项保险，导致受益人未能得到保险人</w:t>
      </w:r>
      <w:r>
        <w:rPr>
          <w:rFonts w:ascii="宋体" w:hAnsi="宋体" w:eastAsia="宋体" w:cs="宋体"/>
          <w:color w:val="auto"/>
          <w:spacing w:val="9"/>
          <w:sz w:val="21"/>
          <w:szCs w:val="21"/>
          <w:highlight w:val="none"/>
        </w:rPr>
        <w:t xml:space="preserve"> </w:t>
      </w:r>
      <w:r>
        <w:rPr>
          <w:rFonts w:ascii="宋体" w:hAnsi="宋体" w:eastAsia="宋体" w:cs="宋体"/>
          <w:color w:val="auto"/>
          <w:spacing w:val="-1"/>
          <w:sz w:val="21"/>
          <w:szCs w:val="21"/>
          <w:highlight w:val="none"/>
        </w:rPr>
        <w:t>的赔偿，原应从该项保险得到的保险金应由负有投保义务的一方当事人支付。</w:t>
      </w:r>
    </w:p>
    <w:p w14:paraId="2CD971C1">
      <w:pPr>
        <w:spacing w:before="157" w:line="219"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20.6.6</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报告义务</w:t>
      </w:r>
    </w:p>
    <w:p w14:paraId="653E36DD">
      <w:pPr>
        <w:spacing w:before="160" w:line="219" w:lineRule="auto"/>
        <w:ind w:left="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当保险事故发生时，投保人应按照保险单规定的条件和期限及时向保险人报告。</w:t>
      </w:r>
    </w:p>
    <w:p w14:paraId="1264883E">
      <w:pPr>
        <w:spacing w:before="176" w:line="225" w:lineRule="auto"/>
        <w:ind w:left="8"/>
        <w:outlineLvl w:val="2"/>
        <w:rPr>
          <w:rFonts w:ascii="宋体" w:hAnsi="宋体" w:eastAsia="宋体" w:cs="宋体"/>
          <w:color w:val="auto"/>
          <w:sz w:val="31"/>
          <w:szCs w:val="31"/>
          <w:highlight w:val="none"/>
        </w:rPr>
      </w:pPr>
      <w:bookmarkStart w:id="277" w:name="bookmark245"/>
      <w:bookmarkEnd w:id="277"/>
      <w:bookmarkStart w:id="278" w:name="_Toc13077"/>
      <w:bookmarkStart w:id="279" w:name="_Toc3084"/>
      <w:r>
        <w:rPr>
          <w:rFonts w:ascii="宋体" w:hAnsi="宋体" w:eastAsia="宋体" w:cs="宋体"/>
          <w:b/>
          <w:bCs/>
          <w:color w:val="auto"/>
          <w:sz w:val="31"/>
          <w:szCs w:val="31"/>
          <w:highlight w:val="none"/>
        </w:rPr>
        <w:t>21.</w:t>
      </w:r>
      <w:r>
        <w:rPr>
          <w:rFonts w:ascii="宋体" w:hAnsi="宋体" w:eastAsia="宋体" w:cs="宋体"/>
          <w:color w:val="auto"/>
          <w:spacing w:val="29"/>
          <w:sz w:val="31"/>
          <w:szCs w:val="31"/>
          <w:highlight w:val="none"/>
        </w:rPr>
        <w:t xml:space="preserve"> </w:t>
      </w:r>
      <w:r>
        <w:rPr>
          <w:rFonts w:ascii="宋体" w:hAnsi="宋体" w:eastAsia="宋体" w:cs="宋体"/>
          <w:b/>
          <w:bCs/>
          <w:color w:val="auto"/>
          <w:sz w:val="31"/>
          <w:szCs w:val="31"/>
          <w:highlight w:val="none"/>
        </w:rPr>
        <w:t>不可抗力</w:t>
      </w:r>
      <w:bookmarkEnd w:id="278"/>
      <w:bookmarkEnd w:id="279"/>
    </w:p>
    <w:p w14:paraId="6CF0EF5D">
      <w:pPr>
        <w:spacing w:before="274"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21.1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不可抗力的确认</w:t>
      </w:r>
    </w:p>
    <w:p w14:paraId="737EBA12">
      <w:pPr>
        <w:spacing w:before="280" w:line="221" w:lineRule="auto"/>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21.1.1 不可抗力是指承包人和发包人在订立合同时不可预见，在工程施工过程中不可避免发生</w:t>
      </w:r>
    </w:p>
    <w:p w14:paraId="1F42BCD1">
      <w:pPr>
        <w:spacing w:before="41" w:line="346" w:lineRule="auto"/>
        <w:ind w:right="60" w:firstLine="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并不能克服的自然灾害和社会性突发事件，如地震、海啸、瘟疫、水</w:t>
      </w:r>
      <w:r>
        <w:rPr>
          <w:rFonts w:ascii="宋体" w:hAnsi="宋体" w:eastAsia="宋体" w:cs="宋体"/>
          <w:color w:val="auto"/>
          <w:sz w:val="21"/>
          <w:szCs w:val="21"/>
          <w:highlight w:val="none"/>
        </w:rPr>
        <w:t xml:space="preserve">灾、骚乱、暴动、战争和专用 </w:t>
      </w:r>
      <w:r>
        <w:rPr>
          <w:rFonts w:ascii="宋体" w:hAnsi="宋体" w:eastAsia="宋体" w:cs="宋体"/>
          <w:color w:val="auto"/>
          <w:spacing w:val="-1"/>
          <w:sz w:val="21"/>
          <w:szCs w:val="21"/>
          <w:highlight w:val="none"/>
        </w:rPr>
        <w:t>合同条款约定的其他情形。</w:t>
      </w:r>
    </w:p>
    <w:p w14:paraId="090F8B73">
      <w:pPr>
        <w:spacing w:before="29" w:line="351" w:lineRule="auto"/>
        <w:ind w:left="5" w:right="58" w:firstLine="417"/>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21.1.2 不可抗力发生后，发包人和承包人应及时认真统计所造成的损失，收集不可抗力造成损</w:t>
      </w:r>
      <w:r>
        <w:rPr>
          <w:rFonts w:ascii="宋体" w:hAnsi="宋体" w:eastAsia="宋体" w:cs="宋体"/>
          <w:color w:val="auto"/>
          <w:spacing w:val="18"/>
          <w:sz w:val="21"/>
          <w:szCs w:val="21"/>
          <w:highlight w:val="none"/>
        </w:rPr>
        <w:t xml:space="preserve"> </w:t>
      </w:r>
      <w:r>
        <w:rPr>
          <w:rFonts w:ascii="宋体" w:hAnsi="宋体" w:eastAsia="宋体" w:cs="宋体"/>
          <w:color w:val="auto"/>
          <w:spacing w:val="-1"/>
          <w:sz w:val="21"/>
          <w:szCs w:val="21"/>
          <w:highlight w:val="none"/>
        </w:rPr>
        <w:t>失的证据。合同双方对是否属于不可抗力或其损失的意见不一致的，由监理人按第</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3.5</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款商定或确</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定。发生争议时，按第</w:t>
      </w:r>
      <w:r>
        <w:rPr>
          <w:rFonts w:ascii="宋体" w:hAnsi="宋体" w:eastAsia="宋体" w:cs="宋体"/>
          <w:color w:val="auto"/>
          <w:spacing w:val="-30"/>
          <w:sz w:val="21"/>
          <w:szCs w:val="21"/>
          <w:highlight w:val="none"/>
        </w:rPr>
        <w:t xml:space="preserve"> </w:t>
      </w:r>
      <w:r>
        <w:rPr>
          <w:rFonts w:ascii="宋体" w:hAnsi="宋体" w:eastAsia="宋体" w:cs="宋体"/>
          <w:color w:val="auto"/>
          <w:spacing w:val="-3"/>
          <w:sz w:val="21"/>
          <w:szCs w:val="21"/>
          <w:highlight w:val="none"/>
        </w:rPr>
        <w:t>24</w:t>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条的约定办理。</w:t>
      </w:r>
    </w:p>
    <w:p w14:paraId="1D845A6C">
      <w:pPr>
        <w:spacing w:before="298"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21.2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不可抗力的通知</w:t>
      </w:r>
    </w:p>
    <w:p w14:paraId="4AD125AC">
      <w:pPr>
        <w:spacing w:before="281" w:line="289" w:lineRule="auto"/>
        <w:ind w:left="3" w:right="61" w:firstLine="41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21.2.1 合同一方当事人遇到不可抗力事件，使其履行合同义务受到阻碍时，应立即通知合同另</w:t>
      </w:r>
      <w:r>
        <w:rPr>
          <w:rFonts w:ascii="宋体" w:hAnsi="宋体" w:eastAsia="宋体" w:cs="宋体"/>
          <w:color w:val="auto"/>
          <w:spacing w:val="16"/>
          <w:sz w:val="21"/>
          <w:szCs w:val="21"/>
          <w:highlight w:val="none"/>
        </w:rPr>
        <w:t xml:space="preserve"> </w:t>
      </w:r>
      <w:r>
        <w:rPr>
          <w:rFonts w:ascii="宋体" w:hAnsi="宋体" w:eastAsia="宋体" w:cs="宋体"/>
          <w:color w:val="auto"/>
          <w:sz w:val="21"/>
          <w:szCs w:val="21"/>
          <w:highlight w:val="none"/>
        </w:rPr>
        <w:t>一方当事人和监理人，书面说明不可抗力和受阻碍的详细情况，并提供必</w:t>
      </w:r>
      <w:r>
        <w:rPr>
          <w:rFonts w:ascii="宋体" w:hAnsi="宋体" w:eastAsia="宋体" w:cs="宋体"/>
          <w:color w:val="auto"/>
          <w:spacing w:val="-1"/>
          <w:sz w:val="21"/>
          <w:szCs w:val="21"/>
          <w:highlight w:val="none"/>
        </w:rPr>
        <w:t>要的证明。</w:t>
      </w:r>
    </w:p>
    <w:p w14:paraId="6CB78056">
      <w:pPr>
        <w:spacing w:before="157" w:line="314" w:lineRule="auto"/>
        <w:ind w:right="59"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21.2.2 如不可抗力持续发生，合同一方当事人应及时向合同另一方当事人和监理人提交中间报</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告，说明不可抗力和履行合同受阻的情况，并于不可抗力事件结束后</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28</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天内提交最</w:t>
      </w:r>
      <w:r>
        <w:rPr>
          <w:rFonts w:ascii="宋体" w:hAnsi="宋体" w:eastAsia="宋体" w:cs="宋体"/>
          <w:color w:val="auto"/>
          <w:spacing w:val="-3"/>
          <w:sz w:val="21"/>
          <w:szCs w:val="21"/>
          <w:highlight w:val="none"/>
        </w:rPr>
        <w:t>终报告及有关资</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料。</w:t>
      </w:r>
    </w:p>
    <w:p w14:paraId="652CDB15">
      <w:pPr>
        <w:spacing w:line="332" w:lineRule="auto"/>
        <w:rPr>
          <w:rFonts w:ascii="Arial"/>
          <w:color w:val="auto"/>
          <w:sz w:val="21"/>
          <w:highlight w:val="none"/>
        </w:rPr>
      </w:pPr>
    </w:p>
    <w:p w14:paraId="4FE547C9">
      <w:pPr>
        <w:spacing w:before="91"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21.3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不可抗力后果及其处理</w:t>
      </w:r>
    </w:p>
    <w:p w14:paraId="561980AC">
      <w:pPr>
        <w:spacing w:before="279" w:line="221" w:lineRule="auto"/>
        <w:ind w:left="415"/>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21.3.1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不可抗力造成损害的责任</w:t>
      </w:r>
    </w:p>
    <w:p w14:paraId="53604773">
      <w:pPr>
        <w:spacing w:before="158" w:line="345" w:lineRule="auto"/>
        <w:ind w:left="2" w:right="62" w:firstLine="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除专用合同条款另有约定外，不可抗力导致的</w:t>
      </w:r>
      <w:r>
        <w:rPr>
          <w:rFonts w:ascii="宋体" w:hAnsi="宋体" w:eastAsia="宋体" w:cs="宋体"/>
          <w:color w:val="auto"/>
          <w:sz w:val="21"/>
          <w:szCs w:val="21"/>
          <w:highlight w:val="none"/>
        </w:rPr>
        <w:t xml:space="preserve">人员伤亡、财产损失、费用增加和（或）工期延 </w:t>
      </w:r>
      <w:r>
        <w:rPr>
          <w:rFonts w:ascii="宋体" w:hAnsi="宋体" w:eastAsia="宋体" w:cs="宋体"/>
          <w:color w:val="auto"/>
          <w:spacing w:val="-2"/>
          <w:sz w:val="21"/>
          <w:szCs w:val="21"/>
          <w:highlight w:val="none"/>
        </w:rPr>
        <w:t>误等后果，由合同双方按以下原则承担：</w:t>
      </w:r>
    </w:p>
    <w:p w14:paraId="217895E2">
      <w:pPr>
        <w:spacing w:before="32" w:line="290" w:lineRule="auto"/>
        <w:ind w:left="1" w:right="69"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（1）永久工程，包括已运至施工场地的材料和工程设备的损害，以及因工程损害造成的第三者</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人员伤亡和财产损失由发包人承担；</w:t>
      </w:r>
    </w:p>
    <w:p w14:paraId="67DE3DC9">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（2）承包人设备的损坏由承包人承担；</w:t>
      </w:r>
    </w:p>
    <w:p w14:paraId="0246007F">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z w:val="21"/>
          <w:szCs w:val="21"/>
          <w:highlight w:val="none"/>
        </w:rPr>
        <w:t>（3）发包人和承包人各自承担其人员伤亡和其他</w:t>
      </w:r>
      <w:r>
        <w:rPr>
          <w:rFonts w:ascii="宋体" w:hAnsi="宋体" w:eastAsia="宋体" w:cs="宋体"/>
          <w:color w:val="auto"/>
          <w:spacing w:val="-1"/>
          <w:sz w:val="21"/>
          <w:szCs w:val="21"/>
          <w:highlight w:val="none"/>
        </w:rPr>
        <w:t>财产损失及其相关费用；</w:t>
      </w:r>
    </w:p>
    <w:p w14:paraId="3143E06B">
      <w:pPr>
        <w:spacing w:before="156" w:line="291" w:lineRule="auto"/>
        <w:ind w:left="1" w:right="75"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（4）承包人的停工损失由承包人承担，但停工期间应监理人要求照管工程和</w:t>
      </w:r>
      <w:r>
        <w:rPr>
          <w:rFonts w:ascii="宋体" w:hAnsi="宋体" w:eastAsia="宋体" w:cs="宋体"/>
          <w:color w:val="auto"/>
          <w:spacing w:val="-3"/>
          <w:sz w:val="21"/>
          <w:szCs w:val="21"/>
          <w:highlight w:val="none"/>
        </w:rPr>
        <w:t>清理、修复工程的</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金额由发包人承担；</w:t>
      </w:r>
    </w:p>
    <w:p w14:paraId="78074EF0">
      <w:pPr>
        <w:spacing w:before="158" w:line="289" w:lineRule="auto"/>
        <w:ind w:right="108" w:firstLine="42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（5）不能按期竣工的，应合理延长工期，承包人不需支付逾期竣工违约金。发包人要求赶工的，</w:t>
      </w:r>
      <w:r>
        <w:rPr>
          <w:rFonts w:ascii="宋体" w:hAnsi="宋体" w:eastAsia="宋体" w:cs="宋体"/>
          <w:color w:val="auto"/>
          <w:spacing w:val="10"/>
          <w:sz w:val="21"/>
          <w:szCs w:val="21"/>
          <w:highlight w:val="none"/>
        </w:rPr>
        <w:t xml:space="preserve"> </w:t>
      </w:r>
      <w:r>
        <w:rPr>
          <w:rFonts w:ascii="宋体" w:hAnsi="宋体" w:eastAsia="宋体" w:cs="宋体"/>
          <w:color w:val="auto"/>
          <w:spacing w:val="-1"/>
          <w:sz w:val="21"/>
          <w:szCs w:val="21"/>
          <w:highlight w:val="none"/>
        </w:rPr>
        <w:t>承包人应采取赶工措施，赶工费用由发包人承担。</w:t>
      </w:r>
    </w:p>
    <w:p w14:paraId="026BC113">
      <w:pPr>
        <w:spacing w:before="157" w:line="221" w:lineRule="auto"/>
        <w:ind w:left="415"/>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21.3.2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延迟履行期间发生的不可抗力</w:t>
      </w:r>
    </w:p>
    <w:p w14:paraId="435B50A2">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合同一方当事人延迟履行，在延迟履行期间发生不可抗力的，不免除</w:t>
      </w:r>
      <w:r>
        <w:rPr>
          <w:rFonts w:ascii="宋体" w:hAnsi="宋体" w:eastAsia="宋体" w:cs="宋体"/>
          <w:color w:val="auto"/>
          <w:spacing w:val="-1"/>
          <w:sz w:val="21"/>
          <w:szCs w:val="21"/>
          <w:highlight w:val="none"/>
        </w:rPr>
        <w:t>其责任。</w:t>
      </w:r>
    </w:p>
    <w:p w14:paraId="2564FDAF">
      <w:pPr>
        <w:spacing w:before="159" w:line="221" w:lineRule="auto"/>
        <w:ind w:left="415"/>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21.3.3</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避免和减少不可抗力损失</w:t>
      </w:r>
    </w:p>
    <w:p w14:paraId="34AB9BFC">
      <w:pPr>
        <w:spacing w:before="158" w:line="345" w:lineRule="auto"/>
        <w:ind w:left="2" w:right="6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不可抗力发生后，发包人和承包人均应采取措施尽量避免和减少损</w:t>
      </w:r>
      <w:r>
        <w:rPr>
          <w:rFonts w:ascii="宋体" w:hAnsi="宋体" w:eastAsia="宋体" w:cs="宋体"/>
          <w:color w:val="auto"/>
          <w:sz w:val="21"/>
          <w:szCs w:val="21"/>
          <w:highlight w:val="none"/>
        </w:rPr>
        <w:t xml:space="preserve">失的扩大，任何一方没有采 </w:t>
      </w:r>
      <w:r>
        <w:rPr>
          <w:rFonts w:ascii="宋体" w:hAnsi="宋体" w:eastAsia="宋体" w:cs="宋体"/>
          <w:color w:val="auto"/>
          <w:spacing w:val="-1"/>
          <w:sz w:val="21"/>
          <w:szCs w:val="21"/>
          <w:highlight w:val="none"/>
        </w:rPr>
        <w:t>取有效措施导致损失扩大的，应对扩大的损失承担责任。</w:t>
      </w:r>
    </w:p>
    <w:p w14:paraId="31AE34BE">
      <w:pPr>
        <w:spacing w:before="30" w:line="221" w:lineRule="auto"/>
        <w:ind w:left="415"/>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21.3.4</w:t>
      </w:r>
      <w:r>
        <w:rPr>
          <w:rFonts w:ascii="宋体" w:hAnsi="宋体" w:eastAsia="宋体" w:cs="宋体"/>
          <w:color w:val="auto"/>
          <w:spacing w:val="28"/>
          <w:sz w:val="21"/>
          <w:szCs w:val="21"/>
          <w:highlight w:val="none"/>
        </w:rPr>
        <w:t xml:space="preserve"> </w:t>
      </w:r>
      <w:r>
        <w:rPr>
          <w:rFonts w:ascii="宋体" w:hAnsi="宋体" w:eastAsia="宋体" w:cs="宋体"/>
          <w:b/>
          <w:bCs/>
          <w:color w:val="auto"/>
          <w:spacing w:val="-4"/>
          <w:sz w:val="21"/>
          <w:szCs w:val="21"/>
          <w:highlight w:val="none"/>
        </w:rPr>
        <w:t>因不可抗力解除合同</w:t>
      </w:r>
    </w:p>
    <w:p w14:paraId="743E66E5">
      <w:pPr>
        <w:spacing w:before="161" w:line="349" w:lineRule="auto"/>
        <w:ind w:left="1" w:firstLine="419"/>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合同一方当事人因不可抗力不能履行合同的，应当及时通知对方解除合同</w:t>
      </w:r>
      <w:r>
        <w:rPr>
          <w:rFonts w:ascii="宋体" w:hAnsi="宋体" w:eastAsia="宋体" w:cs="宋体"/>
          <w:color w:val="auto"/>
          <w:sz w:val="21"/>
          <w:szCs w:val="21"/>
          <w:highlight w:val="none"/>
        </w:rPr>
        <w:t xml:space="preserve">。合同解除后，承包 </w:t>
      </w:r>
      <w:r>
        <w:rPr>
          <w:rFonts w:ascii="宋体" w:hAnsi="宋体" w:eastAsia="宋体" w:cs="宋体"/>
          <w:color w:val="auto"/>
          <w:spacing w:val="-5"/>
          <w:sz w:val="21"/>
          <w:szCs w:val="21"/>
          <w:highlight w:val="none"/>
        </w:rPr>
        <w:t>人应按照第</w:t>
      </w:r>
      <w:r>
        <w:rPr>
          <w:rFonts w:ascii="宋体" w:hAnsi="宋体" w:eastAsia="宋体" w:cs="宋体"/>
          <w:color w:val="auto"/>
          <w:spacing w:val="-41"/>
          <w:sz w:val="21"/>
          <w:szCs w:val="21"/>
          <w:highlight w:val="none"/>
        </w:rPr>
        <w:t xml:space="preserve"> </w:t>
      </w:r>
      <w:r>
        <w:rPr>
          <w:rFonts w:ascii="宋体" w:hAnsi="宋体" w:eastAsia="宋体" w:cs="宋体"/>
          <w:color w:val="auto"/>
          <w:spacing w:val="-5"/>
          <w:sz w:val="21"/>
          <w:szCs w:val="21"/>
          <w:highlight w:val="none"/>
        </w:rPr>
        <w:t>22.2.5</w:t>
      </w:r>
      <w:r>
        <w:rPr>
          <w:rFonts w:ascii="宋体" w:hAnsi="宋体" w:eastAsia="宋体" w:cs="宋体"/>
          <w:color w:val="auto"/>
          <w:spacing w:val="-43"/>
          <w:sz w:val="21"/>
          <w:szCs w:val="21"/>
          <w:highlight w:val="none"/>
        </w:rPr>
        <w:t xml:space="preserve"> </w:t>
      </w:r>
      <w:r>
        <w:rPr>
          <w:rFonts w:ascii="宋体" w:hAnsi="宋体" w:eastAsia="宋体" w:cs="宋体"/>
          <w:color w:val="auto"/>
          <w:spacing w:val="-5"/>
          <w:sz w:val="21"/>
          <w:szCs w:val="21"/>
          <w:highlight w:val="none"/>
        </w:rPr>
        <w:t>项约定撤离施工场地。已经订货的材料、设备由订货方负责退货或</w:t>
      </w:r>
      <w:r>
        <w:rPr>
          <w:rFonts w:ascii="宋体" w:hAnsi="宋体" w:eastAsia="宋体" w:cs="宋体"/>
          <w:color w:val="auto"/>
          <w:spacing w:val="-6"/>
          <w:sz w:val="21"/>
          <w:szCs w:val="21"/>
          <w:highlight w:val="none"/>
        </w:rPr>
        <w:t>解除订货合同，</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不能退还的货款和因退货、解除订货合同发生的费用，由发包人承担，因未及</w:t>
      </w:r>
      <w:r>
        <w:rPr>
          <w:rFonts w:ascii="宋体" w:hAnsi="宋体" w:eastAsia="宋体" w:cs="宋体"/>
          <w:color w:val="auto"/>
          <w:sz w:val="21"/>
          <w:szCs w:val="21"/>
          <w:highlight w:val="none"/>
        </w:rPr>
        <w:t>时退货造成的损失由</w:t>
      </w:r>
    </w:p>
    <w:p w14:paraId="233EF1E9">
      <w:pPr>
        <w:spacing w:before="41" w:line="221" w:lineRule="auto"/>
        <w:ind w:left="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责任方承担。合同解除后的付款，参照第</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22.2</w:t>
      </w:r>
      <w:r>
        <w:rPr>
          <w:rFonts w:ascii="宋体" w:hAnsi="宋体" w:eastAsia="宋体" w:cs="宋体"/>
          <w:color w:val="auto"/>
          <w:spacing w:val="-2"/>
          <w:sz w:val="21"/>
          <w:szCs w:val="21"/>
          <w:highlight w:val="none"/>
        </w:rPr>
        <w:t>.4</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项约定，由监理人按第</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3.5</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款商定或确定。</w:t>
      </w:r>
    </w:p>
    <w:p w14:paraId="64028A2C">
      <w:pPr>
        <w:spacing w:before="172" w:line="230" w:lineRule="auto"/>
        <w:ind w:left="8"/>
        <w:outlineLvl w:val="2"/>
        <w:rPr>
          <w:rFonts w:ascii="宋体" w:hAnsi="宋体" w:eastAsia="宋体" w:cs="宋体"/>
          <w:color w:val="auto"/>
          <w:sz w:val="31"/>
          <w:szCs w:val="31"/>
          <w:highlight w:val="none"/>
        </w:rPr>
      </w:pPr>
      <w:bookmarkStart w:id="280" w:name="bookmark246"/>
      <w:bookmarkEnd w:id="280"/>
      <w:bookmarkStart w:id="281" w:name="_Toc27903"/>
      <w:bookmarkStart w:id="282" w:name="_Toc17319"/>
      <w:r>
        <w:rPr>
          <w:rFonts w:ascii="宋体" w:hAnsi="宋体" w:eastAsia="宋体" w:cs="宋体"/>
          <w:b/>
          <w:bCs/>
          <w:color w:val="auto"/>
          <w:spacing w:val="-2"/>
          <w:sz w:val="31"/>
          <w:szCs w:val="31"/>
          <w:highlight w:val="none"/>
        </w:rPr>
        <w:t>22.</w:t>
      </w:r>
      <w:r>
        <w:rPr>
          <w:rFonts w:ascii="宋体" w:hAnsi="宋体" w:eastAsia="宋体" w:cs="宋体"/>
          <w:color w:val="auto"/>
          <w:spacing w:val="22"/>
          <w:sz w:val="31"/>
          <w:szCs w:val="31"/>
          <w:highlight w:val="none"/>
        </w:rPr>
        <w:t xml:space="preserve"> </w:t>
      </w:r>
      <w:r>
        <w:rPr>
          <w:rFonts w:ascii="宋体" w:hAnsi="宋体" w:eastAsia="宋体" w:cs="宋体"/>
          <w:b/>
          <w:bCs/>
          <w:color w:val="auto"/>
          <w:spacing w:val="-2"/>
          <w:sz w:val="31"/>
          <w:szCs w:val="31"/>
          <w:highlight w:val="none"/>
        </w:rPr>
        <w:t>违约</w:t>
      </w:r>
      <w:bookmarkEnd w:id="281"/>
      <w:bookmarkEnd w:id="282"/>
    </w:p>
    <w:p w14:paraId="0926BBEB">
      <w:pPr>
        <w:spacing w:before="268"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22.1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承包人违约</w:t>
      </w:r>
    </w:p>
    <w:p w14:paraId="3C63EC98">
      <w:pPr>
        <w:spacing w:before="279"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22.1.1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承包人违约的情形</w:t>
      </w:r>
    </w:p>
    <w:p w14:paraId="537EDC5D">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在履行合同过程中发生的下列情况属承包人违约：</w:t>
      </w:r>
    </w:p>
    <w:p w14:paraId="2FACEECC">
      <w:pPr>
        <w:spacing w:before="156" w:line="290" w:lineRule="auto"/>
        <w:ind w:left="1" w:firstLine="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（1）承包人违反第</w:t>
      </w:r>
      <w:r>
        <w:rPr>
          <w:rFonts w:ascii="宋体" w:hAnsi="宋体" w:eastAsia="宋体" w:cs="宋体"/>
          <w:color w:val="auto"/>
          <w:spacing w:val="-21"/>
          <w:sz w:val="21"/>
          <w:szCs w:val="21"/>
          <w:highlight w:val="none"/>
        </w:rPr>
        <w:t xml:space="preserve"> </w:t>
      </w:r>
      <w:r>
        <w:rPr>
          <w:rFonts w:ascii="宋体" w:hAnsi="宋体" w:eastAsia="宋体" w:cs="宋体"/>
          <w:color w:val="auto"/>
          <w:spacing w:val="-3"/>
          <w:sz w:val="21"/>
          <w:szCs w:val="21"/>
          <w:highlight w:val="none"/>
        </w:rPr>
        <w:t>1.8</w:t>
      </w:r>
      <w:r>
        <w:rPr>
          <w:rFonts w:ascii="宋体" w:hAnsi="宋体" w:eastAsia="宋体" w:cs="宋体"/>
          <w:color w:val="auto"/>
          <w:spacing w:val="-44"/>
          <w:sz w:val="21"/>
          <w:szCs w:val="21"/>
          <w:highlight w:val="none"/>
        </w:rPr>
        <w:t xml:space="preserve"> </w:t>
      </w:r>
      <w:r>
        <w:rPr>
          <w:rFonts w:ascii="宋体" w:hAnsi="宋体" w:eastAsia="宋体" w:cs="宋体"/>
          <w:color w:val="auto"/>
          <w:spacing w:val="-3"/>
          <w:sz w:val="21"/>
          <w:szCs w:val="21"/>
          <w:highlight w:val="none"/>
        </w:rPr>
        <w:t>款或第</w:t>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4.3</w:t>
      </w:r>
      <w:r>
        <w:rPr>
          <w:rFonts w:ascii="宋体" w:hAnsi="宋体" w:eastAsia="宋体" w:cs="宋体"/>
          <w:color w:val="auto"/>
          <w:spacing w:val="-44"/>
          <w:sz w:val="21"/>
          <w:szCs w:val="21"/>
          <w:highlight w:val="none"/>
        </w:rPr>
        <w:t xml:space="preserve"> </w:t>
      </w:r>
      <w:r>
        <w:rPr>
          <w:rFonts w:ascii="宋体" w:hAnsi="宋体" w:eastAsia="宋体" w:cs="宋体"/>
          <w:color w:val="auto"/>
          <w:spacing w:val="-3"/>
          <w:sz w:val="21"/>
          <w:szCs w:val="21"/>
          <w:highlight w:val="none"/>
        </w:rPr>
        <w:t>款的约定，私自将合同的全部或部分权利转让给其他人，或</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私自将合同的全部或部分义务转移给其他人；</w:t>
      </w:r>
    </w:p>
    <w:p w14:paraId="79F385ED">
      <w:pPr>
        <w:spacing w:before="160" w:line="289" w:lineRule="auto"/>
        <w:ind w:firstLine="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（2）承包人违反第</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5.3</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款或第6.4</w:t>
      </w:r>
      <w:r>
        <w:rPr>
          <w:rFonts w:ascii="宋体" w:hAnsi="宋体" w:eastAsia="宋体" w:cs="宋体"/>
          <w:color w:val="auto"/>
          <w:spacing w:val="-43"/>
          <w:sz w:val="21"/>
          <w:szCs w:val="21"/>
          <w:highlight w:val="none"/>
        </w:rPr>
        <w:t xml:space="preserve"> </w:t>
      </w:r>
      <w:r>
        <w:rPr>
          <w:rFonts w:ascii="宋体" w:hAnsi="宋体" w:eastAsia="宋体" w:cs="宋体"/>
          <w:color w:val="auto"/>
          <w:spacing w:val="-1"/>
          <w:sz w:val="21"/>
          <w:szCs w:val="21"/>
          <w:highlight w:val="none"/>
        </w:rPr>
        <w:t>款的约定，未经监理人批准，私自将已按合同</w:t>
      </w:r>
      <w:r>
        <w:rPr>
          <w:rFonts w:ascii="宋体" w:hAnsi="宋体" w:eastAsia="宋体" w:cs="宋体"/>
          <w:color w:val="auto"/>
          <w:spacing w:val="-2"/>
          <w:sz w:val="21"/>
          <w:szCs w:val="21"/>
          <w:highlight w:val="none"/>
        </w:rPr>
        <w:t>约定进入施工</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场地的施工设备、临时设施或材料撤离施工场地；</w:t>
      </w:r>
    </w:p>
    <w:p w14:paraId="28213C7F">
      <w:pPr>
        <w:spacing w:before="158" w:line="290" w:lineRule="auto"/>
        <w:ind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（3）承包人违反第</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5.4</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款的约定使用了不合格材料或工程设备，工程质量达不</w:t>
      </w:r>
      <w:r>
        <w:rPr>
          <w:rFonts w:ascii="宋体" w:hAnsi="宋体" w:eastAsia="宋体" w:cs="宋体"/>
          <w:color w:val="auto"/>
          <w:spacing w:val="-3"/>
          <w:sz w:val="21"/>
          <w:szCs w:val="21"/>
          <w:highlight w:val="none"/>
        </w:rPr>
        <w:t>到标准要求，又</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拒绝清除不合格工程；</w:t>
      </w:r>
    </w:p>
    <w:p w14:paraId="7ADAFD5D">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（4）承包人未能按合同进度计划及时完成合同约定的工作，已造成或</w:t>
      </w:r>
      <w:r>
        <w:rPr>
          <w:rFonts w:ascii="宋体" w:hAnsi="宋体" w:eastAsia="宋体" w:cs="宋体"/>
          <w:color w:val="auto"/>
          <w:spacing w:val="-1"/>
          <w:sz w:val="21"/>
          <w:szCs w:val="21"/>
          <w:highlight w:val="none"/>
        </w:rPr>
        <w:t>预期造成工期延误；</w:t>
      </w:r>
    </w:p>
    <w:p w14:paraId="2CE8CE7F">
      <w:pPr>
        <w:spacing w:before="158" w:line="290" w:lineRule="auto"/>
        <w:ind w:left="18" w:right="10" w:firstLine="40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（5）承包人在缺陷责任期内，未能对工程接收证书所列的缺陷清单的内容或缺陷责任期内发生</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的缺陷进行修复，而又拒绝按监理人指示再进行修补；</w:t>
      </w:r>
    </w:p>
    <w:p w14:paraId="5CEDB1B8">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（6）承包人无法继续履行或明确表示不履行或实质上已停止履行</w:t>
      </w:r>
      <w:r>
        <w:rPr>
          <w:rFonts w:ascii="宋体" w:hAnsi="宋体" w:eastAsia="宋体" w:cs="宋体"/>
          <w:color w:val="auto"/>
          <w:spacing w:val="-2"/>
          <w:sz w:val="21"/>
          <w:szCs w:val="21"/>
          <w:highlight w:val="none"/>
        </w:rPr>
        <w:t>合同；</w:t>
      </w:r>
    </w:p>
    <w:p w14:paraId="5EB80BD7">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（7）承包人不按合同约定履行义务的其他情况。</w:t>
      </w:r>
    </w:p>
    <w:p w14:paraId="35C4B23A">
      <w:pPr>
        <w:spacing w:before="156"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22.1.2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对承包人违约的处理</w:t>
      </w:r>
    </w:p>
    <w:p w14:paraId="2B6F04B5">
      <w:pPr>
        <w:spacing w:before="159" w:line="290" w:lineRule="auto"/>
        <w:ind w:left="2" w:right="11"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（1）承包人发生第</w:t>
      </w:r>
      <w:r>
        <w:rPr>
          <w:rFonts w:ascii="宋体" w:hAnsi="宋体" w:eastAsia="宋体" w:cs="宋体"/>
          <w:color w:val="auto"/>
          <w:spacing w:val="-44"/>
          <w:sz w:val="21"/>
          <w:szCs w:val="21"/>
          <w:highlight w:val="none"/>
        </w:rPr>
        <w:t xml:space="preserve"> </w:t>
      </w:r>
      <w:r>
        <w:rPr>
          <w:rFonts w:ascii="宋体" w:hAnsi="宋体" w:eastAsia="宋体" w:cs="宋体"/>
          <w:color w:val="auto"/>
          <w:spacing w:val="-2"/>
          <w:sz w:val="21"/>
          <w:szCs w:val="21"/>
          <w:highlight w:val="none"/>
        </w:rPr>
        <w:t>22.1.1（6）</w:t>
      </w:r>
      <w:r>
        <w:rPr>
          <w:rFonts w:ascii="宋体" w:hAnsi="宋体" w:eastAsia="宋体" w:cs="宋体"/>
          <w:color w:val="auto"/>
          <w:spacing w:val="-58"/>
          <w:sz w:val="21"/>
          <w:szCs w:val="21"/>
          <w:highlight w:val="none"/>
        </w:rPr>
        <w:t xml:space="preserve"> </w:t>
      </w:r>
      <w:r>
        <w:rPr>
          <w:rFonts w:ascii="宋体" w:hAnsi="宋体" w:eastAsia="宋体" w:cs="宋体"/>
          <w:color w:val="auto"/>
          <w:spacing w:val="-2"/>
          <w:sz w:val="21"/>
          <w:szCs w:val="21"/>
          <w:highlight w:val="none"/>
        </w:rPr>
        <w:t>目约定的违约情况时，发包人可通知承包人立即解除合同，并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按有关法律处理。</w:t>
      </w:r>
    </w:p>
    <w:p w14:paraId="1F9DE00B">
      <w:pPr>
        <w:spacing w:before="156" w:line="290" w:lineRule="auto"/>
        <w:ind w:right="11" w:firstLine="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（2）承包人发生除第</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22.1.1（6）</w:t>
      </w:r>
      <w:r>
        <w:rPr>
          <w:rFonts w:ascii="宋体" w:hAnsi="宋体" w:eastAsia="宋体" w:cs="宋体"/>
          <w:color w:val="auto"/>
          <w:spacing w:val="-58"/>
          <w:sz w:val="21"/>
          <w:szCs w:val="21"/>
          <w:highlight w:val="none"/>
        </w:rPr>
        <w:t xml:space="preserve"> </w:t>
      </w:r>
      <w:r>
        <w:rPr>
          <w:rFonts w:ascii="宋体" w:hAnsi="宋体" w:eastAsia="宋体" w:cs="宋体"/>
          <w:color w:val="auto"/>
          <w:spacing w:val="-2"/>
          <w:sz w:val="21"/>
          <w:szCs w:val="21"/>
          <w:highlight w:val="none"/>
        </w:rPr>
        <w:t>目约定以外的其他违约情况时，监理人可向承包人发出</w:t>
      </w:r>
      <w:r>
        <w:rPr>
          <w:rFonts w:ascii="宋体" w:hAnsi="宋体" w:eastAsia="宋体" w:cs="宋体"/>
          <w:color w:val="auto"/>
          <w:spacing w:val="-3"/>
          <w:sz w:val="21"/>
          <w:szCs w:val="21"/>
          <w:highlight w:val="none"/>
        </w:rPr>
        <w:t>整改</w:t>
      </w:r>
      <w:r>
        <w:rPr>
          <w:rFonts w:ascii="宋体" w:hAnsi="宋体" w:eastAsia="宋体" w:cs="宋体"/>
          <w:color w:val="auto"/>
          <w:sz w:val="21"/>
          <w:szCs w:val="21"/>
          <w:highlight w:val="none"/>
        </w:rPr>
        <w:t xml:space="preserve"> 通知，要求其在指定的期限内改正。承包人应承担其违约所</w:t>
      </w:r>
      <w:r>
        <w:rPr>
          <w:rFonts w:ascii="宋体" w:hAnsi="宋体" w:eastAsia="宋体" w:cs="宋体"/>
          <w:color w:val="auto"/>
          <w:spacing w:val="-1"/>
          <w:sz w:val="21"/>
          <w:szCs w:val="21"/>
          <w:highlight w:val="none"/>
        </w:rPr>
        <w:t>引起的费用增加和（或）工期延误。</w:t>
      </w:r>
    </w:p>
    <w:p w14:paraId="498A3FCA">
      <w:pPr>
        <w:spacing w:before="160" w:line="290" w:lineRule="auto"/>
        <w:ind w:left="3" w:right="10"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（3）经检查证明承包人已采取了有效措施纠正违约行为，具备复工条件的，可由监理人签发复</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工通知复工。</w:t>
      </w:r>
    </w:p>
    <w:p w14:paraId="54A4A5EF">
      <w:pPr>
        <w:spacing w:before="156"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22.1.3</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承包人违约解除合同</w:t>
      </w:r>
    </w:p>
    <w:p w14:paraId="0FF88006">
      <w:pPr>
        <w:spacing w:before="156" w:line="353" w:lineRule="auto"/>
        <w:ind w:left="3" w:right="1" w:firstLine="418"/>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监理人发出整改通知</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28</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天后，承包人仍不纠正违约行为的，发包人可向</w:t>
      </w:r>
      <w:r>
        <w:rPr>
          <w:rFonts w:ascii="宋体" w:hAnsi="宋体" w:eastAsia="宋体" w:cs="宋体"/>
          <w:color w:val="auto"/>
          <w:spacing w:val="-3"/>
          <w:sz w:val="21"/>
          <w:szCs w:val="21"/>
          <w:highlight w:val="none"/>
        </w:rPr>
        <w:t>承包人发出解除合同通</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知。合同解除后，发包人可派员进驻施工场地，另行组织人员或委托其他</w:t>
      </w:r>
      <w:r>
        <w:rPr>
          <w:rFonts w:ascii="宋体" w:hAnsi="宋体" w:eastAsia="宋体" w:cs="宋体"/>
          <w:color w:val="auto"/>
          <w:sz w:val="21"/>
          <w:szCs w:val="21"/>
          <w:highlight w:val="none"/>
        </w:rPr>
        <w:t xml:space="preserve">承包人施工。发包人因继 </w:t>
      </w:r>
      <w:r>
        <w:rPr>
          <w:rFonts w:ascii="宋体" w:hAnsi="宋体" w:eastAsia="宋体" w:cs="宋体"/>
          <w:color w:val="auto"/>
          <w:spacing w:val="1"/>
          <w:sz w:val="21"/>
          <w:szCs w:val="21"/>
          <w:highlight w:val="none"/>
        </w:rPr>
        <w:t>续完成该工程的需要，有权扣留使用承包人在现场的材料、设备和临时设</w:t>
      </w:r>
      <w:r>
        <w:rPr>
          <w:rFonts w:ascii="宋体" w:hAnsi="宋体" w:eastAsia="宋体" w:cs="宋体"/>
          <w:color w:val="auto"/>
          <w:sz w:val="21"/>
          <w:szCs w:val="21"/>
          <w:highlight w:val="none"/>
        </w:rPr>
        <w:t xml:space="preserve">施。但发包人的这一行动 </w:t>
      </w:r>
      <w:r>
        <w:rPr>
          <w:rFonts w:ascii="宋体" w:hAnsi="宋体" w:eastAsia="宋体" w:cs="宋体"/>
          <w:color w:val="auto"/>
          <w:spacing w:val="-1"/>
          <w:sz w:val="21"/>
          <w:szCs w:val="21"/>
          <w:highlight w:val="none"/>
        </w:rPr>
        <w:t>不免除承包人应承担的违约责任，也不影响发包人根据合同约定享有的索赔权利。</w:t>
      </w:r>
    </w:p>
    <w:p w14:paraId="2E5A5873">
      <w:pPr>
        <w:spacing w:before="30" w:line="219" w:lineRule="auto"/>
        <w:ind w:left="416"/>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22.1.4</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合同解除后的估价、付款和结清</w:t>
      </w:r>
    </w:p>
    <w:p w14:paraId="33AD6C89">
      <w:pPr>
        <w:spacing w:before="158" w:line="289" w:lineRule="auto"/>
        <w:ind w:firstLine="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（1）合同解除后，监理人按第</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3.5</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款商定或确定承包人实际完成工</w:t>
      </w:r>
      <w:r>
        <w:rPr>
          <w:rFonts w:ascii="宋体" w:hAnsi="宋体" w:eastAsia="宋体" w:cs="宋体"/>
          <w:color w:val="auto"/>
          <w:spacing w:val="-3"/>
          <w:sz w:val="21"/>
          <w:szCs w:val="21"/>
          <w:highlight w:val="none"/>
        </w:rPr>
        <w:t>作的价值，以及承包人已提</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供的材料、施工设备、工程设备和临时工程等的价值。</w:t>
      </w:r>
    </w:p>
    <w:p w14:paraId="730DDB1D">
      <w:pPr>
        <w:spacing w:before="161" w:line="290" w:lineRule="auto"/>
        <w:ind w:left="2"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（2）合同解除后，发包人应暂停对承包人的一切付款，查清各项付款和已扣款金额，包括承包</w:t>
      </w:r>
      <w:r>
        <w:rPr>
          <w:rFonts w:ascii="宋体" w:hAnsi="宋体" w:eastAsia="宋体" w:cs="宋体"/>
          <w:color w:val="auto"/>
          <w:spacing w:val="8"/>
          <w:sz w:val="21"/>
          <w:szCs w:val="21"/>
          <w:highlight w:val="none"/>
        </w:rPr>
        <w:t xml:space="preserve"> </w:t>
      </w:r>
      <w:r>
        <w:rPr>
          <w:rFonts w:ascii="宋体" w:hAnsi="宋体" w:eastAsia="宋体" w:cs="宋体"/>
          <w:color w:val="auto"/>
          <w:spacing w:val="-3"/>
          <w:sz w:val="21"/>
          <w:szCs w:val="21"/>
          <w:highlight w:val="none"/>
        </w:rPr>
        <w:t>人应支付的违约金。</w:t>
      </w:r>
    </w:p>
    <w:p w14:paraId="190BF94E">
      <w:pPr>
        <w:spacing w:before="41" w:line="291" w:lineRule="auto"/>
        <w:ind w:left="5" w:right="56"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（3）合同解除后，发包人应按第</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23.4</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款的约定向承包人索赔由于解除合同给发包人造成的损</w:t>
      </w:r>
      <w:r>
        <w:rPr>
          <w:rFonts w:ascii="宋体" w:hAnsi="宋体" w:eastAsia="宋体" w:cs="宋体"/>
          <w:color w:val="auto"/>
          <w:sz w:val="21"/>
          <w:szCs w:val="21"/>
          <w:highlight w:val="none"/>
        </w:rPr>
        <w:t xml:space="preserve"> </w:t>
      </w:r>
      <w:r>
        <w:rPr>
          <w:rFonts w:ascii="宋体" w:hAnsi="宋体" w:eastAsia="宋体" w:cs="宋体"/>
          <w:color w:val="auto"/>
          <w:spacing w:val="-11"/>
          <w:sz w:val="21"/>
          <w:szCs w:val="21"/>
          <w:highlight w:val="none"/>
        </w:rPr>
        <w:t>失。</w:t>
      </w:r>
    </w:p>
    <w:p w14:paraId="3456E0BB">
      <w:pPr>
        <w:spacing w:before="155" w:line="220"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（4）合同双方确认上述往来款项后，出具最终结清付款证书，结清全部合同款项。</w:t>
      </w:r>
    </w:p>
    <w:p w14:paraId="5CD15E4D">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（5）发包人和承包人未能就解除合同后的结清达成一致而形成争议的，按第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5"/>
          <w:sz w:val="21"/>
          <w:szCs w:val="21"/>
          <w:highlight w:val="none"/>
        </w:rPr>
        <w:t>24</w:t>
      </w:r>
      <w:r>
        <w:rPr>
          <w:rFonts w:ascii="宋体" w:hAnsi="宋体" w:eastAsia="宋体" w:cs="宋体"/>
          <w:color w:val="auto"/>
          <w:spacing w:val="-43"/>
          <w:sz w:val="21"/>
          <w:szCs w:val="21"/>
          <w:highlight w:val="none"/>
        </w:rPr>
        <w:t xml:space="preserve"> </w:t>
      </w:r>
      <w:r>
        <w:rPr>
          <w:rFonts w:ascii="宋体" w:hAnsi="宋体" w:eastAsia="宋体" w:cs="宋体"/>
          <w:color w:val="auto"/>
          <w:spacing w:val="-5"/>
          <w:sz w:val="21"/>
          <w:szCs w:val="21"/>
          <w:highlight w:val="none"/>
        </w:rPr>
        <w:t>条的约定办理。</w:t>
      </w:r>
    </w:p>
    <w:p w14:paraId="330FAE03">
      <w:pPr>
        <w:spacing w:before="159"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22.1.5</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协议利益的转让</w:t>
      </w:r>
    </w:p>
    <w:p w14:paraId="118B8E74">
      <w:pPr>
        <w:spacing w:before="155" w:line="345" w:lineRule="auto"/>
        <w:ind w:left="1" w:right="59" w:firstLine="435"/>
        <w:rPr>
          <w:rFonts w:ascii="宋体" w:hAnsi="宋体" w:eastAsia="宋体" w:cs="宋体"/>
          <w:color w:val="auto"/>
          <w:sz w:val="21"/>
          <w:szCs w:val="21"/>
          <w:highlight w:val="none"/>
        </w:rPr>
      </w:pPr>
      <w:r>
        <w:rPr>
          <w:rFonts w:ascii="宋体" w:hAnsi="宋体" w:eastAsia="宋体" w:cs="宋体"/>
          <w:color w:val="auto"/>
          <w:sz w:val="21"/>
          <w:szCs w:val="21"/>
          <w:highlight w:val="none"/>
        </w:rPr>
        <w:t>因承包人违约解除合同的，发包人有权要求承包人将其为实施合同而签订的材料和设备的订货</w:t>
      </w:r>
      <w:r>
        <w:rPr>
          <w:rFonts w:ascii="宋体" w:hAnsi="宋体" w:eastAsia="宋体" w:cs="宋体"/>
          <w:color w:val="auto"/>
          <w:spacing w:val="16"/>
          <w:sz w:val="21"/>
          <w:szCs w:val="21"/>
          <w:highlight w:val="none"/>
        </w:rPr>
        <w:t xml:space="preserve"> </w:t>
      </w:r>
      <w:r>
        <w:rPr>
          <w:rFonts w:ascii="宋体" w:hAnsi="宋体" w:eastAsia="宋体" w:cs="宋体"/>
          <w:color w:val="auto"/>
          <w:spacing w:val="-1"/>
          <w:sz w:val="21"/>
          <w:szCs w:val="21"/>
          <w:highlight w:val="none"/>
        </w:rPr>
        <w:t>协议或任何服务协议利益转让给发包人，并在解除合同后的</w:t>
      </w:r>
      <w:r>
        <w:rPr>
          <w:rFonts w:ascii="宋体" w:hAnsi="宋体" w:eastAsia="宋体" w:cs="宋体"/>
          <w:color w:val="auto"/>
          <w:spacing w:val="-29"/>
          <w:sz w:val="21"/>
          <w:szCs w:val="21"/>
          <w:highlight w:val="none"/>
        </w:rPr>
        <w:t xml:space="preserve"> </w:t>
      </w:r>
      <w:r>
        <w:rPr>
          <w:rFonts w:ascii="宋体" w:hAnsi="宋体" w:eastAsia="宋体" w:cs="宋体"/>
          <w:color w:val="auto"/>
          <w:spacing w:val="-1"/>
          <w:sz w:val="21"/>
          <w:szCs w:val="21"/>
          <w:highlight w:val="none"/>
        </w:rPr>
        <w:t>14</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天内，依法办理转让手续。</w:t>
      </w:r>
    </w:p>
    <w:p w14:paraId="41F9EE74">
      <w:pPr>
        <w:spacing w:before="31"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22.1.6</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紧急情况下无能力或不愿进行抢救</w:t>
      </w:r>
    </w:p>
    <w:p w14:paraId="43BF3AC1">
      <w:pPr>
        <w:spacing w:before="159" w:line="350" w:lineRule="auto"/>
        <w:ind w:right="57" w:firstLine="419"/>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在工程实施期间或缺陷责任期内发生危及工程安全的事件，监理人通知承包</w:t>
      </w:r>
      <w:r>
        <w:rPr>
          <w:rFonts w:ascii="宋体" w:hAnsi="宋体" w:eastAsia="宋体" w:cs="宋体"/>
          <w:color w:val="auto"/>
          <w:sz w:val="21"/>
          <w:szCs w:val="21"/>
          <w:highlight w:val="none"/>
        </w:rPr>
        <w:t xml:space="preserve">人进行抢救，承包 </w:t>
      </w:r>
      <w:r>
        <w:rPr>
          <w:rFonts w:ascii="宋体" w:hAnsi="宋体" w:eastAsia="宋体" w:cs="宋体"/>
          <w:color w:val="auto"/>
          <w:spacing w:val="1"/>
          <w:sz w:val="21"/>
          <w:szCs w:val="21"/>
          <w:highlight w:val="none"/>
        </w:rPr>
        <w:t>人声明无能力或不愿立即执行的，发包人有权雇佣其他人员进行抢救。此类抢救</w:t>
      </w:r>
      <w:r>
        <w:rPr>
          <w:rFonts w:ascii="宋体" w:hAnsi="宋体" w:eastAsia="宋体" w:cs="宋体"/>
          <w:color w:val="auto"/>
          <w:sz w:val="21"/>
          <w:szCs w:val="21"/>
          <w:highlight w:val="none"/>
        </w:rPr>
        <w:t>按合同约定属于承 包人义务的，由此发生的金额和（或）工期延误由承包人</w:t>
      </w:r>
      <w:r>
        <w:rPr>
          <w:rFonts w:ascii="宋体" w:hAnsi="宋体" w:eastAsia="宋体" w:cs="宋体"/>
          <w:color w:val="auto"/>
          <w:spacing w:val="-1"/>
          <w:sz w:val="21"/>
          <w:szCs w:val="21"/>
          <w:highlight w:val="none"/>
        </w:rPr>
        <w:t>承担。</w:t>
      </w:r>
    </w:p>
    <w:p w14:paraId="236E03C3">
      <w:pPr>
        <w:spacing w:before="300" w:line="221" w:lineRule="auto"/>
        <w:ind w:left="143"/>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22.2</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5"/>
          <w:sz w:val="28"/>
          <w:szCs w:val="28"/>
          <w:highlight w:val="none"/>
        </w:rPr>
        <w:t>发包人违约</w:t>
      </w:r>
    </w:p>
    <w:p w14:paraId="630AD8F9">
      <w:pPr>
        <w:spacing w:before="279"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22.2.1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发包人违约的情形</w:t>
      </w:r>
    </w:p>
    <w:p w14:paraId="56B955CE">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在履行合同过程中发生的下列情形，属发包人</w:t>
      </w:r>
      <w:r>
        <w:rPr>
          <w:rFonts w:ascii="宋体" w:hAnsi="宋体" w:eastAsia="宋体" w:cs="宋体"/>
          <w:color w:val="auto"/>
          <w:spacing w:val="-1"/>
          <w:sz w:val="21"/>
          <w:szCs w:val="21"/>
          <w:highlight w:val="none"/>
        </w:rPr>
        <w:t>违约：</w:t>
      </w:r>
    </w:p>
    <w:p w14:paraId="03817658">
      <w:pPr>
        <w:spacing w:before="158" w:line="290" w:lineRule="auto"/>
        <w:ind w:left="6" w:firstLine="420"/>
        <w:rPr>
          <w:rFonts w:ascii="宋体" w:hAnsi="宋体" w:eastAsia="宋体" w:cs="宋体"/>
          <w:color w:val="auto"/>
          <w:sz w:val="21"/>
          <w:szCs w:val="21"/>
          <w:highlight w:val="none"/>
        </w:rPr>
      </w:pPr>
      <w:r>
        <w:rPr>
          <w:rFonts w:ascii="宋体" w:hAnsi="宋体" w:eastAsia="宋体" w:cs="宋体"/>
          <w:color w:val="auto"/>
          <w:sz w:val="21"/>
          <w:szCs w:val="21"/>
          <w:highlight w:val="none"/>
        </w:rPr>
        <w:t>（1）发包人未能按合同约定支付预付款或合同价款</w:t>
      </w:r>
      <w:r>
        <w:rPr>
          <w:rFonts w:ascii="宋体" w:hAnsi="宋体" w:eastAsia="宋体" w:cs="宋体"/>
          <w:color w:val="auto"/>
          <w:spacing w:val="-1"/>
          <w:sz w:val="21"/>
          <w:szCs w:val="21"/>
          <w:highlight w:val="none"/>
        </w:rPr>
        <w:t>，或拖延、拒绝批准付款申请和支付凭证，</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导致付款延误的；</w:t>
      </w:r>
    </w:p>
    <w:p w14:paraId="0FB6022F">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（2）发包人原因造成停工的；</w:t>
      </w:r>
    </w:p>
    <w:p w14:paraId="02C5F527">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（3）监理人无正当理由没有在约定期限内发出复工指示，导致承包人</w:t>
      </w:r>
      <w:r>
        <w:rPr>
          <w:rFonts w:ascii="宋体" w:hAnsi="宋体" w:eastAsia="宋体" w:cs="宋体"/>
          <w:color w:val="auto"/>
          <w:spacing w:val="-2"/>
          <w:sz w:val="21"/>
          <w:szCs w:val="21"/>
          <w:highlight w:val="none"/>
        </w:rPr>
        <w:t>无法复工的；</w:t>
      </w:r>
    </w:p>
    <w:p w14:paraId="41F9BBAE">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（4）发包人无法继续履行或明确表示不履行或实</w:t>
      </w:r>
      <w:r>
        <w:rPr>
          <w:rFonts w:ascii="宋体" w:hAnsi="宋体" w:eastAsia="宋体" w:cs="宋体"/>
          <w:color w:val="auto"/>
          <w:spacing w:val="-1"/>
          <w:sz w:val="21"/>
          <w:szCs w:val="21"/>
          <w:highlight w:val="none"/>
        </w:rPr>
        <w:t>质上已停止履行合同的；</w:t>
      </w:r>
    </w:p>
    <w:p w14:paraId="79E1D128">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（5）发包人不履行合同约定其他义务的。</w:t>
      </w:r>
    </w:p>
    <w:p w14:paraId="6E9BCE4C">
      <w:pPr>
        <w:spacing w:before="157"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22.2.2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承包人有权暂停施工</w:t>
      </w:r>
    </w:p>
    <w:p w14:paraId="5D7816B0">
      <w:pPr>
        <w:spacing w:before="156" w:line="351" w:lineRule="auto"/>
        <w:ind w:right="55" w:firstLine="424"/>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发包人发生除第 22.2.1（4）目以外的违约情况时，承包</w:t>
      </w:r>
      <w:r>
        <w:rPr>
          <w:rFonts w:ascii="宋体" w:hAnsi="宋体" w:eastAsia="宋体" w:cs="宋体"/>
          <w:color w:val="auto"/>
          <w:sz w:val="21"/>
          <w:szCs w:val="21"/>
          <w:highlight w:val="none"/>
        </w:rPr>
        <w:t xml:space="preserve">人可向发包人发出通知，要求发包人 </w:t>
      </w:r>
      <w:r>
        <w:rPr>
          <w:rFonts w:ascii="宋体" w:hAnsi="宋体" w:eastAsia="宋体" w:cs="宋体"/>
          <w:color w:val="auto"/>
          <w:spacing w:val="-2"/>
          <w:sz w:val="21"/>
          <w:szCs w:val="21"/>
          <w:highlight w:val="none"/>
        </w:rPr>
        <w:t>采取有效措施纠正违约行为。发包人收到承包人通知后的</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28</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天内仍不履行合同义务，承包人有</w:t>
      </w:r>
      <w:r>
        <w:rPr>
          <w:rFonts w:ascii="宋体" w:hAnsi="宋体" w:eastAsia="宋体" w:cs="宋体"/>
          <w:color w:val="auto"/>
          <w:spacing w:val="-3"/>
          <w:sz w:val="21"/>
          <w:szCs w:val="21"/>
          <w:highlight w:val="none"/>
        </w:rPr>
        <w:t>权暂</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停施工，并通知监理人，发包人应承担由此增加的费用和（或）工期延误，并支付承包人合理利润。</w:t>
      </w:r>
    </w:p>
    <w:p w14:paraId="10183AB4">
      <w:pPr>
        <w:spacing w:before="29"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22.2.3</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发包人违约解除合同</w:t>
      </w:r>
    </w:p>
    <w:p w14:paraId="17232C7D">
      <w:pPr>
        <w:spacing w:before="157" w:line="220"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（1）发生第</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22.2.1（4）</w:t>
      </w:r>
      <w:r>
        <w:rPr>
          <w:rFonts w:ascii="宋体" w:hAnsi="宋体" w:eastAsia="宋体" w:cs="宋体"/>
          <w:color w:val="auto"/>
          <w:spacing w:val="-59"/>
          <w:sz w:val="21"/>
          <w:szCs w:val="21"/>
          <w:highlight w:val="none"/>
        </w:rPr>
        <w:t xml:space="preserve"> </w:t>
      </w:r>
      <w:r>
        <w:rPr>
          <w:rFonts w:ascii="宋体" w:hAnsi="宋体" w:eastAsia="宋体" w:cs="宋体"/>
          <w:color w:val="auto"/>
          <w:spacing w:val="-2"/>
          <w:sz w:val="21"/>
          <w:szCs w:val="21"/>
          <w:highlight w:val="none"/>
        </w:rPr>
        <w:t>目的违约情况时，承包人可书面通知发包</w:t>
      </w:r>
      <w:r>
        <w:rPr>
          <w:rFonts w:ascii="宋体" w:hAnsi="宋体" w:eastAsia="宋体" w:cs="宋体"/>
          <w:color w:val="auto"/>
          <w:spacing w:val="-3"/>
          <w:sz w:val="21"/>
          <w:szCs w:val="21"/>
          <w:highlight w:val="none"/>
        </w:rPr>
        <w:t>人解除合同。</w:t>
      </w:r>
    </w:p>
    <w:p w14:paraId="11B575CF">
      <w:pPr>
        <w:spacing w:before="156" w:line="314" w:lineRule="auto"/>
        <w:ind w:left="5" w:right="55" w:firstLine="42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（2）承包人按</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22.2.2</w:t>
      </w:r>
      <w:r>
        <w:rPr>
          <w:rFonts w:ascii="宋体" w:hAnsi="宋体" w:eastAsia="宋体" w:cs="宋体"/>
          <w:color w:val="auto"/>
          <w:spacing w:val="-41"/>
          <w:sz w:val="21"/>
          <w:szCs w:val="21"/>
          <w:highlight w:val="none"/>
        </w:rPr>
        <w:t xml:space="preserve"> </w:t>
      </w:r>
      <w:r>
        <w:rPr>
          <w:rFonts w:ascii="宋体" w:hAnsi="宋体" w:eastAsia="宋体" w:cs="宋体"/>
          <w:color w:val="auto"/>
          <w:spacing w:val="-3"/>
          <w:sz w:val="21"/>
          <w:szCs w:val="21"/>
          <w:highlight w:val="none"/>
        </w:rPr>
        <w:t>项暂停施工</w:t>
      </w:r>
      <w:r>
        <w:rPr>
          <w:rFonts w:ascii="宋体" w:hAnsi="宋体" w:eastAsia="宋体" w:cs="宋体"/>
          <w:color w:val="auto"/>
          <w:spacing w:val="-41"/>
          <w:sz w:val="21"/>
          <w:szCs w:val="21"/>
          <w:highlight w:val="none"/>
        </w:rPr>
        <w:t xml:space="preserve"> </w:t>
      </w:r>
      <w:r>
        <w:rPr>
          <w:rFonts w:ascii="宋体" w:hAnsi="宋体" w:eastAsia="宋体" w:cs="宋体"/>
          <w:color w:val="auto"/>
          <w:spacing w:val="-3"/>
          <w:sz w:val="21"/>
          <w:szCs w:val="21"/>
          <w:highlight w:val="none"/>
        </w:rPr>
        <w:t>28</w:t>
      </w:r>
      <w:r>
        <w:rPr>
          <w:rFonts w:ascii="宋体" w:hAnsi="宋体" w:eastAsia="宋体" w:cs="宋体"/>
          <w:color w:val="auto"/>
          <w:spacing w:val="-39"/>
          <w:sz w:val="21"/>
          <w:szCs w:val="21"/>
          <w:highlight w:val="none"/>
        </w:rPr>
        <w:t xml:space="preserve"> </w:t>
      </w:r>
      <w:r>
        <w:rPr>
          <w:rFonts w:ascii="宋体" w:hAnsi="宋体" w:eastAsia="宋体" w:cs="宋体"/>
          <w:color w:val="auto"/>
          <w:spacing w:val="-3"/>
          <w:sz w:val="21"/>
          <w:szCs w:val="21"/>
          <w:highlight w:val="none"/>
        </w:rPr>
        <w:t>天后，发包人仍不纠正违约行为的，承包人可向发包人发</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出解除合同通知。但承包人的这一行动不免除发包人承担的违约责任</w:t>
      </w:r>
      <w:r>
        <w:rPr>
          <w:rFonts w:ascii="宋体" w:hAnsi="宋体" w:eastAsia="宋体" w:cs="宋体"/>
          <w:color w:val="auto"/>
          <w:sz w:val="21"/>
          <w:szCs w:val="21"/>
          <w:highlight w:val="none"/>
        </w:rPr>
        <w:t xml:space="preserve">，也不影响承包人根据合同约 </w:t>
      </w:r>
      <w:r>
        <w:rPr>
          <w:rFonts w:ascii="宋体" w:hAnsi="宋体" w:eastAsia="宋体" w:cs="宋体"/>
          <w:color w:val="auto"/>
          <w:spacing w:val="-3"/>
          <w:sz w:val="21"/>
          <w:szCs w:val="21"/>
          <w:highlight w:val="none"/>
        </w:rPr>
        <w:t>定享有的索赔权利。</w:t>
      </w:r>
    </w:p>
    <w:p w14:paraId="391D5CA0">
      <w:pPr>
        <w:spacing w:before="157"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22.2.4</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解除合同后的付款</w:t>
      </w:r>
    </w:p>
    <w:p w14:paraId="17425D81">
      <w:pPr>
        <w:spacing w:before="157" w:line="345" w:lineRule="auto"/>
        <w:ind w:left="1" w:right="55" w:firstLine="43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因发包人违约解除合同的，发包人应在解除合同后</w:t>
      </w:r>
      <w:r>
        <w:rPr>
          <w:rFonts w:ascii="宋体" w:hAnsi="宋体" w:eastAsia="宋体" w:cs="宋体"/>
          <w:color w:val="auto"/>
          <w:spacing w:val="-25"/>
          <w:sz w:val="21"/>
          <w:szCs w:val="21"/>
          <w:highlight w:val="none"/>
        </w:rPr>
        <w:t xml:space="preserve"> </w:t>
      </w:r>
      <w:r>
        <w:rPr>
          <w:rFonts w:ascii="宋体" w:hAnsi="宋体" w:eastAsia="宋体" w:cs="宋体"/>
          <w:color w:val="auto"/>
          <w:spacing w:val="-3"/>
          <w:sz w:val="21"/>
          <w:szCs w:val="21"/>
          <w:highlight w:val="none"/>
        </w:rPr>
        <w:t>28</w:t>
      </w:r>
      <w:r>
        <w:rPr>
          <w:rFonts w:ascii="宋体" w:hAnsi="宋体" w:eastAsia="宋体" w:cs="宋体"/>
          <w:color w:val="auto"/>
          <w:spacing w:val="-39"/>
          <w:sz w:val="21"/>
          <w:szCs w:val="21"/>
          <w:highlight w:val="none"/>
        </w:rPr>
        <w:t xml:space="preserve"> </w:t>
      </w:r>
      <w:r>
        <w:rPr>
          <w:rFonts w:ascii="宋体" w:hAnsi="宋体" w:eastAsia="宋体" w:cs="宋体"/>
          <w:color w:val="auto"/>
          <w:spacing w:val="-3"/>
          <w:sz w:val="21"/>
          <w:szCs w:val="21"/>
          <w:highlight w:val="none"/>
        </w:rPr>
        <w:t>天内向承包人支付下列金额，承包人应在</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此期限内及时向发包人提交要求支付下列金额的有关资料和凭证：</w:t>
      </w:r>
    </w:p>
    <w:p w14:paraId="11DA73AB">
      <w:pPr>
        <w:numPr>
          <w:ilvl w:val="0"/>
          <w:numId w:val="3"/>
        </w:numPr>
        <w:spacing w:before="43" w:line="289" w:lineRule="auto"/>
        <w:ind w:left="4" w:right="138" w:firstLine="422"/>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合同解除日以前所完成工作的价款；</w:t>
      </w:r>
    </w:p>
    <w:p w14:paraId="5F86AA1C">
      <w:pPr>
        <w:numPr>
          <w:ilvl w:val="0"/>
          <w:numId w:val="0"/>
        </w:numPr>
        <w:spacing w:before="43" w:line="289" w:lineRule="auto"/>
        <w:ind w:left="426" w:leftChars="0" w:right="138" w:rightChars="0"/>
        <w:rPr>
          <w:rFonts w:ascii="宋体" w:hAnsi="宋体" w:eastAsia="宋体" w:cs="宋体"/>
          <w:color w:val="auto"/>
          <w:sz w:val="21"/>
          <w:szCs w:val="21"/>
          <w:highlight w:val="none"/>
        </w:rPr>
      </w:pPr>
      <w:r>
        <w:rPr>
          <w:rFonts w:ascii="宋体" w:hAnsi="宋体" w:eastAsia="宋体" w:cs="宋体"/>
          <w:color w:val="auto"/>
          <w:sz w:val="21"/>
          <w:szCs w:val="21"/>
          <w:highlight w:val="none"/>
        </w:rPr>
        <w:t>（2）承包人为该工程施工订购并已付款的材料、工</w:t>
      </w:r>
      <w:r>
        <w:rPr>
          <w:rFonts w:ascii="宋体" w:hAnsi="宋体" w:eastAsia="宋体" w:cs="宋体"/>
          <w:color w:val="auto"/>
          <w:spacing w:val="-1"/>
          <w:sz w:val="21"/>
          <w:szCs w:val="21"/>
          <w:highlight w:val="none"/>
        </w:rPr>
        <w:t>程设备和其他物品的金额。发包人付还后，</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该材料、工程设备和其他物品归发包人所有；</w:t>
      </w:r>
    </w:p>
    <w:p w14:paraId="59049BB8">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（3）承包人为完成工程所发生的，而发包人未支付的金额；</w:t>
      </w:r>
    </w:p>
    <w:p w14:paraId="3C30254E">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（4）承包人撤离施工场地以及遣散承包人人员的金额；</w:t>
      </w:r>
    </w:p>
    <w:p w14:paraId="4218AA5C">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（5）由于解除合同应赔偿的承包人损失；</w:t>
      </w:r>
    </w:p>
    <w:p w14:paraId="40C9228F">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（6）按合同约定在合同解除日前应支付给承包人的其他金额。</w:t>
      </w:r>
    </w:p>
    <w:p w14:paraId="06B87463">
      <w:pPr>
        <w:spacing w:before="157" w:line="345" w:lineRule="auto"/>
        <w:ind w:right="197"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发包人应按本项约定支付上述金额并退还质量保证金和履约担保，</w:t>
      </w:r>
      <w:r>
        <w:rPr>
          <w:rFonts w:ascii="宋体" w:hAnsi="宋体" w:eastAsia="宋体" w:cs="宋体"/>
          <w:color w:val="auto"/>
          <w:sz w:val="21"/>
          <w:szCs w:val="21"/>
          <w:highlight w:val="none"/>
        </w:rPr>
        <w:t xml:space="preserve">但有权要求承包人支付应偿 </w:t>
      </w:r>
      <w:r>
        <w:rPr>
          <w:rFonts w:ascii="宋体" w:hAnsi="宋体" w:eastAsia="宋体" w:cs="宋体"/>
          <w:color w:val="auto"/>
          <w:spacing w:val="-2"/>
          <w:sz w:val="21"/>
          <w:szCs w:val="21"/>
          <w:highlight w:val="none"/>
        </w:rPr>
        <w:t>还给发包人的各项金额。</w:t>
      </w:r>
    </w:p>
    <w:p w14:paraId="4BB1E6D1">
      <w:pPr>
        <w:spacing w:before="33"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22.2.5</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解除合同后的承包人撤离</w:t>
      </w:r>
    </w:p>
    <w:p w14:paraId="4452E90D">
      <w:pPr>
        <w:spacing w:before="156" w:line="350" w:lineRule="auto"/>
        <w:ind w:left="1" w:right="194" w:firstLine="435"/>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因发包人违约而解除合同后，承包人应妥善做好已竣工工程和已购材料、设备的保护和移交工</w:t>
      </w:r>
      <w:r>
        <w:rPr>
          <w:rFonts w:ascii="宋体" w:hAnsi="宋体" w:eastAsia="宋体" w:cs="宋体"/>
          <w:color w:val="auto"/>
          <w:spacing w:val="16"/>
          <w:sz w:val="21"/>
          <w:szCs w:val="21"/>
          <w:highlight w:val="none"/>
        </w:rPr>
        <w:t xml:space="preserve"> </w:t>
      </w:r>
      <w:r>
        <w:rPr>
          <w:rFonts w:ascii="宋体" w:hAnsi="宋体" w:eastAsia="宋体" w:cs="宋体"/>
          <w:color w:val="auto"/>
          <w:spacing w:val="-2"/>
          <w:sz w:val="21"/>
          <w:szCs w:val="21"/>
          <w:highlight w:val="none"/>
        </w:rPr>
        <w:t>作，按发包人要求将承包人设备和人员撤出施工场地。承包人撤出施工场</w:t>
      </w:r>
      <w:r>
        <w:rPr>
          <w:rFonts w:ascii="宋体" w:hAnsi="宋体" w:eastAsia="宋体" w:cs="宋体"/>
          <w:color w:val="auto"/>
          <w:spacing w:val="-3"/>
          <w:sz w:val="21"/>
          <w:szCs w:val="21"/>
          <w:highlight w:val="none"/>
        </w:rPr>
        <w:t>地应遵守第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3"/>
          <w:sz w:val="21"/>
          <w:szCs w:val="21"/>
          <w:highlight w:val="none"/>
        </w:rPr>
        <w:t>18.7.1</w:t>
      </w:r>
      <w:r>
        <w:rPr>
          <w:rFonts w:ascii="宋体" w:hAnsi="宋体" w:eastAsia="宋体" w:cs="宋体"/>
          <w:color w:val="auto"/>
          <w:spacing w:val="-41"/>
          <w:sz w:val="21"/>
          <w:szCs w:val="21"/>
          <w:highlight w:val="none"/>
        </w:rPr>
        <w:t xml:space="preserve"> </w:t>
      </w:r>
      <w:r>
        <w:rPr>
          <w:rFonts w:ascii="宋体" w:hAnsi="宋体" w:eastAsia="宋体" w:cs="宋体"/>
          <w:color w:val="auto"/>
          <w:spacing w:val="-3"/>
          <w:sz w:val="21"/>
          <w:szCs w:val="21"/>
          <w:highlight w:val="none"/>
        </w:rPr>
        <w:t>项的约</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定，发包人应为承包人撤出提供必要条件。</w:t>
      </w:r>
    </w:p>
    <w:p w14:paraId="3AEC5060">
      <w:pPr>
        <w:spacing w:before="300"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22.3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第三人造成的违约</w:t>
      </w:r>
    </w:p>
    <w:p w14:paraId="2957A40C">
      <w:pPr>
        <w:spacing w:before="280" w:line="347" w:lineRule="auto"/>
        <w:ind w:left="4" w:right="224" w:firstLine="41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在履行合同过程中，一方当事人因第三人的原因造成违约的，应当向对方当事人承担违约责任。</w:t>
      </w:r>
      <w:r>
        <w:rPr>
          <w:rFonts w:ascii="宋体" w:hAnsi="宋体" w:eastAsia="宋体" w:cs="宋体"/>
          <w:color w:val="auto"/>
          <w:spacing w:val="7"/>
          <w:sz w:val="21"/>
          <w:szCs w:val="21"/>
          <w:highlight w:val="none"/>
        </w:rPr>
        <w:t xml:space="preserve"> </w:t>
      </w:r>
      <w:r>
        <w:rPr>
          <w:rFonts w:ascii="宋体" w:hAnsi="宋体" w:eastAsia="宋体" w:cs="宋体"/>
          <w:color w:val="auto"/>
          <w:sz w:val="21"/>
          <w:szCs w:val="21"/>
          <w:highlight w:val="none"/>
        </w:rPr>
        <w:t>一方当事人和第三人之间的纠纷，依照法律规定或者按</w:t>
      </w:r>
      <w:r>
        <w:rPr>
          <w:rFonts w:ascii="宋体" w:hAnsi="宋体" w:eastAsia="宋体" w:cs="宋体"/>
          <w:color w:val="auto"/>
          <w:spacing w:val="-1"/>
          <w:sz w:val="21"/>
          <w:szCs w:val="21"/>
          <w:highlight w:val="none"/>
        </w:rPr>
        <w:t>照约定解决。</w:t>
      </w:r>
    </w:p>
    <w:p w14:paraId="6E11B88B">
      <w:pPr>
        <w:spacing w:before="45" w:line="225" w:lineRule="auto"/>
        <w:ind w:left="8"/>
        <w:outlineLvl w:val="2"/>
        <w:rPr>
          <w:rFonts w:ascii="宋体" w:hAnsi="宋体" w:eastAsia="宋体" w:cs="宋体"/>
          <w:color w:val="auto"/>
          <w:sz w:val="31"/>
          <w:szCs w:val="31"/>
          <w:highlight w:val="none"/>
        </w:rPr>
      </w:pPr>
      <w:bookmarkStart w:id="283" w:name="bookmark247"/>
      <w:bookmarkEnd w:id="283"/>
      <w:bookmarkStart w:id="284" w:name="_Toc19615"/>
      <w:bookmarkStart w:id="285" w:name="_Toc18848"/>
      <w:r>
        <w:rPr>
          <w:rFonts w:ascii="宋体" w:hAnsi="宋体" w:eastAsia="宋体" w:cs="宋体"/>
          <w:b/>
          <w:bCs/>
          <w:color w:val="auto"/>
          <w:spacing w:val="-3"/>
          <w:sz w:val="31"/>
          <w:szCs w:val="31"/>
          <w:highlight w:val="none"/>
        </w:rPr>
        <w:t>23.</w:t>
      </w:r>
      <w:r>
        <w:rPr>
          <w:rFonts w:ascii="宋体" w:hAnsi="宋体" w:eastAsia="宋体" w:cs="宋体"/>
          <w:color w:val="auto"/>
          <w:spacing w:val="27"/>
          <w:sz w:val="31"/>
          <w:szCs w:val="31"/>
          <w:highlight w:val="none"/>
        </w:rPr>
        <w:t xml:space="preserve"> </w:t>
      </w:r>
      <w:r>
        <w:rPr>
          <w:rFonts w:ascii="宋体" w:hAnsi="宋体" w:eastAsia="宋体" w:cs="宋体"/>
          <w:b/>
          <w:bCs/>
          <w:color w:val="auto"/>
          <w:spacing w:val="-3"/>
          <w:sz w:val="31"/>
          <w:szCs w:val="31"/>
          <w:highlight w:val="none"/>
        </w:rPr>
        <w:t>索赔</w:t>
      </w:r>
      <w:bookmarkEnd w:id="284"/>
      <w:bookmarkEnd w:id="285"/>
    </w:p>
    <w:p w14:paraId="3A7E80FE">
      <w:pPr>
        <w:spacing w:before="274"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23.1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承包人索赔的提出</w:t>
      </w:r>
    </w:p>
    <w:p w14:paraId="6E2023F7">
      <w:pPr>
        <w:spacing w:before="282" w:line="347" w:lineRule="auto"/>
        <w:ind w:left="19" w:right="197" w:firstLine="40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根据合同约定，承包人认为有权得到追加付款和（或）延长工期的，应按</w:t>
      </w:r>
      <w:r>
        <w:rPr>
          <w:rFonts w:ascii="宋体" w:hAnsi="宋体" w:eastAsia="宋体" w:cs="宋体"/>
          <w:color w:val="auto"/>
          <w:sz w:val="21"/>
          <w:szCs w:val="21"/>
          <w:highlight w:val="none"/>
        </w:rPr>
        <w:t xml:space="preserve">以下程序向发包人提 </w:t>
      </w:r>
      <w:r>
        <w:rPr>
          <w:rFonts w:ascii="宋体" w:hAnsi="宋体" w:eastAsia="宋体" w:cs="宋体"/>
          <w:color w:val="auto"/>
          <w:spacing w:val="-6"/>
          <w:sz w:val="21"/>
          <w:szCs w:val="21"/>
          <w:highlight w:val="none"/>
        </w:rPr>
        <w:t>出索赔：</w:t>
      </w:r>
    </w:p>
    <w:p w14:paraId="5B7B42CD">
      <w:pPr>
        <w:spacing w:before="27" w:line="313" w:lineRule="auto"/>
        <w:ind w:left="1"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（1）承包人应在知道或应当知道索赔事件发生后</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2"/>
          <w:sz w:val="21"/>
          <w:szCs w:val="21"/>
          <w:highlight w:val="none"/>
        </w:rPr>
        <w:t xml:space="preserve"> </w:t>
      </w:r>
      <w:r>
        <w:rPr>
          <w:rFonts w:ascii="宋体" w:hAnsi="宋体" w:eastAsia="宋体" w:cs="宋体"/>
          <w:color w:val="auto"/>
          <w:spacing w:val="-1"/>
          <w:sz w:val="21"/>
          <w:szCs w:val="21"/>
          <w:highlight w:val="none"/>
        </w:rPr>
        <w:t>天内，向监理人递交索赔意向通知书，并</w:t>
      </w:r>
      <w:r>
        <w:rPr>
          <w:rFonts w:ascii="宋体" w:hAnsi="宋体" w:eastAsia="宋体" w:cs="宋体"/>
          <w:color w:val="auto"/>
          <w:sz w:val="21"/>
          <w:szCs w:val="21"/>
          <w:highlight w:val="none"/>
        </w:rPr>
        <w:t xml:space="preserve">   </w:t>
      </w:r>
      <w:r>
        <w:rPr>
          <w:rFonts w:ascii="宋体" w:hAnsi="宋体" w:eastAsia="宋体" w:cs="宋体"/>
          <w:color w:val="auto"/>
          <w:spacing w:val="-7"/>
          <w:sz w:val="21"/>
          <w:szCs w:val="21"/>
          <w:highlight w:val="none"/>
        </w:rPr>
        <w:t>说明发生索赔事件的事由。承包人未在前述</w:t>
      </w:r>
      <w:r>
        <w:rPr>
          <w:rFonts w:ascii="宋体" w:hAnsi="宋体" w:eastAsia="宋体" w:cs="宋体"/>
          <w:color w:val="auto"/>
          <w:spacing w:val="-36"/>
          <w:sz w:val="21"/>
          <w:szCs w:val="21"/>
          <w:highlight w:val="none"/>
        </w:rPr>
        <w:t xml:space="preserve"> </w:t>
      </w:r>
      <w:r>
        <w:rPr>
          <w:rFonts w:ascii="宋体" w:hAnsi="宋体" w:eastAsia="宋体" w:cs="宋体"/>
          <w:color w:val="auto"/>
          <w:spacing w:val="-7"/>
          <w:sz w:val="21"/>
          <w:szCs w:val="21"/>
          <w:highlight w:val="none"/>
        </w:rPr>
        <w:t>28</w:t>
      </w:r>
      <w:r>
        <w:rPr>
          <w:rFonts w:ascii="宋体" w:hAnsi="宋体" w:eastAsia="宋体" w:cs="宋体"/>
          <w:color w:val="auto"/>
          <w:spacing w:val="-43"/>
          <w:sz w:val="21"/>
          <w:szCs w:val="21"/>
          <w:highlight w:val="none"/>
        </w:rPr>
        <w:t xml:space="preserve"> </w:t>
      </w:r>
      <w:r>
        <w:rPr>
          <w:rFonts w:ascii="宋体" w:hAnsi="宋体" w:eastAsia="宋体" w:cs="宋体"/>
          <w:color w:val="auto"/>
          <w:spacing w:val="-7"/>
          <w:sz w:val="21"/>
          <w:szCs w:val="21"/>
          <w:highlight w:val="none"/>
        </w:rPr>
        <w:t>天内发出索赔意向通知书的，丧失要求追加付款和（或）</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延长工期的权利；</w:t>
      </w:r>
    </w:p>
    <w:p w14:paraId="5467810B">
      <w:pPr>
        <w:spacing w:before="160" w:line="289" w:lineRule="auto"/>
        <w:ind w:right="194" w:firstLine="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（2）承包人应在发出索赔意向通知书后</w:t>
      </w:r>
      <w:r>
        <w:rPr>
          <w:rFonts w:ascii="宋体" w:hAnsi="宋体" w:eastAsia="宋体" w:cs="宋体"/>
          <w:color w:val="auto"/>
          <w:spacing w:val="-10"/>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天内，向监理人正式递交索赔通知书。索赔通知书</w:t>
      </w:r>
      <w:r>
        <w:rPr>
          <w:rFonts w:ascii="宋体" w:hAnsi="宋体" w:eastAsia="宋体" w:cs="宋体"/>
          <w:color w:val="auto"/>
          <w:sz w:val="21"/>
          <w:szCs w:val="21"/>
          <w:highlight w:val="none"/>
        </w:rPr>
        <w:t xml:space="preserve"> 应详细说明索赔理由以及要求追加的付款金额和（或）延长的工期，并附必要的记录和证明材料；</w:t>
      </w:r>
    </w:p>
    <w:p w14:paraId="274BF9D2">
      <w:pPr>
        <w:spacing w:before="157" w:line="290" w:lineRule="auto"/>
        <w:ind w:left="11" w:right="194"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（3）索赔事件具有连续影响的，承包人应按合理时间间隔继续递交延续索赔通知，说明连续影</w:t>
      </w:r>
      <w:r>
        <w:rPr>
          <w:rFonts w:ascii="宋体" w:hAnsi="宋体" w:eastAsia="宋体" w:cs="宋体"/>
          <w:color w:val="auto"/>
          <w:spacing w:val="9"/>
          <w:sz w:val="21"/>
          <w:szCs w:val="21"/>
          <w:highlight w:val="none"/>
        </w:rPr>
        <w:t xml:space="preserve"> </w:t>
      </w:r>
      <w:r>
        <w:rPr>
          <w:rFonts w:ascii="宋体" w:hAnsi="宋体" w:eastAsia="宋体" w:cs="宋体"/>
          <w:color w:val="auto"/>
          <w:spacing w:val="-1"/>
          <w:sz w:val="21"/>
          <w:szCs w:val="21"/>
          <w:highlight w:val="none"/>
        </w:rPr>
        <w:t>响的实际情况和记录，列出累计的追加付款金额和（或）工期延长天数；</w:t>
      </w:r>
    </w:p>
    <w:p w14:paraId="694DB28F">
      <w:pPr>
        <w:spacing w:before="158" w:line="290" w:lineRule="auto"/>
        <w:ind w:left="2" w:right="194"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（4）在索赔事件影响结束后的</w:t>
      </w:r>
      <w:r>
        <w:rPr>
          <w:rFonts w:ascii="宋体" w:hAnsi="宋体" w:eastAsia="宋体" w:cs="宋体"/>
          <w:color w:val="auto"/>
          <w:spacing w:val="-10"/>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天内，承包人应向监理人递交最终索赔通知书，说明最终要</w:t>
      </w:r>
      <w:r>
        <w:rPr>
          <w:rFonts w:ascii="宋体" w:hAnsi="宋体" w:eastAsia="宋体" w:cs="宋体"/>
          <w:color w:val="auto"/>
          <w:sz w:val="21"/>
          <w:szCs w:val="21"/>
          <w:highlight w:val="none"/>
        </w:rPr>
        <w:t xml:space="preserve"> 求索赔的追加付款金额和延长的工期，并附必要的记录和</w:t>
      </w:r>
      <w:r>
        <w:rPr>
          <w:rFonts w:ascii="宋体" w:hAnsi="宋体" w:eastAsia="宋体" w:cs="宋体"/>
          <w:color w:val="auto"/>
          <w:spacing w:val="-1"/>
          <w:sz w:val="21"/>
          <w:szCs w:val="21"/>
          <w:highlight w:val="none"/>
        </w:rPr>
        <w:t>证明材料。</w:t>
      </w:r>
    </w:p>
    <w:p w14:paraId="16743050">
      <w:pPr>
        <w:spacing w:line="333" w:lineRule="auto"/>
        <w:rPr>
          <w:rFonts w:ascii="Arial"/>
          <w:color w:val="auto"/>
          <w:sz w:val="21"/>
          <w:highlight w:val="none"/>
        </w:rPr>
      </w:pPr>
    </w:p>
    <w:p w14:paraId="0A8D96F1">
      <w:pPr>
        <w:spacing w:before="92"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23.2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承包人索赔处理程序</w:t>
      </w:r>
    </w:p>
    <w:p w14:paraId="0EB70994">
      <w:pPr>
        <w:spacing w:before="281" w:line="331" w:lineRule="auto"/>
        <w:ind w:left="1" w:right="204" w:firstLine="4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（1）监理人收到承包人提交的索赔通知书后，应及时审查索赔通知书的内容、查验承包人的记</w:t>
      </w:r>
      <w:r>
        <w:rPr>
          <w:rFonts w:ascii="宋体" w:hAnsi="宋体" w:eastAsia="宋体" w:cs="宋体"/>
          <w:color w:val="auto"/>
          <w:sz w:val="21"/>
          <w:szCs w:val="21"/>
          <w:highlight w:val="none"/>
        </w:rPr>
        <w:t xml:space="preserve"> 录和证明材料，必要时监理人可要求承包人提交全部原始记</w:t>
      </w:r>
      <w:r>
        <w:rPr>
          <w:rFonts w:ascii="宋体" w:hAnsi="宋体" w:eastAsia="宋体" w:cs="宋体"/>
          <w:color w:val="auto"/>
          <w:spacing w:val="-1"/>
          <w:sz w:val="21"/>
          <w:szCs w:val="21"/>
          <w:highlight w:val="none"/>
        </w:rPr>
        <w:t>录副本。</w:t>
      </w:r>
    </w:p>
    <w:p w14:paraId="789AEA41">
      <w:pPr>
        <w:spacing w:before="43" w:line="289" w:lineRule="auto"/>
        <w:ind w:left="5"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（2）监理人应按第</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3.5</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款商定或确定追加的付款和（或）延长的工</w:t>
      </w:r>
      <w:r>
        <w:rPr>
          <w:rFonts w:ascii="宋体" w:hAnsi="宋体" w:eastAsia="宋体" w:cs="宋体"/>
          <w:color w:val="auto"/>
          <w:spacing w:val="-3"/>
          <w:sz w:val="21"/>
          <w:szCs w:val="21"/>
          <w:highlight w:val="none"/>
        </w:rPr>
        <w:t>期，并在收到上述索赔通知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书或有关索赔的进一步证明材料后的</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42</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天内，将索赔处理</w:t>
      </w:r>
      <w:r>
        <w:rPr>
          <w:rFonts w:ascii="宋体" w:hAnsi="宋体" w:eastAsia="宋体" w:cs="宋体"/>
          <w:color w:val="auto"/>
          <w:spacing w:val="-2"/>
          <w:sz w:val="21"/>
          <w:szCs w:val="21"/>
          <w:highlight w:val="none"/>
        </w:rPr>
        <w:t>结果答复承包人。</w:t>
      </w:r>
    </w:p>
    <w:p w14:paraId="063EF1B9">
      <w:pPr>
        <w:spacing w:before="157" w:line="290" w:lineRule="auto"/>
        <w:ind w:right="10" w:firstLine="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（3）承包人接受索赔处理结果的，发包人应在作出索赔处理结果答复后</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天内完成赔付。承</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包人不接受索赔处理结果的，按第</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24</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条的约定</w:t>
      </w:r>
      <w:r>
        <w:rPr>
          <w:rFonts w:ascii="宋体" w:hAnsi="宋体" w:eastAsia="宋体" w:cs="宋体"/>
          <w:color w:val="auto"/>
          <w:spacing w:val="-2"/>
          <w:sz w:val="21"/>
          <w:szCs w:val="21"/>
          <w:highlight w:val="none"/>
        </w:rPr>
        <w:t>办理。</w:t>
      </w:r>
    </w:p>
    <w:p w14:paraId="430F8341">
      <w:pPr>
        <w:spacing w:line="335" w:lineRule="auto"/>
        <w:rPr>
          <w:rFonts w:ascii="Arial"/>
          <w:color w:val="auto"/>
          <w:sz w:val="21"/>
          <w:highlight w:val="none"/>
        </w:rPr>
      </w:pPr>
    </w:p>
    <w:p w14:paraId="5CAE92B8">
      <w:pPr>
        <w:spacing w:before="91"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23.3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承包人提出索赔的期限</w:t>
      </w:r>
    </w:p>
    <w:p w14:paraId="059644B0">
      <w:pPr>
        <w:spacing w:before="281" w:line="289" w:lineRule="auto"/>
        <w:ind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23.3.1 承包人按第 17.5</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款的约定接受了竣工付款证书后，应被认为已无权再提出在合同工程</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接收证书颁发前所发生的任何索赔。</w:t>
      </w:r>
    </w:p>
    <w:p w14:paraId="49A6F00C">
      <w:pPr>
        <w:spacing w:before="158" w:line="289" w:lineRule="auto"/>
        <w:ind w:left="4"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23.3.2 承包人按第 17.6</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款的约定提交的最终结清申请单中，只限于提出工程接收证书颁发后</w:t>
      </w:r>
      <w:r>
        <w:rPr>
          <w:rFonts w:ascii="宋体" w:hAnsi="宋体" w:eastAsia="宋体" w:cs="宋体"/>
          <w:color w:val="auto"/>
          <w:sz w:val="21"/>
          <w:szCs w:val="21"/>
          <w:highlight w:val="none"/>
        </w:rPr>
        <w:t xml:space="preserve"> 发生的索赔。提出索赔的期限自接受最终结清</w:t>
      </w:r>
      <w:r>
        <w:rPr>
          <w:rFonts w:ascii="宋体" w:hAnsi="宋体" w:eastAsia="宋体" w:cs="宋体"/>
          <w:color w:val="auto"/>
          <w:spacing w:val="-1"/>
          <w:sz w:val="21"/>
          <w:szCs w:val="21"/>
          <w:highlight w:val="none"/>
        </w:rPr>
        <w:t>证书时终止。</w:t>
      </w:r>
    </w:p>
    <w:p w14:paraId="326BB1FB">
      <w:pPr>
        <w:spacing w:line="336" w:lineRule="auto"/>
        <w:rPr>
          <w:rFonts w:ascii="Arial"/>
          <w:color w:val="auto"/>
          <w:sz w:val="21"/>
          <w:highlight w:val="none"/>
        </w:rPr>
      </w:pPr>
    </w:p>
    <w:p w14:paraId="37C8D512">
      <w:pPr>
        <w:spacing w:before="91"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23.4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发包人的索赔</w:t>
      </w:r>
    </w:p>
    <w:p w14:paraId="0288C73E">
      <w:pPr>
        <w:spacing w:before="277" w:line="351" w:lineRule="auto"/>
        <w:ind w:left="1" w:firstLine="421"/>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23.4.1 发生索赔事件后，监理人应及时书面通知承包人，详细说明发包人有权得到的索赔金额</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和（或）延长缺陷责任期的细节和依据。发包人提出索赔的期限和要求与第</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23.3</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款的约定相同，延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长缺陷责任期的通知应在缺陷责任期届满前发出。</w:t>
      </w:r>
    </w:p>
    <w:p w14:paraId="0C043189">
      <w:pPr>
        <w:spacing w:before="29" w:line="351" w:lineRule="auto"/>
        <w:ind w:left="1" w:firstLine="421"/>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23.4.2 监理人按第</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3.5</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款商定或确定发包人从承包人处得到赔付的金额和（或）缺陷责任期的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延长期。承包人应付给发包人的金额可从拟支付给承包人的</w:t>
      </w:r>
      <w:r>
        <w:rPr>
          <w:rFonts w:ascii="宋体" w:hAnsi="宋体" w:eastAsia="宋体" w:cs="宋体"/>
          <w:color w:val="auto"/>
          <w:sz w:val="21"/>
          <w:szCs w:val="21"/>
          <w:highlight w:val="none"/>
        </w:rPr>
        <w:t>合同价款中</w:t>
      </w:r>
      <w:r>
        <w:rPr>
          <w:rFonts w:hint="eastAsia" w:ascii="宋体" w:hAnsi="宋体" w:eastAsia="宋体" w:cs="宋体"/>
          <w:color w:val="auto"/>
          <w:sz w:val="21"/>
          <w:szCs w:val="21"/>
          <w:highlight w:val="none"/>
          <w:lang w:eastAsia="zh-CN"/>
        </w:rPr>
        <w:t>支付</w:t>
      </w:r>
      <w:r>
        <w:rPr>
          <w:rFonts w:ascii="宋体" w:hAnsi="宋体" w:eastAsia="宋体" w:cs="宋体"/>
          <w:color w:val="auto"/>
          <w:sz w:val="21"/>
          <w:szCs w:val="21"/>
          <w:highlight w:val="none"/>
        </w:rPr>
        <w:t xml:space="preserve">，或由承包人以其他方 </w:t>
      </w:r>
      <w:r>
        <w:rPr>
          <w:rFonts w:ascii="宋体" w:hAnsi="宋体" w:eastAsia="宋体" w:cs="宋体"/>
          <w:color w:val="auto"/>
          <w:spacing w:val="-1"/>
          <w:sz w:val="21"/>
          <w:szCs w:val="21"/>
          <w:highlight w:val="none"/>
        </w:rPr>
        <w:t>式支付给发包人。</w:t>
      </w:r>
    </w:p>
    <w:p w14:paraId="1D6DBAA8">
      <w:pPr>
        <w:spacing w:before="44" w:line="225" w:lineRule="auto"/>
        <w:ind w:left="8"/>
        <w:outlineLvl w:val="2"/>
        <w:rPr>
          <w:rFonts w:ascii="宋体" w:hAnsi="宋体" w:eastAsia="宋体" w:cs="宋体"/>
          <w:color w:val="auto"/>
          <w:sz w:val="31"/>
          <w:szCs w:val="31"/>
          <w:highlight w:val="none"/>
        </w:rPr>
      </w:pPr>
      <w:bookmarkStart w:id="286" w:name="bookmark248"/>
      <w:bookmarkEnd w:id="286"/>
      <w:bookmarkStart w:id="287" w:name="_Toc10183"/>
      <w:bookmarkStart w:id="288" w:name="_Toc4758"/>
      <w:r>
        <w:rPr>
          <w:rFonts w:ascii="宋体" w:hAnsi="宋体" w:eastAsia="宋体" w:cs="宋体"/>
          <w:b/>
          <w:bCs/>
          <w:color w:val="auto"/>
          <w:spacing w:val="1"/>
          <w:sz w:val="31"/>
          <w:szCs w:val="31"/>
          <w:highlight w:val="none"/>
        </w:rPr>
        <w:t>24.</w:t>
      </w:r>
      <w:r>
        <w:rPr>
          <w:rFonts w:ascii="宋体" w:hAnsi="宋体" w:eastAsia="宋体" w:cs="宋体"/>
          <w:color w:val="auto"/>
          <w:spacing w:val="29"/>
          <w:sz w:val="31"/>
          <w:szCs w:val="31"/>
          <w:highlight w:val="none"/>
        </w:rPr>
        <w:t xml:space="preserve"> </w:t>
      </w:r>
      <w:r>
        <w:rPr>
          <w:rFonts w:ascii="宋体" w:hAnsi="宋体" w:eastAsia="宋体" w:cs="宋体"/>
          <w:b/>
          <w:bCs/>
          <w:color w:val="auto"/>
          <w:spacing w:val="1"/>
          <w:sz w:val="31"/>
          <w:szCs w:val="31"/>
          <w:highlight w:val="none"/>
        </w:rPr>
        <w:t>争议的解决</w:t>
      </w:r>
      <w:bookmarkEnd w:id="287"/>
      <w:bookmarkEnd w:id="288"/>
    </w:p>
    <w:p w14:paraId="319E7E1A">
      <w:pPr>
        <w:spacing w:before="275"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24.1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争议的解决方式</w:t>
      </w:r>
    </w:p>
    <w:p w14:paraId="502B89EB">
      <w:pPr>
        <w:spacing w:before="280" w:line="351" w:lineRule="auto"/>
        <w:ind w:left="5" w:right="3" w:firstLine="418"/>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发包人和承包人在履行合同中发生争议的，可以友好协商解决或者提</w:t>
      </w:r>
      <w:r>
        <w:rPr>
          <w:rFonts w:ascii="宋体" w:hAnsi="宋体" w:eastAsia="宋体" w:cs="宋体"/>
          <w:color w:val="auto"/>
          <w:sz w:val="21"/>
          <w:szCs w:val="21"/>
          <w:highlight w:val="none"/>
        </w:rPr>
        <w:t>请争议评审组评审。合同 当事人友好协商解决不成、不愿提请争议评审或者不接受争议评审组意见的，可在专用合同条款中</w:t>
      </w:r>
      <w:r>
        <w:rPr>
          <w:rFonts w:ascii="宋体" w:hAnsi="宋体" w:eastAsia="宋体" w:cs="宋体"/>
          <w:color w:val="auto"/>
          <w:spacing w:val="7"/>
          <w:sz w:val="21"/>
          <w:szCs w:val="21"/>
          <w:highlight w:val="none"/>
        </w:rPr>
        <w:t xml:space="preserve"> </w:t>
      </w:r>
      <w:r>
        <w:rPr>
          <w:rFonts w:ascii="宋体" w:hAnsi="宋体" w:eastAsia="宋体" w:cs="宋体"/>
          <w:color w:val="auto"/>
          <w:spacing w:val="-3"/>
          <w:sz w:val="21"/>
          <w:szCs w:val="21"/>
          <w:highlight w:val="none"/>
        </w:rPr>
        <w:t>约定下列一种方式解决。</w:t>
      </w:r>
    </w:p>
    <w:p w14:paraId="4027E490">
      <w:pPr>
        <w:spacing w:before="29" w:line="220"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（1）向约定的仲裁委员会申请仲裁；</w:t>
      </w:r>
    </w:p>
    <w:p w14:paraId="0AF016A3">
      <w:pPr>
        <w:spacing w:before="158" w:line="220"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（2）向有管辖权的人民法院提起诉讼。</w:t>
      </w:r>
    </w:p>
    <w:p w14:paraId="7E1ED796">
      <w:pPr>
        <w:spacing w:line="333" w:lineRule="auto"/>
        <w:rPr>
          <w:rFonts w:ascii="Arial"/>
          <w:color w:val="auto"/>
          <w:sz w:val="21"/>
          <w:highlight w:val="none"/>
        </w:rPr>
      </w:pPr>
    </w:p>
    <w:p w14:paraId="53940C6D">
      <w:pPr>
        <w:spacing w:before="92"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24.2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友好解决</w:t>
      </w:r>
    </w:p>
    <w:p w14:paraId="75DBF1D5">
      <w:pPr>
        <w:spacing w:before="282" w:line="347" w:lineRule="auto"/>
        <w:ind w:left="2" w:right="3"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在提请争议评审、仲裁或者诉讼前，以及在争议评审、仲裁或诉讼过程中，</w:t>
      </w:r>
      <w:r>
        <w:rPr>
          <w:rFonts w:ascii="宋体" w:hAnsi="宋体" w:eastAsia="宋体" w:cs="宋体"/>
          <w:color w:val="auto"/>
          <w:sz w:val="21"/>
          <w:szCs w:val="21"/>
          <w:highlight w:val="none"/>
        </w:rPr>
        <w:t xml:space="preserve">发包人和承包人均 </w:t>
      </w:r>
      <w:r>
        <w:rPr>
          <w:rFonts w:ascii="宋体" w:hAnsi="宋体" w:eastAsia="宋体" w:cs="宋体"/>
          <w:color w:val="auto"/>
          <w:spacing w:val="-2"/>
          <w:sz w:val="21"/>
          <w:szCs w:val="21"/>
          <w:highlight w:val="none"/>
        </w:rPr>
        <w:t>可共同努力友好协商解决争议。</w:t>
      </w:r>
    </w:p>
    <w:p w14:paraId="25002026">
      <w:pPr>
        <w:spacing w:before="297" w:line="220" w:lineRule="auto"/>
        <w:ind w:left="143"/>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24.3</w:t>
      </w:r>
      <w:r>
        <w:rPr>
          <w:rFonts w:ascii="宋体" w:hAnsi="宋体" w:eastAsia="宋体" w:cs="宋体"/>
          <w:color w:val="auto"/>
          <w:spacing w:val="23"/>
          <w:sz w:val="28"/>
          <w:szCs w:val="28"/>
          <w:highlight w:val="none"/>
        </w:rPr>
        <w:t xml:space="preserve"> </w:t>
      </w:r>
      <w:r>
        <w:rPr>
          <w:rFonts w:ascii="宋体" w:hAnsi="宋体" w:eastAsia="宋体" w:cs="宋体"/>
          <w:b/>
          <w:bCs/>
          <w:color w:val="auto"/>
          <w:spacing w:val="-6"/>
          <w:sz w:val="28"/>
          <w:szCs w:val="28"/>
          <w:highlight w:val="none"/>
        </w:rPr>
        <w:t>争议评审</w:t>
      </w:r>
    </w:p>
    <w:p w14:paraId="68CFCF1F">
      <w:pPr>
        <w:spacing w:before="280" w:line="220" w:lineRule="auto"/>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24.3.1 采用争议评审的，发包人和承包人应在开工日后的</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天内或在争议发生后，协商成立</w:t>
      </w:r>
    </w:p>
    <w:p w14:paraId="4F84085F">
      <w:pPr>
        <w:spacing w:before="41" w:line="221" w:lineRule="auto"/>
        <w:ind w:left="5"/>
        <w:rPr>
          <w:rFonts w:ascii="宋体" w:hAnsi="宋体" w:eastAsia="宋体" w:cs="宋体"/>
          <w:color w:val="auto"/>
          <w:sz w:val="21"/>
          <w:szCs w:val="21"/>
          <w:highlight w:val="none"/>
        </w:rPr>
      </w:pPr>
      <w:r>
        <w:rPr>
          <w:rFonts w:ascii="宋体" w:hAnsi="宋体" w:eastAsia="宋体" w:cs="宋体"/>
          <w:color w:val="auto"/>
          <w:sz w:val="21"/>
          <w:szCs w:val="21"/>
          <w:highlight w:val="none"/>
        </w:rPr>
        <w:t>争议评审组。争议评审组由有合同管理和工程实践经</w:t>
      </w:r>
      <w:r>
        <w:rPr>
          <w:rFonts w:ascii="宋体" w:hAnsi="宋体" w:eastAsia="宋体" w:cs="宋体"/>
          <w:color w:val="auto"/>
          <w:spacing w:val="-1"/>
          <w:sz w:val="21"/>
          <w:szCs w:val="21"/>
          <w:highlight w:val="none"/>
        </w:rPr>
        <w:t>验的专家组成。</w:t>
      </w:r>
    </w:p>
    <w:p w14:paraId="3467A9DE">
      <w:pPr>
        <w:spacing w:before="157" w:line="289" w:lineRule="auto"/>
        <w:ind w:left="1"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24.3.2 合同双方的争议，应首先由申请人向争议评审组提交一份详细的评审申请报告，并附必</w:t>
      </w:r>
      <w:r>
        <w:rPr>
          <w:rFonts w:ascii="宋体" w:hAnsi="宋体" w:eastAsia="宋体" w:cs="宋体"/>
          <w:color w:val="auto"/>
          <w:spacing w:val="18"/>
          <w:sz w:val="21"/>
          <w:szCs w:val="21"/>
          <w:highlight w:val="none"/>
        </w:rPr>
        <w:t xml:space="preserve"> </w:t>
      </w:r>
      <w:r>
        <w:rPr>
          <w:rFonts w:ascii="宋体" w:hAnsi="宋体" w:eastAsia="宋体" w:cs="宋体"/>
          <w:color w:val="auto"/>
          <w:sz w:val="21"/>
          <w:szCs w:val="21"/>
          <w:highlight w:val="none"/>
        </w:rPr>
        <w:t>要的文件、图纸和证明材料，申请人还应将上述报告</w:t>
      </w:r>
      <w:r>
        <w:rPr>
          <w:rFonts w:ascii="宋体" w:hAnsi="宋体" w:eastAsia="宋体" w:cs="宋体"/>
          <w:color w:val="auto"/>
          <w:spacing w:val="-1"/>
          <w:sz w:val="21"/>
          <w:szCs w:val="21"/>
          <w:highlight w:val="none"/>
        </w:rPr>
        <w:t>的副本同时提交给被申请人和监理人。</w:t>
      </w:r>
    </w:p>
    <w:p w14:paraId="1275BE9C">
      <w:pPr>
        <w:spacing w:before="158" w:line="290" w:lineRule="auto"/>
        <w:ind w:left="5"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24.3.3 被申请人在收到申请人评审申请报告副本后的</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天内，向争议评审组提交一份答辩报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告，并附证明材料。被申请人应将答辩报告的副本同时提交给申请人和监理人。</w:t>
      </w:r>
    </w:p>
    <w:p w14:paraId="41ED91F6">
      <w:pPr>
        <w:spacing w:before="160" w:line="312" w:lineRule="auto"/>
        <w:ind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24.3.4 除专用合同条款另有约定外，争议评审组在收到合同双方报告后的 14</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天内，邀</w:t>
      </w:r>
      <w:r>
        <w:rPr>
          <w:rFonts w:ascii="宋体" w:hAnsi="宋体" w:eastAsia="宋体" w:cs="宋体"/>
          <w:color w:val="auto"/>
          <w:spacing w:val="-2"/>
          <w:sz w:val="21"/>
          <w:szCs w:val="21"/>
          <w:highlight w:val="none"/>
        </w:rPr>
        <w:t>请双方</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代表和有关人员举行调查会，向双方调查争议细节；必要时争议评审组可要求双方</w:t>
      </w:r>
      <w:r>
        <w:rPr>
          <w:rFonts w:ascii="宋体" w:hAnsi="宋体" w:eastAsia="宋体" w:cs="宋体"/>
          <w:color w:val="auto"/>
          <w:sz w:val="21"/>
          <w:szCs w:val="21"/>
          <w:highlight w:val="none"/>
        </w:rPr>
        <w:t xml:space="preserve">进一步提供补充 </w:t>
      </w:r>
      <w:r>
        <w:rPr>
          <w:rFonts w:ascii="宋体" w:hAnsi="宋体" w:eastAsia="宋体" w:cs="宋体"/>
          <w:color w:val="auto"/>
          <w:spacing w:val="-8"/>
          <w:sz w:val="21"/>
          <w:szCs w:val="21"/>
          <w:highlight w:val="none"/>
        </w:rPr>
        <w:t>材料。</w:t>
      </w:r>
    </w:p>
    <w:p w14:paraId="26D6E01C">
      <w:pPr>
        <w:spacing w:before="159" w:line="313" w:lineRule="auto"/>
        <w:ind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24.3.5 除专用合同条款另有约定外，在调查会结束后的 14</w:t>
      </w:r>
      <w:r>
        <w:rPr>
          <w:rFonts w:ascii="宋体" w:hAnsi="宋体" w:eastAsia="宋体" w:cs="宋体"/>
          <w:color w:val="auto"/>
          <w:spacing w:val="-22"/>
          <w:sz w:val="21"/>
          <w:szCs w:val="21"/>
          <w:highlight w:val="none"/>
        </w:rPr>
        <w:t xml:space="preserve"> </w:t>
      </w:r>
      <w:r>
        <w:rPr>
          <w:rFonts w:ascii="宋体" w:hAnsi="宋体" w:eastAsia="宋体" w:cs="宋体"/>
          <w:color w:val="auto"/>
          <w:spacing w:val="-1"/>
          <w:sz w:val="21"/>
          <w:szCs w:val="21"/>
          <w:highlight w:val="none"/>
        </w:rPr>
        <w:t>天内，争议评审组应在不受</w:t>
      </w:r>
      <w:r>
        <w:rPr>
          <w:rFonts w:ascii="宋体" w:hAnsi="宋体" w:eastAsia="宋体" w:cs="宋体"/>
          <w:color w:val="auto"/>
          <w:spacing w:val="-2"/>
          <w:sz w:val="21"/>
          <w:szCs w:val="21"/>
          <w:highlight w:val="none"/>
        </w:rPr>
        <w:t>任何干</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扰的情况下进行独立、公正的评审，作出书面评审意见，并说明理由。在争议评</w:t>
      </w:r>
      <w:r>
        <w:rPr>
          <w:rFonts w:ascii="宋体" w:hAnsi="宋体" w:eastAsia="宋体" w:cs="宋体"/>
          <w:color w:val="auto"/>
          <w:sz w:val="21"/>
          <w:szCs w:val="21"/>
          <w:highlight w:val="none"/>
        </w:rPr>
        <w:t xml:space="preserve">审期间，争议双方 </w:t>
      </w:r>
      <w:r>
        <w:rPr>
          <w:rFonts w:ascii="宋体" w:hAnsi="宋体" w:eastAsia="宋体" w:cs="宋体"/>
          <w:color w:val="auto"/>
          <w:spacing w:val="-2"/>
          <w:sz w:val="21"/>
          <w:szCs w:val="21"/>
          <w:highlight w:val="none"/>
        </w:rPr>
        <w:t>暂按总监理工程师的确定执行。</w:t>
      </w:r>
    </w:p>
    <w:p w14:paraId="5E6F700B">
      <w:pPr>
        <w:spacing w:before="156" w:line="290" w:lineRule="auto"/>
        <w:ind w:left="1"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24.3.6 发包人和承包人接受评审意见的，由监理人根据评审意见拟定执行协议，经争议双方签</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字后作为合同的补充文件，并遵照执行。</w:t>
      </w:r>
    </w:p>
    <w:p w14:paraId="353FD01D">
      <w:pPr>
        <w:spacing w:before="159" w:line="313" w:lineRule="auto"/>
        <w:ind w:left="3" w:right="2"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24.3.7 发包人或承包人不接受评审意见，并要求提交仲裁或提起诉讼的，应在收到评审意见后</w:t>
      </w:r>
      <w:r>
        <w:rPr>
          <w:rFonts w:ascii="宋体" w:hAnsi="宋体" w:eastAsia="宋体" w:cs="宋体"/>
          <w:color w:val="auto"/>
          <w:spacing w:val="16"/>
          <w:sz w:val="21"/>
          <w:szCs w:val="21"/>
          <w:highlight w:val="none"/>
        </w:rPr>
        <w:t xml:space="preserve"> </w:t>
      </w:r>
      <w:r>
        <w:rPr>
          <w:rFonts w:ascii="宋体" w:hAnsi="宋体" w:eastAsia="宋体" w:cs="宋体"/>
          <w:color w:val="auto"/>
          <w:spacing w:val="-2"/>
          <w:sz w:val="21"/>
          <w:szCs w:val="21"/>
          <w:highlight w:val="none"/>
        </w:rPr>
        <w:t>的</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14</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天内将仲裁或起诉意向书面通知另一方，并抄送</w:t>
      </w:r>
      <w:r>
        <w:rPr>
          <w:rFonts w:ascii="宋体" w:hAnsi="宋体" w:eastAsia="宋体" w:cs="宋体"/>
          <w:color w:val="auto"/>
          <w:spacing w:val="-3"/>
          <w:sz w:val="21"/>
          <w:szCs w:val="21"/>
          <w:highlight w:val="none"/>
        </w:rPr>
        <w:t>监理人，但在仲裁或诉讼结束前应暂按总监理</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工程师的确定执行。</w:t>
      </w:r>
    </w:p>
    <w:p w14:paraId="67693EB5">
      <w:pPr>
        <w:spacing w:before="154" w:line="225" w:lineRule="auto"/>
        <w:ind w:left="3332"/>
        <w:rPr>
          <w:rFonts w:ascii="宋体" w:hAnsi="宋体" w:eastAsia="宋体" w:cs="宋体"/>
          <w:b/>
          <w:bCs/>
          <w:color w:val="auto"/>
          <w:spacing w:val="6"/>
          <w:sz w:val="31"/>
          <w:szCs w:val="31"/>
          <w:highlight w:val="none"/>
        </w:rPr>
      </w:pPr>
      <w:bookmarkStart w:id="289" w:name="bookmark249"/>
      <w:bookmarkEnd w:id="289"/>
    </w:p>
    <w:p w14:paraId="3D357BE8">
      <w:pPr>
        <w:spacing w:before="154" w:line="225" w:lineRule="auto"/>
        <w:ind w:left="3332"/>
        <w:rPr>
          <w:rFonts w:ascii="宋体" w:hAnsi="宋体" w:eastAsia="宋体" w:cs="宋体"/>
          <w:b/>
          <w:bCs/>
          <w:color w:val="auto"/>
          <w:spacing w:val="6"/>
          <w:sz w:val="31"/>
          <w:szCs w:val="31"/>
          <w:highlight w:val="none"/>
        </w:rPr>
      </w:pPr>
    </w:p>
    <w:p w14:paraId="0EFFE390">
      <w:pPr>
        <w:spacing w:before="154" w:line="225" w:lineRule="auto"/>
        <w:ind w:left="3332"/>
        <w:outlineLvl w:val="1"/>
        <w:rPr>
          <w:rFonts w:ascii="宋体" w:hAnsi="宋体" w:eastAsia="宋体" w:cs="宋体"/>
          <w:color w:val="auto"/>
          <w:sz w:val="31"/>
          <w:szCs w:val="31"/>
          <w:highlight w:val="none"/>
        </w:rPr>
      </w:pPr>
      <w:bookmarkStart w:id="290" w:name="_Toc11107"/>
      <w:r>
        <w:rPr>
          <w:rFonts w:ascii="宋体" w:hAnsi="宋体" w:eastAsia="宋体" w:cs="宋体"/>
          <w:b/>
          <w:bCs/>
          <w:color w:val="auto"/>
          <w:spacing w:val="6"/>
          <w:sz w:val="31"/>
          <w:szCs w:val="31"/>
          <w:highlight w:val="none"/>
        </w:rPr>
        <w:t>第二节</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专用合同条款</w:t>
      </w:r>
      <w:bookmarkEnd w:id="290"/>
    </w:p>
    <w:p w14:paraId="4EAFFA0B">
      <w:pPr>
        <w:spacing w:line="258" w:lineRule="auto"/>
        <w:rPr>
          <w:rFonts w:ascii="Arial"/>
          <w:color w:val="auto"/>
          <w:sz w:val="21"/>
          <w:highlight w:val="none"/>
        </w:rPr>
      </w:pPr>
    </w:p>
    <w:p w14:paraId="7CA3F3C6">
      <w:pPr>
        <w:spacing w:before="101" w:line="226" w:lineRule="auto"/>
        <w:ind w:left="26"/>
        <w:outlineLvl w:val="2"/>
        <w:rPr>
          <w:rFonts w:ascii="宋体" w:hAnsi="宋体" w:eastAsia="宋体" w:cs="宋体"/>
          <w:color w:val="auto"/>
          <w:sz w:val="31"/>
          <w:szCs w:val="31"/>
          <w:highlight w:val="none"/>
        </w:rPr>
      </w:pPr>
      <w:bookmarkStart w:id="291" w:name="bookmark250"/>
      <w:bookmarkEnd w:id="291"/>
      <w:bookmarkStart w:id="292" w:name="_Toc5459"/>
      <w:bookmarkStart w:id="293" w:name="_Toc18458"/>
      <w:r>
        <w:rPr>
          <w:rFonts w:ascii="宋体" w:hAnsi="宋体" w:eastAsia="宋体" w:cs="宋体"/>
          <w:b/>
          <w:bCs/>
          <w:color w:val="auto"/>
          <w:spacing w:val="-4"/>
          <w:sz w:val="31"/>
          <w:szCs w:val="31"/>
          <w:highlight w:val="none"/>
        </w:rPr>
        <w:t>1.</w:t>
      </w:r>
      <w:r>
        <w:rPr>
          <w:rFonts w:ascii="宋体" w:hAnsi="宋体" w:eastAsia="宋体" w:cs="宋体"/>
          <w:color w:val="auto"/>
          <w:spacing w:val="31"/>
          <w:sz w:val="31"/>
          <w:szCs w:val="31"/>
          <w:highlight w:val="none"/>
        </w:rPr>
        <w:t xml:space="preserve"> </w:t>
      </w:r>
      <w:r>
        <w:rPr>
          <w:rFonts w:ascii="宋体" w:hAnsi="宋体" w:eastAsia="宋体" w:cs="宋体"/>
          <w:b/>
          <w:bCs/>
          <w:color w:val="auto"/>
          <w:spacing w:val="-4"/>
          <w:sz w:val="31"/>
          <w:szCs w:val="31"/>
          <w:highlight w:val="none"/>
        </w:rPr>
        <w:t>一般约定</w:t>
      </w:r>
      <w:bookmarkEnd w:id="292"/>
      <w:bookmarkEnd w:id="293"/>
    </w:p>
    <w:p w14:paraId="3272C12F">
      <w:pPr>
        <w:spacing w:before="275" w:line="221" w:lineRule="auto"/>
        <w:ind w:left="159"/>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1.1</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9"/>
          <w:sz w:val="28"/>
          <w:szCs w:val="28"/>
          <w:highlight w:val="none"/>
        </w:rPr>
        <w:t>词语定义</w:t>
      </w:r>
    </w:p>
    <w:p w14:paraId="3E546797">
      <w:pPr>
        <w:spacing w:before="279" w:line="221" w:lineRule="auto"/>
        <w:ind w:left="427"/>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1.1.2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合同当事人和人员</w:t>
      </w:r>
    </w:p>
    <w:p w14:paraId="3317A66A">
      <w:pPr>
        <w:spacing w:before="155" w:line="353" w:lineRule="auto"/>
        <w:ind w:left="434" w:right="2157"/>
        <w:jc w:val="both"/>
        <w:rPr>
          <w:rFonts w:ascii="宋体" w:hAnsi="宋体" w:eastAsia="宋体" w:cs="宋体"/>
          <w:color w:val="auto"/>
          <w:spacing w:val="8"/>
          <w:sz w:val="21"/>
          <w:szCs w:val="21"/>
          <w:highlight w:val="none"/>
        </w:rPr>
      </w:pPr>
      <w:r>
        <w:rPr>
          <w:color w:val="auto"/>
          <w:highlight w:val="none"/>
        </w:rPr>
        <w:fldChar w:fldCharType="begin"/>
      </w:r>
      <w:r>
        <w:rPr>
          <w:color w:val="auto"/>
          <w:highlight w:val="none"/>
        </w:rPr>
        <w:instrText xml:space="preserve"> HYPERLINK "1.1.2.2" </w:instrText>
      </w:r>
      <w:r>
        <w:rPr>
          <w:color w:val="auto"/>
          <w:highlight w:val="none"/>
        </w:rPr>
        <w:fldChar w:fldCharType="separate"/>
      </w:r>
      <w:r>
        <w:rPr>
          <w:rFonts w:ascii="宋体" w:hAnsi="宋体" w:eastAsia="宋体" w:cs="宋体"/>
          <w:color w:val="auto"/>
          <w:spacing w:val="-1"/>
          <w:sz w:val="21"/>
          <w:szCs w:val="21"/>
          <w:highlight w:val="none"/>
        </w:rPr>
        <w:t>1.1.2.2</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发包人</w:t>
      </w:r>
      <w:r>
        <w:rPr>
          <w:rFonts w:ascii="宋体" w:hAnsi="宋体" w:eastAsia="宋体" w:cs="宋体"/>
          <w:color w:val="auto"/>
          <w:spacing w:val="-11"/>
          <w:sz w:val="21"/>
          <w:szCs w:val="21"/>
          <w:highlight w:val="none"/>
        </w:rPr>
        <w:t>：</w:t>
      </w:r>
      <w:r>
        <w:rPr>
          <w:rFonts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8"/>
          <w:sz w:val="21"/>
          <w:szCs w:val="21"/>
          <w:highlight w:val="none"/>
          <w:u w:val="single" w:color="auto"/>
          <w:lang w:val="en-US" w:eastAsia="zh-CN"/>
        </w:rPr>
        <w:t xml:space="preserve">      </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11"/>
          <w:sz w:val="21"/>
          <w:szCs w:val="21"/>
          <w:highlight w:val="none"/>
          <w:u w:val="single" w:color="auto"/>
        </w:rPr>
        <w:t>（</w:t>
      </w:r>
      <w:r>
        <w:rPr>
          <w:rFonts w:ascii="宋体" w:hAnsi="宋体" w:eastAsia="宋体" w:cs="宋体"/>
          <w:color w:val="auto"/>
          <w:spacing w:val="-1"/>
          <w:sz w:val="21"/>
          <w:szCs w:val="21"/>
          <w:highlight w:val="none"/>
          <w:u w:val="single" w:color="auto"/>
        </w:rPr>
        <w:t xml:space="preserve">填入发包人的名称）         </w:t>
      </w:r>
      <w:r>
        <w:rPr>
          <w:color w:val="auto"/>
          <w:highlight w:val="none"/>
        </w:rPr>
        <w:fldChar w:fldCharType="begin"/>
      </w:r>
      <w:r>
        <w:rPr>
          <w:color w:val="auto"/>
          <w:highlight w:val="none"/>
        </w:rPr>
        <w:instrText xml:space="preserve"> HYPERLINK "1.1.2.3" </w:instrText>
      </w:r>
      <w:r>
        <w:rPr>
          <w:color w:val="auto"/>
          <w:highlight w:val="none"/>
        </w:rPr>
        <w:fldChar w:fldCharType="separate"/>
      </w:r>
      <w:r>
        <w:rPr>
          <w:rFonts w:ascii="宋体" w:hAnsi="宋体" w:eastAsia="宋体" w:cs="宋体"/>
          <w:color w:val="auto"/>
          <w:spacing w:val="-1"/>
          <w:sz w:val="21"/>
          <w:szCs w:val="21"/>
          <w:highlight w:val="none"/>
        </w:rPr>
        <w:t>1.1.2.3</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承包人</w:t>
      </w:r>
      <w:r>
        <w:rPr>
          <w:rFonts w:ascii="宋体" w:hAnsi="宋体" w:eastAsia="宋体" w:cs="宋体"/>
          <w:color w:val="auto"/>
          <w:spacing w:val="-12"/>
          <w:sz w:val="21"/>
          <w:szCs w:val="21"/>
          <w:highlight w:val="none"/>
        </w:rPr>
        <w:t>：</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12"/>
          <w:sz w:val="21"/>
          <w:szCs w:val="21"/>
          <w:highlight w:val="none"/>
          <w:u w:val="single" w:color="auto"/>
        </w:rPr>
        <w:t>（</w:t>
      </w:r>
      <w:r>
        <w:rPr>
          <w:rFonts w:ascii="宋体" w:hAnsi="宋体" w:eastAsia="宋体" w:cs="宋体"/>
          <w:color w:val="auto"/>
          <w:spacing w:val="-1"/>
          <w:sz w:val="21"/>
          <w:szCs w:val="21"/>
          <w:highlight w:val="none"/>
          <w:u w:val="single" w:color="auto"/>
        </w:rPr>
        <w:t xml:space="preserve">签约后填入承包人的名称）   </w:t>
      </w:r>
      <w:r>
        <w:rPr>
          <w:rFonts w:ascii="宋体" w:hAnsi="宋体" w:eastAsia="宋体" w:cs="宋体"/>
          <w:color w:val="auto"/>
          <w:spacing w:val="-1"/>
          <w:sz w:val="21"/>
          <w:szCs w:val="21"/>
          <w:highlight w:val="none"/>
        </w:rPr>
        <w:t>。</w:t>
      </w:r>
      <w:r>
        <w:rPr>
          <w:rFonts w:ascii="宋体" w:hAnsi="宋体" w:eastAsia="宋体" w:cs="宋体"/>
          <w:color w:val="auto"/>
          <w:spacing w:val="8"/>
          <w:sz w:val="21"/>
          <w:szCs w:val="21"/>
          <w:highlight w:val="none"/>
        </w:rPr>
        <w:t xml:space="preserve"> </w:t>
      </w:r>
    </w:p>
    <w:p w14:paraId="78ADA556">
      <w:pPr>
        <w:spacing w:before="155" w:line="353" w:lineRule="auto"/>
        <w:ind w:left="434" w:right="2157"/>
        <w:jc w:val="both"/>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"1.1.2.5" </w:instrText>
      </w:r>
      <w:r>
        <w:rPr>
          <w:color w:val="auto"/>
          <w:highlight w:val="none"/>
        </w:rPr>
        <w:fldChar w:fldCharType="separate"/>
      </w:r>
      <w:r>
        <w:rPr>
          <w:rFonts w:ascii="宋体" w:hAnsi="宋体" w:eastAsia="宋体" w:cs="宋体"/>
          <w:color w:val="auto"/>
          <w:spacing w:val="-1"/>
          <w:sz w:val="21"/>
          <w:szCs w:val="21"/>
          <w:highlight w:val="none"/>
        </w:rPr>
        <w:t>1.1.2.5</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分包人</w:t>
      </w:r>
      <w:r>
        <w:rPr>
          <w:rFonts w:ascii="宋体" w:hAnsi="宋体" w:eastAsia="宋体" w:cs="宋体"/>
          <w:color w:val="auto"/>
          <w:spacing w:val="-12"/>
          <w:sz w:val="21"/>
          <w:szCs w:val="21"/>
          <w:highlight w:val="none"/>
        </w:rPr>
        <w:t>：</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12"/>
          <w:sz w:val="21"/>
          <w:szCs w:val="21"/>
          <w:highlight w:val="none"/>
          <w:u w:val="single" w:color="auto"/>
        </w:rPr>
        <w:t>（</w:t>
      </w:r>
      <w:r>
        <w:rPr>
          <w:rFonts w:ascii="宋体" w:hAnsi="宋体" w:eastAsia="宋体" w:cs="宋体"/>
          <w:color w:val="auto"/>
          <w:spacing w:val="-1"/>
          <w:sz w:val="21"/>
          <w:szCs w:val="21"/>
          <w:highlight w:val="none"/>
          <w:u w:val="single" w:color="auto"/>
        </w:rPr>
        <w:t xml:space="preserve">签约后填入分包人的名称）   </w:t>
      </w:r>
      <w:r>
        <w:rPr>
          <w:rFonts w:ascii="宋体" w:hAnsi="宋体" w:eastAsia="宋体" w:cs="宋体"/>
          <w:color w:val="auto"/>
          <w:spacing w:val="-1"/>
          <w:sz w:val="21"/>
          <w:szCs w:val="21"/>
          <w:highlight w:val="none"/>
        </w:rPr>
        <w:t>。</w:t>
      </w:r>
      <w:r>
        <w:rPr>
          <w:rFonts w:ascii="宋体" w:hAnsi="宋体" w:eastAsia="宋体" w:cs="宋体"/>
          <w:color w:val="auto"/>
          <w:spacing w:val="8"/>
          <w:sz w:val="21"/>
          <w:szCs w:val="21"/>
          <w:highlight w:val="none"/>
        </w:rPr>
        <w:t xml:space="preserve"> </w:t>
      </w:r>
      <w:r>
        <w:rPr>
          <w:color w:val="auto"/>
          <w:highlight w:val="none"/>
        </w:rPr>
        <w:fldChar w:fldCharType="begin"/>
      </w:r>
      <w:r>
        <w:rPr>
          <w:color w:val="auto"/>
          <w:highlight w:val="none"/>
        </w:rPr>
        <w:instrText xml:space="preserve"> HYPERLINK "1.1.2.6" </w:instrText>
      </w:r>
      <w:r>
        <w:rPr>
          <w:color w:val="auto"/>
          <w:highlight w:val="none"/>
        </w:rPr>
        <w:fldChar w:fldCharType="separate"/>
      </w:r>
      <w:r>
        <w:rPr>
          <w:rFonts w:ascii="宋体" w:hAnsi="宋体" w:eastAsia="宋体" w:cs="宋体"/>
          <w:color w:val="auto"/>
          <w:spacing w:val="-1"/>
          <w:sz w:val="21"/>
          <w:szCs w:val="21"/>
          <w:highlight w:val="none"/>
        </w:rPr>
        <w:t>1.1.2.6</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监理人</w:t>
      </w:r>
      <w:r>
        <w:rPr>
          <w:rFonts w:ascii="宋体" w:hAnsi="宋体" w:eastAsia="宋体" w:cs="宋体"/>
          <w:color w:val="auto"/>
          <w:spacing w:val="-10"/>
          <w:sz w:val="21"/>
          <w:szCs w:val="21"/>
          <w:highlight w:val="none"/>
        </w:rPr>
        <w:t>：</w:t>
      </w:r>
      <w:r>
        <w:rPr>
          <w:rFonts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8"/>
          <w:sz w:val="21"/>
          <w:szCs w:val="21"/>
          <w:highlight w:val="none"/>
          <w:u w:val="single" w:color="auto"/>
          <w:lang w:val="en-US" w:eastAsia="zh-CN"/>
        </w:rPr>
        <w:t xml:space="preserve"> </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10"/>
          <w:sz w:val="21"/>
          <w:szCs w:val="21"/>
          <w:highlight w:val="none"/>
          <w:u w:val="single" w:color="auto"/>
        </w:rPr>
        <w:t>（</w:t>
      </w:r>
      <w:r>
        <w:rPr>
          <w:rFonts w:ascii="宋体" w:hAnsi="宋体" w:eastAsia="宋体" w:cs="宋体"/>
          <w:color w:val="auto"/>
          <w:spacing w:val="-1"/>
          <w:sz w:val="21"/>
          <w:szCs w:val="21"/>
          <w:highlight w:val="none"/>
          <w:u w:val="single" w:color="auto"/>
        </w:rPr>
        <w:t xml:space="preserve">填入监理人名称）           </w:t>
      </w:r>
      <w:r>
        <w:rPr>
          <w:rFonts w:ascii="宋体" w:hAnsi="宋体" w:eastAsia="宋体" w:cs="宋体"/>
          <w:color w:val="auto"/>
          <w:spacing w:val="-1"/>
          <w:sz w:val="21"/>
          <w:szCs w:val="21"/>
          <w:highlight w:val="none"/>
        </w:rPr>
        <w:t>。</w:t>
      </w:r>
    </w:p>
    <w:p w14:paraId="46B60476">
      <w:pPr>
        <w:spacing w:before="30" w:line="221" w:lineRule="auto"/>
        <w:ind w:left="427"/>
        <w:rPr>
          <w:rFonts w:ascii="宋体" w:hAnsi="宋体" w:eastAsia="宋体" w:cs="宋体"/>
          <w:color w:val="auto"/>
          <w:sz w:val="21"/>
          <w:szCs w:val="21"/>
          <w:highlight w:val="none"/>
        </w:rPr>
      </w:pPr>
      <w:r>
        <w:rPr>
          <w:rFonts w:ascii="宋体" w:hAnsi="宋体" w:eastAsia="宋体" w:cs="宋体"/>
          <w:b/>
          <w:bCs/>
          <w:color w:val="auto"/>
          <w:spacing w:val="-9"/>
          <w:sz w:val="21"/>
          <w:szCs w:val="21"/>
          <w:highlight w:val="none"/>
        </w:rPr>
        <w:t>1.1.4</w:t>
      </w:r>
      <w:r>
        <w:rPr>
          <w:rFonts w:ascii="宋体" w:hAnsi="宋体" w:eastAsia="宋体" w:cs="宋体"/>
          <w:color w:val="auto"/>
          <w:spacing w:val="25"/>
          <w:sz w:val="21"/>
          <w:szCs w:val="21"/>
          <w:highlight w:val="none"/>
        </w:rPr>
        <w:t xml:space="preserve">  </w:t>
      </w:r>
      <w:r>
        <w:rPr>
          <w:rFonts w:ascii="宋体" w:hAnsi="宋体" w:eastAsia="宋体" w:cs="宋体"/>
          <w:b/>
          <w:bCs/>
          <w:color w:val="auto"/>
          <w:spacing w:val="-9"/>
          <w:sz w:val="21"/>
          <w:szCs w:val="21"/>
          <w:highlight w:val="none"/>
        </w:rPr>
        <w:t>日期</w:t>
      </w:r>
    </w:p>
    <w:p w14:paraId="0270F329">
      <w:pPr>
        <w:spacing w:before="156" w:line="221" w:lineRule="auto"/>
        <w:ind w:left="434"/>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ascii="宋体" w:hAnsi="宋体" w:eastAsia="宋体" w:cs="宋体"/>
          <w:color w:val="auto"/>
          <w:sz w:val="21"/>
          <w:szCs w:val="21"/>
          <w:highlight w:val="none"/>
        </w:rPr>
        <w:t>1.1.4.5</w:t>
      </w:r>
      <w:r>
        <w:rPr>
          <w:rFonts w:ascii="宋体" w:hAnsi="宋体" w:eastAsia="宋体" w:cs="宋体"/>
          <w:color w:val="auto"/>
          <w:sz w:val="21"/>
          <w:szCs w:val="21"/>
          <w:highlight w:val="none"/>
        </w:rPr>
        <w:fldChar w:fldCharType="end"/>
      </w:r>
      <w:r>
        <w:rPr>
          <w:rFonts w:ascii="宋体" w:hAnsi="宋体" w:eastAsia="宋体" w:cs="宋体"/>
          <w:color w:val="auto"/>
          <w:sz w:val="21"/>
          <w:szCs w:val="21"/>
          <w:highlight w:val="none"/>
        </w:rPr>
        <w:t xml:space="preserve">  缺陷责任期：</w:t>
      </w:r>
      <w:r>
        <w:rPr>
          <w:rFonts w:hint="eastAsia" w:ascii="Times New Roman" w:hAnsi="Times New Roman" w:cs="Times New Roman"/>
          <w:color w:val="auto"/>
          <w:szCs w:val="21"/>
          <w:highlight w:val="none"/>
          <w:u w:val="single"/>
        </w:rPr>
        <w:t>自工程完工验收合格之日起</w:t>
      </w:r>
      <w:r>
        <w:rPr>
          <w:rFonts w:hint="eastAsia" w:ascii="Times New Roman" w:hAnsi="Times New Roman" w:eastAsia="宋体" w:cs="Times New Roman"/>
          <w:color w:val="auto"/>
          <w:szCs w:val="21"/>
          <w:highlight w:val="none"/>
          <w:u w:val="single"/>
          <w:lang w:val="en-US" w:eastAsia="zh-CN"/>
        </w:rPr>
        <w:t>24个月</w:t>
      </w:r>
      <w:r>
        <w:rPr>
          <w:rFonts w:ascii="宋体" w:hAnsi="宋体" w:eastAsia="宋体" w:cs="宋体"/>
          <w:color w:val="auto"/>
          <w:spacing w:val="-1"/>
          <w:sz w:val="21"/>
          <w:szCs w:val="21"/>
          <w:highlight w:val="none"/>
        </w:rPr>
        <w:t>。</w:t>
      </w:r>
    </w:p>
    <w:p w14:paraId="0CF9C514">
      <w:pPr>
        <w:spacing w:line="333" w:lineRule="auto"/>
        <w:rPr>
          <w:rFonts w:ascii="Arial"/>
          <w:color w:val="auto"/>
          <w:sz w:val="21"/>
          <w:highlight w:val="none"/>
        </w:rPr>
      </w:pPr>
    </w:p>
    <w:p w14:paraId="5EBC20D0">
      <w:pPr>
        <w:spacing w:before="91" w:line="220" w:lineRule="auto"/>
        <w:ind w:left="159"/>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1.3</w:t>
      </w:r>
      <w:r>
        <w:rPr>
          <w:rFonts w:ascii="宋体" w:hAnsi="宋体" w:eastAsia="宋体" w:cs="宋体"/>
          <w:color w:val="auto"/>
          <w:spacing w:val="14"/>
          <w:sz w:val="28"/>
          <w:szCs w:val="28"/>
          <w:highlight w:val="none"/>
        </w:rPr>
        <w:t xml:space="preserve"> </w:t>
      </w:r>
      <w:r>
        <w:rPr>
          <w:rFonts w:ascii="宋体" w:hAnsi="宋体" w:eastAsia="宋体" w:cs="宋体"/>
          <w:b/>
          <w:bCs/>
          <w:color w:val="auto"/>
          <w:spacing w:val="-8"/>
          <w:sz w:val="28"/>
          <w:szCs w:val="28"/>
          <w:highlight w:val="none"/>
        </w:rPr>
        <w:t>适用法律</w:t>
      </w:r>
    </w:p>
    <w:p w14:paraId="0FB20C2F">
      <w:pPr>
        <w:spacing w:before="283" w:line="220" w:lineRule="auto"/>
        <w:ind w:left="48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本合同适用的其他规范性文件：</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1"/>
          <w:sz w:val="21"/>
          <w:szCs w:val="21"/>
          <w:highlight w:val="none"/>
        </w:rPr>
        <w:t>。</w:t>
      </w:r>
    </w:p>
    <w:p w14:paraId="6C507915">
      <w:pPr>
        <w:spacing w:line="395" w:lineRule="auto"/>
        <w:rPr>
          <w:rFonts w:ascii="Arial"/>
          <w:color w:val="auto"/>
          <w:sz w:val="21"/>
          <w:highlight w:val="none"/>
        </w:rPr>
      </w:pPr>
    </w:p>
    <w:p w14:paraId="715D1AB1">
      <w:pPr>
        <w:spacing w:before="92" w:line="220" w:lineRule="auto"/>
        <w:ind w:left="159"/>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1.4</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合同文件的优先顺序</w:t>
      </w:r>
    </w:p>
    <w:p w14:paraId="45353374">
      <w:pPr>
        <w:spacing w:before="280"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本合同文件组成及优先顺序为：</w:t>
      </w:r>
      <w:r>
        <w:rPr>
          <w:rFonts w:hint="eastAsia" w:ascii="宋体" w:hAnsi="宋体" w:eastAsia="宋体" w:cs="宋体"/>
          <w:color w:val="auto"/>
          <w:spacing w:val="-1"/>
          <w:sz w:val="21"/>
          <w:szCs w:val="21"/>
          <w:highlight w:val="none"/>
          <w:u w:val="single"/>
          <w:lang w:val="en-US" w:eastAsia="zh-CN"/>
        </w:rPr>
        <w:t xml:space="preserve">      详见通用条款      </w:t>
      </w:r>
      <w:r>
        <w:rPr>
          <w:rFonts w:ascii="宋体" w:hAnsi="宋体" w:eastAsia="宋体" w:cs="宋体"/>
          <w:color w:val="auto"/>
          <w:spacing w:val="-1"/>
          <w:sz w:val="21"/>
          <w:szCs w:val="21"/>
          <w:highlight w:val="none"/>
        </w:rPr>
        <w:t>。</w:t>
      </w:r>
    </w:p>
    <w:p w14:paraId="0E03992A">
      <w:pPr>
        <w:spacing w:line="334" w:lineRule="auto"/>
        <w:rPr>
          <w:rFonts w:ascii="Arial"/>
          <w:color w:val="auto"/>
          <w:sz w:val="21"/>
          <w:highlight w:val="none"/>
        </w:rPr>
      </w:pPr>
    </w:p>
    <w:p w14:paraId="07DD5B2D">
      <w:pPr>
        <w:spacing w:before="91" w:line="220" w:lineRule="auto"/>
        <w:ind w:left="159"/>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1.6</w:t>
      </w:r>
      <w:r>
        <w:rPr>
          <w:rFonts w:ascii="宋体" w:hAnsi="宋体" w:eastAsia="宋体" w:cs="宋体"/>
          <w:color w:val="auto"/>
          <w:spacing w:val="50"/>
          <w:sz w:val="28"/>
          <w:szCs w:val="28"/>
          <w:highlight w:val="none"/>
        </w:rPr>
        <w:t xml:space="preserve"> </w:t>
      </w:r>
      <w:r>
        <w:rPr>
          <w:rFonts w:ascii="宋体" w:hAnsi="宋体" w:eastAsia="宋体" w:cs="宋体"/>
          <w:b/>
          <w:bCs/>
          <w:color w:val="auto"/>
          <w:spacing w:val="-9"/>
          <w:sz w:val="28"/>
          <w:szCs w:val="28"/>
          <w:highlight w:val="none"/>
        </w:rPr>
        <w:t>图纸和承包人文件</w:t>
      </w:r>
    </w:p>
    <w:p w14:paraId="38CD6767">
      <w:pPr>
        <w:spacing w:before="280" w:line="290" w:lineRule="auto"/>
        <w:ind w:left="13" w:firstLine="420"/>
        <w:rPr>
          <w:rFonts w:ascii="宋体" w:hAnsi="宋体" w:eastAsia="宋体" w:cs="宋体"/>
          <w:color w:val="auto"/>
          <w:spacing w:val="-76"/>
          <w:sz w:val="21"/>
          <w:szCs w:val="21"/>
          <w:highlight w:val="none"/>
        </w:rPr>
      </w:pPr>
      <w:r>
        <w:rPr>
          <w:rFonts w:ascii="宋体" w:hAnsi="宋体" w:eastAsia="宋体" w:cs="宋体"/>
          <w:color w:val="auto"/>
          <w:spacing w:val="1"/>
          <w:sz w:val="21"/>
          <w:szCs w:val="21"/>
          <w:highlight w:val="none"/>
        </w:rPr>
        <w:t>1.6.2 承包人负责提供的文件包括</w:t>
      </w:r>
      <w:r>
        <w:rPr>
          <w:rFonts w:ascii="宋体" w:hAnsi="宋体" w:eastAsia="宋体" w:cs="宋体"/>
          <w:color w:val="auto"/>
          <w:spacing w:val="2"/>
          <w:sz w:val="21"/>
          <w:szCs w:val="21"/>
          <w:highlight w:val="none"/>
        </w:rPr>
        <w:t>：</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65"/>
          <w:sz w:val="21"/>
          <w:szCs w:val="21"/>
          <w:highlight w:val="none"/>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1"/>
          <w:sz w:val="21"/>
          <w:szCs w:val="21"/>
          <w:highlight w:val="none"/>
        </w:rPr>
        <w:t>提供数量</w:t>
      </w:r>
      <w:r>
        <w:rPr>
          <w:rFonts w:ascii="宋体" w:hAnsi="宋体" w:eastAsia="宋体" w:cs="宋体"/>
          <w:color w:val="auto"/>
          <w:spacing w:val="2"/>
          <w:sz w:val="21"/>
          <w:szCs w:val="21"/>
          <w:highlight w:val="none"/>
        </w:rPr>
        <w:t>：</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76"/>
          <w:sz w:val="21"/>
          <w:szCs w:val="21"/>
          <w:highlight w:val="none"/>
        </w:rPr>
        <w:t xml:space="preserve"> </w:t>
      </w:r>
    </w:p>
    <w:p w14:paraId="7C9A4BF7">
      <w:pPr>
        <w:spacing w:before="280" w:line="29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w:t>
      </w:r>
      <w:r>
        <w:rPr>
          <w:rFonts w:ascii="宋体" w:hAnsi="宋体" w:eastAsia="宋体" w:cs="宋体"/>
          <w:color w:val="auto"/>
          <w:spacing w:val="1"/>
          <w:sz w:val="21"/>
          <w:szCs w:val="21"/>
          <w:highlight w:val="none"/>
        </w:rPr>
        <w:t>提供期</w:t>
      </w:r>
      <w:r>
        <w:rPr>
          <w:rFonts w:ascii="宋体" w:hAnsi="宋体" w:eastAsia="宋体" w:cs="宋体"/>
          <w:color w:val="auto"/>
          <w:spacing w:val="-1"/>
          <w:sz w:val="21"/>
          <w:szCs w:val="21"/>
          <w:highlight w:val="none"/>
        </w:rPr>
        <w:t>限</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。监理人批复文件的期限：</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1C48F76C">
      <w:pPr>
        <w:spacing w:before="159" w:line="221"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1.6.3 修改后图纸签发的期限：</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0C8C082C">
      <w:pPr>
        <w:spacing w:line="333" w:lineRule="auto"/>
        <w:rPr>
          <w:rFonts w:ascii="Arial"/>
          <w:color w:val="auto"/>
          <w:sz w:val="21"/>
          <w:highlight w:val="none"/>
        </w:rPr>
      </w:pPr>
    </w:p>
    <w:p w14:paraId="2AC97BD8">
      <w:pPr>
        <w:spacing w:before="91" w:line="222" w:lineRule="auto"/>
        <w:ind w:left="159"/>
        <w:rPr>
          <w:rFonts w:ascii="宋体" w:hAnsi="宋体" w:eastAsia="宋体" w:cs="宋体"/>
          <w:color w:val="auto"/>
          <w:sz w:val="28"/>
          <w:szCs w:val="28"/>
          <w:highlight w:val="none"/>
        </w:rPr>
      </w:pPr>
      <w:r>
        <w:rPr>
          <w:rFonts w:ascii="宋体" w:hAnsi="宋体" w:eastAsia="宋体" w:cs="宋体"/>
          <w:b/>
          <w:bCs/>
          <w:color w:val="auto"/>
          <w:spacing w:val="-10"/>
          <w:sz w:val="28"/>
          <w:szCs w:val="28"/>
          <w:highlight w:val="none"/>
        </w:rPr>
        <w:t>1.7</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10"/>
          <w:sz w:val="28"/>
          <w:szCs w:val="28"/>
          <w:highlight w:val="none"/>
        </w:rPr>
        <w:t>联络</w:t>
      </w:r>
    </w:p>
    <w:p w14:paraId="1D7DD80C">
      <w:pPr>
        <w:spacing w:before="277" w:line="221" w:lineRule="auto"/>
        <w:ind w:left="43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 xml:space="preserve">1.7.2  来往函件均应在         </w:t>
      </w:r>
      <w:r>
        <w:rPr>
          <w:rFonts w:hint="eastAsia" w:ascii="宋体" w:hAnsi="宋体" w:eastAsia="宋体" w:cs="宋体"/>
          <w:color w:val="auto"/>
          <w:spacing w:val="-105"/>
          <w:sz w:val="21"/>
          <w:szCs w:val="21"/>
          <w:highlight w:val="none"/>
          <w:u w:val="single" w:color="auto"/>
          <w:lang w:val="en-US" w:eastAsia="zh-CN"/>
        </w:rPr>
        <w:t xml:space="preserve">     </w:t>
      </w:r>
      <w:r>
        <w:rPr>
          <w:rFonts w:ascii="宋体" w:hAnsi="宋体" w:eastAsia="宋体" w:cs="宋体"/>
          <w:color w:val="auto"/>
          <w:spacing w:val="-4"/>
          <w:sz w:val="21"/>
          <w:szCs w:val="21"/>
          <w:highlight w:val="none"/>
        </w:rPr>
        <w:t>天内送达</w:t>
      </w:r>
      <w:r>
        <w:rPr>
          <w:rFonts w:hint="eastAsia" w:ascii="宋体" w:hAnsi="宋体" w:eastAsia="宋体" w:cs="宋体"/>
          <w:color w:val="auto"/>
          <w:spacing w:val="-4"/>
          <w:sz w:val="21"/>
          <w:szCs w:val="21"/>
          <w:highlight w:val="none"/>
          <w:u w:val="none" w:color="auto"/>
        </w:rPr>
        <w:t>发包人、承包人现场管理机构</w:t>
      </w:r>
      <w:r>
        <w:rPr>
          <w:rFonts w:ascii="宋体" w:hAnsi="宋体" w:eastAsia="宋体" w:cs="宋体"/>
          <w:color w:val="auto"/>
          <w:spacing w:val="-4"/>
          <w:sz w:val="21"/>
          <w:szCs w:val="21"/>
          <w:highlight w:val="none"/>
        </w:rPr>
        <w:t>（</w:t>
      </w:r>
      <w:r>
        <w:rPr>
          <w:rFonts w:ascii="宋体" w:hAnsi="宋体" w:eastAsia="宋体" w:cs="宋体"/>
          <w:color w:val="auto"/>
          <w:spacing w:val="-5"/>
          <w:sz w:val="21"/>
          <w:szCs w:val="21"/>
          <w:highlight w:val="none"/>
        </w:rPr>
        <w:t>填写文件送达地点）。</w:t>
      </w:r>
    </w:p>
    <w:p w14:paraId="025442E3">
      <w:pPr>
        <w:spacing w:before="172" w:line="225" w:lineRule="auto"/>
        <w:ind w:left="7"/>
        <w:outlineLvl w:val="2"/>
        <w:rPr>
          <w:rFonts w:ascii="宋体" w:hAnsi="宋体" w:eastAsia="宋体" w:cs="宋体"/>
          <w:color w:val="auto"/>
          <w:sz w:val="31"/>
          <w:szCs w:val="31"/>
          <w:highlight w:val="none"/>
        </w:rPr>
      </w:pPr>
      <w:bookmarkStart w:id="294" w:name="bookmark251"/>
      <w:bookmarkEnd w:id="294"/>
      <w:bookmarkStart w:id="295" w:name="_Toc29234"/>
      <w:bookmarkStart w:id="296" w:name="_Toc7464"/>
      <w:r>
        <w:rPr>
          <w:rFonts w:ascii="宋体" w:hAnsi="宋体" w:eastAsia="宋体" w:cs="宋体"/>
          <w:b/>
          <w:bCs/>
          <w:color w:val="auto"/>
          <w:spacing w:val="1"/>
          <w:sz w:val="31"/>
          <w:szCs w:val="31"/>
          <w:highlight w:val="none"/>
        </w:rPr>
        <w:t>2.</w:t>
      </w:r>
      <w:r>
        <w:rPr>
          <w:rFonts w:ascii="宋体" w:hAnsi="宋体" w:eastAsia="宋体" w:cs="宋体"/>
          <w:color w:val="auto"/>
          <w:spacing w:val="28"/>
          <w:sz w:val="31"/>
          <w:szCs w:val="31"/>
          <w:highlight w:val="none"/>
        </w:rPr>
        <w:t xml:space="preserve"> </w:t>
      </w:r>
      <w:r>
        <w:rPr>
          <w:rFonts w:ascii="宋体" w:hAnsi="宋体" w:eastAsia="宋体" w:cs="宋体"/>
          <w:b/>
          <w:bCs/>
          <w:color w:val="auto"/>
          <w:spacing w:val="1"/>
          <w:sz w:val="31"/>
          <w:szCs w:val="31"/>
          <w:highlight w:val="none"/>
        </w:rPr>
        <w:t>发包人义务</w:t>
      </w:r>
      <w:bookmarkEnd w:id="295"/>
      <w:bookmarkEnd w:id="296"/>
    </w:p>
    <w:p w14:paraId="5510A1B1">
      <w:pPr>
        <w:spacing w:before="278" w:line="219"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提供施工场地</w:t>
      </w:r>
    </w:p>
    <w:p w14:paraId="4760D62E">
      <w:pPr>
        <w:spacing w:before="282"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本款细化为：</w:t>
      </w:r>
    </w:p>
    <w:p w14:paraId="3BDE414C">
      <w:pPr>
        <w:spacing w:before="159" w:line="349" w:lineRule="auto"/>
        <w:ind w:right="232"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2.3.1</w:t>
      </w:r>
      <w:r>
        <w:rPr>
          <w:rFonts w:ascii="宋体" w:hAnsi="宋体" w:eastAsia="宋体" w:cs="宋体"/>
          <w:color w:val="auto"/>
          <w:spacing w:val="-33"/>
          <w:sz w:val="21"/>
          <w:szCs w:val="21"/>
          <w:highlight w:val="none"/>
        </w:rPr>
        <w:t xml:space="preserve"> </w:t>
      </w:r>
      <w:r>
        <w:rPr>
          <w:rFonts w:ascii="宋体" w:hAnsi="宋体" w:eastAsia="宋体" w:cs="宋体"/>
          <w:color w:val="auto"/>
          <w:spacing w:val="-2"/>
          <w:sz w:val="21"/>
          <w:szCs w:val="21"/>
          <w:highlight w:val="none"/>
        </w:rPr>
        <w:t>发包人应在合同双方签订合同协议书后的</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2"/>
          <w:sz w:val="21"/>
          <w:szCs w:val="21"/>
          <w:highlight w:val="none"/>
        </w:rPr>
        <w:t>天内，将本合同工程的施工场地范围图</w:t>
      </w:r>
      <w:r>
        <w:rPr>
          <w:rFonts w:ascii="宋体" w:hAnsi="宋体" w:eastAsia="宋体" w:cs="宋体"/>
          <w:color w:val="auto"/>
          <w:sz w:val="21"/>
          <w:szCs w:val="21"/>
          <w:highlight w:val="none"/>
        </w:rPr>
        <w:t xml:space="preserve"> 提交给承包人。发包人提供的施工场地范围图应标明场地范围内永久占地与临时占地的</w:t>
      </w:r>
      <w:r>
        <w:rPr>
          <w:rFonts w:ascii="宋体" w:hAnsi="宋体" w:eastAsia="宋体" w:cs="宋体"/>
          <w:color w:val="auto"/>
          <w:spacing w:val="-1"/>
          <w:sz w:val="21"/>
          <w:szCs w:val="21"/>
          <w:highlight w:val="none"/>
        </w:rPr>
        <w:t>范围和界</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限，以及指明提供给承包人用于施工场地布置的范围和界限及其有关资料。</w:t>
      </w:r>
    </w:p>
    <w:p w14:paraId="3367B524">
      <w:pPr>
        <w:spacing w:before="42" w:line="220" w:lineRule="auto"/>
        <w:ind w:left="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2.3.2</w:t>
      </w:r>
      <w:r>
        <w:rPr>
          <w:rFonts w:ascii="宋体" w:hAnsi="宋体" w:eastAsia="宋体" w:cs="宋体"/>
          <w:color w:val="auto"/>
          <w:spacing w:val="-31"/>
          <w:sz w:val="21"/>
          <w:szCs w:val="21"/>
          <w:highlight w:val="none"/>
        </w:rPr>
        <w:t xml:space="preserve"> </w:t>
      </w:r>
      <w:r>
        <w:rPr>
          <w:rFonts w:ascii="宋体" w:hAnsi="宋体" w:eastAsia="宋体" w:cs="宋体"/>
          <w:color w:val="auto"/>
          <w:spacing w:val="-1"/>
          <w:sz w:val="21"/>
          <w:szCs w:val="21"/>
          <w:highlight w:val="none"/>
        </w:rPr>
        <w:t>发包人提供的施工用地范围为：</w:t>
      </w:r>
      <w:r>
        <w:rPr>
          <w:rFonts w:ascii="宋体" w:hAnsi="宋体" w:eastAsia="宋体" w:cs="宋体"/>
          <w:color w:val="auto"/>
          <w:spacing w:val="-1"/>
          <w:sz w:val="21"/>
          <w:szCs w:val="21"/>
          <w:highlight w:val="none"/>
          <w:u w:val="single" w:color="auto"/>
        </w:rPr>
        <w:t xml:space="preserve">      </w:t>
      </w:r>
      <w:r>
        <w:rPr>
          <w:rFonts w:hint="eastAsia" w:ascii="Times New Roman" w:hAnsi="Times New Roman" w:cs="Times New Roman"/>
          <w:color w:val="auto"/>
          <w:highlight w:val="none"/>
          <w:u w:val="single"/>
        </w:rPr>
        <w:t>详见</w:t>
      </w:r>
      <w:r>
        <w:rPr>
          <w:rFonts w:ascii="Times New Roman" w:hAnsi="Times New Roman" w:cs="Times New Roman"/>
          <w:color w:val="auto"/>
          <w:highlight w:val="none"/>
          <w:u w:val="single"/>
        </w:rPr>
        <w:t>施工</w:t>
      </w:r>
      <w:r>
        <w:rPr>
          <w:rFonts w:hint="eastAsia" w:ascii="Times New Roman" w:hAnsi="Times New Roman" w:eastAsia="宋体" w:cs="Times New Roman"/>
          <w:color w:val="auto"/>
          <w:highlight w:val="none"/>
          <w:u w:val="single"/>
          <w:lang w:val="en-US" w:eastAsia="zh-CN"/>
        </w:rPr>
        <w:t>图纸</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079DF803">
      <w:pPr>
        <w:spacing w:before="157" w:line="221" w:lineRule="auto"/>
        <w:ind w:left="422"/>
        <w:rPr>
          <w:rFonts w:ascii="宋体" w:hAnsi="宋体" w:eastAsia="宋体" w:cs="宋体"/>
          <w:color w:val="auto"/>
          <w:sz w:val="21"/>
          <w:szCs w:val="21"/>
          <w:highlight w:val="none"/>
        </w:rPr>
      </w:pPr>
      <w:r>
        <w:rPr>
          <w:rFonts w:ascii="宋体" w:hAnsi="宋体" w:eastAsia="宋体" w:cs="宋体"/>
          <w:color w:val="auto"/>
          <w:sz w:val="21"/>
          <w:szCs w:val="21"/>
          <w:highlight w:val="none"/>
        </w:rPr>
        <w:t>2.3.3</w:t>
      </w:r>
      <w:r>
        <w:rPr>
          <w:rFonts w:ascii="宋体" w:hAnsi="宋体" w:eastAsia="宋体" w:cs="宋体"/>
          <w:color w:val="auto"/>
          <w:spacing w:val="-47"/>
          <w:sz w:val="21"/>
          <w:szCs w:val="21"/>
          <w:highlight w:val="none"/>
        </w:rPr>
        <w:t xml:space="preserve"> </w:t>
      </w:r>
      <w:r>
        <w:rPr>
          <w:rFonts w:ascii="宋体" w:hAnsi="宋体" w:eastAsia="宋体" w:cs="宋体"/>
          <w:color w:val="auto"/>
          <w:sz w:val="21"/>
          <w:szCs w:val="21"/>
          <w:highlight w:val="none"/>
        </w:rPr>
        <w:t>承包人自行踏勘的施工场地范围为：</w:t>
      </w:r>
      <w:r>
        <w:rPr>
          <w:rFonts w:ascii="宋体" w:hAnsi="宋体" w:eastAsia="宋体" w:cs="宋体"/>
          <w:color w:val="auto"/>
          <w:sz w:val="21"/>
          <w:szCs w:val="21"/>
          <w:highlight w:val="none"/>
          <w:u w:val="single" w:color="auto"/>
        </w:rPr>
        <w:t xml:space="preserve">        </w:t>
      </w:r>
      <w:r>
        <w:rPr>
          <w:rFonts w:hint="eastAsia" w:ascii="Times New Roman" w:hAnsi="Times New Roman" w:cs="Times New Roman"/>
          <w:color w:val="auto"/>
          <w:highlight w:val="none"/>
          <w:u w:val="single"/>
        </w:rPr>
        <w:t>详见</w:t>
      </w:r>
      <w:r>
        <w:rPr>
          <w:rFonts w:ascii="Times New Roman" w:hAnsi="Times New Roman" w:cs="Times New Roman"/>
          <w:color w:val="auto"/>
          <w:highlight w:val="none"/>
          <w:u w:val="single"/>
        </w:rPr>
        <w:t>施工</w:t>
      </w:r>
      <w:r>
        <w:rPr>
          <w:rFonts w:hint="eastAsia" w:ascii="Times New Roman" w:hAnsi="Times New Roman" w:eastAsia="宋体" w:cs="Times New Roman"/>
          <w:color w:val="auto"/>
          <w:highlight w:val="none"/>
          <w:u w:val="single"/>
          <w:lang w:val="en-US" w:eastAsia="zh-CN"/>
        </w:rPr>
        <w:t>图纸</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b/>
          <w:bCs/>
          <w:color w:val="auto"/>
          <w:spacing w:val="-1"/>
          <w:sz w:val="21"/>
          <w:szCs w:val="21"/>
          <w:highlight w:val="none"/>
        </w:rPr>
        <w:t>。</w:t>
      </w:r>
    </w:p>
    <w:p w14:paraId="28D7D6C5">
      <w:pPr>
        <w:spacing w:line="333" w:lineRule="auto"/>
        <w:rPr>
          <w:rFonts w:ascii="Arial"/>
          <w:color w:val="auto"/>
          <w:sz w:val="21"/>
          <w:highlight w:val="none"/>
        </w:rPr>
      </w:pPr>
    </w:p>
    <w:p w14:paraId="4F4ABF20">
      <w:pPr>
        <w:spacing w:before="91" w:line="220" w:lineRule="auto"/>
        <w:ind w:left="142"/>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2.8</w:t>
      </w:r>
      <w:r>
        <w:rPr>
          <w:rFonts w:ascii="宋体" w:hAnsi="宋体" w:eastAsia="宋体" w:cs="宋体"/>
          <w:color w:val="auto"/>
          <w:spacing w:val="17"/>
          <w:sz w:val="28"/>
          <w:szCs w:val="28"/>
          <w:highlight w:val="none"/>
        </w:rPr>
        <w:t xml:space="preserve"> </w:t>
      </w:r>
      <w:r>
        <w:rPr>
          <w:rFonts w:ascii="宋体" w:hAnsi="宋体" w:eastAsia="宋体" w:cs="宋体"/>
          <w:b/>
          <w:bCs/>
          <w:color w:val="auto"/>
          <w:spacing w:val="-6"/>
          <w:sz w:val="28"/>
          <w:szCs w:val="28"/>
          <w:highlight w:val="none"/>
        </w:rPr>
        <w:t>其它义务</w:t>
      </w:r>
    </w:p>
    <w:p w14:paraId="015D02CA">
      <w:pPr>
        <w:wordWrap w:val="0"/>
        <w:spacing w:line="360" w:lineRule="auto"/>
        <w:ind w:firstLine="413" w:firstLineChars="199"/>
        <w:rPr>
          <w:rFonts w:ascii="Times New Roman" w:hAnsi="Times New Roman" w:cs="Times New Roman"/>
          <w:color w:val="auto"/>
          <w:szCs w:val="21"/>
          <w:highlight w:val="none"/>
        </w:rPr>
      </w:pPr>
      <w:r>
        <w:rPr>
          <w:rFonts w:ascii="宋体" w:hAnsi="宋体" w:eastAsia="宋体" w:cs="宋体"/>
          <w:color w:val="auto"/>
          <w:spacing w:val="-1"/>
          <w:sz w:val="21"/>
          <w:szCs w:val="21"/>
          <w:highlight w:val="none"/>
        </w:rPr>
        <w:t>发包人应履行的其他义务：</w:t>
      </w:r>
    </w:p>
    <w:p w14:paraId="57E1A708">
      <w:pPr>
        <w:tabs>
          <w:tab w:val="left" w:pos="2205"/>
        </w:tabs>
        <w:wordWrap w:val="0"/>
        <w:spacing w:line="360" w:lineRule="auto"/>
        <w:ind w:right="-2" w:firstLine="480"/>
        <w:rPr>
          <w:rFonts w:ascii="Times New Roman" w:hAnsi="Times New Roman" w:cs="Times New Roman"/>
          <w:color w:val="auto"/>
          <w:szCs w:val="21"/>
          <w:highlight w:val="none"/>
        </w:rPr>
      </w:pPr>
      <w:r>
        <w:rPr>
          <w:rFonts w:ascii="Times New Roman" w:hAnsi="Times New Roman" w:cs="Times New Roman"/>
          <w:color w:val="auto"/>
          <w:szCs w:val="21"/>
          <w:highlight w:val="none"/>
        </w:rPr>
        <w:t>1）发包人应于开工前负责审验经人力资源社会保障部门确认的农民工工资支付保障手续，并对工程项目的农民工工资支付负监管责任；</w:t>
      </w:r>
    </w:p>
    <w:p w14:paraId="3213DABB">
      <w:pPr>
        <w:wordWrap w:val="0"/>
        <w:spacing w:line="360" w:lineRule="auto"/>
        <w:ind w:right="248" w:firstLine="480"/>
        <w:rPr>
          <w:rFonts w:ascii="Times New Roman" w:hAnsi="Times New Roman" w:cs="Times New Roman"/>
          <w:color w:val="auto"/>
          <w:szCs w:val="21"/>
          <w:highlight w:val="none"/>
        </w:rPr>
      </w:pPr>
      <w:r>
        <w:rPr>
          <w:rFonts w:ascii="Times New Roman" w:hAnsi="Times New Roman" w:cs="Times New Roman"/>
          <w:color w:val="auto"/>
          <w:szCs w:val="21"/>
          <w:highlight w:val="none"/>
        </w:rPr>
        <w:t>2）发包人应督促承包人委托银行通过农民工工资（劳务费）专用账户代发农民工工资；</w:t>
      </w:r>
    </w:p>
    <w:p w14:paraId="0BFAAE27">
      <w:pPr>
        <w:wordWrap w:val="0"/>
        <w:spacing w:line="400" w:lineRule="exact"/>
        <w:ind w:right="248" w:firstLine="480"/>
        <w:rPr>
          <w:rFonts w:ascii="Times New Roman" w:hAnsi="Times New Roman" w:cs="Times New Roman"/>
          <w:color w:val="auto"/>
          <w:szCs w:val="21"/>
          <w:highlight w:val="none"/>
        </w:rPr>
      </w:pPr>
      <w:r>
        <w:rPr>
          <w:rFonts w:ascii="Times New Roman" w:hAnsi="Times New Roman" w:cs="Times New Roman"/>
          <w:color w:val="auto"/>
          <w:szCs w:val="21"/>
          <w:highlight w:val="none"/>
        </w:rPr>
        <w:t>3）</w:t>
      </w:r>
      <w:r>
        <w:rPr>
          <w:rFonts w:hint="eastAsia" w:ascii="宋体" w:hAnsi="宋体"/>
          <w:color w:val="auto"/>
          <w:szCs w:val="21"/>
          <w:highlight w:val="none"/>
        </w:rPr>
        <w:t>发包人应及时向农民工工资专用账户足额拨付人工费用，周期不得超过1个月，拨付日期应不晚于约定支付农民工工资的当期；</w:t>
      </w:r>
    </w:p>
    <w:p w14:paraId="57A7EE1D">
      <w:pPr>
        <w:wordWrap w:val="0"/>
        <w:spacing w:line="360" w:lineRule="auto"/>
        <w:ind w:right="248" w:firstLine="480"/>
        <w:rPr>
          <w:rFonts w:ascii="Times New Roman" w:hAnsi="Times New Roman" w:cs="Times New Roman"/>
          <w:color w:val="auto"/>
          <w:szCs w:val="21"/>
          <w:highlight w:val="none"/>
        </w:rPr>
      </w:pPr>
      <w:r>
        <w:rPr>
          <w:rFonts w:ascii="Times New Roman" w:hAnsi="Times New Roman" w:cs="Times New Roman"/>
          <w:color w:val="auto"/>
          <w:szCs w:val="21"/>
          <w:highlight w:val="none"/>
        </w:rPr>
        <w:t>4）承包人以工程款未到位等经营风险克扣或拖欠农民工工资的，发包人要以未结清的工程款为限先行垫付农民工工资；</w:t>
      </w:r>
    </w:p>
    <w:p w14:paraId="793160B6">
      <w:pPr>
        <w:wordWrap w:val="0"/>
        <w:spacing w:line="360" w:lineRule="auto"/>
        <w:ind w:right="248" w:firstLine="480"/>
        <w:rPr>
          <w:rFonts w:ascii="Times New Roman" w:hAnsi="Times New Roman" w:cs="Times New Roman"/>
          <w:color w:val="auto"/>
          <w:szCs w:val="21"/>
          <w:highlight w:val="none"/>
        </w:rPr>
      </w:pPr>
      <w:r>
        <w:rPr>
          <w:rFonts w:ascii="Times New Roman" w:hAnsi="Times New Roman" w:cs="Times New Roman"/>
          <w:color w:val="auto"/>
          <w:szCs w:val="21"/>
          <w:highlight w:val="none"/>
        </w:rPr>
        <w:t>5）如承包人专用账户余额不足的，发包人以未结清的工程款为限补足专用账户余额不足部分；</w:t>
      </w:r>
    </w:p>
    <w:p w14:paraId="27FCB310">
      <w:pPr>
        <w:wordWrap w:val="0"/>
        <w:spacing w:line="360" w:lineRule="auto"/>
        <w:ind w:right="248" w:firstLine="480"/>
        <w:rPr>
          <w:rFonts w:ascii="宋体" w:hAnsi="宋体" w:eastAsia="宋体" w:cs="宋体"/>
          <w:color w:val="auto"/>
          <w:sz w:val="21"/>
          <w:szCs w:val="21"/>
          <w:highlight w:val="none"/>
        </w:rPr>
      </w:pPr>
      <w:r>
        <w:rPr>
          <w:rFonts w:ascii="Times New Roman" w:hAnsi="Times New Roman" w:cs="Times New Roman"/>
          <w:color w:val="auto"/>
          <w:szCs w:val="21"/>
          <w:highlight w:val="none"/>
        </w:rPr>
        <w:t>6）对因转包、违法分包造成的欠薪，及其造成的不利社会影响和损失等责任均由承包人全面承担，承包人应在规定时间内全面完成欠薪清偿工作，未及时完成的，发包人将工程款先行支付农民工工资。</w:t>
      </w:r>
    </w:p>
    <w:p w14:paraId="5245EF2B">
      <w:pPr>
        <w:spacing w:before="172" w:line="228" w:lineRule="auto"/>
        <w:ind w:left="10"/>
        <w:outlineLvl w:val="2"/>
        <w:rPr>
          <w:rFonts w:ascii="宋体" w:hAnsi="宋体" w:eastAsia="宋体" w:cs="宋体"/>
          <w:color w:val="auto"/>
          <w:sz w:val="31"/>
          <w:szCs w:val="31"/>
          <w:highlight w:val="none"/>
        </w:rPr>
      </w:pPr>
      <w:bookmarkStart w:id="297" w:name="bookmark252"/>
      <w:bookmarkEnd w:id="297"/>
      <w:bookmarkStart w:id="298" w:name="_Toc20108"/>
      <w:bookmarkStart w:id="299" w:name="_Toc19627"/>
      <w:r>
        <w:rPr>
          <w:rFonts w:ascii="宋体" w:hAnsi="宋体" w:eastAsia="宋体" w:cs="宋体"/>
          <w:b/>
          <w:bCs/>
          <w:color w:val="auto"/>
          <w:spacing w:val="-2"/>
          <w:sz w:val="31"/>
          <w:szCs w:val="31"/>
          <w:highlight w:val="none"/>
        </w:rPr>
        <w:t>3.</w:t>
      </w:r>
      <w:r>
        <w:rPr>
          <w:rFonts w:ascii="宋体" w:hAnsi="宋体" w:eastAsia="宋体" w:cs="宋体"/>
          <w:color w:val="auto"/>
          <w:spacing w:val="26"/>
          <w:sz w:val="31"/>
          <w:szCs w:val="31"/>
          <w:highlight w:val="none"/>
        </w:rPr>
        <w:t xml:space="preserve"> </w:t>
      </w:r>
      <w:r>
        <w:rPr>
          <w:rFonts w:ascii="宋体" w:hAnsi="宋体" w:eastAsia="宋体" w:cs="宋体"/>
          <w:b/>
          <w:bCs/>
          <w:color w:val="auto"/>
          <w:spacing w:val="-2"/>
          <w:sz w:val="31"/>
          <w:szCs w:val="31"/>
          <w:highlight w:val="none"/>
        </w:rPr>
        <w:t>监理人</w:t>
      </w:r>
      <w:bookmarkEnd w:id="298"/>
      <w:bookmarkEnd w:id="299"/>
    </w:p>
    <w:p w14:paraId="365CF7A2">
      <w:pPr>
        <w:spacing w:before="272" w:line="220" w:lineRule="auto"/>
        <w:ind w:left="14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3.1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监理人的职责和权力</w:t>
      </w:r>
    </w:p>
    <w:p w14:paraId="34AD18D3">
      <w:pPr>
        <w:spacing w:before="280" w:line="221" w:lineRule="auto"/>
        <w:ind w:left="45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3.1.1 监理人须经发包人事先批准的权力范围行使权力，发包人批准的权力范围：</w:t>
      </w:r>
    </w:p>
    <w:p w14:paraId="0E1BAF87">
      <w:pPr>
        <w:spacing w:before="157" w:line="211" w:lineRule="auto"/>
        <w:ind w:left="413"/>
        <w:outlineLvl w:val="9"/>
        <w:rPr>
          <w:rFonts w:ascii="宋体" w:hAnsi="宋体" w:eastAsia="宋体" w:cs="宋体"/>
          <w:color w:val="auto"/>
          <w:sz w:val="22"/>
          <w:szCs w:val="22"/>
          <w:highlight w:val="none"/>
        </w:rPr>
      </w:pPr>
      <w:bookmarkStart w:id="300" w:name="_Toc32076"/>
      <w:r>
        <w:rPr>
          <w:rFonts w:ascii="宋体" w:hAnsi="宋体" w:eastAsia="宋体" w:cs="宋体"/>
          <w:b/>
          <w:bCs/>
          <w:i/>
          <w:iCs/>
          <w:color w:val="auto"/>
          <w:spacing w:val="-9"/>
          <w:sz w:val="22"/>
          <w:szCs w:val="22"/>
          <w:highlight w:val="none"/>
        </w:rPr>
        <w:t>（说明：填写监理人须经发包人批准才能行使的权力</w:t>
      </w:r>
      <w:r>
        <w:rPr>
          <w:rFonts w:ascii="宋体" w:hAnsi="宋体" w:eastAsia="宋体" w:cs="宋体"/>
          <w:b/>
          <w:bCs/>
          <w:i/>
          <w:iCs/>
          <w:color w:val="auto"/>
          <w:spacing w:val="-10"/>
          <w:sz w:val="22"/>
          <w:szCs w:val="22"/>
          <w:highlight w:val="none"/>
        </w:rPr>
        <w:t>，以下示例供参考）</w:t>
      </w:r>
      <w:bookmarkEnd w:id="300"/>
    </w:p>
    <w:p w14:paraId="0CA000C9">
      <w:pPr>
        <w:spacing w:before="159" w:line="221" w:lineRule="auto"/>
        <w:ind w:left="42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（1）按第</w:t>
      </w:r>
      <w:r>
        <w:rPr>
          <w:rFonts w:ascii="宋体" w:hAnsi="宋体" w:eastAsia="宋体" w:cs="宋体"/>
          <w:color w:val="auto"/>
          <w:spacing w:val="-37"/>
          <w:sz w:val="21"/>
          <w:szCs w:val="21"/>
          <w:highlight w:val="none"/>
        </w:rPr>
        <w:t xml:space="preserve"> </w:t>
      </w:r>
      <w:r>
        <w:rPr>
          <w:rFonts w:ascii="宋体" w:hAnsi="宋体" w:eastAsia="宋体" w:cs="宋体"/>
          <w:color w:val="auto"/>
          <w:spacing w:val="-3"/>
          <w:sz w:val="21"/>
          <w:szCs w:val="21"/>
          <w:highlight w:val="none"/>
        </w:rPr>
        <w:t>4.3</w:t>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款约定，批准工程的分包；</w:t>
      </w:r>
    </w:p>
    <w:p w14:paraId="066CB0E1">
      <w:pPr>
        <w:spacing w:before="156" w:line="221" w:lineRule="auto"/>
        <w:ind w:left="42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11.3</w:t>
      </w:r>
      <w:r>
        <w:rPr>
          <w:rFonts w:ascii="宋体" w:hAnsi="宋体" w:eastAsia="宋体" w:cs="宋体"/>
          <w:color w:val="auto"/>
          <w:spacing w:val="-46"/>
          <w:sz w:val="21"/>
          <w:szCs w:val="21"/>
          <w:highlight w:val="none"/>
        </w:rPr>
        <w:t xml:space="preserve"> </w:t>
      </w:r>
      <w:r>
        <w:rPr>
          <w:rFonts w:ascii="宋体" w:hAnsi="宋体" w:eastAsia="宋体" w:cs="宋体"/>
          <w:color w:val="auto"/>
          <w:spacing w:val="-3"/>
          <w:sz w:val="21"/>
          <w:szCs w:val="21"/>
          <w:highlight w:val="none"/>
        </w:rPr>
        <w:t>款约定，确定延长竣工期限；</w:t>
      </w:r>
    </w:p>
    <w:p w14:paraId="59AD09A1">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（3）按第</w:t>
      </w:r>
      <w:r>
        <w:rPr>
          <w:rFonts w:ascii="宋体" w:hAnsi="宋体" w:eastAsia="宋体" w:cs="宋体"/>
          <w:color w:val="auto"/>
          <w:spacing w:val="-24"/>
          <w:sz w:val="21"/>
          <w:szCs w:val="21"/>
          <w:highlight w:val="none"/>
        </w:rPr>
        <w:t xml:space="preserve"> </w:t>
      </w:r>
      <w:r>
        <w:rPr>
          <w:rFonts w:ascii="宋体" w:hAnsi="宋体" w:eastAsia="宋体" w:cs="宋体"/>
          <w:color w:val="auto"/>
          <w:spacing w:val="-2"/>
          <w:sz w:val="21"/>
          <w:szCs w:val="21"/>
          <w:highlight w:val="none"/>
        </w:rPr>
        <w:t>15.6</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款约定，批准暂列金额的使用；</w:t>
      </w:r>
    </w:p>
    <w:p w14:paraId="72F868BE">
      <w:pPr>
        <w:spacing w:before="157" w:line="233" w:lineRule="auto"/>
        <w:ind w:left="42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（4）……</w:t>
      </w:r>
    </w:p>
    <w:p w14:paraId="43EC26D5">
      <w:pPr>
        <w:spacing w:before="158" w:line="225" w:lineRule="auto"/>
        <w:ind w:left="2"/>
        <w:outlineLvl w:val="2"/>
        <w:rPr>
          <w:rFonts w:ascii="宋体" w:hAnsi="宋体" w:eastAsia="宋体" w:cs="宋体"/>
          <w:color w:val="auto"/>
          <w:sz w:val="31"/>
          <w:szCs w:val="31"/>
          <w:highlight w:val="none"/>
        </w:rPr>
      </w:pPr>
      <w:bookmarkStart w:id="301" w:name="bookmark253"/>
      <w:bookmarkEnd w:id="301"/>
      <w:bookmarkStart w:id="302" w:name="_Toc27284"/>
      <w:bookmarkStart w:id="303" w:name="_Toc24912"/>
      <w:r>
        <w:rPr>
          <w:rFonts w:ascii="宋体" w:hAnsi="宋体" w:eastAsia="宋体" w:cs="宋体"/>
          <w:b/>
          <w:bCs/>
          <w:color w:val="auto"/>
          <w:sz w:val="31"/>
          <w:szCs w:val="31"/>
          <w:highlight w:val="none"/>
        </w:rPr>
        <w:t>4.</w:t>
      </w:r>
      <w:r>
        <w:rPr>
          <w:rFonts w:ascii="宋体" w:hAnsi="宋体" w:eastAsia="宋体" w:cs="宋体"/>
          <w:color w:val="auto"/>
          <w:spacing w:val="23"/>
          <w:sz w:val="31"/>
          <w:szCs w:val="31"/>
          <w:highlight w:val="none"/>
        </w:rPr>
        <w:t xml:space="preserve"> </w:t>
      </w:r>
      <w:r>
        <w:rPr>
          <w:rFonts w:ascii="宋体" w:hAnsi="宋体" w:eastAsia="宋体" w:cs="宋体"/>
          <w:b/>
          <w:bCs/>
          <w:color w:val="auto"/>
          <w:sz w:val="31"/>
          <w:szCs w:val="31"/>
          <w:highlight w:val="none"/>
        </w:rPr>
        <w:t>承包人</w:t>
      </w:r>
      <w:bookmarkEnd w:id="302"/>
      <w:bookmarkEnd w:id="303"/>
    </w:p>
    <w:p w14:paraId="64389BA7">
      <w:pPr>
        <w:spacing w:before="277" w:line="220" w:lineRule="auto"/>
        <w:ind w:left="138"/>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承包人的一般义务</w:t>
      </w:r>
    </w:p>
    <w:p w14:paraId="50A0D091">
      <w:pPr>
        <w:spacing w:before="280"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本项细化为：</w:t>
      </w:r>
    </w:p>
    <w:p w14:paraId="79408240">
      <w:pPr>
        <w:spacing w:before="160" w:line="313" w:lineRule="auto"/>
        <w:ind w:firstLine="45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 承包人应加强工程建设资金管理，做到专款专用；实行项目资金专户管理和（或）独立</w:t>
      </w:r>
      <w:r>
        <w:rPr>
          <w:rFonts w:ascii="宋体" w:hAnsi="宋体" w:eastAsia="宋体" w:cs="宋体"/>
          <w:color w:val="auto"/>
          <w:spacing w:val="1"/>
          <w:sz w:val="21"/>
          <w:szCs w:val="21"/>
          <w:highlight w:val="none"/>
        </w:rPr>
        <w:t xml:space="preserve"> </w:t>
      </w:r>
      <w:r>
        <w:rPr>
          <w:rFonts w:ascii="宋体" w:hAnsi="宋体" w:eastAsia="宋体" w:cs="宋体"/>
          <w:color w:val="auto"/>
          <w:sz w:val="21"/>
          <w:szCs w:val="21"/>
          <w:highlight w:val="none"/>
        </w:rPr>
        <w:t>核算制度、财务管理人员（财务主管和出纳）须是本单位人员，项目资金的使用由项目经</w:t>
      </w:r>
      <w:r>
        <w:rPr>
          <w:rFonts w:ascii="宋体" w:hAnsi="宋体" w:eastAsia="宋体" w:cs="宋体"/>
          <w:color w:val="auto"/>
          <w:spacing w:val="-1"/>
          <w:sz w:val="21"/>
          <w:szCs w:val="21"/>
          <w:highlight w:val="none"/>
        </w:rPr>
        <w:t>理负责</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签字、审批。</w:t>
      </w:r>
    </w:p>
    <w:p w14:paraId="44FA95E3">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（2）关于农民工工资的约定</w:t>
      </w:r>
    </w:p>
    <w:p w14:paraId="5A51379F">
      <w:pPr>
        <w:spacing w:before="156" w:line="290" w:lineRule="auto"/>
        <w:ind w:left="4" w:right="13" w:firstLine="43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1）承包人在合同签订后、工程开工前，到工程所在地银行</w:t>
      </w:r>
      <w:r>
        <w:rPr>
          <w:rFonts w:ascii="宋体" w:hAnsi="宋体" w:eastAsia="宋体" w:cs="宋体"/>
          <w:color w:val="auto"/>
          <w:spacing w:val="-4"/>
          <w:sz w:val="21"/>
          <w:szCs w:val="21"/>
          <w:highlight w:val="none"/>
        </w:rPr>
        <w:t>开设农民工工资专用账户并按规定</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办理农民工工资保证金；</w:t>
      </w:r>
    </w:p>
    <w:p w14:paraId="19FFA056">
      <w:pPr>
        <w:spacing w:before="158" w:line="290" w:lineRule="auto"/>
        <w:ind w:left="5" w:right="9" w:firstLine="41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2）承包人对自身招用的和分包企业招用的农民工管理负总责，必须按照国家法律法规相关规</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定，及时与所招用的农民工签订劳动合同；</w:t>
      </w:r>
    </w:p>
    <w:p w14:paraId="017ABB41">
      <w:pPr>
        <w:spacing w:before="158" w:line="289" w:lineRule="auto"/>
        <w:ind w:left="1" w:right="8" w:firstLine="4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3）承包人及其分包企业实行农民工劳动用工实名制管理，与招用的农民工书面约定或者通过</w:t>
      </w:r>
      <w:r>
        <w:rPr>
          <w:rFonts w:ascii="宋体" w:hAnsi="宋体" w:eastAsia="宋体" w:cs="宋体"/>
          <w:color w:val="auto"/>
          <w:spacing w:val="2"/>
          <w:sz w:val="21"/>
          <w:szCs w:val="21"/>
          <w:highlight w:val="none"/>
        </w:rPr>
        <w:t xml:space="preserve"> </w:t>
      </w:r>
      <w:r>
        <w:rPr>
          <w:rFonts w:ascii="宋体" w:hAnsi="宋体" w:eastAsia="宋体" w:cs="宋体"/>
          <w:color w:val="auto"/>
          <w:spacing w:val="-1"/>
          <w:sz w:val="21"/>
          <w:szCs w:val="21"/>
          <w:highlight w:val="none"/>
        </w:rPr>
        <w:t>依法制定的规章制度规定工资支付标准、支付时间、支付方式等内容；</w:t>
      </w:r>
    </w:p>
    <w:p w14:paraId="461233E3">
      <w:pPr>
        <w:spacing w:before="158" w:line="221" w:lineRule="auto"/>
        <w:ind w:left="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4）承包人应在项目部按照规定配备劳资专管员，负责现场用工管理和工资发放等工作；</w:t>
      </w:r>
    </w:p>
    <w:p w14:paraId="65FCE2CA">
      <w:pPr>
        <w:spacing w:before="158" w:line="313" w:lineRule="auto"/>
        <w:ind w:left="2" w:firstLine="42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5）在合同规定的按月工资发放日前，承包人对当期应发放农民工工资金额进行核定，如农民</w:t>
      </w:r>
      <w:r>
        <w:rPr>
          <w:rFonts w:ascii="宋体" w:hAnsi="宋体" w:eastAsia="宋体" w:cs="宋体"/>
          <w:color w:val="auto"/>
          <w:spacing w:val="10"/>
          <w:sz w:val="21"/>
          <w:szCs w:val="21"/>
          <w:highlight w:val="none"/>
        </w:rPr>
        <w:t xml:space="preserve"> </w:t>
      </w:r>
      <w:r>
        <w:rPr>
          <w:rFonts w:ascii="宋体" w:hAnsi="宋体" w:eastAsia="宋体" w:cs="宋体"/>
          <w:color w:val="auto"/>
          <w:sz w:val="21"/>
          <w:szCs w:val="21"/>
          <w:highlight w:val="none"/>
        </w:rPr>
        <w:t>工工资专用账户余额低于应发工资总额，应及时补足账户资金，保障工资发放日前</w:t>
      </w:r>
      <w:r>
        <w:rPr>
          <w:rFonts w:ascii="宋体" w:hAnsi="宋体" w:eastAsia="宋体" w:cs="宋体"/>
          <w:color w:val="auto"/>
          <w:spacing w:val="-1"/>
          <w:sz w:val="21"/>
          <w:szCs w:val="21"/>
          <w:highlight w:val="none"/>
        </w:rPr>
        <w:t>专用账户资金</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能足额支付农民工工资；</w:t>
      </w:r>
    </w:p>
    <w:p w14:paraId="3888B918">
      <w:pPr>
        <w:spacing w:before="158" w:line="289" w:lineRule="auto"/>
        <w:ind w:left="5" w:firstLine="4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6）承包人及其分包企业在施工现场醒目位置设立维权信息公示牌，维权信息公示牌要注明所</w:t>
      </w:r>
      <w:r>
        <w:rPr>
          <w:rFonts w:ascii="宋体" w:hAnsi="宋体" w:eastAsia="宋体" w:cs="宋体"/>
          <w:color w:val="auto"/>
          <w:spacing w:val="13"/>
          <w:sz w:val="21"/>
          <w:szCs w:val="21"/>
          <w:highlight w:val="none"/>
        </w:rPr>
        <w:t xml:space="preserve"> </w:t>
      </w:r>
      <w:r>
        <w:rPr>
          <w:rFonts w:ascii="宋体" w:hAnsi="宋体" w:eastAsia="宋体" w:cs="宋体"/>
          <w:color w:val="auto"/>
          <w:sz w:val="21"/>
          <w:szCs w:val="21"/>
          <w:highlight w:val="none"/>
        </w:rPr>
        <w:t>实施工程所在地人力资源社会保障部门和水行政主管部门监督投诉举报电话</w:t>
      </w:r>
      <w:r>
        <w:rPr>
          <w:rFonts w:ascii="宋体" w:hAnsi="宋体" w:eastAsia="宋体" w:cs="宋体"/>
          <w:color w:val="auto"/>
          <w:spacing w:val="-1"/>
          <w:sz w:val="21"/>
          <w:szCs w:val="21"/>
          <w:highlight w:val="none"/>
        </w:rPr>
        <w:t>，注明发包人、承包</w:t>
      </w:r>
    </w:p>
    <w:p w14:paraId="68352CE0">
      <w:pPr>
        <w:spacing w:before="41" w:line="221" w:lineRule="auto"/>
        <w:ind w:left="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人、分包企业及其主要负责人，明示农民工工资按月支付日期等；</w:t>
      </w:r>
    </w:p>
    <w:p w14:paraId="7E7B1DC0">
      <w:pPr>
        <w:spacing w:before="158" w:line="289" w:lineRule="auto"/>
        <w:ind w:left="5" w:right="263" w:firstLine="42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7）工程经县级初验后，承包人应在施工现场对该项目农民工工资发放情况进行公示</w:t>
      </w:r>
      <w:r>
        <w:rPr>
          <w:rFonts w:ascii="宋体" w:hAnsi="宋体" w:eastAsia="宋体" w:cs="宋体"/>
          <w:color w:val="auto"/>
          <w:spacing w:val="-4"/>
          <w:sz w:val="21"/>
          <w:szCs w:val="21"/>
          <w:highlight w:val="none"/>
        </w:rPr>
        <w:t>，公示期</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不少于 7</w:t>
      </w:r>
      <w:r>
        <w:rPr>
          <w:rFonts w:ascii="宋体" w:hAnsi="宋体" w:eastAsia="宋体" w:cs="宋体"/>
          <w:color w:val="auto"/>
          <w:spacing w:val="56"/>
          <w:sz w:val="21"/>
          <w:szCs w:val="21"/>
          <w:highlight w:val="none"/>
        </w:rPr>
        <w:t xml:space="preserve"> </w:t>
      </w:r>
      <w:r>
        <w:rPr>
          <w:rFonts w:ascii="宋体" w:hAnsi="宋体" w:eastAsia="宋体" w:cs="宋体"/>
          <w:color w:val="auto"/>
          <w:spacing w:val="-2"/>
          <w:sz w:val="21"/>
          <w:szCs w:val="21"/>
          <w:highlight w:val="none"/>
        </w:rPr>
        <w:t>日，公示需注明人力资源社会保障部门和农业农村部门监督投诉举报电话等。</w:t>
      </w:r>
    </w:p>
    <w:p w14:paraId="4854488F">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（3）档案管理</w:t>
      </w:r>
    </w:p>
    <w:p w14:paraId="0369D7D2">
      <w:pPr>
        <w:spacing w:before="159" w:line="345" w:lineRule="auto"/>
        <w:ind w:left="9" w:right="249" w:firstLine="411"/>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承包人应建立符合要求且规范的项目文件管理和档案管理制度，负责项目文件收集</w:t>
      </w:r>
      <w:r>
        <w:rPr>
          <w:rFonts w:ascii="宋体" w:hAnsi="宋体" w:eastAsia="宋体" w:cs="宋体"/>
          <w:color w:val="auto"/>
          <w:spacing w:val="-1"/>
          <w:sz w:val="21"/>
          <w:szCs w:val="21"/>
          <w:highlight w:val="none"/>
        </w:rPr>
        <w:t>、整理和</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归档工作。</w:t>
      </w:r>
    </w:p>
    <w:p w14:paraId="6942F464">
      <w:pPr>
        <w:spacing w:before="30" w:line="333" w:lineRule="exact"/>
        <w:ind w:left="434"/>
        <w:rPr>
          <w:rFonts w:ascii="宋体" w:hAnsi="宋体" w:eastAsia="宋体" w:cs="宋体"/>
          <w:color w:val="auto"/>
          <w:sz w:val="21"/>
          <w:szCs w:val="21"/>
          <w:highlight w:val="none"/>
        </w:rPr>
      </w:pPr>
      <w:r>
        <w:rPr>
          <w:rFonts w:ascii="宋体" w:hAnsi="宋体" w:eastAsia="宋体" w:cs="宋体"/>
          <w:color w:val="auto"/>
          <w:spacing w:val="-5"/>
          <w:position w:val="2"/>
          <w:sz w:val="21"/>
          <w:szCs w:val="21"/>
          <w:highlight w:val="none"/>
        </w:rPr>
        <w:t>……</w:t>
      </w:r>
    </w:p>
    <w:p w14:paraId="0A477213">
      <w:pPr>
        <w:spacing w:line="251" w:lineRule="auto"/>
        <w:rPr>
          <w:rFonts w:ascii="Arial"/>
          <w:color w:val="auto"/>
          <w:sz w:val="21"/>
          <w:highlight w:val="none"/>
        </w:rPr>
      </w:pPr>
    </w:p>
    <w:p w14:paraId="31FD1420">
      <w:pPr>
        <w:spacing w:before="92" w:line="221" w:lineRule="auto"/>
        <w:ind w:left="140"/>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4.3</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6"/>
          <w:sz w:val="28"/>
          <w:szCs w:val="28"/>
          <w:highlight w:val="none"/>
        </w:rPr>
        <w:t>分包</w:t>
      </w:r>
    </w:p>
    <w:p w14:paraId="1FE15389">
      <w:pPr>
        <w:spacing w:before="278"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4.3.2  允许承包人分包的工程项目、工作内容与分包金额限额为：</w:t>
      </w:r>
    </w:p>
    <w:p w14:paraId="08EF74D9">
      <w:pPr>
        <w:spacing w:before="161" w:line="221" w:lineRule="auto"/>
        <w:ind w:left="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1）工程项目：</w:t>
      </w:r>
      <w:r>
        <w:rPr>
          <w:rFonts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lang w:val="en-US" w:eastAsia="zh-CN"/>
        </w:rPr>
        <w:t>/</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rPr>
        <w:t>。</w:t>
      </w:r>
    </w:p>
    <w:p w14:paraId="271BD62C">
      <w:pPr>
        <w:spacing w:before="156" w:line="221" w:lineRule="auto"/>
        <w:ind w:left="424"/>
        <w:rPr>
          <w:rFonts w:ascii="宋体" w:hAnsi="宋体" w:eastAsia="宋体" w:cs="宋体"/>
          <w:color w:val="auto"/>
          <w:sz w:val="21"/>
          <w:szCs w:val="21"/>
          <w:highlight w:val="none"/>
        </w:rPr>
      </w:pPr>
      <w:r>
        <w:rPr>
          <w:rFonts w:ascii="宋体" w:hAnsi="宋体" w:eastAsia="宋体" w:cs="宋体"/>
          <w:color w:val="auto"/>
          <w:sz w:val="21"/>
          <w:szCs w:val="21"/>
          <w:highlight w:val="none"/>
        </w:rPr>
        <w:t>2）工作内容：</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29F4BEFE">
      <w:pPr>
        <w:spacing w:before="156" w:line="221" w:lineRule="auto"/>
        <w:ind w:left="425"/>
        <w:rPr>
          <w:rFonts w:ascii="宋体" w:hAnsi="宋体" w:eastAsia="宋体" w:cs="宋体"/>
          <w:color w:val="auto"/>
          <w:sz w:val="21"/>
          <w:szCs w:val="21"/>
          <w:highlight w:val="none"/>
        </w:rPr>
      </w:pPr>
      <w:r>
        <w:rPr>
          <w:rFonts w:ascii="宋体" w:hAnsi="宋体" w:eastAsia="宋体" w:cs="宋体"/>
          <w:color w:val="auto"/>
          <w:sz w:val="21"/>
          <w:szCs w:val="21"/>
          <w:highlight w:val="none"/>
        </w:rPr>
        <w:t>3）分包金额限额：</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10DB039A">
      <w:pPr>
        <w:spacing w:line="333" w:lineRule="auto"/>
        <w:rPr>
          <w:rFonts w:ascii="Arial"/>
          <w:color w:val="auto"/>
          <w:sz w:val="21"/>
          <w:highlight w:val="none"/>
        </w:rPr>
      </w:pPr>
    </w:p>
    <w:p w14:paraId="0661BFEB">
      <w:pPr>
        <w:spacing w:before="91" w:line="220" w:lineRule="auto"/>
        <w:ind w:left="1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4.6</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承包人人员的管理</w:t>
      </w:r>
    </w:p>
    <w:p w14:paraId="3171ADDB">
      <w:pPr>
        <w:spacing w:before="281" w:line="220" w:lineRule="auto"/>
        <w:ind w:left="42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本款补充第</w:t>
      </w:r>
      <w:r>
        <w:rPr>
          <w:rFonts w:ascii="宋体" w:hAnsi="宋体" w:eastAsia="宋体" w:cs="宋体"/>
          <w:color w:val="auto"/>
          <w:spacing w:val="-27"/>
          <w:sz w:val="21"/>
          <w:szCs w:val="21"/>
          <w:highlight w:val="none"/>
        </w:rPr>
        <w:t xml:space="preserve"> </w:t>
      </w:r>
      <w:r>
        <w:rPr>
          <w:rFonts w:ascii="宋体" w:hAnsi="宋体" w:eastAsia="宋体" w:cs="宋体"/>
          <w:color w:val="auto"/>
          <w:spacing w:val="-4"/>
          <w:sz w:val="21"/>
          <w:szCs w:val="21"/>
          <w:highlight w:val="none"/>
        </w:rPr>
        <w:t>4.6.5</w:t>
      </w:r>
      <w:r>
        <w:rPr>
          <w:rFonts w:ascii="宋体" w:hAnsi="宋体" w:eastAsia="宋体" w:cs="宋体"/>
          <w:color w:val="auto"/>
          <w:spacing w:val="-41"/>
          <w:sz w:val="21"/>
          <w:szCs w:val="21"/>
          <w:highlight w:val="none"/>
        </w:rPr>
        <w:t xml:space="preserve"> </w:t>
      </w:r>
      <w:r>
        <w:rPr>
          <w:rFonts w:ascii="宋体" w:hAnsi="宋体" w:eastAsia="宋体" w:cs="宋体"/>
          <w:color w:val="auto"/>
          <w:spacing w:val="-4"/>
          <w:sz w:val="21"/>
          <w:szCs w:val="21"/>
          <w:highlight w:val="none"/>
        </w:rPr>
        <w:t>项～第</w:t>
      </w:r>
      <w:r>
        <w:rPr>
          <w:rFonts w:ascii="宋体" w:hAnsi="宋体" w:eastAsia="宋体" w:cs="宋体"/>
          <w:color w:val="auto"/>
          <w:spacing w:val="-47"/>
          <w:sz w:val="21"/>
          <w:szCs w:val="21"/>
          <w:highlight w:val="none"/>
        </w:rPr>
        <w:t xml:space="preserve"> </w:t>
      </w:r>
      <w:r>
        <w:rPr>
          <w:rFonts w:ascii="宋体" w:hAnsi="宋体" w:eastAsia="宋体" w:cs="宋体"/>
          <w:color w:val="auto"/>
          <w:spacing w:val="-4"/>
          <w:sz w:val="21"/>
          <w:szCs w:val="21"/>
          <w:highlight w:val="none"/>
        </w:rPr>
        <w:t>4.6.8</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项：</w:t>
      </w:r>
    </w:p>
    <w:p w14:paraId="5A33E5C7">
      <w:pPr>
        <w:spacing w:before="158" w:line="290" w:lineRule="auto"/>
        <w:ind w:right="3"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4.6.5 投标文件承诺的项目部主要管理人员在主体工程施工期间原则</w:t>
      </w:r>
      <w:r>
        <w:rPr>
          <w:rFonts w:ascii="宋体" w:hAnsi="宋体" w:eastAsia="宋体" w:cs="宋体"/>
          <w:color w:val="auto"/>
          <w:sz w:val="21"/>
          <w:szCs w:val="21"/>
          <w:highlight w:val="none"/>
        </w:rPr>
        <w:t xml:space="preserve">上不得更换。如发生下列 </w:t>
      </w:r>
      <w:r>
        <w:rPr>
          <w:rFonts w:ascii="宋体" w:hAnsi="宋体" w:eastAsia="宋体" w:cs="宋体"/>
          <w:color w:val="auto"/>
          <w:spacing w:val="-2"/>
          <w:sz w:val="21"/>
          <w:szCs w:val="21"/>
          <w:highlight w:val="none"/>
        </w:rPr>
        <w:t>情形之一的，应当办理书面手续后方能变更人员：</w:t>
      </w:r>
    </w:p>
    <w:p w14:paraId="04351B7A">
      <w:pPr>
        <w:spacing w:before="159" w:line="289" w:lineRule="auto"/>
        <w:ind w:left="1" w:right="11" w:firstLine="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（1）因管理人员重大疾病、死亡、调离所在单位、辞职、犯罪、移民等特殊原因确需变</w:t>
      </w:r>
      <w:r>
        <w:rPr>
          <w:rFonts w:ascii="宋体" w:hAnsi="宋体" w:eastAsia="宋体" w:cs="宋体"/>
          <w:color w:val="auto"/>
          <w:spacing w:val="-3"/>
          <w:sz w:val="21"/>
          <w:szCs w:val="21"/>
          <w:highlight w:val="none"/>
        </w:rPr>
        <w:t>更，提</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供相关证明材料，且经发包方同意更换的；</w:t>
      </w:r>
    </w:p>
    <w:p w14:paraId="2C9C0CA4">
      <w:pPr>
        <w:spacing w:before="158"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（2）因不可抗力等特殊情况必须更换的。</w:t>
      </w:r>
    </w:p>
    <w:p w14:paraId="5B4D7B2F">
      <w:pPr>
        <w:spacing w:before="157" w:line="347" w:lineRule="auto"/>
        <w:ind w:left="19" w:firstLine="415"/>
        <w:rPr>
          <w:rFonts w:ascii="宋体" w:hAnsi="宋体" w:eastAsia="宋体" w:cs="宋体"/>
          <w:color w:val="auto"/>
          <w:sz w:val="21"/>
          <w:szCs w:val="21"/>
          <w:highlight w:val="none"/>
        </w:rPr>
      </w:pPr>
      <w:r>
        <w:rPr>
          <w:rFonts w:ascii="宋体" w:hAnsi="宋体" w:eastAsia="宋体" w:cs="宋体"/>
          <w:color w:val="auto"/>
          <w:sz w:val="21"/>
          <w:szCs w:val="21"/>
          <w:highlight w:val="none"/>
        </w:rPr>
        <w:t>除上述情况外，项目部更换项目经理或技术负责人的每次支付违约金</w:t>
      </w:r>
      <w:r>
        <w:rPr>
          <w:rFonts w:ascii="宋体" w:hAnsi="宋体" w:eastAsia="宋体" w:cs="宋体"/>
          <w:color w:val="auto"/>
          <w:spacing w:val="-98"/>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z w:val="21"/>
          <w:szCs w:val="21"/>
          <w:highlight w:val="none"/>
        </w:rPr>
        <w:t xml:space="preserve">万元，更换其余人员 </w:t>
      </w:r>
      <w:r>
        <w:rPr>
          <w:rFonts w:ascii="宋体" w:hAnsi="宋体" w:eastAsia="宋体" w:cs="宋体"/>
          <w:color w:val="auto"/>
          <w:spacing w:val="-4"/>
          <w:sz w:val="21"/>
          <w:szCs w:val="21"/>
          <w:highlight w:val="none"/>
        </w:rPr>
        <w:t>的每人次支付违约金</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85"/>
          <w:sz w:val="21"/>
          <w:szCs w:val="21"/>
          <w:highlight w:val="none"/>
        </w:rPr>
        <w:t xml:space="preserve"> </w:t>
      </w:r>
      <w:r>
        <w:rPr>
          <w:rFonts w:ascii="宋体" w:hAnsi="宋体" w:eastAsia="宋体" w:cs="宋体"/>
          <w:color w:val="auto"/>
          <w:spacing w:val="-4"/>
          <w:sz w:val="21"/>
          <w:szCs w:val="21"/>
          <w:highlight w:val="none"/>
        </w:rPr>
        <w:t>万元。</w:t>
      </w:r>
    </w:p>
    <w:p w14:paraId="1E96D243">
      <w:pPr>
        <w:spacing w:before="28" w:line="290" w:lineRule="auto"/>
        <w:ind w:left="4" w:right="3"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4.6.6 本项目主体工程施工期间，项目部应按要求提供主要管理人员</w:t>
      </w:r>
      <w:r>
        <w:rPr>
          <w:rFonts w:ascii="宋体" w:hAnsi="宋体" w:eastAsia="宋体" w:cs="宋体"/>
          <w:color w:val="auto"/>
          <w:sz w:val="21"/>
          <w:szCs w:val="21"/>
          <w:highlight w:val="none"/>
        </w:rPr>
        <w:t xml:space="preserve">有关证件供发包人和有关 </w:t>
      </w:r>
      <w:r>
        <w:rPr>
          <w:rFonts w:ascii="宋体" w:hAnsi="宋体" w:eastAsia="宋体" w:cs="宋体"/>
          <w:color w:val="auto"/>
          <w:spacing w:val="-1"/>
          <w:sz w:val="21"/>
          <w:szCs w:val="21"/>
          <w:highlight w:val="none"/>
        </w:rPr>
        <w:t>部门监督、检查。</w:t>
      </w:r>
    </w:p>
    <w:p w14:paraId="35FA0403">
      <w:pPr>
        <w:spacing w:before="156" w:line="290" w:lineRule="auto"/>
        <w:ind w:left="3" w:right="32" w:firstLine="417"/>
        <w:rPr>
          <w:rFonts w:ascii="宋体" w:hAnsi="宋体" w:eastAsia="宋体" w:cs="宋体"/>
          <w:color w:val="auto"/>
          <w:sz w:val="21"/>
          <w:szCs w:val="21"/>
          <w:highlight w:val="none"/>
        </w:rPr>
      </w:pPr>
      <w:r>
        <w:rPr>
          <w:rFonts w:ascii="宋体" w:hAnsi="宋体" w:eastAsia="宋体" w:cs="宋体"/>
          <w:color w:val="auto"/>
          <w:sz w:val="21"/>
          <w:szCs w:val="21"/>
          <w:highlight w:val="none"/>
        </w:rPr>
        <w:t>4.6.7 工程现场使用劳务人员的，承包人应与劳务人员签订相应的劳动合同，若通过劳务公司</w:t>
      </w:r>
      <w:r>
        <w:rPr>
          <w:rFonts w:ascii="宋体" w:hAnsi="宋体" w:eastAsia="宋体" w:cs="宋体"/>
          <w:color w:val="auto"/>
          <w:spacing w:val="4"/>
          <w:sz w:val="21"/>
          <w:szCs w:val="21"/>
          <w:highlight w:val="none"/>
        </w:rPr>
        <w:t xml:space="preserve"> </w:t>
      </w:r>
      <w:r>
        <w:rPr>
          <w:rFonts w:ascii="宋体" w:hAnsi="宋体" w:eastAsia="宋体" w:cs="宋体"/>
          <w:color w:val="auto"/>
          <w:spacing w:val="-3"/>
          <w:sz w:val="21"/>
          <w:szCs w:val="21"/>
          <w:highlight w:val="none"/>
        </w:rPr>
        <w:t>用工的，承包人应与劳务公司签订劳务分包合同（并核验劳务公司与所用劳务人员的劳动合同）。</w:t>
      </w:r>
    </w:p>
    <w:p w14:paraId="139AD2C4">
      <w:pPr>
        <w:spacing w:before="162" w:line="331" w:lineRule="auto"/>
        <w:ind w:left="1"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4.6.8 派驻的现场人员名单公示，并实行考勤管理。确定本工程考勤</w:t>
      </w:r>
      <w:r>
        <w:rPr>
          <w:rFonts w:ascii="宋体" w:hAnsi="宋体" w:eastAsia="宋体" w:cs="宋体"/>
          <w:color w:val="auto"/>
          <w:sz w:val="21"/>
          <w:szCs w:val="21"/>
          <w:highlight w:val="none"/>
        </w:rPr>
        <w:t xml:space="preserve">人员范围，应考勤人员驻 </w:t>
      </w:r>
      <w:r>
        <w:rPr>
          <w:rFonts w:ascii="宋体" w:hAnsi="宋体" w:eastAsia="宋体" w:cs="宋体"/>
          <w:color w:val="auto"/>
          <w:spacing w:val="1"/>
          <w:sz w:val="21"/>
          <w:szCs w:val="21"/>
          <w:highlight w:val="none"/>
        </w:rPr>
        <w:t>工地期间每天参加考勤。承包人项目经理、技术负责人每月驻工地天数不得少于</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u w:val="single" w:color="auto"/>
        </w:rPr>
        <w:t xml:space="preserve">22 </w:t>
      </w:r>
      <w:r>
        <w:rPr>
          <w:rFonts w:ascii="宋体" w:hAnsi="宋体" w:eastAsia="宋体" w:cs="宋体"/>
          <w:color w:val="auto"/>
          <w:sz w:val="21"/>
          <w:szCs w:val="21"/>
          <w:highlight w:val="none"/>
        </w:rPr>
        <w:t>天，且根据国</w:t>
      </w:r>
      <w:r>
        <w:rPr>
          <w:rFonts w:ascii="宋体" w:hAnsi="宋体" w:eastAsia="宋体" w:cs="宋体"/>
          <w:color w:val="auto"/>
          <w:spacing w:val="-1"/>
          <w:sz w:val="21"/>
          <w:szCs w:val="21"/>
          <w:highlight w:val="none"/>
        </w:rPr>
        <w:t>家法律法规规定以及</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5"/>
          <w:sz w:val="21"/>
          <w:szCs w:val="21"/>
          <w:highlight w:val="none"/>
        </w:rPr>
        <w:t xml:space="preserve"> </w:t>
      </w:r>
      <w:r>
        <w:rPr>
          <w:rFonts w:ascii="宋体" w:hAnsi="宋体" w:eastAsia="宋体" w:cs="宋体"/>
          <w:color w:val="auto"/>
          <w:spacing w:val="-2"/>
          <w:sz w:val="21"/>
          <w:szCs w:val="21"/>
          <w:highlight w:val="none"/>
        </w:rPr>
        <w:t>等重点时段和关键环节必须在工地，否则每缺勤一天向发包人支</w:t>
      </w:r>
      <w:r>
        <w:rPr>
          <w:rFonts w:ascii="宋体" w:hAnsi="宋体" w:eastAsia="宋体" w:cs="宋体"/>
          <w:color w:val="auto"/>
          <w:spacing w:val="-1"/>
          <w:sz w:val="21"/>
          <w:szCs w:val="21"/>
          <w:highlight w:val="none"/>
        </w:rPr>
        <w:t>付违约金</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5"/>
          <w:sz w:val="21"/>
          <w:szCs w:val="21"/>
          <w:highlight w:val="none"/>
        </w:rPr>
        <w:t xml:space="preserve"> </w:t>
      </w:r>
      <w:r>
        <w:rPr>
          <w:rFonts w:ascii="宋体" w:hAnsi="宋体" w:eastAsia="宋体" w:cs="宋体"/>
          <w:color w:val="auto"/>
          <w:spacing w:val="-1"/>
          <w:sz w:val="21"/>
          <w:szCs w:val="21"/>
          <w:highlight w:val="none"/>
        </w:rPr>
        <w:t>元；其他主要人员每</w:t>
      </w:r>
      <w:r>
        <w:rPr>
          <w:rFonts w:ascii="宋体" w:hAnsi="宋体" w:eastAsia="宋体" w:cs="宋体"/>
          <w:color w:val="auto"/>
          <w:spacing w:val="-2"/>
          <w:sz w:val="21"/>
          <w:szCs w:val="21"/>
          <w:highlight w:val="none"/>
        </w:rPr>
        <w:t xml:space="preserve">月驻工地天数不得少于 </w:t>
      </w:r>
      <w:r>
        <w:rPr>
          <w:rFonts w:ascii="宋体" w:hAnsi="宋体" w:eastAsia="宋体" w:cs="宋体"/>
          <w:color w:val="auto"/>
          <w:spacing w:val="-2"/>
          <w:sz w:val="21"/>
          <w:szCs w:val="21"/>
          <w:highlight w:val="none"/>
          <w:u w:val="single" w:color="auto"/>
        </w:rPr>
        <w:t xml:space="preserve"> 22 </w:t>
      </w:r>
      <w:r>
        <w:rPr>
          <w:rFonts w:ascii="宋体" w:hAnsi="宋体" w:eastAsia="宋体" w:cs="宋体"/>
          <w:color w:val="auto"/>
          <w:spacing w:val="-2"/>
          <w:sz w:val="21"/>
          <w:szCs w:val="21"/>
          <w:highlight w:val="none"/>
        </w:rPr>
        <w:t>天，否则每缺勤一天向发包人支付</w:t>
      </w:r>
      <w:r>
        <w:rPr>
          <w:rFonts w:ascii="宋体" w:hAnsi="宋体" w:eastAsia="宋体" w:cs="宋体"/>
          <w:color w:val="auto"/>
          <w:spacing w:val="-1"/>
          <w:sz w:val="21"/>
          <w:szCs w:val="21"/>
          <w:highlight w:val="none"/>
        </w:rPr>
        <w:t>违约金</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85"/>
          <w:sz w:val="21"/>
          <w:szCs w:val="21"/>
          <w:highlight w:val="none"/>
        </w:rPr>
        <w:t xml:space="preserve"> </w:t>
      </w:r>
      <w:r>
        <w:rPr>
          <w:rFonts w:ascii="宋体" w:hAnsi="宋体" w:eastAsia="宋体" w:cs="宋体"/>
          <w:color w:val="auto"/>
          <w:spacing w:val="-1"/>
          <w:sz w:val="21"/>
          <w:szCs w:val="21"/>
          <w:highlight w:val="none"/>
        </w:rPr>
        <w:t>元。发包人将对承包人项目经理和技术负责人、</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1"/>
          <w:sz w:val="21"/>
          <w:szCs w:val="21"/>
          <w:highlight w:val="none"/>
        </w:rPr>
        <w:t>等主要人员进行考勤。</w:t>
      </w:r>
    </w:p>
    <w:p w14:paraId="7F2499C6">
      <w:pPr>
        <w:spacing w:before="56" w:line="220" w:lineRule="auto"/>
        <w:ind w:left="138"/>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4.11</w:t>
      </w:r>
      <w:r>
        <w:rPr>
          <w:rFonts w:ascii="宋体" w:hAnsi="宋体" w:eastAsia="宋体" w:cs="宋体"/>
          <w:color w:val="auto"/>
          <w:spacing w:val="-48"/>
          <w:sz w:val="28"/>
          <w:szCs w:val="28"/>
          <w:highlight w:val="none"/>
        </w:rPr>
        <w:t xml:space="preserve"> </w:t>
      </w:r>
      <w:r>
        <w:rPr>
          <w:rFonts w:ascii="宋体" w:hAnsi="宋体" w:eastAsia="宋体" w:cs="宋体"/>
          <w:b/>
          <w:bCs/>
          <w:color w:val="auto"/>
          <w:spacing w:val="-5"/>
          <w:sz w:val="28"/>
          <w:szCs w:val="28"/>
          <w:highlight w:val="none"/>
        </w:rPr>
        <w:t>不利物质条件</w:t>
      </w:r>
    </w:p>
    <w:p w14:paraId="469345FC">
      <w:pPr>
        <w:spacing w:before="280" w:line="221" w:lineRule="auto"/>
        <w:ind w:left="419"/>
        <w:rPr>
          <w:rFonts w:ascii="宋体" w:hAnsi="宋体" w:eastAsia="宋体" w:cs="宋体"/>
          <w:color w:val="auto"/>
          <w:sz w:val="21"/>
          <w:szCs w:val="21"/>
          <w:highlight w:val="none"/>
        </w:rPr>
      </w:pPr>
      <w:r>
        <w:rPr>
          <w:rFonts w:ascii="宋体" w:hAnsi="宋体" w:eastAsia="宋体" w:cs="宋体"/>
          <w:color w:val="auto"/>
          <w:sz w:val="21"/>
          <w:szCs w:val="21"/>
          <w:highlight w:val="none"/>
        </w:rPr>
        <w:t>4.11.1</w:t>
      </w:r>
      <w:r>
        <w:rPr>
          <w:rFonts w:ascii="宋体" w:hAnsi="宋体" w:eastAsia="宋体" w:cs="宋体"/>
          <w:color w:val="auto"/>
          <w:spacing w:val="-41"/>
          <w:sz w:val="21"/>
          <w:szCs w:val="21"/>
          <w:highlight w:val="none"/>
        </w:rPr>
        <w:t xml:space="preserve"> </w:t>
      </w:r>
      <w:r>
        <w:rPr>
          <w:rFonts w:ascii="宋体" w:hAnsi="宋体" w:eastAsia="宋体" w:cs="宋体"/>
          <w:color w:val="auto"/>
          <w:sz w:val="21"/>
          <w:szCs w:val="21"/>
          <w:highlight w:val="none"/>
        </w:rPr>
        <w:t>不利物质条件的范围：</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484198E8">
      <w:pPr>
        <w:spacing w:line="312" w:lineRule="auto"/>
        <w:rPr>
          <w:rFonts w:ascii="Arial"/>
          <w:color w:val="auto"/>
          <w:sz w:val="21"/>
          <w:highlight w:val="none"/>
        </w:rPr>
      </w:pPr>
    </w:p>
    <w:p w14:paraId="26DFFC19">
      <w:pPr>
        <w:spacing w:before="100" w:line="225" w:lineRule="auto"/>
        <w:ind w:left="6"/>
        <w:outlineLvl w:val="2"/>
        <w:rPr>
          <w:rFonts w:ascii="宋体" w:hAnsi="宋体" w:eastAsia="宋体" w:cs="宋体"/>
          <w:color w:val="auto"/>
          <w:sz w:val="31"/>
          <w:szCs w:val="31"/>
          <w:highlight w:val="none"/>
        </w:rPr>
      </w:pPr>
      <w:bookmarkStart w:id="304" w:name="bookmark254"/>
      <w:bookmarkEnd w:id="304"/>
      <w:bookmarkStart w:id="305" w:name="_Toc4420"/>
      <w:bookmarkStart w:id="306" w:name="_Toc10061"/>
      <w:r>
        <w:rPr>
          <w:rFonts w:ascii="宋体" w:hAnsi="宋体" w:eastAsia="宋体" w:cs="宋体"/>
          <w:b/>
          <w:bCs/>
          <w:color w:val="auto"/>
          <w:spacing w:val="5"/>
          <w:sz w:val="31"/>
          <w:szCs w:val="31"/>
          <w:highlight w:val="none"/>
        </w:rPr>
        <w:t>6.</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施工设备和临时设施</w:t>
      </w:r>
      <w:bookmarkEnd w:id="305"/>
      <w:bookmarkEnd w:id="306"/>
    </w:p>
    <w:p w14:paraId="63FD3BAC">
      <w:pPr>
        <w:spacing w:before="277" w:line="219"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6.1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承包人提供的施工设备和临时设施</w:t>
      </w:r>
    </w:p>
    <w:p w14:paraId="6D4FA27F">
      <w:pPr>
        <w:spacing w:before="281" w:line="220" w:lineRule="auto"/>
        <w:ind w:left="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本款补充第</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6.1.3</w:t>
      </w:r>
      <w:r>
        <w:rPr>
          <w:rFonts w:ascii="宋体" w:hAnsi="宋体" w:eastAsia="宋体" w:cs="宋体"/>
          <w:color w:val="auto"/>
          <w:spacing w:val="-41"/>
          <w:sz w:val="21"/>
          <w:szCs w:val="21"/>
          <w:highlight w:val="none"/>
        </w:rPr>
        <w:t xml:space="preserve"> </w:t>
      </w:r>
      <w:r>
        <w:rPr>
          <w:rFonts w:ascii="宋体" w:hAnsi="宋体" w:eastAsia="宋体" w:cs="宋体"/>
          <w:color w:val="auto"/>
          <w:spacing w:val="-4"/>
          <w:sz w:val="21"/>
          <w:szCs w:val="21"/>
          <w:highlight w:val="none"/>
        </w:rPr>
        <w:t>项：</w:t>
      </w:r>
    </w:p>
    <w:p w14:paraId="62A44190">
      <w:pPr>
        <w:spacing w:before="157" w:line="220" w:lineRule="auto"/>
        <w:ind w:left="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6.1.3</w:t>
      </w:r>
      <w:r>
        <w:rPr>
          <w:rFonts w:ascii="宋体" w:hAnsi="宋体" w:eastAsia="宋体" w:cs="宋体"/>
          <w:color w:val="auto"/>
          <w:spacing w:val="-36"/>
          <w:sz w:val="21"/>
          <w:szCs w:val="21"/>
          <w:highlight w:val="none"/>
        </w:rPr>
        <w:t xml:space="preserve"> </w:t>
      </w:r>
      <w:r>
        <w:rPr>
          <w:rFonts w:ascii="宋体" w:hAnsi="宋体" w:eastAsia="宋体" w:cs="宋体"/>
          <w:color w:val="auto"/>
          <w:spacing w:val="-2"/>
          <w:sz w:val="21"/>
          <w:szCs w:val="21"/>
          <w:highlight w:val="none"/>
        </w:rPr>
        <w:t>承包人采用设备租赁的，应遵守以下规定：</w:t>
      </w:r>
    </w:p>
    <w:p w14:paraId="1B27943E">
      <w:pPr>
        <w:spacing w:before="158" w:line="290" w:lineRule="auto"/>
        <w:ind w:left="1" w:right="33" w:firstLine="424"/>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w:t>
      </w:r>
      <w:r>
        <w:rPr>
          <w:rFonts w:ascii="宋体" w:hAnsi="宋体" w:eastAsia="宋体" w:cs="宋体"/>
          <w:color w:val="auto"/>
          <w:spacing w:val="-61"/>
          <w:sz w:val="21"/>
          <w:szCs w:val="21"/>
          <w:highlight w:val="none"/>
        </w:rPr>
        <w:t xml:space="preserve"> </w:t>
      </w:r>
      <w:r>
        <w:rPr>
          <w:rFonts w:ascii="宋体" w:hAnsi="宋体" w:eastAsia="宋体" w:cs="宋体"/>
          <w:color w:val="auto"/>
          <w:spacing w:val="-8"/>
          <w:sz w:val="21"/>
          <w:szCs w:val="21"/>
          <w:highlight w:val="none"/>
        </w:rPr>
        <w:t>设备租赁双方应当签订租赁合同，主要内容应包</w:t>
      </w:r>
      <w:r>
        <w:rPr>
          <w:rFonts w:ascii="宋体" w:hAnsi="宋体" w:eastAsia="宋体" w:cs="宋体"/>
          <w:color w:val="auto"/>
          <w:spacing w:val="-9"/>
          <w:sz w:val="21"/>
          <w:szCs w:val="21"/>
          <w:highlight w:val="none"/>
        </w:rPr>
        <w:t>括：设备种类型号，租赁方式、租赁期限、</w:t>
      </w:r>
      <w:r>
        <w:rPr>
          <w:rFonts w:ascii="宋体" w:hAnsi="宋体" w:eastAsia="宋体" w:cs="宋体"/>
          <w:color w:val="auto"/>
          <w:sz w:val="21"/>
          <w:szCs w:val="21"/>
          <w:highlight w:val="none"/>
        </w:rPr>
        <w:t xml:space="preserve"> 租赁价格、租赁工作量及结算方式，租赁双方责任及义务，违约及纠纷处理方</w:t>
      </w:r>
      <w:r>
        <w:rPr>
          <w:rFonts w:ascii="宋体" w:hAnsi="宋体" w:eastAsia="宋体" w:cs="宋体"/>
          <w:color w:val="auto"/>
          <w:spacing w:val="-1"/>
          <w:sz w:val="21"/>
          <w:szCs w:val="21"/>
          <w:highlight w:val="none"/>
        </w:rPr>
        <w:t>式等。</w:t>
      </w:r>
    </w:p>
    <w:p w14:paraId="65E2D8C8">
      <w:pPr>
        <w:spacing w:before="159" w:line="221" w:lineRule="auto"/>
        <w:ind w:left="426"/>
        <w:rPr>
          <w:rFonts w:ascii="宋体" w:hAnsi="宋体" w:eastAsia="宋体" w:cs="宋体"/>
          <w:color w:val="auto"/>
          <w:sz w:val="21"/>
          <w:szCs w:val="21"/>
          <w:highlight w:val="none"/>
        </w:rPr>
      </w:pPr>
      <w:r>
        <w:rPr>
          <w:rFonts w:ascii="宋体" w:hAnsi="宋体" w:eastAsia="宋体" w:cs="宋体"/>
          <w:color w:val="auto"/>
          <w:sz w:val="21"/>
          <w:szCs w:val="21"/>
          <w:highlight w:val="none"/>
        </w:rPr>
        <w:t>（2）承包人应严格把好设备出租方资格关，不得向没有相关资质的出租方租赁设备。</w:t>
      </w:r>
    </w:p>
    <w:p w14:paraId="01D26FD9">
      <w:pPr>
        <w:spacing w:before="157" w:line="219"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w:t>
      </w:r>
      <w:r>
        <w:rPr>
          <w:rFonts w:ascii="宋体" w:hAnsi="宋体" w:eastAsia="宋体" w:cs="宋体"/>
          <w:color w:val="auto"/>
          <w:spacing w:val="-61"/>
          <w:sz w:val="21"/>
          <w:szCs w:val="21"/>
          <w:highlight w:val="none"/>
        </w:rPr>
        <w:t xml:space="preserve"> </w:t>
      </w:r>
      <w:r>
        <w:rPr>
          <w:rFonts w:ascii="宋体" w:hAnsi="宋体" w:eastAsia="宋体" w:cs="宋体"/>
          <w:color w:val="auto"/>
          <w:spacing w:val="-1"/>
          <w:sz w:val="21"/>
          <w:szCs w:val="21"/>
          <w:highlight w:val="none"/>
        </w:rPr>
        <w:t>设备租赁价格应与同期市场价格相符。</w:t>
      </w:r>
    </w:p>
    <w:p w14:paraId="1906F7C5">
      <w:pPr>
        <w:spacing w:before="158" w:line="290" w:lineRule="auto"/>
        <w:ind w:firstLine="426"/>
        <w:rPr>
          <w:rFonts w:ascii="Arial"/>
          <w:color w:val="auto"/>
          <w:sz w:val="21"/>
          <w:highlight w:val="none"/>
        </w:rPr>
      </w:pPr>
      <w:r>
        <w:rPr>
          <w:rFonts w:ascii="宋体" w:hAnsi="宋体" w:eastAsia="宋体" w:cs="宋体"/>
          <w:color w:val="auto"/>
          <w:spacing w:val="-3"/>
          <w:sz w:val="21"/>
          <w:szCs w:val="21"/>
          <w:highlight w:val="none"/>
        </w:rPr>
        <w:t>（4）</w:t>
      </w:r>
      <w:r>
        <w:rPr>
          <w:rFonts w:ascii="宋体" w:hAnsi="宋体" w:eastAsia="宋体" w:cs="宋体"/>
          <w:color w:val="auto"/>
          <w:spacing w:val="-54"/>
          <w:sz w:val="21"/>
          <w:szCs w:val="21"/>
          <w:highlight w:val="none"/>
        </w:rPr>
        <w:t xml:space="preserve"> </w:t>
      </w:r>
      <w:r>
        <w:rPr>
          <w:rFonts w:ascii="宋体" w:hAnsi="宋体" w:eastAsia="宋体" w:cs="宋体"/>
          <w:color w:val="auto"/>
          <w:spacing w:val="-3"/>
          <w:sz w:val="21"/>
          <w:szCs w:val="21"/>
          <w:highlight w:val="none"/>
        </w:rPr>
        <w:t>设备出租方提供操作人员的，操作人员不能代替承包人项目管理人员对工程施工技术和质</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量的管理。</w:t>
      </w:r>
    </w:p>
    <w:p w14:paraId="270F8E98">
      <w:pPr>
        <w:spacing w:before="92" w:line="219"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6.2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发包人提供的施工设备和临时设施</w:t>
      </w:r>
    </w:p>
    <w:p w14:paraId="138F9DEB">
      <w:pPr>
        <w:spacing w:line="360" w:lineRule="auto"/>
        <w:ind w:right="248"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发包人提供的施工设备或临时设施：</w:t>
      </w:r>
      <w:r>
        <w:rPr>
          <w:rFonts w:hint="eastAsia" w:ascii="Times New Roman" w:hAnsi="Times New Roman" w:cs="Times New Roman"/>
          <w:color w:val="auto"/>
          <w:szCs w:val="21"/>
          <w:highlight w:val="none"/>
          <w:u w:val="single"/>
        </w:rPr>
        <w:t>发包人在本项目实施过程中不提供任何临时设施，所有临时设施均由承包人修建，费用计入承包合同价中</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48FE4985">
      <w:pPr>
        <w:spacing w:before="174" w:line="225" w:lineRule="auto"/>
        <w:ind w:left="11"/>
        <w:outlineLvl w:val="2"/>
        <w:rPr>
          <w:rFonts w:ascii="宋体" w:hAnsi="宋体" w:eastAsia="宋体" w:cs="宋体"/>
          <w:color w:val="auto"/>
          <w:sz w:val="31"/>
          <w:szCs w:val="31"/>
          <w:highlight w:val="none"/>
        </w:rPr>
      </w:pPr>
      <w:bookmarkStart w:id="307" w:name="bookmark255"/>
      <w:bookmarkEnd w:id="307"/>
      <w:bookmarkStart w:id="308" w:name="_Toc20449"/>
      <w:bookmarkStart w:id="309" w:name="_Toc29040"/>
      <w:r>
        <w:rPr>
          <w:rFonts w:ascii="宋体" w:hAnsi="宋体" w:eastAsia="宋体" w:cs="宋体"/>
          <w:b/>
          <w:bCs/>
          <w:color w:val="auto"/>
          <w:spacing w:val="-1"/>
          <w:sz w:val="31"/>
          <w:szCs w:val="31"/>
          <w:highlight w:val="none"/>
        </w:rPr>
        <w:t>7.</w:t>
      </w:r>
      <w:r>
        <w:rPr>
          <w:rFonts w:ascii="宋体" w:hAnsi="宋体" w:eastAsia="宋体" w:cs="宋体"/>
          <w:color w:val="auto"/>
          <w:spacing w:val="29"/>
          <w:sz w:val="31"/>
          <w:szCs w:val="31"/>
          <w:highlight w:val="none"/>
        </w:rPr>
        <w:t xml:space="preserve"> </w:t>
      </w:r>
      <w:r>
        <w:rPr>
          <w:rFonts w:ascii="宋体" w:hAnsi="宋体" w:eastAsia="宋体" w:cs="宋体"/>
          <w:b/>
          <w:bCs/>
          <w:color w:val="auto"/>
          <w:spacing w:val="-1"/>
          <w:sz w:val="31"/>
          <w:szCs w:val="31"/>
          <w:highlight w:val="none"/>
        </w:rPr>
        <w:t>交通运输</w:t>
      </w:r>
      <w:bookmarkEnd w:id="308"/>
      <w:bookmarkEnd w:id="309"/>
    </w:p>
    <w:p w14:paraId="5FEDD165">
      <w:pPr>
        <w:spacing w:before="277" w:line="220" w:lineRule="auto"/>
        <w:ind w:left="146"/>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7.1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道路通行权和场外设施</w:t>
      </w:r>
    </w:p>
    <w:p w14:paraId="2CCCFA67">
      <w:pPr>
        <w:spacing w:line="360" w:lineRule="auto"/>
        <w:ind w:right="248" w:firstLine="480"/>
        <w:rPr>
          <w:rFonts w:ascii="宋体" w:hAnsi="宋体" w:eastAsia="宋体" w:cs="宋体"/>
          <w:color w:val="auto"/>
          <w:sz w:val="21"/>
          <w:szCs w:val="21"/>
          <w:highlight w:val="none"/>
        </w:rPr>
      </w:pPr>
      <w:r>
        <w:rPr>
          <w:rFonts w:ascii="宋体" w:hAnsi="宋体" w:eastAsia="宋体" w:cs="宋体"/>
          <w:color w:val="auto"/>
          <w:sz w:val="21"/>
          <w:szCs w:val="21"/>
          <w:highlight w:val="none"/>
        </w:rPr>
        <w:t>道路通行权和场外设施的约定：</w:t>
      </w:r>
      <w:r>
        <w:rPr>
          <w:rFonts w:hint="eastAsia" w:ascii="Times New Roman" w:hAnsi="Times New Roman" w:cs="Times New Roman"/>
          <w:color w:val="auto"/>
          <w:szCs w:val="21"/>
          <w:highlight w:val="none"/>
          <w:u w:val="single"/>
        </w:rPr>
        <w:t>承包人取得的道路通行权和修建的场外设施应服从发包人和监理人的协调安排，不得妨碍第三者和对第三者造成侵害，并承担对第三者构成妨碍和侵害所造成的一切损失和责任。施工期间，承包人负责对其所使用的交通道路及其附属桥、涵、闸进行必要的维修加固，若造成损坏，应在工程施工过程中和竣工验收前予以恢复，相关费用包含在项目的单价、合价和总价中，不单独编列，发包人亦不单独支付。承包人应充分考虑施工期间沿途群众出行交通并做好相应临时交通安排</w:t>
      </w:r>
      <w:r>
        <w:rPr>
          <w:rFonts w:ascii="宋体" w:hAnsi="宋体" w:eastAsia="宋体" w:cs="宋体"/>
          <w:color w:val="auto"/>
          <w:spacing w:val="-1"/>
          <w:sz w:val="21"/>
          <w:szCs w:val="21"/>
          <w:highlight w:val="none"/>
        </w:rPr>
        <w:t>。</w:t>
      </w:r>
    </w:p>
    <w:p w14:paraId="3396AE31">
      <w:pPr>
        <w:spacing w:before="175" w:line="226" w:lineRule="auto"/>
        <w:ind w:left="5"/>
        <w:outlineLvl w:val="2"/>
        <w:rPr>
          <w:rFonts w:ascii="宋体" w:hAnsi="宋体" w:eastAsia="宋体" w:cs="宋体"/>
          <w:color w:val="auto"/>
          <w:sz w:val="31"/>
          <w:szCs w:val="31"/>
          <w:highlight w:val="none"/>
        </w:rPr>
      </w:pPr>
      <w:bookmarkStart w:id="310" w:name="bookmark256"/>
      <w:bookmarkEnd w:id="310"/>
      <w:bookmarkStart w:id="311" w:name="_Toc13464"/>
      <w:bookmarkStart w:id="312" w:name="_Toc5060"/>
      <w:r>
        <w:rPr>
          <w:rFonts w:ascii="宋体" w:hAnsi="宋体" w:eastAsia="宋体" w:cs="宋体"/>
          <w:b/>
          <w:bCs/>
          <w:color w:val="auto"/>
          <w:spacing w:val="1"/>
          <w:sz w:val="31"/>
          <w:szCs w:val="31"/>
          <w:highlight w:val="none"/>
        </w:rPr>
        <w:t>8.</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1"/>
          <w:sz w:val="31"/>
          <w:szCs w:val="31"/>
          <w:highlight w:val="none"/>
        </w:rPr>
        <w:t>测量放线</w:t>
      </w:r>
      <w:bookmarkEnd w:id="311"/>
      <w:bookmarkEnd w:id="312"/>
    </w:p>
    <w:p w14:paraId="5197D685">
      <w:pPr>
        <w:spacing w:before="272" w:line="221" w:lineRule="auto"/>
        <w:ind w:left="14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8.1</w:t>
      </w:r>
      <w:r>
        <w:rPr>
          <w:rFonts w:ascii="宋体" w:hAnsi="宋体" w:eastAsia="宋体" w:cs="宋体"/>
          <w:color w:val="auto"/>
          <w:spacing w:val="-58"/>
          <w:sz w:val="28"/>
          <w:szCs w:val="28"/>
          <w:highlight w:val="none"/>
        </w:rPr>
        <w:t xml:space="preserve"> </w:t>
      </w:r>
      <w:r>
        <w:rPr>
          <w:rFonts w:ascii="宋体" w:hAnsi="宋体" w:eastAsia="宋体" w:cs="宋体"/>
          <w:b/>
          <w:bCs/>
          <w:color w:val="auto"/>
          <w:spacing w:val="-5"/>
          <w:sz w:val="28"/>
          <w:szCs w:val="28"/>
          <w:highlight w:val="none"/>
        </w:rPr>
        <w:t>施工控制网</w:t>
      </w:r>
    </w:p>
    <w:p w14:paraId="449E25E4">
      <w:pPr>
        <w:spacing w:before="279" w:line="351" w:lineRule="auto"/>
        <w:ind w:right="175" w:firstLine="42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8.1.1 发包人应在本合同协议书签订后的</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7</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1"/>
          <w:sz w:val="21"/>
          <w:szCs w:val="21"/>
          <w:highlight w:val="none"/>
        </w:rPr>
        <w:t>天内，通过监理人向承包人提供测量基准</w:t>
      </w:r>
      <w:r>
        <w:rPr>
          <w:rFonts w:ascii="宋体" w:hAnsi="宋体" w:eastAsia="宋体" w:cs="宋体"/>
          <w:color w:val="auto"/>
          <w:spacing w:val="-2"/>
          <w:sz w:val="21"/>
          <w:szCs w:val="21"/>
          <w:highlight w:val="none"/>
        </w:rPr>
        <w:t>点、</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基准线和水准点及其相关资料。承包人应在收到上述资料后的</w:t>
      </w:r>
      <w:r>
        <w:rPr>
          <w:rFonts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lang w:val="en-US" w:eastAsia="zh-CN"/>
        </w:rPr>
        <w:t>7</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79"/>
          <w:sz w:val="21"/>
          <w:szCs w:val="21"/>
          <w:highlight w:val="none"/>
        </w:rPr>
        <w:t xml:space="preserve"> </w:t>
      </w:r>
      <w:r>
        <w:rPr>
          <w:rFonts w:ascii="宋体" w:hAnsi="宋体" w:eastAsia="宋体" w:cs="宋体"/>
          <w:color w:val="auto"/>
          <w:spacing w:val="-3"/>
          <w:sz w:val="21"/>
          <w:szCs w:val="21"/>
          <w:highlight w:val="none"/>
        </w:rPr>
        <w:t>天内，将实测的施工控制网资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料提交监理人审批。监理人应在收到报批件后的</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7</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1"/>
          <w:sz w:val="21"/>
          <w:szCs w:val="21"/>
          <w:highlight w:val="none"/>
        </w:rPr>
        <w:t>天内批复承包人</w:t>
      </w:r>
      <w:r>
        <w:rPr>
          <w:rFonts w:hint="eastAsia" w:ascii="宋体" w:hAnsi="宋体" w:eastAsia="宋体" w:cs="宋体"/>
          <w:color w:val="auto"/>
          <w:spacing w:val="-1"/>
          <w:sz w:val="21"/>
          <w:szCs w:val="21"/>
          <w:highlight w:val="none"/>
          <w:lang w:eastAsia="zh-CN"/>
        </w:rPr>
        <w:t>。</w:t>
      </w:r>
    </w:p>
    <w:p w14:paraId="21B35710">
      <w:pPr>
        <w:spacing w:before="44" w:line="226" w:lineRule="auto"/>
        <w:ind w:left="5"/>
        <w:outlineLvl w:val="2"/>
        <w:rPr>
          <w:rFonts w:ascii="宋体" w:hAnsi="宋体" w:eastAsia="宋体" w:cs="宋体"/>
          <w:color w:val="auto"/>
          <w:sz w:val="31"/>
          <w:szCs w:val="31"/>
          <w:highlight w:val="none"/>
        </w:rPr>
      </w:pPr>
      <w:bookmarkStart w:id="313" w:name="bookmark257"/>
      <w:bookmarkEnd w:id="313"/>
      <w:bookmarkStart w:id="314" w:name="_Toc27503"/>
      <w:bookmarkStart w:id="315" w:name="_Toc15114"/>
      <w:r>
        <w:rPr>
          <w:rFonts w:ascii="宋体" w:hAnsi="宋体" w:eastAsia="宋体" w:cs="宋体"/>
          <w:b/>
          <w:bCs/>
          <w:color w:val="auto"/>
          <w:spacing w:val="6"/>
          <w:sz w:val="31"/>
          <w:szCs w:val="31"/>
          <w:highlight w:val="none"/>
        </w:rPr>
        <w:t>9.</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施工安全、治安保卫和环境保护</w:t>
      </w:r>
      <w:bookmarkEnd w:id="314"/>
      <w:bookmarkEnd w:id="315"/>
    </w:p>
    <w:p w14:paraId="6C355F2C">
      <w:pPr>
        <w:spacing w:before="276" w:line="220" w:lineRule="auto"/>
        <w:ind w:left="14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9.1</w:t>
      </w:r>
      <w:r>
        <w:rPr>
          <w:rFonts w:ascii="宋体" w:hAnsi="宋体" w:eastAsia="宋体" w:cs="宋体"/>
          <w:color w:val="auto"/>
          <w:spacing w:val="-54"/>
          <w:sz w:val="28"/>
          <w:szCs w:val="28"/>
          <w:highlight w:val="none"/>
        </w:rPr>
        <w:t xml:space="preserve"> </w:t>
      </w:r>
      <w:r>
        <w:rPr>
          <w:rFonts w:ascii="宋体" w:hAnsi="宋体" w:eastAsia="宋体" w:cs="宋体"/>
          <w:b/>
          <w:bCs/>
          <w:color w:val="auto"/>
          <w:spacing w:val="-4"/>
          <w:sz w:val="28"/>
          <w:szCs w:val="28"/>
          <w:highlight w:val="none"/>
        </w:rPr>
        <w:t>发包人的施工安全责任</w:t>
      </w:r>
    </w:p>
    <w:p w14:paraId="28D176EE">
      <w:pPr>
        <w:spacing w:before="281" w:line="220" w:lineRule="auto"/>
        <w:ind w:left="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本款补充第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4"/>
          <w:sz w:val="21"/>
          <w:szCs w:val="21"/>
          <w:highlight w:val="none"/>
        </w:rPr>
        <w:t>9.1.4</w:t>
      </w:r>
      <w:r>
        <w:rPr>
          <w:rFonts w:ascii="宋体" w:hAnsi="宋体" w:eastAsia="宋体" w:cs="宋体"/>
          <w:color w:val="auto"/>
          <w:spacing w:val="-41"/>
          <w:sz w:val="21"/>
          <w:szCs w:val="21"/>
          <w:highlight w:val="none"/>
        </w:rPr>
        <w:t xml:space="preserve"> </w:t>
      </w:r>
      <w:r>
        <w:rPr>
          <w:rFonts w:ascii="宋体" w:hAnsi="宋体" w:eastAsia="宋体" w:cs="宋体"/>
          <w:color w:val="auto"/>
          <w:spacing w:val="-4"/>
          <w:sz w:val="21"/>
          <w:szCs w:val="21"/>
          <w:highlight w:val="none"/>
        </w:rPr>
        <w:t>项、第</w:t>
      </w:r>
      <w:r>
        <w:rPr>
          <w:rFonts w:ascii="宋体" w:hAnsi="宋体" w:eastAsia="宋体" w:cs="宋体"/>
          <w:color w:val="auto"/>
          <w:spacing w:val="-45"/>
          <w:sz w:val="21"/>
          <w:szCs w:val="21"/>
          <w:highlight w:val="none"/>
        </w:rPr>
        <w:t xml:space="preserve"> </w:t>
      </w:r>
      <w:r>
        <w:rPr>
          <w:rFonts w:ascii="宋体" w:hAnsi="宋体" w:eastAsia="宋体" w:cs="宋体"/>
          <w:color w:val="auto"/>
          <w:spacing w:val="-4"/>
          <w:sz w:val="21"/>
          <w:szCs w:val="21"/>
          <w:highlight w:val="none"/>
        </w:rPr>
        <w:t>9.1.5</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项：</w:t>
      </w:r>
    </w:p>
    <w:p w14:paraId="7CD02479">
      <w:pPr>
        <w:spacing w:before="157" w:line="345" w:lineRule="auto"/>
        <w:ind w:right="1"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9.1.4 发包人负责向承包人提供施工现场及施工</w:t>
      </w:r>
      <w:r>
        <w:rPr>
          <w:rFonts w:ascii="宋体" w:hAnsi="宋体" w:eastAsia="宋体" w:cs="宋体"/>
          <w:color w:val="auto"/>
          <w:sz w:val="21"/>
          <w:szCs w:val="21"/>
          <w:highlight w:val="none"/>
        </w:rPr>
        <w:t xml:space="preserve">可能影响的毗邻区域内供水、排水、供电、供 </w:t>
      </w:r>
      <w:r>
        <w:rPr>
          <w:rFonts w:ascii="宋体" w:hAnsi="宋体" w:eastAsia="宋体" w:cs="宋体"/>
          <w:color w:val="auto"/>
          <w:spacing w:val="1"/>
          <w:sz w:val="21"/>
          <w:szCs w:val="21"/>
          <w:highlight w:val="none"/>
        </w:rPr>
        <w:t>气、供热、通信、广播电视等地下管线资料，气象和水文观测资料，拟建工程</w:t>
      </w:r>
      <w:r>
        <w:rPr>
          <w:rFonts w:ascii="宋体" w:hAnsi="宋体" w:eastAsia="宋体" w:cs="宋体"/>
          <w:color w:val="auto"/>
          <w:sz w:val="21"/>
          <w:szCs w:val="21"/>
          <w:highlight w:val="none"/>
        </w:rPr>
        <w:t>可能影响的相邻建筑物地下工程的有关资料，并保证有关资料的真实、准确</w:t>
      </w:r>
      <w:r>
        <w:rPr>
          <w:rFonts w:ascii="宋体" w:hAnsi="宋体" w:eastAsia="宋体" w:cs="宋体"/>
          <w:color w:val="auto"/>
          <w:spacing w:val="-1"/>
          <w:sz w:val="21"/>
          <w:szCs w:val="21"/>
          <w:highlight w:val="none"/>
        </w:rPr>
        <w:t>、完整，满足有关技术规程的要求。</w:t>
      </w:r>
    </w:p>
    <w:p w14:paraId="61657D55">
      <w:pPr>
        <w:spacing w:before="157" w:line="220" w:lineRule="auto"/>
        <w:ind w:left="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9.1.5</w:t>
      </w:r>
      <w:r>
        <w:rPr>
          <w:rFonts w:ascii="宋体" w:hAnsi="宋体" w:eastAsia="宋体" w:cs="宋体"/>
          <w:color w:val="auto"/>
          <w:spacing w:val="-34"/>
          <w:sz w:val="21"/>
          <w:szCs w:val="21"/>
          <w:highlight w:val="none"/>
        </w:rPr>
        <w:t xml:space="preserve"> </w:t>
      </w:r>
      <w:r>
        <w:rPr>
          <w:rFonts w:ascii="宋体" w:hAnsi="宋体" w:eastAsia="宋体" w:cs="宋体"/>
          <w:color w:val="auto"/>
          <w:spacing w:val="-2"/>
          <w:sz w:val="21"/>
          <w:szCs w:val="21"/>
          <w:highlight w:val="none"/>
        </w:rPr>
        <w:t>发包人负责在拆除工程施工</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15</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天前向有关部门或机构报送相关备案资料。</w:t>
      </w:r>
    </w:p>
    <w:p w14:paraId="332616F5">
      <w:pPr>
        <w:spacing w:line="333" w:lineRule="auto"/>
        <w:rPr>
          <w:rFonts w:ascii="Arial"/>
          <w:color w:val="auto"/>
          <w:sz w:val="21"/>
          <w:highlight w:val="none"/>
        </w:rPr>
      </w:pPr>
    </w:p>
    <w:p w14:paraId="726A096F">
      <w:pPr>
        <w:spacing w:before="91"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9.5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事故处理</w:t>
      </w:r>
    </w:p>
    <w:p w14:paraId="13450D96">
      <w:pPr>
        <w:spacing w:before="279" w:line="220" w:lineRule="auto"/>
        <w:ind w:left="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本款细化为：</w:t>
      </w:r>
    </w:p>
    <w:p w14:paraId="5E64B7F2">
      <w:pPr>
        <w:spacing w:before="157" w:line="291" w:lineRule="auto"/>
        <w:ind w:left="8" w:right="2" w:firstLine="413"/>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9.5.1 </w:t>
      </w:r>
      <w:r>
        <w:rPr>
          <w:rFonts w:ascii="宋体" w:hAnsi="宋体" w:eastAsia="宋体" w:cs="宋体"/>
          <w:color w:val="auto"/>
          <w:sz w:val="21"/>
          <w:szCs w:val="21"/>
          <w:highlight w:val="none"/>
        </w:rPr>
        <w:t>发包人负责组织参建单位制定本工程的质量与</w:t>
      </w:r>
      <w:r>
        <w:rPr>
          <w:rFonts w:ascii="宋体" w:hAnsi="宋体" w:eastAsia="宋体" w:cs="宋体"/>
          <w:color w:val="auto"/>
          <w:spacing w:val="-1"/>
          <w:sz w:val="21"/>
          <w:szCs w:val="21"/>
          <w:highlight w:val="none"/>
        </w:rPr>
        <w:t>安全事故应急预案，建立质量与安全事故应</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急处置指挥部。</w:t>
      </w:r>
    </w:p>
    <w:p w14:paraId="255DAF10">
      <w:pPr>
        <w:spacing w:before="157" w:line="290" w:lineRule="auto"/>
        <w:ind w:left="4" w:right="4" w:firstLine="417"/>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9.5.2 </w:t>
      </w:r>
      <w:r>
        <w:rPr>
          <w:rFonts w:ascii="宋体" w:hAnsi="宋体" w:eastAsia="宋体" w:cs="宋体"/>
          <w:color w:val="auto"/>
          <w:sz w:val="21"/>
          <w:szCs w:val="21"/>
          <w:highlight w:val="none"/>
        </w:rPr>
        <w:t>承包人应对施工现场易发生重大事故的部</w:t>
      </w:r>
      <w:r>
        <w:rPr>
          <w:rFonts w:ascii="宋体" w:hAnsi="宋体" w:eastAsia="宋体" w:cs="宋体"/>
          <w:color w:val="auto"/>
          <w:spacing w:val="-1"/>
          <w:sz w:val="21"/>
          <w:szCs w:val="21"/>
          <w:highlight w:val="none"/>
        </w:rPr>
        <w:t>位、环节进行监控，配备救援器材、设备，并定</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期组织演练。</w:t>
      </w:r>
    </w:p>
    <w:p w14:paraId="5BAE2527">
      <w:pPr>
        <w:spacing w:before="156" w:line="291" w:lineRule="auto"/>
        <w:ind w:firstLine="421"/>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9.5.3 </w:t>
      </w:r>
      <w:r>
        <w:rPr>
          <w:rFonts w:ascii="宋体" w:hAnsi="宋体" w:eastAsia="宋体" w:cs="宋体"/>
          <w:color w:val="auto"/>
          <w:sz w:val="21"/>
          <w:szCs w:val="21"/>
          <w:highlight w:val="none"/>
        </w:rPr>
        <w:t>工程开工前，承包人应根据本工程的特点制定施工</w:t>
      </w:r>
      <w:r>
        <w:rPr>
          <w:rFonts w:ascii="宋体" w:hAnsi="宋体" w:eastAsia="宋体" w:cs="宋体"/>
          <w:color w:val="auto"/>
          <w:spacing w:val="-1"/>
          <w:sz w:val="21"/>
          <w:szCs w:val="21"/>
          <w:highlight w:val="none"/>
        </w:rPr>
        <w:t>现场施工质量与安全事故应急预案，并</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报发包人备案。</w:t>
      </w:r>
    </w:p>
    <w:p w14:paraId="4D26A639">
      <w:pPr>
        <w:spacing w:before="156" w:line="221"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9.5.4 </w:t>
      </w:r>
      <w:r>
        <w:rPr>
          <w:rFonts w:ascii="宋体" w:hAnsi="宋体" w:eastAsia="宋体" w:cs="宋体"/>
          <w:color w:val="auto"/>
          <w:sz w:val="21"/>
          <w:szCs w:val="21"/>
          <w:highlight w:val="none"/>
        </w:rPr>
        <w:t>施工过程中发生事故时，发包人、承包人应立即启动</w:t>
      </w:r>
      <w:r>
        <w:rPr>
          <w:rFonts w:ascii="宋体" w:hAnsi="宋体" w:eastAsia="宋体" w:cs="宋体"/>
          <w:color w:val="auto"/>
          <w:spacing w:val="-1"/>
          <w:sz w:val="21"/>
          <w:szCs w:val="21"/>
          <w:highlight w:val="none"/>
        </w:rPr>
        <w:t>应急预案。</w:t>
      </w:r>
    </w:p>
    <w:p w14:paraId="707F624F">
      <w:pPr>
        <w:spacing w:before="157" w:line="221"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9.5.5 </w:t>
      </w:r>
      <w:r>
        <w:rPr>
          <w:rFonts w:ascii="宋体" w:hAnsi="宋体" w:eastAsia="宋体" w:cs="宋体"/>
          <w:color w:val="auto"/>
          <w:spacing w:val="-1"/>
          <w:sz w:val="21"/>
          <w:szCs w:val="21"/>
          <w:highlight w:val="none"/>
        </w:rPr>
        <w:t>事故调查处理由发包人按相关规定履行手续，承包人应配合。</w:t>
      </w:r>
    </w:p>
    <w:p w14:paraId="2BBDF8E9">
      <w:pPr>
        <w:spacing w:before="172" w:line="226" w:lineRule="auto"/>
        <w:ind w:left="29"/>
        <w:outlineLvl w:val="2"/>
        <w:rPr>
          <w:rFonts w:ascii="宋体" w:hAnsi="宋体" w:eastAsia="宋体" w:cs="宋体"/>
          <w:color w:val="auto"/>
          <w:sz w:val="31"/>
          <w:szCs w:val="31"/>
          <w:highlight w:val="none"/>
        </w:rPr>
      </w:pPr>
      <w:bookmarkStart w:id="316" w:name="bookmark258"/>
      <w:bookmarkEnd w:id="316"/>
      <w:bookmarkStart w:id="317" w:name="_Toc23073"/>
      <w:bookmarkStart w:id="318" w:name="_Toc21224"/>
      <w:r>
        <w:rPr>
          <w:rFonts w:ascii="宋体" w:hAnsi="宋体" w:eastAsia="宋体" w:cs="宋体"/>
          <w:b/>
          <w:bCs/>
          <w:color w:val="auto"/>
          <w:spacing w:val="1"/>
          <w:sz w:val="31"/>
          <w:szCs w:val="31"/>
          <w:highlight w:val="none"/>
        </w:rPr>
        <w:t>10.</w:t>
      </w:r>
      <w:r>
        <w:rPr>
          <w:rFonts w:ascii="宋体" w:hAnsi="宋体" w:eastAsia="宋体" w:cs="宋体"/>
          <w:color w:val="auto"/>
          <w:spacing w:val="1"/>
          <w:sz w:val="31"/>
          <w:szCs w:val="31"/>
          <w:highlight w:val="none"/>
        </w:rPr>
        <w:t xml:space="preserve"> </w:t>
      </w:r>
      <w:r>
        <w:rPr>
          <w:rFonts w:ascii="宋体" w:hAnsi="宋体" w:eastAsia="宋体" w:cs="宋体"/>
          <w:b/>
          <w:bCs/>
          <w:color w:val="auto"/>
          <w:spacing w:val="1"/>
          <w:sz w:val="31"/>
          <w:szCs w:val="31"/>
          <w:highlight w:val="none"/>
        </w:rPr>
        <w:t>进度计划</w:t>
      </w:r>
      <w:bookmarkEnd w:id="317"/>
      <w:bookmarkEnd w:id="318"/>
    </w:p>
    <w:p w14:paraId="044413C4">
      <w:pPr>
        <w:spacing w:before="275"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10.1</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合同进度计划</w:t>
      </w:r>
    </w:p>
    <w:p w14:paraId="47FBCB71">
      <w:pPr>
        <w:spacing w:before="279" w:line="221" w:lineRule="auto"/>
        <w:ind w:left="421"/>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承包人编制施工进度计划和施工方案说明的内容和</w:t>
      </w:r>
      <w:r>
        <w:rPr>
          <w:rFonts w:ascii="宋体" w:hAnsi="宋体" w:eastAsia="宋体" w:cs="宋体"/>
          <w:color w:val="auto"/>
          <w:spacing w:val="-1"/>
          <w:sz w:val="21"/>
          <w:szCs w:val="21"/>
          <w:highlight w:val="none"/>
        </w:rPr>
        <w:t>期限要求：</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rPr>
        <w:t>；</w:t>
      </w:r>
    </w:p>
    <w:p w14:paraId="1C2ED90D">
      <w:pPr>
        <w:spacing w:before="156" w:line="221" w:lineRule="auto"/>
        <w:ind w:left="422"/>
        <w:rPr>
          <w:rFonts w:ascii="宋体" w:hAnsi="宋体" w:eastAsia="宋体" w:cs="宋体"/>
          <w:color w:val="auto"/>
          <w:sz w:val="21"/>
          <w:szCs w:val="21"/>
          <w:highlight w:val="none"/>
        </w:rPr>
      </w:pPr>
      <w:r>
        <w:rPr>
          <w:rFonts w:ascii="宋体" w:hAnsi="宋体" w:eastAsia="宋体" w:cs="宋体"/>
          <w:color w:val="auto"/>
          <w:sz w:val="21"/>
          <w:szCs w:val="21"/>
          <w:highlight w:val="none"/>
        </w:rPr>
        <w:t>监理人对施工进度计划进行批复或提出修改意见的期限：</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43B64DD9">
      <w:pPr>
        <w:spacing w:line="333" w:lineRule="auto"/>
        <w:rPr>
          <w:rFonts w:ascii="Arial"/>
          <w:color w:val="auto"/>
          <w:sz w:val="21"/>
          <w:highlight w:val="none"/>
        </w:rPr>
      </w:pPr>
    </w:p>
    <w:p w14:paraId="5D71CB8A">
      <w:pPr>
        <w:spacing w:before="92"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10.2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合同进度计划的修订</w:t>
      </w:r>
    </w:p>
    <w:p w14:paraId="2195F472">
      <w:pPr>
        <w:spacing w:before="280" w:line="221" w:lineRule="auto"/>
        <w:ind w:left="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承包人提交施工进度计划修订的期限要求</w:t>
      </w:r>
      <w:r>
        <w:rPr>
          <w:rFonts w:ascii="宋体" w:hAnsi="宋体" w:eastAsia="宋体" w:cs="宋体"/>
          <w:color w:val="auto"/>
          <w:spacing w:val="6"/>
          <w:sz w:val="21"/>
          <w:szCs w:val="21"/>
          <w:highlight w:val="none"/>
        </w:rPr>
        <w:t>：</w:t>
      </w:r>
      <w:r>
        <w:rPr>
          <w:rFonts w:ascii="宋体" w:hAnsi="宋体" w:eastAsia="宋体" w:cs="宋体"/>
          <w:color w:val="auto"/>
          <w:spacing w:val="6"/>
          <w:sz w:val="21"/>
          <w:szCs w:val="21"/>
          <w:highlight w:val="none"/>
          <w:u w:val="single" w:color="auto"/>
        </w:rPr>
        <w:t xml:space="preserve">                </w:t>
      </w:r>
      <w:r>
        <w:rPr>
          <w:rFonts w:ascii="宋体" w:hAnsi="宋体" w:eastAsia="宋体" w:cs="宋体"/>
          <w:color w:val="auto"/>
          <w:spacing w:val="6"/>
          <w:sz w:val="21"/>
          <w:szCs w:val="21"/>
          <w:highlight w:val="none"/>
        </w:rPr>
        <w:t>；</w:t>
      </w:r>
    </w:p>
    <w:p w14:paraId="55DA0EA5">
      <w:pPr>
        <w:spacing w:before="157" w:line="221" w:lineRule="auto"/>
        <w:ind w:left="422"/>
        <w:rPr>
          <w:rFonts w:ascii="宋体" w:hAnsi="宋体" w:eastAsia="宋体" w:cs="宋体"/>
          <w:color w:val="auto"/>
          <w:sz w:val="21"/>
          <w:szCs w:val="21"/>
          <w:highlight w:val="none"/>
        </w:rPr>
      </w:pPr>
      <w:r>
        <w:rPr>
          <w:rFonts w:ascii="宋体" w:hAnsi="宋体" w:eastAsia="宋体" w:cs="宋体"/>
          <w:color w:val="auto"/>
          <w:sz w:val="21"/>
          <w:szCs w:val="21"/>
          <w:highlight w:val="none"/>
        </w:rPr>
        <w:t>监理人对承包人提交的修订施工进度计划进行批复</w:t>
      </w:r>
      <w:r>
        <w:rPr>
          <w:rFonts w:ascii="宋体" w:hAnsi="宋体" w:eastAsia="宋体" w:cs="宋体"/>
          <w:color w:val="auto"/>
          <w:spacing w:val="-1"/>
          <w:sz w:val="21"/>
          <w:szCs w:val="21"/>
          <w:highlight w:val="none"/>
        </w:rPr>
        <w:t>的期限：</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1"/>
          <w:sz w:val="21"/>
          <w:szCs w:val="21"/>
          <w:highlight w:val="none"/>
        </w:rPr>
        <w:t>。</w:t>
      </w:r>
    </w:p>
    <w:p w14:paraId="2F797F8E">
      <w:pPr>
        <w:spacing w:before="294" w:line="225" w:lineRule="auto"/>
        <w:ind w:left="29"/>
        <w:outlineLvl w:val="2"/>
        <w:rPr>
          <w:rFonts w:ascii="宋体" w:hAnsi="宋体" w:eastAsia="宋体" w:cs="宋体"/>
          <w:color w:val="auto"/>
          <w:sz w:val="31"/>
          <w:szCs w:val="31"/>
          <w:highlight w:val="none"/>
        </w:rPr>
      </w:pPr>
      <w:bookmarkStart w:id="319" w:name="bookmark259"/>
      <w:bookmarkEnd w:id="319"/>
      <w:bookmarkStart w:id="320" w:name="_Toc13573"/>
      <w:bookmarkStart w:id="321" w:name="_Toc4548"/>
      <w:r>
        <w:rPr>
          <w:rFonts w:ascii="宋体" w:hAnsi="宋体" w:eastAsia="宋体" w:cs="宋体"/>
          <w:b/>
          <w:bCs/>
          <w:color w:val="auto"/>
          <w:spacing w:val="1"/>
          <w:sz w:val="31"/>
          <w:szCs w:val="31"/>
          <w:highlight w:val="none"/>
        </w:rPr>
        <w:t>11.开工和竣工</w:t>
      </w:r>
      <w:bookmarkEnd w:id="320"/>
      <w:bookmarkEnd w:id="321"/>
    </w:p>
    <w:p w14:paraId="5E3D5A6F">
      <w:pPr>
        <w:spacing w:before="126" w:line="220" w:lineRule="auto"/>
        <w:ind w:left="4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本款补充第</w:t>
      </w:r>
      <w:r>
        <w:rPr>
          <w:rFonts w:ascii="宋体" w:hAnsi="宋体" w:eastAsia="宋体" w:cs="宋体"/>
          <w:color w:val="auto"/>
          <w:spacing w:val="-13"/>
          <w:sz w:val="21"/>
          <w:szCs w:val="21"/>
          <w:highlight w:val="none"/>
        </w:rPr>
        <w:t xml:space="preserve"> </w:t>
      </w:r>
      <w:r>
        <w:rPr>
          <w:rFonts w:ascii="宋体" w:hAnsi="宋体" w:eastAsia="宋体" w:cs="宋体"/>
          <w:color w:val="auto"/>
          <w:spacing w:val="-5"/>
          <w:sz w:val="21"/>
          <w:szCs w:val="21"/>
          <w:highlight w:val="none"/>
        </w:rPr>
        <w:t>11.1.3</w:t>
      </w:r>
      <w:r>
        <w:rPr>
          <w:rFonts w:ascii="宋体" w:hAnsi="宋体" w:eastAsia="宋体" w:cs="宋体"/>
          <w:color w:val="auto"/>
          <w:spacing w:val="-43"/>
          <w:sz w:val="21"/>
          <w:szCs w:val="21"/>
          <w:highlight w:val="none"/>
        </w:rPr>
        <w:t xml:space="preserve"> </w:t>
      </w:r>
      <w:r>
        <w:rPr>
          <w:rFonts w:ascii="宋体" w:hAnsi="宋体" w:eastAsia="宋体" w:cs="宋体"/>
          <w:color w:val="auto"/>
          <w:spacing w:val="-5"/>
          <w:sz w:val="21"/>
          <w:szCs w:val="21"/>
          <w:highlight w:val="none"/>
        </w:rPr>
        <w:t>项、第</w:t>
      </w:r>
      <w:r>
        <w:rPr>
          <w:rFonts w:ascii="宋体" w:hAnsi="宋体" w:eastAsia="宋体" w:cs="宋体"/>
          <w:color w:val="auto"/>
          <w:spacing w:val="-27"/>
          <w:sz w:val="21"/>
          <w:szCs w:val="21"/>
          <w:highlight w:val="none"/>
        </w:rPr>
        <w:t xml:space="preserve"> </w:t>
      </w:r>
      <w:r>
        <w:rPr>
          <w:rFonts w:ascii="宋体" w:hAnsi="宋体" w:eastAsia="宋体" w:cs="宋体"/>
          <w:color w:val="auto"/>
          <w:spacing w:val="-5"/>
          <w:sz w:val="21"/>
          <w:szCs w:val="21"/>
          <w:highlight w:val="none"/>
        </w:rPr>
        <w:t>11.1.4</w:t>
      </w:r>
      <w:r>
        <w:rPr>
          <w:rFonts w:ascii="宋体" w:hAnsi="宋体" w:eastAsia="宋体" w:cs="宋体"/>
          <w:color w:val="auto"/>
          <w:spacing w:val="-43"/>
          <w:sz w:val="21"/>
          <w:szCs w:val="21"/>
          <w:highlight w:val="none"/>
        </w:rPr>
        <w:t xml:space="preserve"> </w:t>
      </w:r>
      <w:r>
        <w:rPr>
          <w:rFonts w:ascii="宋体" w:hAnsi="宋体" w:eastAsia="宋体" w:cs="宋体"/>
          <w:color w:val="auto"/>
          <w:spacing w:val="-5"/>
          <w:sz w:val="21"/>
          <w:szCs w:val="21"/>
          <w:highlight w:val="none"/>
        </w:rPr>
        <w:t>项：</w:t>
      </w:r>
    </w:p>
    <w:p w14:paraId="00D73375">
      <w:pPr>
        <w:spacing w:before="160" w:line="350" w:lineRule="auto"/>
        <w:ind w:left="4" w:firstLine="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11.1.3</w:t>
      </w:r>
      <w:r>
        <w:rPr>
          <w:rFonts w:ascii="宋体" w:hAnsi="宋体" w:eastAsia="宋体" w:cs="宋体"/>
          <w:color w:val="auto"/>
          <w:spacing w:val="-43"/>
          <w:sz w:val="21"/>
          <w:szCs w:val="21"/>
          <w:highlight w:val="none"/>
        </w:rPr>
        <w:t xml:space="preserve"> </w:t>
      </w:r>
      <w:r>
        <w:rPr>
          <w:rFonts w:ascii="宋体" w:hAnsi="宋体" w:eastAsia="宋体" w:cs="宋体"/>
          <w:color w:val="auto"/>
          <w:spacing w:val="-1"/>
          <w:sz w:val="21"/>
          <w:szCs w:val="21"/>
          <w:highlight w:val="none"/>
        </w:rPr>
        <w:t>若发包人未能按合同约定向承包人提供开工的必要条件，承包人有权要求延长工期。监</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理人应在收到承包人的书面要求后，按第</w:t>
      </w:r>
      <w:r>
        <w:rPr>
          <w:rFonts w:ascii="宋体" w:hAnsi="宋体" w:eastAsia="宋体" w:cs="宋体"/>
          <w:color w:val="auto"/>
          <w:spacing w:val="-4"/>
          <w:sz w:val="21"/>
          <w:szCs w:val="21"/>
          <w:highlight w:val="none"/>
        </w:rPr>
        <w:t xml:space="preserve"> </w:t>
      </w:r>
      <w:r>
        <w:rPr>
          <w:rFonts w:ascii="宋体" w:hAnsi="宋体" w:eastAsia="宋体" w:cs="宋体"/>
          <w:color w:val="auto"/>
          <w:spacing w:val="-1"/>
          <w:sz w:val="21"/>
          <w:szCs w:val="21"/>
          <w:highlight w:val="none"/>
        </w:rPr>
        <w:t>3.5</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款的约定，与合同双方商定或确定增加的费用和延长</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的工期。</w:t>
      </w:r>
    </w:p>
    <w:p w14:paraId="03EA173D">
      <w:pPr>
        <w:spacing w:before="29" w:line="351" w:lineRule="auto"/>
        <w:ind w:left="1" w:firstLine="435"/>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11.1.4 承包人在接到开工通知后 14 天内未按进度计划要求及时进场组织施工，监理人可通知</w:t>
      </w:r>
      <w:r>
        <w:rPr>
          <w:rFonts w:ascii="宋体" w:hAnsi="宋体" w:eastAsia="宋体" w:cs="宋体"/>
          <w:color w:val="auto"/>
          <w:spacing w:val="9"/>
          <w:sz w:val="21"/>
          <w:szCs w:val="21"/>
          <w:highlight w:val="none"/>
        </w:rPr>
        <w:t xml:space="preserve"> </w:t>
      </w:r>
      <w:r>
        <w:rPr>
          <w:rFonts w:ascii="宋体" w:hAnsi="宋体" w:eastAsia="宋体" w:cs="宋体"/>
          <w:color w:val="auto"/>
          <w:spacing w:val="-1"/>
          <w:sz w:val="21"/>
          <w:szCs w:val="21"/>
          <w:highlight w:val="none"/>
        </w:rPr>
        <w:t>承包人在接到通知后</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7</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天内提交一份说明其进场延误的书面报告，报送监理人。书面报告应说明不</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能及时进场的原因和补救措施，由此增加的费用和工期延误责任由承包人承担。</w:t>
      </w:r>
    </w:p>
    <w:p w14:paraId="56E77F50">
      <w:pPr>
        <w:spacing w:before="299" w:line="220" w:lineRule="auto"/>
        <w:ind w:left="16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11.4</w:t>
      </w:r>
      <w:r>
        <w:rPr>
          <w:rFonts w:ascii="宋体" w:hAnsi="宋体" w:eastAsia="宋体" w:cs="宋体"/>
          <w:color w:val="auto"/>
          <w:spacing w:val="-50"/>
          <w:sz w:val="28"/>
          <w:szCs w:val="28"/>
          <w:highlight w:val="none"/>
        </w:rPr>
        <w:t xml:space="preserve"> </w:t>
      </w:r>
      <w:r>
        <w:rPr>
          <w:rFonts w:ascii="宋体" w:hAnsi="宋体" w:eastAsia="宋体" w:cs="宋体"/>
          <w:b/>
          <w:bCs/>
          <w:color w:val="auto"/>
          <w:spacing w:val="-6"/>
          <w:sz w:val="28"/>
          <w:szCs w:val="28"/>
          <w:highlight w:val="none"/>
        </w:rPr>
        <w:t>异常恶劣的气候条件</w:t>
      </w:r>
    </w:p>
    <w:p w14:paraId="4143FB6B">
      <w:pPr>
        <w:spacing w:before="41" w:line="221" w:lineRule="auto"/>
        <w:ind w:left="427"/>
        <w:rPr>
          <w:rFonts w:ascii="宋体" w:hAnsi="宋体" w:eastAsia="宋体" w:cs="宋体"/>
          <w:color w:val="auto"/>
          <w:spacing w:val="-5"/>
          <w:sz w:val="21"/>
          <w:szCs w:val="21"/>
          <w:highlight w:val="none"/>
        </w:rPr>
      </w:pPr>
      <w:r>
        <w:rPr>
          <w:rFonts w:ascii="宋体" w:hAnsi="宋体" w:eastAsia="宋体" w:cs="宋体"/>
          <w:color w:val="auto"/>
          <w:spacing w:val="-4"/>
          <w:sz w:val="21"/>
          <w:szCs w:val="21"/>
          <w:highlight w:val="none"/>
        </w:rPr>
        <w:t>11.4</w:t>
      </w:r>
      <w:r>
        <w:rPr>
          <w:rFonts w:ascii="宋体" w:hAnsi="宋体" w:eastAsia="宋体" w:cs="宋体"/>
          <w:color w:val="auto"/>
          <w:spacing w:val="-46"/>
          <w:sz w:val="21"/>
          <w:szCs w:val="21"/>
          <w:highlight w:val="none"/>
        </w:rPr>
        <w:t xml:space="preserve"> </w:t>
      </w:r>
      <w:r>
        <w:rPr>
          <w:rFonts w:ascii="宋体" w:hAnsi="宋体" w:eastAsia="宋体" w:cs="宋体"/>
          <w:color w:val="auto"/>
          <w:spacing w:val="-4"/>
          <w:sz w:val="21"/>
          <w:szCs w:val="21"/>
          <w:highlight w:val="none"/>
        </w:rPr>
        <w:t>本合同工程界定异常恶劣气候条件的范围（以工程所在地气象部门</w:t>
      </w:r>
      <w:r>
        <w:rPr>
          <w:rFonts w:ascii="宋体" w:hAnsi="宋体" w:eastAsia="宋体" w:cs="宋体"/>
          <w:color w:val="auto"/>
          <w:spacing w:val="-5"/>
          <w:sz w:val="21"/>
          <w:szCs w:val="21"/>
          <w:highlight w:val="none"/>
        </w:rPr>
        <w:t>发布的数据为准）为：</w:t>
      </w:r>
    </w:p>
    <w:p w14:paraId="37BDEA93">
      <w:pPr>
        <w:spacing w:before="41"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w:t>
      </w:r>
      <w:r>
        <w:rPr>
          <w:rFonts w:ascii="宋体" w:hAnsi="宋体" w:eastAsia="宋体" w:cs="宋体"/>
          <w:color w:val="auto"/>
          <w:spacing w:val="-50"/>
          <w:sz w:val="21"/>
          <w:szCs w:val="21"/>
          <w:highlight w:val="none"/>
        </w:rPr>
        <w:t xml:space="preserve"> </w:t>
      </w:r>
      <w:r>
        <w:rPr>
          <w:rFonts w:ascii="宋体" w:hAnsi="宋体" w:eastAsia="宋体" w:cs="宋体"/>
          <w:color w:val="auto"/>
          <w:spacing w:val="-3"/>
          <w:sz w:val="21"/>
          <w:szCs w:val="21"/>
          <w:highlight w:val="none"/>
        </w:rPr>
        <w:t>日降雨量大于</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9"/>
          <w:sz w:val="21"/>
          <w:szCs w:val="21"/>
          <w:highlight w:val="none"/>
        </w:rPr>
        <w:t xml:space="preserve"> </w:t>
      </w:r>
      <w:r>
        <w:rPr>
          <w:rFonts w:ascii="宋体" w:hAnsi="宋体" w:eastAsia="宋体" w:cs="宋体"/>
          <w:color w:val="auto"/>
          <w:spacing w:val="-3"/>
          <w:sz w:val="21"/>
          <w:szCs w:val="21"/>
          <w:highlight w:val="none"/>
        </w:rPr>
        <w:t>㎜的雨日超过</w:t>
      </w:r>
      <w:r>
        <w:rPr>
          <w:rFonts w:ascii="宋体" w:hAnsi="宋体" w:eastAsia="宋体" w:cs="宋体"/>
          <w:color w:val="auto"/>
          <w:spacing w:val="-3"/>
          <w:sz w:val="21"/>
          <w:szCs w:val="21"/>
          <w:highlight w:val="none"/>
          <w:u w:val="single" w:color="auto"/>
        </w:rPr>
        <w:t xml:space="preserve"> 3 </w:t>
      </w:r>
      <w:r>
        <w:rPr>
          <w:rFonts w:ascii="宋体" w:hAnsi="宋体" w:eastAsia="宋体" w:cs="宋体"/>
          <w:color w:val="auto"/>
          <w:spacing w:val="-3"/>
          <w:sz w:val="21"/>
          <w:szCs w:val="21"/>
          <w:highlight w:val="none"/>
        </w:rPr>
        <w:t>天；</w:t>
      </w:r>
      <w:r>
        <w:rPr>
          <w:rFonts w:ascii="宋体" w:hAnsi="宋体" w:eastAsia="宋体" w:cs="宋体"/>
          <w:color w:val="auto"/>
          <w:spacing w:val="15"/>
          <w:sz w:val="21"/>
          <w:szCs w:val="21"/>
          <w:highlight w:val="none"/>
        </w:rPr>
        <w:t xml:space="preserve"> </w:t>
      </w:r>
      <w:r>
        <w:rPr>
          <w:rFonts w:ascii="宋体" w:hAnsi="宋体" w:eastAsia="宋体" w:cs="宋体"/>
          <w:color w:val="auto"/>
          <w:spacing w:val="-3"/>
          <w:sz w:val="21"/>
          <w:szCs w:val="21"/>
          <w:highlight w:val="none"/>
        </w:rPr>
        <w:t>`</w:t>
      </w:r>
    </w:p>
    <w:p w14:paraId="15DFFF65">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（2）风速大于</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3"/>
          <w:sz w:val="21"/>
          <w:szCs w:val="21"/>
          <w:highlight w:val="none"/>
        </w:rPr>
        <w:t>m/s</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的</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3"/>
          <w:sz w:val="21"/>
          <w:szCs w:val="21"/>
          <w:highlight w:val="none"/>
        </w:rPr>
        <w:t>级以上台风灾害；</w:t>
      </w:r>
    </w:p>
    <w:p w14:paraId="68CED2CB">
      <w:pPr>
        <w:spacing w:before="155" w:line="346" w:lineRule="auto"/>
        <w:ind w:left="427" w:right="467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w:t>
      </w:r>
      <w:r>
        <w:rPr>
          <w:rFonts w:ascii="宋体" w:hAnsi="宋体" w:eastAsia="宋体" w:cs="宋体"/>
          <w:color w:val="auto"/>
          <w:spacing w:val="-46"/>
          <w:sz w:val="21"/>
          <w:szCs w:val="21"/>
          <w:highlight w:val="none"/>
        </w:rPr>
        <w:t xml:space="preserve"> </w:t>
      </w:r>
      <w:r>
        <w:rPr>
          <w:rFonts w:ascii="宋体" w:hAnsi="宋体" w:eastAsia="宋体" w:cs="宋体"/>
          <w:color w:val="auto"/>
          <w:spacing w:val="-5"/>
          <w:sz w:val="21"/>
          <w:szCs w:val="21"/>
          <w:highlight w:val="none"/>
        </w:rPr>
        <w:t>日气温超过</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81"/>
          <w:sz w:val="21"/>
          <w:szCs w:val="21"/>
          <w:highlight w:val="none"/>
        </w:rPr>
        <w:t xml:space="preserve"> </w:t>
      </w:r>
      <w:r>
        <w:rPr>
          <w:rFonts w:ascii="宋体" w:hAnsi="宋体" w:eastAsia="宋体" w:cs="宋体"/>
          <w:color w:val="auto"/>
          <w:spacing w:val="-5"/>
          <w:sz w:val="21"/>
          <w:szCs w:val="21"/>
          <w:highlight w:val="none"/>
        </w:rPr>
        <w:t>℃的高温大于</w:t>
      </w:r>
      <w:r>
        <w:rPr>
          <w:rFonts w:ascii="宋体" w:hAnsi="宋体" w:eastAsia="宋体" w:cs="宋体"/>
          <w:color w:val="auto"/>
          <w:spacing w:val="-105"/>
          <w:sz w:val="21"/>
          <w:szCs w:val="21"/>
          <w:highlight w:val="none"/>
        </w:rPr>
        <w:t xml:space="preserve"> </w:t>
      </w:r>
      <w:r>
        <w:rPr>
          <w:rFonts w:ascii="宋体" w:hAnsi="宋体" w:eastAsia="宋体" w:cs="宋体"/>
          <w:color w:val="auto"/>
          <w:spacing w:val="25"/>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pacing w:val="-5"/>
          <w:sz w:val="21"/>
          <w:szCs w:val="21"/>
          <w:highlight w:val="none"/>
        </w:rPr>
        <w:t>天；</w:t>
      </w:r>
      <w:r>
        <w:rPr>
          <w:rFonts w:ascii="宋体" w:hAnsi="宋体" w:eastAsia="宋体" w:cs="宋体"/>
          <w:color w:val="auto"/>
          <w:sz w:val="21"/>
          <w:szCs w:val="21"/>
          <w:highlight w:val="none"/>
        </w:rPr>
        <w:t xml:space="preserve"> </w:t>
      </w:r>
      <w:r>
        <w:rPr>
          <w:rFonts w:ascii="宋体" w:hAnsi="宋体" w:eastAsia="宋体" w:cs="宋体"/>
          <w:color w:val="auto"/>
          <w:spacing w:val="-7"/>
          <w:sz w:val="21"/>
          <w:szCs w:val="21"/>
          <w:highlight w:val="none"/>
        </w:rPr>
        <w:t>（4）</w:t>
      </w:r>
      <w:r>
        <w:rPr>
          <w:rFonts w:ascii="宋体" w:hAnsi="宋体" w:eastAsia="宋体" w:cs="宋体"/>
          <w:color w:val="auto"/>
          <w:spacing w:val="-52"/>
          <w:sz w:val="21"/>
          <w:szCs w:val="21"/>
          <w:highlight w:val="none"/>
        </w:rPr>
        <w:t xml:space="preserve"> </w:t>
      </w:r>
      <w:r>
        <w:rPr>
          <w:rFonts w:ascii="宋体" w:hAnsi="宋体" w:eastAsia="宋体" w:cs="宋体"/>
          <w:color w:val="auto"/>
          <w:spacing w:val="-7"/>
          <w:sz w:val="21"/>
          <w:szCs w:val="21"/>
          <w:highlight w:val="none"/>
        </w:rPr>
        <w:t>日气温低于</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81"/>
          <w:sz w:val="21"/>
          <w:szCs w:val="21"/>
          <w:highlight w:val="none"/>
        </w:rPr>
        <w:t xml:space="preserve"> </w:t>
      </w:r>
      <w:r>
        <w:rPr>
          <w:rFonts w:ascii="宋体" w:hAnsi="宋体" w:eastAsia="宋体" w:cs="宋体"/>
          <w:color w:val="auto"/>
          <w:spacing w:val="-7"/>
          <w:sz w:val="21"/>
          <w:szCs w:val="21"/>
          <w:highlight w:val="none"/>
        </w:rPr>
        <w:t>℃的严寒大于</w:t>
      </w:r>
      <w:r>
        <w:rPr>
          <w:rFonts w:ascii="宋体" w:hAnsi="宋体" w:eastAsia="宋体" w:cs="宋体"/>
          <w:color w:val="auto"/>
          <w:spacing w:val="34"/>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7"/>
          <w:sz w:val="21"/>
          <w:szCs w:val="21"/>
          <w:highlight w:val="none"/>
        </w:rPr>
        <w:t>天；</w:t>
      </w:r>
    </w:p>
    <w:p w14:paraId="49EC949B">
      <w:pPr>
        <w:spacing w:before="32"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（5）造成工程损坏的冰雹和大雪灾害：双方协商确定；</w:t>
      </w:r>
    </w:p>
    <w:p w14:paraId="4524706C">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（6）其他异常恶劣气候灾害。</w:t>
      </w:r>
    </w:p>
    <w:p w14:paraId="5DCCB6E5">
      <w:pPr>
        <w:spacing w:line="333" w:lineRule="auto"/>
        <w:rPr>
          <w:rFonts w:ascii="Arial"/>
          <w:color w:val="auto"/>
          <w:sz w:val="21"/>
          <w:highlight w:val="none"/>
        </w:rPr>
      </w:pPr>
    </w:p>
    <w:p w14:paraId="7B139074">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11.5</w:t>
      </w:r>
      <w:r>
        <w:rPr>
          <w:rFonts w:ascii="宋体" w:hAnsi="宋体" w:eastAsia="宋体" w:cs="宋体"/>
          <w:color w:val="auto"/>
          <w:spacing w:val="-57"/>
          <w:sz w:val="28"/>
          <w:szCs w:val="28"/>
          <w:highlight w:val="none"/>
        </w:rPr>
        <w:t xml:space="preserve"> </w:t>
      </w:r>
      <w:r>
        <w:rPr>
          <w:rFonts w:ascii="宋体" w:hAnsi="宋体" w:eastAsia="宋体" w:cs="宋体"/>
          <w:b/>
          <w:bCs/>
          <w:color w:val="auto"/>
          <w:spacing w:val="-6"/>
          <w:sz w:val="28"/>
          <w:szCs w:val="28"/>
          <w:highlight w:val="none"/>
        </w:rPr>
        <w:t>承包人工期延误</w:t>
      </w:r>
    </w:p>
    <w:p w14:paraId="416B9EC7">
      <w:pPr>
        <w:spacing w:before="280"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（1）因承包方原因，造成工期延误的，承包人应按下表约定的金额支付违约金：</w:t>
      </w:r>
    </w:p>
    <w:p w14:paraId="483A8C27">
      <w:pPr>
        <w:spacing w:before="156" w:line="221" w:lineRule="auto"/>
        <w:ind w:left="317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关键节点工期及逾期竣工违约金表</w:t>
      </w:r>
    </w:p>
    <w:p w14:paraId="3E0FECBB">
      <w:pPr>
        <w:spacing w:line="131" w:lineRule="exact"/>
        <w:rPr>
          <w:color w:val="auto"/>
          <w:highlight w:val="none"/>
        </w:rPr>
      </w:pPr>
    </w:p>
    <w:tbl>
      <w:tblPr>
        <w:tblStyle w:val="29"/>
        <w:tblW w:w="9027"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4"/>
        <w:gridCol w:w="1745"/>
        <w:gridCol w:w="2528"/>
        <w:gridCol w:w="3530"/>
      </w:tblGrid>
      <w:tr w14:paraId="2009B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24" w:type="dxa"/>
            <w:tcBorders>
              <w:top w:val="single" w:color="000000" w:sz="6" w:space="0"/>
              <w:left w:val="single" w:color="000000" w:sz="6" w:space="0"/>
            </w:tcBorders>
            <w:vAlign w:val="top"/>
          </w:tcPr>
          <w:p w14:paraId="72EDAAD5">
            <w:pPr>
              <w:pStyle w:val="30"/>
              <w:spacing w:before="33" w:line="222" w:lineRule="auto"/>
              <w:ind w:left="400"/>
              <w:rPr>
                <w:color w:val="auto"/>
                <w:highlight w:val="none"/>
              </w:rPr>
            </w:pPr>
            <w:r>
              <w:rPr>
                <w:color w:val="auto"/>
                <w:spacing w:val="-2"/>
                <w:highlight w:val="none"/>
              </w:rPr>
              <w:t>序号</w:t>
            </w:r>
          </w:p>
        </w:tc>
        <w:tc>
          <w:tcPr>
            <w:tcW w:w="1745" w:type="dxa"/>
            <w:tcBorders>
              <w:top w:val="single" w:color="000000" w:sz="6" w:space="0"/>
            </w:tcBorders>
            <w:vAlign w:val="top"/>
          </w:tcPr>
          <w:p w14:paraId="613DE4C4">
            <w:pPr>
              <w:pStyle w:val="30"/>
              <w:spacing w:before="33" w:line="221" w:lineRule="auto"/>
              <w:ind w:left="243"/>
              <w:rPr>
                <w:color w:val="auto"/>
                <w:highlight w:val="none"/>
              </w:rPr>
            </w:pPr>
            <w:r>
              <w:rPr>
                <w:color w:val="auto"/>
                <w:spacing w:val="-2"/>
                <w:highlight w:val="none"/>
              </w:rPr>
              <w:t>项目及其说明</w:t>
            </w:r>
          </w:p>
        </w:tc>
        <w:tc>
          <w:tcPr>
            <w:tcW w:w="2528" w:type="dxa"/>
            <w:tcBorders>
              <w:top w:val="single" w:color="000000" w:sz="6" w:space="0"/>
            </w:tcBorders>
            <w:vAlign w:val="top"/>
          </w:tcPr>
          <w:p w14:paraId="6B277368">
            <w:pPr>
              <w:pStyle w:val="30"/>
              <w:spacing w:before="33" w:line="221" w:lineRule="auto"/>
              <w:ind w:left="846"/>
              <w:rPr>
                <w:color w:val="auto"/>
                <w:highlight w:val="none"/>
              </w:rPr>
            </w:pPr>
            <w:r>
              <w:rPr>
                <w:color w:val="auto"/>
                <w:spacing w:val="-2"/>
                <w:highlight w:val="none"/>
              </w:rPr>
              <w:t>竣工日期</w:t>
            </w:r>
          </w:p>
        </w:tc>
        <w:tc>
          <w:tcPr>
            <w:tcW w:w="3530" w:type="dxa"/>
            <w:tcBorders>
              <w:top w:val="single" w:color="000000" w:sz="6" w:space="0"/>
              <w:right w:val="single" w:color="000000" w:sz="6" w:space="0"/>
            </w:tcBorders>
            <w:vAlign w:val="top"/>
          </w:tcPr>
          <w:p w14:paraId="4AB38521">
            <w:pPr>
              <w:pStyle w:val="30"/>
              <w:spacing w:before="33" w:line="221" w:lineRule="auto"/>
              <w:ind w:left="560"/>
              <w:rPr>
                <w:color w:val="auto"/>
                <w:highlight w:val="none"/>
              </w:rPr>
            </w:pPr>
            <w:r>
              <w:rPr>
                <w:color w:val="auto"/>
                <w:spacing w:val="-1"/>
                <w:highlight w:val="none"/>
              </w:rPr>
              <w:t>逾期竣工违约金（元/天）</w:t>
            </w:r>
          </w:p>
        </w:tc>
      </w:tr>
      <w:tr w14:paraId="7FA35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224" w:type="dxa"/>
            <w:tcBorders>
              <w:left w:val="single" w:color="000000" w:sz="6" w:space="0"/>
            </w:tcBorders>
            <w:vAlign w:val="top"/>
          </w:tcPr>
          <w:p w14:paraId="46402E56">
            <w:pPr>
              <w:pStyle w:val="30"/>
              <w:spacing w:before="66" w:line="183" w:lineRule="auto"/>
              <w:ind w:left="572"/>
              <w:rPr>
                <w:color w:val="auto"/>
                <w:highlight w:val="none"/>
              </w:rPr>
            </w:pPr>
            <w:r>
              <w:rPr>
                <w:color w:val="auto"/>
                <w:highlight w:val="none"/>
              </w:rPr>
              <w:t>1</w:t>
            </w:r>
          </w:p>
        </w:tc>
        <w:tc>
          <w:tcPr>
            <w:tcW w:w="1745" w:type="dxa"/>
            <w:vAlign w:val="top"/>
          </w:tcPr>
          <w:p w14:paraId="68BEB57B">
            <w:pPr>
              <w:pStyle w:val="30"/>
              <w:spacing w:before="32" w:line="222" w:lineRule="auto"/>
              <w:ind w:left="661"/>
              <w:rPr>
                <w:color w:val="auto"/>
                <w:highlight w:val="none"/>
              </w:rPr>
            </w:pPr>
            <w:r>
              <w:rPr>
                <w:color w:val="auto"/>
                <w:spacing w:val="-2"/>
                <w:highlight w:val="none"/>
              </w:rPr>
              <w:t>开工</w:t>
            </w:r>
          </w:p>
        </w:tc>
        <w:tc>
          <w:tcPr>
            <w:tcW w:w="2528" w:type="dxa"/>
            <w:vAlign w:val="top"/>
          </w:tcPr>
          <w:p w14:paraId="7080F9E2">
            <w:pPr>
              <w:rPr>
                <w:rFonts w:ascii="Arial"/>
                <w:color w:val="auto"/>
                <w:sz w:val="21"/>
                <w:highlight w:val="none"/>
              </w:rPr>
            </w:pPr>
          </w:p>
        </w:tc>
        <w:tc>
          <w:tcPr>
            <w:tcW w:w="3530" w:type="dxa"/>
            <w:tcBorders>
              <w:right w:val="single" w:color="000000" w:sz="6" w:space="0"/>
            </w:tcBorders>
            <w:vAlign w:val="top"/>
          </w:tcPr>
          <w:p w14:paraId="4938DEC0">
            <w:pPr>
              <w:rPr>
                <w:rFonts w:ascii="Arial"/>
                <w:color w:val="auto"/>
                <w:sz w:val="21"/>
                <w:highlight w:val="none"/>
              </w:rPr>
            </w:pPr>
          </w:p>
        </w:tc>
      </w:tr>
      <w:tr w14:paraId="4D7C7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224" w:type="dxa"/>
            <w:tcBorders>
              <w:left w:val="single" w:color="000000" w:sz="6" w:space="0"/>
            </w:tcBorders>
            <w:vAlign w:val="top"/>
          </w:tcPr>
          <w:p w14:paraId="3ED3404A">
            <w:pPr>
              <w:rPr>
                <w:rFonts w:ascii="Arial"/>
                <w:color w:val="auto"/>
                <w:sz w:val="21"/>
                <w:highlight w:val="none"/>
              </w:rPr>
            </w:pPr>
          </w:p>
        </w:tc>
        <w:tc>
          <w:tcPr>
            <w:tcW w:w="1745" w:type="dxa"/>
            <w:vAlign w:val="top"/>
          </w:tcPr>
          <w:p w14:paraId="6ACA6825">
            <w:pPr>
              <w:rPr>
                <w:rFonts w:ascii="Arial"/>
                <w:color w:val="auto"/>
                <w:sz w:val="21"/>
                <w:highlight w:val="none"/>
              </w:rPr>
            </w:pPr>
          </w:p>
        </w:tc>
        <w:tc>
          <w:tcPr>
            <w:tcW w:w="2528" w:type="dxa"/>
            <w:vAlign w:val="top"/>
          </w:tcPr>
          <w:p w14:paraId="7AB78C4A">
            <w:pPr>
              <w:rPr>
                <w:rFonts w:ascii="Arial"/>
                <w:color w:val="auto"/>
                <w:sz w:val="21"/>
                <w:highlight w:val="none"/>
              </w:rPr>
            </w:pPr>
          </w:p>
        </w:tc>
        <w:tc>
          <w:tcPr>
            <w:tcW w:w="3530" w:type="dxa"/>
            <w:tcBorders>
              <w:right w:val="single" w:color="000000" w:sz="6" w:space="0"/>
            </w:tcBorders>
            <w:vAlign w:val="top"/>
          </w:tcPr>
          <w:p w14:paraId="625ECF59">
            <w:pPr>
              <w:rPr>
                <w:rFonts w:ascii="Arial"/>
                <w:color w:val="auto"/>
                <w:sz w:val="21"/>
                <w:highlight w:val="none"/>
              </w:rPr>
            </w:pPr>
          </w:p>
        </w:tc>
      </w:tr>
      <w:tr w14:paraId="07ACA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24" w:type="dxa"/>
            <w:tcBorders>
              <w:left w:val="single" w:color="000000" w:sz="6" w:space="0"/>
            </w:tcBorders>
            <w:vAlign w:val="top"/>
          </w:tcPr>
          <w:p w14:paraId="5883850B">
            <w:pPr>
              <w:rPr>
                <w:rFonts w:ascii="Arial"/>
                <w:color w:val="auto"/>
                <w:sz w:val="21"/>
                <w:highlight w:val="none"/>
              </w:rPr>
            </w:pPr>
          </w:p>
        </w:tc>
        <w:tc>
          <w:tcPr>
            <w:tcW w:w="1745" w:type="dxa"/>
            <w:vAlign w:val="top"/>
          </w:tcPr>
          <w:p w14:paraId="0E9E561B">
            <w:pPr>
              <w:pStyle w:val="30"/>
              <w:spacing w:before="39" w:line="332" w:lineRule="exact"/>
              <w:ind w:left="673"/>
              <w:rPr>
                <w:color w:val="auto"/>
                <w:highlight w:val="none"/>
              </w:rPr>
            </w:pPr>
            <w:r>
              <w:rPr>
                <w:color w:val="auto"/>
                <w:spacing w:val="-5"/>
                <w:position w:val="2"/>
                <w:highlight w:val="none"/>
              </w:rPr>
              <w:t>……</w:t>
            </w:r>
          </w:p>
        </w:tc>
        <w:tc>
          <w:tcPr>
            <w:tcW w:w="2528" w:type="dxa"/>
            <w:vAlign w:val="top"/>
          </w:tcPr>
          <w:p w14:paraId="37E0A8EB">
            <w:pPr>
              <w:rPr>
                <w:rFonts w:ascii="Arial"/>
                <w:color w:val="auto"/>
                <w:sz w:val="21"/>
                <w:highlight w:val="none"/>
              </w:rPr>
            </w:pPr>
          </w:p>
        </w:tc>
        <w:tc>
          <w:tcPr>
            <w:tcW w:w="3530" w:type="dxa"/>
            <w:tcBorders>
              <w:right w:val="single" w:color="000000" w:sz="6" w:space="0"/>
            </w:tcBorders>
            <w:vAlign w:val="top"/>
          </w:tcPr>
          <w:p w14:paraId="0CEF6999">
            <w:pPr>
              <w:rPr>
                <w:rFonts w:ascii="Arial"/>
                <w:color w:val="auto"/>
                <w:sz w:val="21"/>
                <w:highlight w:val="none"/>
              </w:rPr>
            </w:pPr>
          </w:p>
        </w:tc>
      </w:tr>
      <w:tr w14:paraId="2349E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224" w:type="dxa"/>
            <w:tcBorders>
              <w:left w:val="single" w:color="000000" w:sz="6" w:space="0"/>
              <w:bottom w:val="single" w:color="000000" w:sz="6" w:space="0"/>
            </w:tcBorders>
            <w:vAlign w:val="top"/>
          </w:tcPr>
          <w:p w14:paraId="7179A694">
            <w:pPr>
              <w:rPr>
                <w:rFonts w:ascii="Arial"/>
                <w:color w:val="auto"/>
                <w:sz w:val="21"/>
                <w:highlight w:val="none"/>
              </w:rPr>
            </w:pPr>
          </w:p>
        </w:tc>
        <w:tc>
          <w:tcPr>
            <w:tcW w:w="1745" w:type="dxa"/>
            <w:tcBorders>
              <w:bottom w:val="single" w:color="000000" w:sz="6" w:space="0"/>
            </w:tcBorders>
            <w:vAlign w:val="top"/>
          </w:tcPr>
          <w:p w14:paraId="395D0382">
            <w:pPr>
              <w:pStyle w:val="30"/>
              <w:spacing w:before="41" w:line="221" w:lineRule="auto"/>
              <w:ind w:left="661"/>
              <w:rPr>
                <w:color w:val="auto"/>
                <w:highlight w:val="none"/>
              </w:rPr>
            </w:pPr>
            <w:r>
              <w:rPr>
                <w:color w:val="auto"/>
                <w:spacing w:val="-2"/>
                <w:highlight w:val="none"/>
              </w:rPr>
              <w:t>竣工</w:t>
            </w:r>
          </w:p>
        </w:tc>
        <w:tc>
          <w:tcPr>
            <w:tcW w:w="2528" w:type="dxa"/>
            <w:tcBorders>
              <w:bottom w:val="single" w:color="000000" w:sz="6" w:space="0"/>
            </w:tcBorders>
            <w:vAlign w:val="top"/>
          </w:tcPr>
          <w:p w14:paraId="546843DF">
            <w:pPr>
              <w:rPr>
                <w:rFonts w:ascii="Arial"/>
                <w:color w:val="auto"/>
                <w:sz w:val="21"/>
                <w:highlight w:val="none"/>
              </w:rPr>
            </w:pPr>
          </w:p>
        </w:tc>
        <w:tc>
          <w:tcPr>
            <w:tcW w:w="3530" w:type="dxa"/>
            <w:tcBorders>
              <w:bottom w:val="single" w:color="000000" w:sz="6" w:space="0"/>
              <w:right w:val="single" w:color="000000" w:sz="6" w:space="0"/>
            </w:tcBorders>
            <w:vAlign w:val="top"/>
          </w:tcPr>
          <w:p w14:paraId="0BDCA2B5">
            <w:pPr>
              <w:jc w:val="center"/>
              <w:rPr>
                <w:rFonts w:hint="default" w:ascii="Arial" w:eastAsia="宋体"/>
                <w:color w:val="auto"/>
                <w:sz w:val="21"/>
                <w:highlight w:val="none"/>
                <w:lang w:val="en-US" w:eastAsia="zh-CN"/>
              </w:rPr>
            </w:pPr>
          </w:p>
        </w:tc>
      </w:tr>
    </w:tbl>
    <w:p w14:paraId="0D483B3F">
      <w:pPr>
        <w:numPr>
          <w:ilvl w:val="0"/>
          <w:numId w:val="3"/>
        </w:numPr>
        <w:spacing w:before="150" w:line="219" w:lineRule="auto"/>
        <w:ind w:left="4" w:leftChars="0" w:firstLine="422" w:firstLineChars="0"/>
        <w:jc w:val="right"/>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表中各项逾期竣工违约金将单独予以确定，但其最终的累计总金额不应超过签约合</w:t>
      </w:r>
    </w:p>
    <w:p w14:paraId="44763B29">
      <w:pPr>
        <w:numPr>
          <w:ilvl w:val="0"/>
          <w:numId w:val="0"/>
        </w:numPr>
        <w:spacing w:before="150" w:line="219" w:lineRule="auto"/>
        <w:jc w:val="both"/>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同价的</w:t>
      </w:r>
      <w:r>
        <w:rPr>
          <w:rFonts w:ascii="宋体" w:hAnsi="宋体" w:eastAsia="宋体" w:cs="宋体"/>
          <w:color w:val="auto"/>
          <w:spacing w:val="-30"/>
          <w:sz w:val="21"/>
          <w:szCs w:val="21"/>
          <w:highlight w:val="none"/>
        </w:rPr>
        <w:t xml:space="preserve"> </w:t>
      </w:r>
      <w:r>
        <w:rPr>
          <w:rFonts w:ascii="宋体" w:hAnsi="宋体" w:eastAsia="宋体" w:cs="宋体"/>
          <w:color w:val="auto"/>
          <w:spacing w:val="-4"/>
          <w:sz w:val="21"/>
          <w:szCs w:val="21"/>
          <w:highlight w:val="none"/>
        </w:rPr>
        <w:t>10％。</w:t>
      </w:r>
    </w:p>
    <w:p w14:paraId="02A28AA9">
      <w:pPr>
        <w:spacing w:line="334" w:lineRule="auto"/>
        <w:rPr>
          <w:rFonts w:ascii="Arial"/>
          <w:color w:val="auto"/>
          <w:sz w:val="21"/>
          <w:highlight w:val="none"/>
        </w:rPr>
      </w:pPr>
    </w:p>
    <w:p w14:paraId="1BD9911A">
      <w:pPr>
        <w:spacing w:before="91" w:line="221" w:lineRule="auto"/>
        <w:ind w:left="24"/>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11.6</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工期提前</w:t>
      </w:r>
    </w:p>
    <w:p w14:paraId="4116ABDB">
      <w:pPr>
        <w:spacing w:line="474" w:lineRule="auto"/>
        <w:rPr>
          <w:rFonts w:ascii="Arial"/>
          <w:color w:val="auto"/>
          <w:sz w:val="21"/>
          <w:highlight w:val="none"/>
        </w:rPr>
      </w:pPr>
    </w:p>
    <w:p w14:paraId="48D00ACD">
      <w:pPr>
        <w:spacing w:before="69" w:line="221" w:lineRule="auto"/>
        <w:ind w:left="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提前竣工的奖励：</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2CD5389D">
      <w:pPr>
        <w:spacing w:line="430" w:lineRule="auto"/>
        <w:rPr>
          <w:rFonts w:ascii="Arial"/>
          <w:color w:val="auto"/>
          <w:sz w:val="21"/>
          <w:highlight w:val="none"/>
        </w:rPr>
      </w:pPr>
    </w:p>
    <w:p w14:paraId="0E7F3870">
      <w:pPr>
        <w:spacing w:before="101" w:line="226" w:lineRule="auto"/>
        <w:ind w:left="28"/>
        <w:outlineLvl w:val="2"/>
        <w:rPr>
          <w:rFonts w:ascii="宋体" w:hAnsi="宋体" w:eastAsia="宋体" w:cs="宋体"/>
          <w:color w:val="auto"/>
          <w:sz w:val="31"/>
          <w:szCs w:val="31"/>
          <w:highlight w:val="none"/>
        </w:rPr>
      </w:pPr>
      <w:bookmarkStart w:id="322" w:name="bookmark260"/>
      <w:bookmarkEnd w:id="322"/>
      <w:bookmarkStart w:id="323" w:name="_Toc29515"/>
      <w:bookmarkStart w:id="324" w:name="_Toc19854"/>
      <w:r>
        <w:rPr>
          <w:rFonts w:ascii="宋体" w:hAnsi="宋体" w:eastAsia="宋体" w:cs="宋体"/>
          <w:b/>
          <w:bCs/>
          <w:color w:val="auto"/>
          <w:sz w:val="31"/>
          <w:szCs w:val="31"/>
          <w:highlight w:val="none"/>
        </w:rPr>
        <w:t>12.暂停施工</w:t>
      </w:r>
      <w:bookmarkEnd w:id="323"/>
      <w:bookmarkEnd w:id="324"/>
    </w:p>
    <w:p w14:paraId="3EA8ED78">
      <w:pPr>
        <w:spacing w:before="276"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12.1</w:t>
      </w:r>
      <w:r>
        <w:rPr>
          <w:rFonts w:ascii="宋体" w:hAnsi="宋体" w:eastAsia="宋体" w:cs="宋体"/>
          <w:color w:val="auto"/>
          <w:spacing w:val="-58"/>
          <w:sz w:val="28"/>
          <w:szCs w:val="28"/>
          <w:highlight w:val="none"/>
        </w:rPr>
        <w:t xml:space="preserve"> </w:t>
      </w:r>
      <w:r>
        <w:rPr>
          <w:rFonts w:ascii="宋体" w:hAnsi="宋体" w:eastAsia="宋体" w:cs="宋体"/>
          <w:b/>
          <w:bCs/>
          <w:color w:val="auto"/>
          <w:spacing w:val="-5"/>
          <w:sz w:val="28"/>
          <w:szCs w:val="28"/>
          <w:highlight w:val="none"/>
        </w:rPr>
        <w:t>承包人暂停施工的责任</w:t>
      </w:r>
    </w:p>
    <w:p w14:paraId="77F10396">
      <w:pPr>
        <w:spacing w:before="280" w:line="221" w:lineRule="auto"/>
        <w:ind w:left="532"/>
        <w:rPr>
          <w:rFonts w:ascii="宋体" w:hAnsi="宋体" w:eastAsia="宋体" w:cs="宋体"/>
          <w:color w:val="auto"/>
          <w:sz w:val="21"/>
          <w:szCs w:val="21"/>
          <w:highlight w:val="none"/>
        </w:rPr>
      </w:pPr>
      <w:r>
        <w:rPr>
          <w:rFonts w:ascii="宋体" w:hAnsi="宋体" w:eastAsia="宋体" w:cs="宋体"/>
          <w:color w:val="auto"/>
          <w:sz w:val="21"/>
          <w:szCs w:val="21"/>
          <w:highlight w:val="none"/>
        </w:rPr>
        <w:t>（5）承包人承担暂停施工责任的其他情形：</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 xml:space="preserve"> 。</w:t>
      </w:r>
    </w:p>
    <w:p w14:paraId="62B1CBA5">
      <w:pPr>
        <w:spacing w:before="173" w:line="226" w:lineRule="auto"/>
        <w:ind w:left="28"/>
        <w:outlineLvl w:val="2"/>
        <w:rPr>
          <w:rFonts w:ascii="宋体" w:hAnsi="宋体" w:eastAsia="宋体" w:cs="宋体"/>
          <w:color w:val="auto"/>
          <w:sz w:val="31"/>
          <w:szCs w:val="31"/>
          <w:highlight w:val="none"/>
        </w:rPr>
      </w:pPr>
      <w:bookmarkStart w:id="325" w:name="bookmark261"/>
      <w:bookmarkEnd w:id="325"/>
      <w:bookmarkStart w:id="326" w:name="_Toc14995"/>
      <w:bookmarkStart w:id="327" w:name="_Toc21314"/>
      <w:r>
        <w:rPr>
          <w:rFonts w:ascii="宋体" w:hAnsi="宋体" w:eastAsia="宋体" w:cs="宋体"/>
          <w:b/>
          <w:bCs/>
          <w:color w:val="auto"/>
          <w:spacing w:val="-3"/>
          <w:sz w:val="31"/>
          <w:szCs w:val="31"/>
          <w:highlight w:val="none"/>
        </w:rPr>
        <w:t>15.变更</w:t>
      </w:r>
      <w:bookmarkEnd w:id="326"/>
      <w:bookmarkEnd w:id="327"/>
    </w:p>
    <w:p w14:paraId="70B8D0E0">
      <w:pPr>
        <w:spacing w:before="272" w:line="220" w:lineRule="auto"/>
        <w:ind w:left="16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15.1</w:t>
      </w:r>
      <w:r>
        <w:rPr>
          <w:rFonts w:ascii="宋体" w:hAnsi="宋体" w:eastAsia="宋体" w:cs="宋体"/>
          <w:color w:val="auto"/>
          <w:spacing w:val="-54"/>
          <w:sz w:val="28"/>
          <w:szCs w:val="28"/>
          <w:highlight w:val="none"/>
        </w:rPr>
        <w:t xml:space="preserve"> </w:t>
      </w:r>
      <w:r>
        <w:rPr>
          <w:rFonts w:ascii="宋体" w:hAnsi="宋体" w:eastAsia="宋体" w:cs="宋体"/>
          <w:b/>
          <w:bCs/>
          <w:color w:val="auto"/>
          <w:spacing w:val="-6"/>
          <w:sz w:val="28"/>
          <w:szCs w:val="28"/>
          <w:highlight w:val="none"/>
        </w:rPr>
        <w:t>变更的范围和内容</w:t>
      </w:r>
    </w:p>
    <w:p w14:paraId="603E8B2D">
      <w:pPr>
        <w:spacing w:before="281" w:line="220" w:lineRule="auto"/>
        <w:ind w:left="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本款补充：</w:t>
      </w:r>
    </w:p>
    <w:p w14:paraId="346AF350">
      <w:pPr>
        <w:spacing w:before="160" w:line="345" w:lineRule="auto"/>
        <w:ind w:right="179" w:firstLine="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除少数因水文、地质等因素造成勘察不到位确需</w:t>
      </w:r>
      <w:r>
        <w:rPr>
          <w:rFonts w:ascii="宋体" w:hAnsi="宋体" w:eastAsia="宋体" w:cs="宋体"/>
          <w:color w:val="auto"/>
          <w:sz w:val="21"/>
          <w:szCs w:val="21"/>
          <w:highlight w:val="none"/>
        </w:rPr>
        <w:t xml:space="preserve">调整外，一般不进行工程变更，确需变更的要 </w:t>
      </w:r>
      <w:r>
        <w:rPr>
          <w:rFonts w:ascii="宋体" w:hAnsi="宋体" w:eastAsia="宋体" w:cs="宋体"/>
          <w:color w:val="auto"/>
          <w:spacing w:val="-1"/>
          <w:sz w:val="21"/>
          <w:szCs w:val="21"/>
          <w:highlight w:val="none"/>
        </w:rPr>
        <w:t>遵循科学、合理、经济的原则。</w:t>
      </w:r>
    </w:p>
    <w:p w14:paraId="5CBD8BB1">
      <w:pPr>
        <w:spacing w:before="55" w:line="221" w:lineRule="auto"/>
        <w:ind w:left="161"/>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15.3</w:t>
      </w:r>
      <w:r>
        <w:rPr>
          <w:rFonts w:ascii="宋体" w:hAnsi="宋体" w:eastAsia="宋体" w:cs="宋体"/>
          <w:color w:val="auto"/>
          <w:spacing w:val="-59"/>
          <w:sz w:val="28"/>
          <w:szCs w:val="28"/>
          <w:highlight w:val="none"/>
        </w:rPr>
        <w:t xml:space="preserve"> </w:t>
      </w:r>
      <w:r>
        <w:rPr>
          <w:rFonts w:ascii="宋体" w:hAnsi="宋体" w:eastAsia="宋体" w:cs="宋体"/>
          <w:b/>
          <w:bCs/>
          <w:color w:val="auto"/>
          <w:spacing w:val="-7"/>
          <w:sz w:val="28"/>
          <w:szCs w:val="28"/>
          <w:highlight w:val="none"/>
        </w:rPr>
        <w:t>变更程序</w:t>
      </w:r>
    </w:p>
    <w:p w14:paraId="19CD9993">
      <w:pPr>
        <w:spacing w:before="279" w:line="222" w:lineRule="auto"/>
        <w:ind w:left="429"/>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15.3.3</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变更指示</w:t>
      </w:r>
    </w:p>
    <w:p w14:paraId="09E3DA21">
      <w:pPr>
        <w:spacing w:before="157" w:line="220" w:lineRule="auto"/>
        <w:ind w:left="42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本项补充第（3）目：</w:t>
      </w:r>
    </w:p>
    <w:p w14:paraId="68C487E8">
      <w:pPr>
        <w:spacing w:before="156" w:line="353" w:lineRule="auto"/>
        <w:ind w:right="54" w:firstLine="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（3）对于因设计变更引起的合同变更，发包人应按照有关规定履行设计变更审批手续后方能进</w:t>
      </w:r>
      <w:r>
        <w:rPr>
          <w:rFonts w:ascii="宋体" w:hAnsi="宋体" w:eastAsia="宋体" w:cs="宋体"/>
          <w:color w:val="auto"/>
          <w:spacing w:val="1"/>
          <w:sz w:val="21"/>
          <w:szCs w:val="21"/>
          <w:highlight w:val="none"/>
        </w:rPr>
        <w:t>行合同变更。重大设计变更文件，由项目法人按原报审程序报原初步设计审批部</w:t>
      </w:r>
      <w:r>
        <w:rPr>
          <w:rFonts w:ascii="宋体" w:hAnsi="宋体" w:eastAsia="宋体" w:cs="宋体"/>
          <w:color w:val="auto"/>
          <w:sz w:val="21"/>
          <w:szCs w:val="21"/>
          <w:highlight w:val="none"/>
        </w:rPr>
        <w:t>门审批；一般设计变更文件由项目法人组织审查确认后实施，并报项目主管部门核备，必要时报项目主管部门审批。</w:t>
      </w:r>
      <w:r>
        <w:rPr>
          <w:rFonts w:ascii="宋体" w:hAnsi="宋体" w:eastAsia="宋体" w:cs="宋体"/>
          <w:color w:val="auto"/>
          <w:spacing w:val="-1"/>
          <w:sz w:val="21"/>
          <w:szCs w:val="21"/>
          <w:highlight w:val="none"/>
        </w:rPr>
        <w:t>未履行设计变更手续的，合同变更无效，相应责任由擅自变更人承担。</w:t>
      </w:r>
    </w:p>
    <w:p w14:paraId="261165BB">
      <w:pPr>
        <w:spacing w:before="298" w:line="219" w:lineRule="auto"/>
        <w:ind w:left="16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15.4</w:t>
      </w:r>
      <w:r>
        <w:rPr>
          <w:rFonts w:ascii="宋体" w:hAnsi="宋体" w:eastAsia="宋体" w:cs="宋体"/>
          <w:color w:val="auto"/>
          <w:spacing w:val="-57"/>
          <w:sz w:val="28"/>
          <w:szCs w:val="28"/>
          <w:highlight w:val="none"/>
        </w:rPr>
        <w:t xml:space="preserve"> </w:t>
      </w:r>
      <w:r>
        <w:rPr>
          <w:rFonts w:ascii="宋体" w:hAnsi="宋体" w:eastAsia="宋体" w:cs="宋体"/>
          <w:b/>
          <w:bCs/>
          <w:color w:val="auto"/>
          <w:spacing w:val="-6"/>
          <w:sz w:val="28"/>
          <w:szCs w:val="28"/>
          <w:highlight w:val="none"/>
        </w:rPr>
        <w:t>变更的估价原则</w:t>
      </w:r>
    </w:p>
    <w:p w14:paraId="72AB7DA4">
      <w:pPr>
        <w:spacing w:before="283" w:line="221" w:lineRule="auto"/>
        <w:ind w:left="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第</w:t>
      </w:r>
      <w:r>
        <w:rPr>
          <w:rFonts w:ascii="宋体" w:hAnsi="宋体" w:eastAsia="宋体" w:cs="宋体"/>
          <w:color w:val="auto"/>
          <w:spacing w:val="-21"/>
          <w:sz w:val="21"/>
          <w:szCs w:val="21"/>
          <w:highlight w:val="none"/>
        </w:rPr>
        <w:t xml:space="preserve"> </w:t>
      </w:r>
      <w:r>
        <w:rPr>
          <w:rFonts w:ascii="宋体" w:hAnsi="宋体" w:eastAsia="宋体" w:cs="宋体"/>
          <w:color w:val="auto"/>
          <w:spacing w:val="-4"/>
          <w:sz w:val="21"/>
          <w:szCs w:val="21"/>
          <w:highlight w:val="none"/>
        </w:rPr>
        <w:t>15.4.3</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项细化为：</w:t>
      </w:r>
    </w:p>
    <w:p w14:paraId="4A80B418">
      <w:pPr>
        <w:spacing w:before="155" w:line="349" w:lineRule="auto"/>
        <w:ind w:left="1" w:right="56" w:firstLine="442"/>
        <w:rPr>
          <w:rFonts w:ascii="宋体" w:hAnsi="宋体" w:eastAsia="宋体" w:cs="宋体"/>
          <w:color w:val="auto"/>
          <w:sz w:val="22"/>
          <w:szCs w:val="22"/>
          <w:highlight w:val="none"/>
        </w:rPr>
      </w:pPr>
      <w:r>
        <w:rPr>
          <w:rFonts w:ascii="宋体" w:hAnsi="宋体" w:eastAsia="宋体" w:cs="宋体"/>
          <w:color w:val="auto"/>
          <w:sz w:val="21"/>
          <w:szCs w:val="21"/>
          <w:highlight w:val="none"/>
        </w:rPr>
        <w:t>已标价工程量清单中无适用或类似子目的单价，应按投标单价费用构成和相应费率进行组价；</w:t>
      </w:r>
      <w:r>
        <w:rPr>
          <w:rFonts w:ascii="宋体" w:hAnsi="宋体" w:eastAsia="宋体" w:cs="宋体"/>
          <w:color w:val="auto"/>
          <w:spacing w:val="2"/>
          <w:sz w:val="21"/>
          <w:szCs w:val="21"/>
          <w:highlight w:val="none"/>
        </w:rPr>
        <w:t xml:space="preserve"> </w:t>
      </w:r>
      <w:r>
        <w:rPr>
          <w:rFonts w:ascii="宋体" w:hAnsi="宋体" w:eastAsia="宋体" w:cs="宋体"/>
          <w:color w:val="auto"/>
          <w:spacing w:val="-1"/>
          <w:sz w:val="21"/>
          <w:szCs w:val="21"/>
          <w:highlight w:val="none"/>
        </w:rPr>
        <w:t>人工、材料、机械台时用量按照</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2"/>
          <w:sz w:val="21"/>
          <w:szCs w:val="21"/>
          <w:highlight w:val="none"/>
        </w:rPr>
        <w:t>定额确定，上述定额不包含的，可参考</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其他行业相关定额确定；人工、材料、设备和机械台时价格采用投标价格，</w:t>
      </w:r>
      <w:r>
        <w:rPr>
          <w:rFonts w:ascii="宋体" w:hAnsi="宋体" w:eastAsia="宋体" w:cs="宋体"/>
          <w:color w:val="auto"/>
          <w:sz w:val="21"/>
          <w:szCs w:val="21"/>
          <w:highlight w:val="none"/>
        </w:rPr>
        <w:t xml:space="preserve">投标价格中不包含的， </w:t>
      </w:r>
      <w:r>
        <w:rPr>
          <w:rFonts w:ascii="宋体" w:hAnsi="宋体" w:eastAsia="宋体" w:cs="宋体"/>
          <w:color w:val="auto"/>
          <w:spacing w:val="-16"/>
          <w:sz w:val="21"/>
          <w:szCs w:val="21"/>
          <w:highlight w:val="none"/>
        </w:rPr>
        <w:t>依据造价信息确定。涉及价格调整的，按照合同条款第</w:t>
      </w:r>
      <w:r>
        <w:rPr>
          <w:rFonts w:ascii="宋体" w:hAnsi="宋体" w:eastAsia="宋体" w:cs="宋体"/>
          <w:color w:val="auto"/>
          <w:spacing w:val="-11"/>
          <w:sz w:val="21"/>
          <w:szCs w:val="21"/>
          <w:highlight w:val="none"/>
        </w:rPr>
        <w:t xml:space="preserve"> </w:t>
      </w:r>
      <w:r>
        <w:rPr>
          <w:rFonts w:ascii="宋体" w:hAnsi="宋体" w:eastAsia="宋体" w:cs="宋体"/>
          <w:color w:val="auto"/>
          <w:spacing w:val="-16"/>
          <w:sz w:val="21"/>
          <w:szCs w:val="21"/>
          <w:highlight w:val="none"/>
        </w:rPr>
        <w:t>16</w:t>
      </w:r>
      <w:r>
        <w:rPr>
          <w:rFonts w:ascii="宋体" w:hAnsi="宋体" w:eastAsia="宋体" w:cs="宋体"/>
          <w:color w:val="auto"/>
          <w:spacing w:val="-45"/>
          <w:sz w:val="21"/>
          <w:szCs w:val="21"/>
          <w:highlight w:val="none"/>
        </w:rPr>
        <w:t xml:space="preserve"> </w:t>
      </w:r>
      <w:r>
        <w:rPr>
          <w:rFonts w:ascii="宋体" w:hAnsi="宋体" w:eastAsia="宋体" w:cs="宋体"/>
          <w:color w:val="auto"/>
          <w:spacing w:val="-16"/>
          <w:sz w:val="21"/>
          <w:szCs w:val="21"/>
          <w:highlight w:val="none"/>
        </w:rPr>
        <w:t>条进行调整</w:t>
      </w:r>
      <w:r>
        <w:rPr>
          <w:rFonts w:ascii="宋体" w:hAnsi="宋体" w:eastAsia="宋体" w:cs="宋体"/>
          <w:b/>
          <w:bCs/>
          <w:i/>
          <w:iCs/>
          <w:color w:val="auto"/>
          <w:spacing w:val="-16"/>
          <w:sz w:val="22"/>
          <w:szCs w:val="22"/>
          <w:highlight w:val="none"/>
        </w:rPr>
        <w:t>（说明：如已约定了价格调整）。</w:t>
      </w:r>
    </w:p>
    <w:p w14:paraId="10EB099F">
      <w:pPr>
        <w:spacing w:before="299"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15.5</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承包人的合理化建议</w:t>
      </w:r>
    </w:p>
    <w:p w14:paraId="31C49BBD">
      <w:pPr>
        <w:spacing w:before="280" w:line="221" w:lineRule="auto"/>
        <w:ind w:left="436"/>
        <w:rPr>
          <w:rFonts w:ascii="宋体" w:hAnsi="宋体" w:eastAsia="宋体" w:cs="宋体"/>
          <w:color w:val="auto"/>
          <w:sz w:val="21"/>
          <w:szCs w:val="21"/>
          <w:highlight w:val="none"/>
        </w:rPr>
      </w:pPr>
      <w:r>
        <w:rPr>
          <w:rFonts w:ascii="宋体" w:hAnsi="宋体" w:eastAsia="宋体" w:cs="宋体"/>
          <w:color w:val="auto"/>
          <w:sz w:val="21"/>
          <w:szCs w:val="21"/>
          <w:highlight w:val="none"/>
        </w:rPr>
        <w:t>15.5.2 对承包人提出合理化建议的奖</w:t>
      </w:r>
      <w:r>
        <w:rPr>
          <w:rFonts w:ascii="宋体" w:hAnsi="宋体" w:eastAsia="宋体" w:cs="宋体"/>
          <w:color w:val="auto"/>
          <w:spacing w:val="-1"/>
          <w:sz w:val="21"/>
          <w:szCs w:val="21"/>
          <w:highlight w:val="none"/>
        </w:rPr>
        <w:t>励：</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472542D3">
      <w:pPr>
        <w:spacing w:line="332" w:lineRule="auto"/>
        <w:rPr>
          <w:rFonts w:ascii="Arial"/>
          <w:color w:val="auto"/>
          <w:sz w:val="21"/>
          <w:highlight w:val="none"/>
        </w:rPr>
      </w:pPr>
    </w:p>
    <w:p w14:paraId="3EF8BEE6">
      <w:pPr>
        <w:spacing w:before="91" w:line="219" w:lineRule="auto"/>
        <w:ind w:left="161"/>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15.8</w:t>
      </w:r>
      <w:r>
        <w:rPr>
          <w:rFonts w:ascii="宋体" w:hAnsi="宋体" w:eastAsia="宋体" w:cs="宋体"/>
          <w:color w:val="auto"/>
          <w:spacing w:val="-47"/>
          <w:sz w:val="28"/>
          <w:szCs w:val="28"/>
          <w:highlight w:val="none"/>
        </w:rPr>
        <w:t xml:space="preserve"> </w:t>
      </w:r>
      <w:r>
        <w:rPr>
          <w:rFonts w:ascii="宋体" w:hAnsi="宋体" w:eastAsia="宋体" w:cs="宋体"/>
          <w:b/>
          <w:bCs/>
          <w:color w:val="auto"/>
          <w:spacing w:val="-9"/>
          <w:sz w:val="28"/>
          <w:szCs w:val="28"/>
          <w:highlight w:val="none"/>
        </w:rPr>
        <w:t>暂估价</w:t>
      </w:r>
    </w:p>
    <w:p w14:paraId="5961AF19">
      <w:pPr>
        <w:spacing w:before="283" w:line="289" w:lineRule="auto"/>
        <w:ind w:left="18" w:right="62" w:firstLine="4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15.8.1（1）发包人和承包人组织招标的暂估价项目</w:t>
      </w:r>
      <w:r>
        <w:rPr>
          <w:rFonts w:ascii="宋体" w:hAnsi="宋体" w:eastAsia="宋体" w:cs="宋体"/>
          <w:color w:val="auto"/>
          <w:spacing w:val="-24"/>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27"/>
          <w:sz w:val="21"/>
          <w:szCs w:val="21"/>
          <w:highlight w:val="none"/>
        </w:rPr>
        <w:t xml:space="preserve"> </w:t>
      </w:r>
      <w:r>
        <w:rPr>
          <w:rFonts w:ascii="宋体" w:hAnsi="宋体" w:eastAsia="宋体" w:cs="宋体"/>
          <w:color w:val="auto"/>
          <w:spacing w:val="-24"/>
          <w:sz w:val="21"/>
          <w:szCs w:val="21"/>
          <w:highlight w:val="none"/>
        </w:rPr>
        <w:t>；</w:t>
      </w:r>
      <w:r>
        <w:rPr>
          <w:rFonts w:ascii="宋体" w:hAnsi="宋体" w:eastAsia="宋体" w:cs="宋体"/>
          <w:color w:val="auto"/>
          <w:spacing w:val="-2"/>
          <w:sz w:val="21"/>
          <w:szCs w:val="21"/>
          <w:highlight w:val="none"/>
        </w:rPr>
        <w:t>发</w:t>
      </w:r>
      <w:r>
        <w:rPr>
          <w:rFonts w:ascii="宋体" w:hAnsi="宋体" w:eastAsia="宋体" w:cs="宋体"/>
          <w:color w:val="auto"/>
          <w:spacing w:val="-3"/>
          <w:sz w:val="21"/>
          <w:szCs w:val="21"/>
          <w:highlight w:val="none"/>
        </w:rPr>
        <w:t>包人组织招标</w:t>
      </w:r>
      <w:r>
        <w:rPr>
          <w:rFonts w:ascii="宋体" w:hAnsi="宋体" w:eastAsia="宋体" w:cs="宋体"/>
          <w:color w:val="auto"/>
          <w:spacing w:val="-1"/>
          <w:sz w:val="21"/>
          <w:szCs w:val="21"/>
          <w:highlight w:val="none"/>
        </w:rPr>
        <w:t>的暂估价项目：</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 xml:space="preserve"> 。</w:t>
      </w:r>
    </w:p>
    <w:p w14:paraId="195B02AE">
      <w:pPr>
        <w:spacing w:before="158" w:line="292" w:lineRule="auto"/>
        <w:ind w:left="5" w:right="75" w:firstLine="422"/>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（2）发包人和承包人以招标方式选择暂估价项目供应商或</w:t>
      </w:r>
      <w:r>
        <w:rPr>
          <w:rFonts w:ascii="宋体" w:hAnsi="宋体" w:eastAsia="宋体" w:cs="宋体"/>
          <w:color w:val="auto"/>
          <w:spacing w:val="13"/>
          <w:sz w:val="21"/>
          <w:szCs w:val="21"/>
          <w:highlight w:val="none"/>
        </w:rPr>
        <w:t>分包人时，双方的权利义务关</w:t>
      </w:r>
      <w:r>
        <w:rPr>
          <w:rFonts w:ascii="宋体" w:hAnsi="宋体" w:eastAsia="宋体" w:cs="宋体"/>
          <w:color w:val="auto"/>
          <w:spacing w:val="-4"/>
          <w:sz w:val="21"/>
          <w:szCs w:val="21"/>
          <w:highlight w:val="none"/>
        </w:rPr>
        <w:t>系：</w:t>
      </w:r>
      <w:r>
        <w:rPr>
          <w:rFonts w:hint="eastAsia" w:ascii="Times New Roman" w:hAnsi="Times New Roman" w:cs="Times New Roman"/>
          <w:color w:val="auto"/>
          <w:highlight w:val="none"/>
          <w:u w:val="single"/>
        </w:rPr>
        <w:t>合同中发包人与承包人另行商</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4"/>
          <w:sz w:val="21"/>
          <w:szCs w:val="21"/>
          <w:highlight w:val="none"/>
        </w:rPr>
        <w:t>。</w:t>
      </w:r>
    </w:p>
    <w:p w14:paraId="11EE4162">
      <w:pPr>
        <w:spacing w:before="169" w:line="224" w:lineRule="auto"/>
        <w:ind w:left="28"/>
        <w:outlineLvl w:val="2"/>
        <w:rPr>
          <w:rFonts w:ascii="宋体" w:hAnsi="宋体" w:eastAsia="宋体" w:cs="宋体"/>
          <w:color w:val="auto"/>
          <w:sz w:val="31"/>
          <w:szCs w:val="31"/>
          <w:highlight w:val="none"/>
        </w:rPr>
      </w:pPr>
      <w:bookmarkStart w:id="328" w:name="bookmark262"/>
      <w:bookmarkEnd w:id="328"/>
      <w:bookmarkStart w:id="329" w:name="_Toc3732"/>
      <w:bookmarkStart w:id="330" w:name="_Toc13163"/>
      <w:r>
        <w:rPr>
          <w:rFonts w:ascii="宋体" w:hAnsi="宋体" w:eastAsia="宋体" w:cs="宋体"/>
          <w:b/>
          <w:bCs/>
          <w:color w:val="auto"/>
          <w:sz w:val="31"/>
          <w:szCs w:val="31"/>
          <w:highlight w:val="none"/>
        </w:rPr>
        <w:t>16.价格调整</w:t>
      </w:r>
      <w:bookmarkEnd w:id="329"/>
      <w:bookmarkEnd w:id="330"/>
    </w:p>
    <w:p w14:paraId="33259259">
      <w:pPr>
        <w:spacing w:before="277" w:line="219"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16.1</w:t>
      </w:r>
      <w:r>
        <w:rPr>
          <w:rFonts w:ascii="宋体" w:hAnsi="宋体" w:eastAsia="宋体" w:cs="宋体"/>
          <w:color w:val="auto"/>
          <w:spacing w:val="-55"/>
          <w:sz w:val="28"/>
          <w:szCs w:val="28"/>
          <w:highlight w:val="none"/>
        </w:rPr>
        <w:t xml:space="preserve"> </w:t>
      </w:r>
      <w:r>
        <w:rPr>
          <w:rFonts w:ascii="宋体" w:hAnsi="宋体" w:eastAsia="宋体" w:cs="宋体"/>
          <w:b/>
          <w:bCs/>
          <w:color w:val="auto"/>
          <w:spacing w:val="-5"/>
          <w:sz w:val="28"/>
          <w:szCs w:val="28"/>
          <w:highlight w:val="none"/>
        </w:rPr>
        <w:t>物价波动引起的价格调整</w:t>
      </w:r>
    </w:p>
    <w:p w14:paraId="3036AFF3">
      <w:pPr>
        <w:wordWrap w:val="0"/>
        <w:spacing w:line="360" w:lineRule="auto"/>
        <w:ind w:firstLine="420"/>
        <w:rPr>
          <w:rFonts w:ascii="Times New Roman" w:hAnsi="Times New Roman" w:cs="Times New Roman"/>
          <w:color w:val="auto"/>
          <w:szCs w:val="21"/>
          <w:highlight w:val="none"/>
        </w:rPr>
      </w:pPr>
      <w:r>
        <w:rPr>
          <w:rFonts w:ascii="宋体" w:hAnsi="宋体" w:eastAsia="宋体" w:cs="宋体"/>
          <w:color w:val="auto"/>
          <w:spacing w:val="-2"/>
          <w:sz w:val="21"/>
          <w:szCs w:val="21"/>
          <w:highlight w:val="none"/>
        </w:rPr>
        <w:t>物价波动引起的价格调整方式：</w:t>
      </w:r>
      <w:r>
        <w:rPr>
          <w:rFonts w:ascii="Times New Roman" w:hAnsi="Times New Roman" w:cs="Times New Roman"/>
          <w:color w:val="auto"/>
          <w:szCs w:val="21"/>
          <w:highlight w:val="none"/>
          <w:u w:val="single"/>
        </w:rPr>
        <w:t>采用造价信息调整价格差额</w:t>
      </w:r>
      <w:r>
        <w:rPr>
          <w:rFonts w:ascii="Times New Roman" w:hAnsi="Times New Roman" w:cs="Times New Roman"/>
          <w:color w:val="auto"/>
          <w:szCs w:val="21"/>
          <w:highlight w:val="none"/>
        </w:rPr>
        <w:t>。</w:t>
      </w:r>
    </w:p>
    <w:p w14:paraId="5EB44D4C">
      <w:pPr>
        <w:wordWrap w:val="0"/>
        <w:spacing w:line="360" w:lineRule="auto"/>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16.1.2 采用造价信息调整价格差额</w:t>
      </w:r>
    </w:p>
    <w:p w14:paraId="353ECE15">
      <w:pPr>
        <w:wordWrap w:val="0"/>
        <w:spacing w:line="360" w:lineRule="auto"/>
        <w:ind w:left="3885" w:leftChars="200" w:hanging="3465" w:hangingChars="1650"/>
        <w:rPr>
          <w:rFonts w:ascii="Times New Roman" w:hAnsi="Times New Roman" w:cs="Times New Roman"/>
          <w:color w:val="auto"/>
          <w:szCs w:val="21"/>
          <w:highlight w:val="none"/>
          <w:u w:val="single"/>
        </w:rPr>
      </w:pPr>
      <w:r>
        <w:rPr>
          <w:rFonts w:ascii="Times New Roman" w:hAnsi="Times New Roman" w:cs="Times New Roman"/>
          <w:color w:val="auto"/>
          <w:szCs w:val="21"/>
          <w:highlight w:val="none"/>
        </w:rPr>
        <w:t>工程造价信息的来源：</w:t>
      </w:r>
      <w:r>
        <w:rPr>
          <w:rFonts w:hint="eastAsia" w:ascii="Times New Roman" w:hAnsi="Times New Roman" w:cs="Times New Roman"/>
          <w:color w:val="auto"/>
          <w:szCs w:val="21"/>
          <w:highlight w:val="none"/>
          <w:u w:val="single"/>
        </w:rPr>
        <w:t>当地造价管理机构发布的造价信息</w:t>
      </w:r>
      <w:r>
        <w:rPr>
          <w:rFonts w:ascii="Times New Roman" w:hAnsi="Times New Roman" w:cs="Times New Roman"/>
          <w:color w:val="auto"/>
          <w:szCs w:val="21"/>
          <w:highlight w:val="none"/>
        </w:rPr>
        <w:t>。</w:t>
      </w:r>
    </w:p>
    <w:p w14:paraId="54FF8209">
      <w:pPr>
        <w:wordWrap w:val="0"/>
        <w:spacing w:line="360" w:lineRule="auto"/>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价格调整的项目：本工程仅对</w:t>
      </w:r>
      <w:r>
        <w:rPr>
          <w:rFonts w:hint="eastAsia" w:ascii="宋体" w:hAnsi="宋体" w:cs="宋体"/>
          <w:color w:val="auto"/>
          <w:sz w:val="22"/>
          <w:szCs w:val="22"/>
          <w:highlight w:val="none"/>
          <w:u w:val="single"/>
        </w:rPr>
        <w:t>柴油、</w:t>
      </w:r>
      <w:r>
        <w:rPr>
          <w:rFonts w:hint="eastAsia" w:ascii="宋体" w:hAnsi="宋体" w:eastAsia="宋体" w:cs="宋体"/>
          <w:color w:val="auto"/>
          <w:sz w:val="22"/>
          <w:szCs w:val="22"/>
          <w:highlight w:val="none"/>
          <w:u w:val="single"/>
          <w:lang w:val="en-US" w:eastAsia="zh-CN"/>
        </w:rPr>
        <w:t>预拌混凝土C20 GB/T14902(非泵送）、预拌混凝土C25 GB/T14902(非泵送）、预拌混凝土C30 GB/T14902(非泵送）</w:t>
      </w:r>
      <w:r>
        <w:rPr>
          <w:rFonts w:ascii="Times New Roman" w:hAnsi="Times New Roman" w:cs="Times New Roman"/>
          <w:color w:val="auto"/>
          <w:szCs w:val="21"/>
          <w:highlight w:val="none"/>
        </w:rPr>
        <w:t>进行调整，其余材料、人工、设备和机械台班价格均不做调整。</w:t>
      </w:r>
    </w:p>
    <w:p w14:paraId="558D93C8">
      <w:pPr>
        <w:wordWrap w:val="0"/>
        <w:spacing w:line="360" w:lineRule="auto"/>
        <w:ind w:firstLine="420"/>
        <w:rPr>
          <w:rFonts w:ascii="Times New Roman" w:hAnsi="Times New Roman" w:cs="Times New Roman"/>
          <w:color w:val="auto"/>
          <w:szCs w:val="21"/>
          <w:highlight w:val="none"/>
        </w:rPr>
      </w:pPr>
      <w:r>
        <w:rPr>
          <w:rFonts w:ascii="Times New Roman" w:hAnsi="Times New Roman" w:cs="Times New Roman"/>
          <w:color w:val="auto"/>
          <w:highlight w:val="none"/>
        </w:rPr>
        <w:t>材料价格</w:t>
      </w:r>
      <w:r>
        <w:rPr>
          <w:rFonts w:ascii="Times New Roman" w:hAnsi="Times New Roman" w:cs="Times New Roman"/>
          <w:color w:val="auto"/>
          <w:szCs w:val="21"/>
          <w:highlight w:val="none"/>
        </w:rPr>
        <w:t>调整的具体方法为：</w:t>
      </w:r>
    </w:p>
    <w:p w14:paraId="3FEC728C">
      <w:pPr>
        <w:wordWrap w:val="0"/>
        <w:spacing w:line="360" w:lineRule="auto"/>
        <w:jc w:val="center"/>
        <w:rPr>
          <w:rFonts w:ascii="Times New Roman" w:hAnsi="Times New Roman" w:cs="Times New Roman"/>
          <w:color w:val="auto"/>
          <w:szCs w:val="21"/>
          <w:highlight w:val="none"/>
        </w:rPr>
      </w:pPr>
      <w:r>
        <w:rPr>
          <w:rFonts w:ascii="Cambria Math" w:hAnsi="Cambria Math" w:cs="Cambria Math"/>
          <w:color w:val="auto"/>
          <w:szCs w:val="21"/>
          <w:highlight w:val="none"/>
        </w:rPr>
        <w:t>△</w:t>
      </w:r>
      <w:r>
        <w:rPr>
          <w:rFonts w:ascii="Times New Roman" w:hAnsi="Times New Roman" w:cs="Times New Roman"/>
          <w:color w:val="auto"/>
          <w:szCs w:val="21"/>
          <w:highlight w:val="none"/>
        </w:rPr>
        <w:t>P = P</w:t>
      </w:r>
      <w:r>
        <w:rPr>
          <w:rFonts w:ascii="Times New Roman" w:hAnsi="Times New Roman" w:cs="Times New Roman"/>
          <w:color w:val="auto"/>
          <w:szCs w:val="21"/>
          <w:highlight w:val="none"/>
          <w:vertAlign w:val="subscript"/>
        </w:rPr>
        <w:t>0</w:t>
      </w:r>
      <w:r>
        <w:rPr>
          <w:rFonts w:ascii="Times New Roman" w:hAnsi="Times New Roman" w:cs="Times New Roman"/>
          <w:color w:val="auto"/>
          <w:szCs w:val="21"/>
          <w:highlight w:val="none"/>
        </w:rPr>
        <w:t>-Max（P</w:t>
      </w:r>
      <w:r>
        <w:rPr>
          <w:rFonts w:ascii="Times New Roman" w:hAnsi="Times New Roman" w:cs="Times New Roman"/>
          <w:color w:val="auto"/>
          <w:szCs w:val="21"/>
          <w:highlight w:val="none"/>
          <w:vertAlign w:val="subscript"/>
        </w:rPr>
        <w:t>1</w:t>
      </w:r>
      <w:r>
        <w:rPr>
          <w:rFonts w:ascii="Times New Roman" w:hAnsi="Times New Roman" w:cs="Times New Roman"/>
          <w:color w:val="auto"/>
          <w:szCs w:val="21"/>
          <w:highlight w:val="none"/>
        </w:rPr>
        <w:t>，P</w:t>
      </w:r>
      <w:r>
        <w:rPr>
          <w:rFonts w:ascii="Times New Roman" w:hAnsi="Times New Roman" w:cs="Times New Roman"/>
          <w:color w:val="auto"/>
          <w:szCs w:val="21"/>
          <w:highlight w:val="none"/>
          <w:vertAlign w:val="subscript"/>
        </w:rPr>
        <w:t>2</w:t>
      </w:r>
      <w:r>
        <w:rPr>
          <w:rFonts w:ascii="Times New Roman" w:hAnsi="Times New Roman" w:cs="Times New Roman"/>
          <w:color w:val="auto"/>
          <w:szCs w:val="21"/>
          <w:highlight w:val="none"/>
        </w:rPr>
        <w:t>）</w:t>
      </w:r>
      <w:r>
        <w:rPr>
          <w:rFonts w:hint="eastAsia" w:ascii="宋体" w:hAnsi="宋体"/>
          <w:color w:val="auto"/>
          <w:szCs w:val="21"/>
          <w:highlight w:val="none"/>
        </w:rPr>
        <w:t>*</w:t>
      </w:r>
      <w:r>
        <w:rPr>
          <w:rFonts w:ascii="Times New Roman" w:hAnsi="Times New Roman" w:cs="Times New Roman"/>
          <w:color w:val="auto"/>
          <w:szCs w:val="21"/>
          <w:highlight w:val="none"/>
        </w:rPr>
        <w:t>（1</w:t>
      </w:r>
      <w:r>
        <w:rPr>
          <w:rFonts w:ascii="Times New Roman" w:hAnsi="Times New Roman" w:cs="Times New Roman"/>
          <w:b/>
          <w:bCs/>
          <w:iCs/>
          <w:color w:val="auto"/>
          <w:highlight w:val="none"/>
        </w:rPr>
        <w:t>±</w:t>
      </w:r>
      <w:r>
        <w:rPr>
          <w:rFonts w:ascii="Times New Roman" w:hAnsi="Times New Roman" w:cs="Times New Roman"/>
          <w:color w:val="auto"/>
          <w:highlight w:val="none"/>
        </w:rPr>
        <w:t xml:space="preserve"> r%</w:t>
      </w:r>
      <w:r>
        <w:rPr>
          <w:rFonts w:ascii="Times New Roman" w:hAnsi="Times New Roman" w:cs="Times New Roman"/>
          <w:color w:val="auto"/>
          <w:szCs w:val="21"/>
          <w:highlight w:val="none"/>
        </w:rPr>
        <w:t>）</w:t>
      </w:r>
    </w:p>
    <w:p w14:paraId="72092B7B">
      <w:pPr>
        <w:wordWrap w:val="0"/>
        <w:spacing w:line="360" w:lineRule="auto"/>
        <w:ind w:left="-6" w:firstLine="468"/>
        <w:rPr>
          <w:rFonts w:ascii="Times New Roman" w:hAnsi="Times New Roman" w:cs="Times New Roman"/>
          <w:color w:val="auto"/>
          <w:szCs w:val="21"/>
          <w:highlight w:val="none"/>
        </w:rPr>
      </w:pPr>
      <w:r>
        <w:rPr>
          <w:rFonts w:ascii="Cambria Math" w:hAnsi="Cambria Math" w:cs="Cambria Math"/>
          <w:color w:val="auto"/>
          <w:szCs w:val="21"/>
          <w:highlight w:val="none"/>
        </w:rPr>
        <w:t>△</w:t>
      </w:r>
      <w:r>
        <w:rPr>
          <w:rFonts w:ascii="Times New Roman" w:hAnsi="Times New Roman" w:cs="Times New Roman"/>
          <w:color w:val="auto"/>
          <w:szCs w:val="21"/>
          <w:highlight w:val="none"/>
        </w:rPr>
        <w:t>P：</w:t>
      </w:r>
      <w:r>
        <w:rPr>
          <w:rFonts w:ascii="Times New Roman" w:hAnsi="Times New Roman" w:cs="Times New Roman"/>
          <w:color w:val="auto"/>
          <w:highlight w:val="none"/>
        </w:rPr>
        <w:t>材料价格</w:t>
      </w:r>
      <w:r>
        <w:rPr>
          <w:rFonts w:ascii="Times New Roman" w:hAnsi="Times New Roman" w:cs="Times New Roman"/>
          <w:color w:val="auto"/>
          <w:szCs w:val="21"/>
          <w:highlight w:val="none"/>
        </w:rPr>
        <w:t>调差额；        P</w:t>
      </w:r>
      <w:r>
        <w:rPr>
          <w:rFonts w:ascii="Times New Roman" w:hAnsi="Times New Roman" w:cs="Times New Roman"/>
          <w:color w:val="auto"/>
          <w:szCs w:val="21"/>
          <w:highlight w:val="none"/>
          <w:vertAlign w:val="subscript"/>
        </w:rPr>
        <w:t>0</w:t>
      </w:r>
      <w:r>
        <w:rPr>
          <w:rFonts w:ascii="Times New Roman" w:hAnsi="Times New Roman" w:cs="Times New Roman"/>
          <w:color w:val="auto"/>
          <w:szCs w:val="21"/>
          <w:highlight w:val="none"/>
        </w:rPr>
        <w:t xml:space="preserve"> ：施工当月上述指定造价信息来源对应的信息价；</w:t>
      </w:r>
    </w:p>
    <w:p w14:paraId="6B36CC4B">
      <w:pPr>
        <w:wordWrap w:val="0"/>
        <w:spacing w:line="360" w:lineRule="auto"/>
        <w:ind w:firstLine="468"/>
        <w:rPr>
          <w:rFonts w:ascii="Times New Roman" w:hAnsi="Times New Roman" w:cs="Times New Roman"/>
          <w:color w:val="auto"/>
          <w:highlight w:val="none"/>
        </w:rPr>
      </w:pPr>
      <w:r>
        <w:rPr>
          <w:rFonts w:ascii="Times New Roman" w:hAnsi="Times New Roman" w:cs="Times New Roman"/>
          <w:color w:val="auto"/>
          <w:szCs w:val="21"/>
          <w:highlight w:val="none"/>
        </w:rPr>
        <w:t>P</w:t>
      </w:r>
      <w:r>
        <w:rPr>
          <w:rFonts w:ascii="Times New Roman" w:hAnsi="Times New Roman" w:cs="Times New Roman"/>
          <w:color w:val="auto"/>
          <w:szCs w:val="21"/>
          <w:highlight w:val="none"/>
          <w:vertAlign w:val="subscript"/>
        </w:rPr>
        <w:t>1</w:t>
      </w:r>
      <w:r>
        <w:rPr>
          <w:rFonts w:ascii="Times New Roman" w:hAnsi="Times New Roman" w:cs="Times New Roman"/>
          <w:color w:val="auto"/>
          <w:szCs w:val="21"/>
          <w:highlight w:val="none"/>
        </w:rPr>
        <w:t>：投标人对应投标材料价格； P</w:t>
      </w:r>
      <w:r>
        <w:rPr>
          <w:rFonts w:ascii="Times New Roman" w:hAnsi="Times New Roman" w:cs="Times New Roman"/>
          <w:color w:val="auto"/>
          <w:szCs w:val="21"/>
          <w:highlight w:val="none"/>
          <w:vertAlign w:val="subscript"/>
        </w:rPr>
        <w:t>2</w:t>
      </w:r>
      <w:r>
        <w:rPr>
          <w:rFonts w:ascii="Times New Roman" w:hAnsi="Times New Roman" w:cs="Times New Roman"/>
          <w:color w:val="auto"/>
          <w:szCs w:val="21"/>
          <w:highlight w:val="none"/>
        </w:rPr>
        <w:t>：</w:t>
      </w:r>
      <w:r>
        <w:rPr>
          <w:rFonts w:ascii="Times New Roman" w:hAnsi="Times New Roman" w:cs="Times New Roman"/>
          <w:color w:val="auto"/>
          <w:highlight w:val="none"/>
        </w:rPr>
        <w:t>投标截止日前上述指定来源对应的最新信息价；</w:t>
      </w:r>
    </w:p>
    <w:p w14:paraId="766A4701">
      <w:pPr>
        <w:wordWrap w:val="0"/>
        <w:spacing w:line="360" w:lineRule="auto"/>
        <w:ind w:firstLine="468"/>
        <w:rPr>
          <w:rFonts w:ascii="Times New Roman" w:hAnsi="Times New Roman" w:cs="Times New Roman"/>
          <w:color w:val="auto"/>
          <w:highlight w:val="none"/>
        </w:rPr>
      </w:pPr>
      <w:r>
        <w:rPr>
          <w:rFonts w:ascii="Times New Roman" w:hAnsi="Times New Roman" w:cs="Times New Roman"/>
          <w:bCs/>
          <w:color w:val="auto"/>
          <w:highlight w:val="none"/>
        </w:rPr>
        <w:t xml:space="preserve">r </w:t>
      </w:r>
      <w:r>
        <w:rPr>
          <w:rFonts w:ascii="Times New Roman" w:hAnsi="Times New Roman" w:cs="Times New Roman"/>
          <w:color w:val="auto"/>
          <w:szCs w:val="21"/>
          <w:highlight w:val="none"/>
        </w:rPr>
        <w:t>：</w:t>
      </w:r>
      <w:r>
        <w:rPr>
          <w:rFonts w:ascii="Times New Roman" w:hAnsi="Times New Roman" w:cs="Times New Roman"/>
          <w:color w:val="auto"/>
          <w:highlight w:val="none"/>
        </w:rPr>
        <w:t>风险幅度系数，</w:t>
      </w:r>
      <w:r>
        <w:rPr>
          <w:rFonts w:ascii="Times New Roman" w:hAnsi="Times New Roman" w:cs="Times New Roman"/>
          <w:bCs/>
          <w:color w:val="auto"/>
          <w:highlight w:val="none"/>
        </w:rPr>
        <w:t>r＝</w:t>
      </w:r>
      <w:r>
        <w:rPr>
          <w:rFonts w:ascii="Times New Roman" w:hAnsi="Times New Roman" w:cs="Times New Roman"/>
          <w:bCs/>
          <w:color w:val="auto"/>
          <w:highlight w:val="none"/>
          <w:u w:val="single"/>
        </w:rPr>
        <w:t xml:space="preserve">  </w:t>
      </w:r>
      <w:r>
        <w:rPr>
          <w:rFonts w:hint="eastAsia" w:ascii="Times New Roman" w:hAnsi="Times New Roman" w:cs="Times New Roman"/>
          <w:bCs/>
          <w:color w:val="auto"/>
          <w:highlight w:val="none"/>
          <w:u w:val="single"/>
        </w:rPr>
        <w:t>5%</w:t>
      </w:r>
      <w:r>
        <w:rPr>
          <w:rFonts w:ascii="Times New Roman" w:hAnsi="Times New Roman" w:cs="Times New Roman"/>
          <w:bCs/>
          <w:color w:val="auto"/>
          <w:highlight w:val="none"/>
          <w:u w:val="single"/>
        </w:rPr>
        <w:t xml:space="preserve">   </w:t>
      </w:r>
      <w:r>
        <w:rPr>
          <w:rFonts w:ascii="Times New Roman" w:hAnsi="Times New Roman" w:cs="Times New Roman"/>
          <w:b/>
          <w:bCs/>
          <w:i/>
          <w:color w:val="auto"/>
          <w:highlight w:val="none"/>
        </w:rPr>
        <w:t>（</w:t>
      </w:r>
      <w:r>
        <w:rPr>
          <w:rFonts w:hint="eastAsia" w:ascii="宋体" w:hAnsi="宋体" w:cs="宋体"/>
          <w:b/>
          <w:bCs/>
          <w:i/>
          <w:color w:val="auto"/>
          <w:sz w:val="22"/>
          <w:szCs w:val="22"/>
          <w:highlight w:val="none"/>
        </w:rPr>
        <w:t>说明：主管部门有规定的按规定执行</w:t>
      </w:r>
      <w:r>
        <w:rPr>
          <w:rFonts w:ascii="Times New Roman" w:hAnsi="Times New Roman" w:cs="Times New Roman"/>
          <w:b/>
          <w:bCs/>
          <w:i/>
          <w:color w:val="auto"/>
          <w:highlight w:val="none"/>
        </w:rPr>
        <w:t>），</w:t>
      </w:r>
      <w:r>
        <w:rPr>
          <w:rFonts w:ascii="Times New Roman" w:hAnsi="Times New Roman" w:cs="Times New Roman"/>
          <w:iCs/>
          <w:color w:val="auto"/>
          <w:highlight w:val="none"/>
        </w:rPr>
        <w:t>物价波动</w:t>
      </w:r>
      <w:r>
        <w:rPr>
          <w:rFonts w:ascii="Times New Roman" w:hAnsi="Times New Roman" w:cs="Times New Roman"/>
          <w:color w:val="auto"/>
          <w:highlight w:val="none"/>
        </w:rPr>
        <w:t>在风险幅度范围（-r%,+r%）以内不进行价格调整；价格调增时取</w:t>
      </w:r>
      <w:r>
        <w:rPr>
          <w:rFonts w:hint="eastAsia" w:ascii="Times New Roman" w:hAnsi="Times New Roman" w:cs="Times New Roman"/>
          <w:color w:val="auto"/>
          <w:highlight w:val="none"/>
        </w:rPr>
        <w:t>“</w:t>
      </w:r>
      <w:r>
        <w:rPr>
          <w:rFonts w:ascii="Times New Roman" w:hAnsi="Times New Roman" w:cs="Times New Roman"/>
          <w:color w:val="auto"/>
          <w:highlight w:val="none"/>
        </w:rPr>
        <w:t>+</w:t>
      </w:r>
      <w:r>
        <w:rPr>
          <w:rFonts w:hint="eastAsia" w:ascii="Times New Roman" w:hAnsi="Times New Roman" w:cs="Times New Roman"/>
          <w:color w:val="auto"/>
          <w:highlight w:val="none"/>
        </w:rPr>
        <w:t>”</w:t>
      </w:r>
      <w:r>
        <w:rPr>
          <w:rFonts w:ascii="Times New Roman" w:hAnsi="Times New Roman" w:cs="Times New Roman"/>
          <w:color w:val="auto"/>
          <w:highlight w:val="none"/>
        </w:rPr>
        <w:t>号，价格调减时取</w:t>
      </w:r>
      <w:r>
        <w:rPr>
          <w:rFonts w:ascii="宋体" w:hAnsi="宋体" w:cs="Times New Roman"/>
          <w:color w:val="auto"/>
          <w:highlight w:val="none"/>
        </w:rPr>
        <w:t>“—”</w:t>
      </w:r>
      <w:r>
        <w:rPr>
          <w:rFonts w:ascii="Times New Roman" w:hAnsi="Times New Roman" w:cs="Times New Roman"/>
          <w:color w:val="auto"/>
          <w:highlight w:val="none"/>
        </w:rPr>
        <w:t>号。</w:t>
      </w:r>
    </w:p>
    <w:p w14:paraId="4B6BD7EE">
      <w:pPr>
        <w:spacing w:before="155" w:line="349" w:lineRule="auto"/>
        <w:ind w:left="1" w:right="56" w:firstLine="44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由于承包人原因未在约定的工期内完工的，则对原约定完工日期后继续施工的工程，在使用上述价格调整公式时，P0 &gt;Max（P1，P2）不予调整；由于发包人原因未在约定的工期内完工的，则对原约定完工日期后继续施工的工程，在使用上述价格调整公式时，P0&lt;Max（P1，P2）不予调整。</w:t>
      </w:r>
    </w:p>
    <w:p w14:paraId="12B59314">
      <w:pPr>
        <w:spacing w:before="283" w:line="347" w:lineRule="auto"/>
        <w:ind w:left="420" w:right="4431"/>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本条补充第</w:t>
      </w:r>
      <w:r>
        <w:rPr>
          <w:rFonts w:ascii="宋体" w:hAnsi="宋体" w:eastAsia="宋体" w:cs="宋体"/>
          <w:color w:val="auto"/>
          <w:spacing w:val="-25"/>
          <w:sz w:val="21"/>
          <w:szCs w:val="21"/>
          <w:highlight w:val="none"/>
        </w:rPr>
        <w:t xml:space="preserve"> </w:t>
      </w:r>
      <w:r>
        <w:rPr>
          <w:rFonts w:ascii="宋体" w:hAnsi="宋体" w:eastAsia="宋体" w:cs="宋体"/>
          <w:color w:val="auto"/>
          <w:spacing w:val="-6"/>
          <w:sz w:val="21"/>
          <w:szCs w:val="21"/>
          <w:highlight w:val="none"/>
        </w:rPr>
        <w:t>16.3</w:t>
      </w:r>
      <w:r>
        <w:rPr>
          <w:rFonts w:ascii="宋体" w:hAnsi="宋体" w:eastAsia="宋体" w:cs="宋体"/>
          <w:color w:val="auto"/>
          <w:spacing w:val="-43"/>
          <w:sz w:val="21"/>
          <w:szCs w:val="21"/>
          <w:highlight w:val="none"/>
        </w:rPr>
        <w:t xml:space="preserve"> </w:t>
      </w:r>
      <w:r>
        <w:rPr>
          <w:rFonts w:ascii="宋体" w:hAnsi="宋体" w:eastAsia="宋体" w:cs="宋体"/>
          <w:color w:val="auto"/>
          <w:spacing w:val="-6"/>
          <w:sz w:val="21"/>
          <w:szCs w:val="21"/>
          <w:highlight w:val="none"/>
        </w:rPr>
        <w:t>款：</w:t>
      </w:r>
    </w:p>
    <w:p w14:paraId="653F5AA6">
      <w:pPr>
        <w:spacing w:before="297" w:line="219"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16.3</w:t>
      </w:r>
      <w:r>
        <w:rPr>
          <w:rFonts w:ascii="宋体" w:hAnsi="宋体" w:eastAsia="宋体" w:cs="宋体"/>
          <w:color w:val="auto"/>
          <w:spacing w:val="-53"/>
          <w:sz w:val="28"/>
          <w:szCs w:val="28"/>
          <w:highlight w:val="none"/>
        </w:rPr>
        <w:t xml:space="preserve"> </w:t>
      </w:r>
      <w:r>
        <w:rPr>
          <w:rFonts w:ascii="宋体" w:hAnsi="宋体" w:eastAsia="宋体" w:cs="宋体"/>
          <w:b/>
          <w:bCs/>
          <w:color w:val="auto"/>
          <w:spacing w:val="-5"/>
          <w:sz w:val="28"/>
          <w:szCs w:val="28"/>
          <w:highlight w:val="none"/>
        </w:rPr>
        <w:t>政策性调整引起的价格调整</w:t>
      </w:r>
    </w:p>
    <w:p w14:paraId="4850E433">
      <w:pPr>
        <w:spacing w:before="282" w:line="345" w:lineRule="auto"/>
        <w:ind w:firstLine="4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16.3.1 在合同实施期间，有关价格若遇国家政策性调整，其价格将根据国家政策性变化情况，</w:t>
      </w:r>
      <w:r>
        <w:rPr>
          <w:rFonts w:ascii="宋体" w:hAnsi="宋体" w:eastAsia="宋体" w:cs="宋体"/>
          <w:color w:val="auto"/>
          <w:spacing w:val="14"/>
          <w:sz w:val="21"/>
          <w:szCs w:val="21"/>
          <w:highlight w:val="none"/>
        </w:rPr>
        <w:t xml:space="preserve"> </w:t>
      </w:r>
      <w:r>
        <w:rPr>
          <w:rFonts w:ascii="宋体" w:hAnsi="宋体" w:eastAsia="宋体" w:cs="宋体"/>
          <w:color w:val="auto"/>
          <w:sz w:val="21"/>
          <w:szCs w:val="21"/>
          <w:highlight w:val="none"/>
        </w:rPr>
        <w:t>采用以下调整方式：</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076176CA">
      <w:pPr>
        <w:spacing w:before="63" w:line="225" w:lineRule="auto"/>
        <w:ind w:left="37"/>
        <w:outlineLvl w:val="2"/>
        <w:rPr>
          <w:rFonts w:ascii="宋体" w:hAnsi="宋体" w:eastAsia="宋体" w:cs="宋体"/>
          <w:color w:val="auto"/>
          <w:sz w:val="31"/>
          <w:szCs w:val="31"/>
          <w:highlight w:val="none"/>
        </w:rPr>
      </w:pPr>
      <w:bookmarkStart w:id="331" w:name="bookmark263"/>
      <w:bookmarkEnd w:id="331"/>
      <w:bookmarkStart w:id="332" w:name="_Toc24976"/>
      <w:bookmarkStart w:id="333" w:name="_Toc3251"/>
      <w:r>
        <w:rPr>
          <w:rFonts w:ascii="宋体" w:hAnsi="宋体" w:eastAsia="宋体" w:cs="宋体"/>
          <w:b/>
          <w:bCs/>
          <w:color w:val="auto"/>
          <w:spacing w:val="1"/>
          <w:sz w:val="31"/>
          <w:szCs w:val="31"/>
          <w:highlight w:val="none"/>
        </w:rPr>
        <w:t>17.计量与支付</w:t>
      </w:r>
      <w:bookmarkEnd w:id="332"/>
      <w:bookmarkEnd w:id="333"/>
    </w:p>
    <w:p w14:paraId="7B59B1FF">
      <w:pPr>
        <w:spacing w:before="274" w:line="220" w:lineRule="auto"/>
        <w:ind w:left="170"/>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17.2</w:t>
      </w:r>
      <w:r>
        <w:rPr>
          <w:rFonts w:ascii="宋体" w:hAnsi="宋体" w:eastAsia="宋体" w:cs="宋体"/>
          <w:color w:val="auto"/>
          <w:spacing w:val="-56"/>
          <w:sz w:val="28"/>
          <w:szCs w:val="28"/>
          <w:highlight w:val="none"/>
        </w:rPr>
        <w:t xml:space="preserve"> </w:t>
      </w:r>
      <w:r>
        <w:rPr>
          <w:rFonts w:ascii="宋体" w:hAnsi="宋体" w:eastAsia="宋体" w:cs="宋体"/>
          <w:b/>
          <w:bCs/>
          <w:color w:val="auto"/>
          <w:spacing w:val="-8"/>
          <w:sz w:val="28"/>
          <w:szCs w:val="28"/>
          <w:highlight w:val="none"/>
        </w:rPr>
        <w:t>预付款</w:t>
      </w:r>
    </w:p>
    <w:p w14:paraId="12314B7A">
      <w:pPr>
        <w:spacing w:before="279" w:line="221" w:lineRule="auto"/>
        <w:ind w:left="447"/>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17.2.1</w:t>
      </w:r>
      <w:r>
        <w:rPr>
          <w:rFonts w:ascii="宋体" w:hAnsi="宋体" w:eastAsia="宋体" w:cs="宋体"/>
          <w:color w:val="auto"/>
          <w:spacing w:val="-41"/>
          <w:sz w:val="21"/>
          <w:szCs w:val="21"/>
          <w:highlight w:val="none"/>
        </w:rPr>
        <w:t xml:space="preserve"> </w:t>
      </w:r>
      <w:r>
        <w:rPr>
          <w:rFonts w:ascii="宋体" w:hAnsi="宋体" w:eastAsia="宋体" w:cs="宋体"/>
          <w:b/>
          <w:bCs/>
          <w:color w:val="auto"/>
          <w:spacing w:val="-5"/>
          <w:sz w:val="21"/>
          <w:szCs w:val="21"/>
          <w:highlight w:val="none"/>
        </w:rPr>
        <w:t>预付款</w:t>
      </w:r>
    </w:p>
    <w:p w14:paraId="48EDBCA1">
      <w:pPr>
        <w:spacing w:before="159" w:line="221" w:lineRule="auto"/>
        <w:ind w:left="431"/>
        <w:rPr>
          <w:rFonts w:ascii="宋体" w:hAnsi="宋体" w:eastAsia="宋体" w:cs="宋体"/>
          <w:color w:val="auto"/>
          <w:spacing w:val="-1"/>
          <w:sz w:val="21"/>
          <w:szCs w:val="21"/>
          <w:highlight w:val="none"/>
        </w:rPr>
      </w:pPr>
      <w:r>
        <w:rPr>
          <w:rFonts w:ascii="宋体" w:hAnsi="宋体" w:eastAsia="宋体" w:cs="宋体"/>
          <w:color w:val="auto"/>
          <w:sz w:val="21"/>
          <w:szCs w:val="21"/>
          <w:highlight w:val="none"/>
        </w:rPr>
        <w:t>预付款支付比例或金额：</w:t>
      </w:r>
      <w:r>
        <w:rPr>
          <w:rFonts w:ascii="宋体" w:hAnsi="宋体" w:eastAsia="宋体" w:cs="宋体"/>
          <w:color w:val="auto"/>
          <w:sz w:val="21"/>
          <w:szCs w:val="21"/>
          <w:highlight w:val="none"/>
          <w:u w:val="single"/>
        </w:rPr>
        <w:t>签约合同价的</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0</w:t>
      </w:r>
      <w:r>
        <w:rPr>
          <w:rFonts w:ascii="宋体" w:hAnsi="宋体" w:eastAsia="宋体" w:cs="宋体"/>
          <w:color w:val="auto"/>
          <w:sz w:val="21"/>
          <w:szCs w:val="21"/>
          <w:highlight w:val="none"/>
          <w:u w:val="single"/>
        </w:rPr>
        <w:t>%，分</w:t>
      </w:r>
      <w:r>
        <w:rPr>
          <w:rFonts w:hint="eastAsia" w:ascii="宋体" w:hAnsi="宋体" w:eastAsia="宋体" w:cs="宋体"/>
          <w:color w:val="auto"/>
          <w:sz w:val="21"/>
          <w:szCs w:val="21"/>
          <w:highlight w:val="none"/>
          <w:u w:val="single"/>
        </w:rPr>
        <w:t>1</w:t>
      </w:r>
      <w:r>
        <w:rPr>
          <w:rFonts w:ascii="宋体" w:hAnsi="宋体" w:eastAsia="宋体" w:cs="宋体"/>
          <w:color w:val="auto"/>
          <w:sz w:val="21"/>
          <w:szCs w:val="21"/>
          <w:highlight w:val="none"/>
          <w:u w:val="single"/>
        </w:rPr>
        <w:t>次支付给承包人</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32209D0E">
      <w:pPr>
        <w:spacing w:before="159" w:line="221" w:lineRule="auto"/>
        <w:ind w:left="431"/>
        <w:rPr>
          <w:rFonts w:ascii="宋体" w:hAnsi="宋体" w:eastAsia="宋体" w:cs="宋体"/>
          <w:color w:val="auto"/>
          <w:sz w:val="21"/>
          <w:szCs w:val="21"/>
          <w:highlight w:val="none"/>
        </w:rPr>
      </w:pPr>
      <w:r>
        <w:rPr>
          <w:rFonts w:ascii="宋体" w:hAnsi="宋体" w:eastAsia="宋体" w:cs="宋体"/>
          <w:color w:val="auto"/>
          <w:sz w:val="21"/>
          <w:szCs w:val="21"/>
          <w:highlight w:val="none"/>
        </w:rPr>
        <w:t>预付款支付期限：</w:t>
      </w:r>
      <w:r>
        <w:rPr>
          <w:rFonts w:ascii="宋体" w:hAnsi="宋体" w:eastAsia="宋体" w:cs="宋体"/>
          <w:color w:val="auto"/>
          <w:sz w:val="21"/>
          <w:szCs w:val="21"/>
          <w:highlight w:val="none"/>
          <w:u w:val="single"/>
        </w:rPr>
        <w:t>在合同协议书签订后，由承包人向发包人提交了发包人认可的工程预付款担保，并经监理人出具付款证书报送发包人批准后14天内予以支付</w:t>
      </w:r>
      <w:r>
        <w:rPr>
          <w:rFonts w:ascii="宋体" w:hAnsi="宋体" w:eastAsia="宋体" w:cs="宋体"/>
          <w:color w:val="auto"/>
          <w:spacing w:val="-1"/>
          <w:sz w:val="21"/>
          <w:szCs w:val="21"/>
          <w:highlight w:val="none"/>
        </w:rPr>
        <w:t>。</w:t>
      </w:r>
    </w:p>
    <w:p w14:paraId="6AB536C0">
      <w:pPr>
        <w:spacing w:before="156" w:line="221" w:lineRule="auto"/>
        <w:ind w:left="43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17.2.2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预付款保函</w:t>
      </w:r>
    </w:p>
    <w:p w14:paraId="28D36FAF">
      <w:pPr>
        <w:spacing w:before="157" w:line="347" w:lineRule="auto"/>
        <w:ind w:left="9" w:firstLine="42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预付款的担保约定为：</w:t>
      </w:r>
      <w:r>
        <w:rPr>
          <w:rFonts w:ascii="宋体" w:hAnsi="宋体" w:eastAsia="宋体" w:cs="宋体"/>
          <w:color w:val="auto"/>
          <w:spacing w:val="-5"/>
          <w:sz w:val="21"/>
          <w:szCs w:val="21"/>
          <w:highlight w:val="none"/>
          <w:u w:val="single" w:color="auto"/>
        </w:rPr>
        <w:t>承包人无须向发包人提交预付款保函</w:t>
      </w:r>
      <w:r>
        <w:rPr>
          <w:rFonts w:ascii="宋体" w:hAnsi="宋体" w:eastAsia="宋体" w:cs="宋体"/>
          <w:color w:val="auto"/>
          <w:spacing w:val="-6"/>
          <w:sz w:val="21"/>
          <w:szCs w:val="21"/>
          <w:highlight w:val="none"/>
          <w:u w:val="single" w:color="auto"/>
        </w:rPr>
        <w:t>。发包人向承包人支付的预付款，</w:t>
      </w:r>
      <w:r>
        <w:rPr>
          <w:rFonts w:ascii="宋体" w:hAnsi="宋体" w:eastAsia="宋体" w:cs="宋体"/>
          <w:color w:val="auto"/>
          <w:spacing w:val="-4"/>
          <w:sz w:val="21"/>
          <w:szCs w:val="21"/>
          <w:highlight w:val="none"/>
          <w:u w:val="single" w:color="auto"/>
        </w:rPr>
        <w:t>应按照本合同第</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4"/>
          <w:sz w:val="21"/>
          <w:szCs w:val="21"/>
          <w:highlight w:val="none"/>
          <w:u w:val="single" w:color="auto"/>
        </w:rPr>
        <w:t>17.2.1</w:t>
      </w:r>
      <w:r>
        <w:rPr>
          <w:rFonts w:ascii="宋体" w:hAnsi="宋体" w:eastAsia="宋体" w:cs="宋体"/>
          <w:color w:val="auto"/>
          <w:spacing w:val="-43"/>
          <w:sz w:val="21"/>
          <w:szCs w:val="21"/>
          <w:highlight w:val="none"/>
          <w:u w:val="single" w:color="auto"/>
        </w:rPr>
        <w:t xml:space="preserve"> </w:t>
      </w:r>
      <w:r>
        <w:rPr>
          <w:rFonts w:ascii="宋体" w:hAnsi="宋体" w:eastAsia="宋体" w:cs="宋体"/>
          <w:color w:val="auto"/>
          <w:spacing w:val="-4"/>
          <w:sz w:val="21"/>
          <w:szCs w:val="21"/>
          <w:highlight w:val="none"/>
          <w:u w:val="single" w:color="auto"/>
        </w:rPr>
        <w:t>项规定使用，承包人提交的履约保证金对预付款的正常使用承担保证责任</w:t>
      </w:r>
      <w:r>
        <w:rPr>
          <w:rFonts w:ascii="宋体" w:hAnsi="宋体" w:eastAsia="宋体" w:cs="宋体"/>
          <w:color w:val="auto"/>
          <w:spacing w:val="-4"/>
          <w:sz w:val="21"/>
          <w:szCs w:val="21"/>
          <w:highlight w:val="none"/>
        </w:rPr>
        <w:t>。</w:t>
      </w:r>
    </w:p>
    <w:p w14:paraId="19D380C8">
      <w:pPr>
        <w:spacing w:before="29" w:line="221" w:lineRule="auto"/>
        <w:ind w:left="447"/>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17.2.3</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预付款的扣回与还清</w:t>
      </w:r>
    </w:p>
    <w:p w14:paraId="5CDFA7B6">
      <w:pPr>
        <w:spacing w:before="156" w:line="348" w:lineRule="auto"/>
        <w:ind w:right="123" w:firstLine="431"/>
        <w:rPr>
          <w:rFonts w:ascii="宋体" w:hAnsi="宋体" w:eastAsia="宋体" w:cs="宋体"/>
          <w:color w:val="auto"/>
          <w:sz w:val="21"/>
          <w:szCs w:val="21"/>
          <w:highlight w:val="none"/>
        </w:rPr>
      </w:pPr>
      <w:r>
        <w:rPr>
          <w:rFonts w:ascii="宋体" w:hAnsi="宋体" w:eastAsia="宋体" w:cs="宋体"/>
          <w:color w:val="auto"/>
          <w:sz w:val="21"/>
          <w:szCs w:val="21"/>
          <w:highlight w:val="none"/>
        </w:rPr>
        <w:t>预付款在进度付款证书的累计金额未达到签约合同价的</w:t>
      </w:r>
      <w:r>
        <w:rPr>
          <w:rFonts w:hint="eastAsia" w:ascii="宋体" w:hAnsi="宋体" w:eastAsia="宋体" w:cs="宋体"/>
          <w:color w:val="auto"/>
          <w:sz w:val="21"/>
          <w:szCs w:val="21"/>
          <w:highlight w:val="none"/>
          <w:u w:val="single" w:color="auto"/>
          <w:lang w:val="en-US" w:eastAsia="zh-CN"/>
        </w:rPr>
        <w:t>10</w:t>
      </w:r>
      <w:r>
        <w:rPr>
          <w:rFonts w:ascii="宋体" w:hAnsi="宋体" w:eastAsia="宋体" w:cs="宋体"/>
          <w:color w:val="auto"/>
          <w:sz w:val="21"/>
          <w:szCs w:val="21"/>
          <w:highlight w:val="none"/>
        </w:rPr>
        <w:t>%之前不予扣回，在达</w:t>
      </w:r>
      <w:r>
        <w:rPr>
          <w:rFonts w:ascii="宋体" w:hAnsi="宋体" w:eastAsia="宋体" w:cs="宋体"/>
          <w:color w:val="auto"/>
          <w:spacing w:val="-1"/>
          <w:sz w:val="21"/>
          <w:szCs w:val="21"/>
          <w:highlight w:val="none"/>
        </w:rPr>
        <w:t>到签约合同</w:t>
      </w:r>
      <w:r>
        <w:rPr>
          <w:rFonts w:ascii="宋体" w:hAnsi="宋体" w:eastAsia="宋体" w:cs="宋体"/>
          <w:color w:val="auto"/>
          <w:spacing w:val="-5"/>
          <w:sz w:val="21"/>
          <w:szCs w:val="21"/>
          <w:highlight w:val="none"/>
        </w:rPr>
        <w:t>价</w:t>
      </w:r>
      <w:r>
        <w:rPr>
          <w:rFonts w:hint="eastAsia" w:ascii="宋体" w:hAnsi="宋体" w:eastAsia="宋体" w:cs="宋体"/>
          <w:color w:val="auto"/>
          <w:spacing w:val="-5"/>
          <w:sz w:val="21"/>
          <w:szCs w:val="21"/>
          <w:highlight w:val="none"/>
          <w:u w:val="single" w:color="auto"/>
          <w:lang w:val="en-US" w:eastAsia="zh-CN"/>
        </w:rPr>
        <w:t>10</w:t>
      </w:r>
      <w:r>
        <w:rPr>
          <w:rFonts w:ascii="宋体" w:hAnsi="宋体" w:eastAsia="宋体" w:cs="宋体"/>
          <w:color w:val="auto"/>
          <w:spacing w:val="-5"/>
          <w:sz w:val="21"/>
          <w:szCs w:val="21"/>
          <w:highlight w:val="none"/>
        </w:rPr>
        <w:t>%之后，开始按工程进度以固定比例（即每完成签约合同价的</w:t>
      </w:r>
      <w:r>
        <w:rPr>
          <w:rFonts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lang w:val="en-US" w:eastAsia="zh-CN"/>
        </w:rPr>
        <w:t>10</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5"/>
          <w:sz w:val="21"/>
          <w:szCs w:val="21"/>
          <w:highlight w:val="none"/>
        </w:rPr>
        <w:t>%，扣回开工预付款的</w:t>
      </w:r>
      <w:r>
        <w:rPr>
          <w:rFonts w:ascii="宋体" w:hAnsi="宋体" w:eastAsia="宋体" w:cs="宋体"/>
          <w:color w:val="auto"/>
          <w:spacing w:val="-95"/>
          <w:sz w:val="21"/>
          <w:szCs w:val="21"/>
          <w:highlight w:val="none"/>
        </w:rPr>
        <w:t xml:space="preserve"> </w:t>
      </w:r>
      <w:r>
        <w:rPr>
          <w:rFonts w:ascii="宋体" w:hAnsi="宋体" w:eastAsia="宋体" w:cs="宋体"/>
          <w:color w:val="auto"/>
          <w:spacing w:val="52"/>
          <w:sz w:val="21"/>
          <w:szCs w:val="21"/>
          <w:highlight w:val="none"/>
          <w:u w:val="single" w:color="auto"/>
        </w:rPr>
        <w:t xml:space="preserve"> </w:t>
      </w:r>
      <w:r>
        <w:rPr>
          <w:rFonts w:hint="eastAsia" w:ascii="宋体" w:hAnsi="宋体" w:eastAsia="宋体" w:cs="宋体"/>
          <w:color w:val="auto"/>
          <w:spacing w:val="52"/>
          <w:sz w:val="21"/>
          <w:szCs w:val="21"/>
          <w:highlight w:val="none"/>
          <w:u w:val="single" w:color="auto"/>
          <w:lang w:val="en-US" w:eastAsia="zh-CN"/>
        </w:rPr>
        <w:t>2</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102"/>
          <w:sz w:val="21"/>
          <w:szCs w:val="21"/>
          <w:highlight w:val="none"/>
        </w:rPr>
        <w:t xml:space="preserve"> </w:t>
      </w:r>
      <w:r>
        <w:rPr>
          <w:rFonts w:ascii="宋体" w:hAnsi="宋体" w:eastAsia="宋体" w:cs="宋体"/>
          <w:color w:val="auto"/>
          <w:spacing w:val="-5"/>
          <w:sz w:val="21"/>
          <w:szCs w:val="21"/>
          <w:highlight w:val="none"/>
        </w:rPr>
        <w:t>%）</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分期从各月的进度付款证书中扣回，全部金额在进度付款证书的累计金额达到签约合同价的</w:t>
      </w:r>
      <w:r>
        <w:rPr>
          <w:rFonts w:ascii="宋体" w:hAnsi="宋体" w:eastAsia="宋体" w:cs="宋体"/>
          <w:color w:val="auto"/>
          <w:spacing w:val="-84"/>
          <w:sz w:val="21"/>
          <w:szCs w:val="21"/>
          <w:highlight w:val="none"/>
        </w:rPr>
        <w:t xml:space="preserve"> </w:t>
      </w:r>
      <w:r>
        <w:rPr>
          <w:rFonts w:hint="eastAsia" w:ascii="宋体" w:hAnsi="宋体" w:eastAsia="宋体" w:cs="宋体"/>
          <w:color w:val="auto"/>
          <w:spacing w:val="2"/>
          <w:sz w:val="21"/>
          <w:szCs w:val="21"/>
          <w:highlight w:val="none"/>
          <w:u w:val="single" w:color="auto"/>
          <w:lang w:val="en-US" w:eastAsia="zh-CN"/>
        </w:rPr>
        <w:t xml:space="preserve">  60  </w:t>
      </w:r>
      <w:r>
        <w:rPr>
          <w:rFonts w:ascii="宋体" w:hAnsi="宋体" w:eastAsia="宋体" w:cs="宋体"/>
          <w:color w:val="auto"/>
          <w:spacing w:val="-103"/>
          <w:sz w:val="21"/>
          <w:szCs w:val="21"/>
          <w:highlight w:val="none"/>
        </w:rPr>
        <w:t xml:space="preserve"> </w:t>
      </w:r>
      <w:r>
        <w:rPr>
          <w:rFonts w:ascii="宋体" w:hAnsi="宋体" w:eastAsia="宋体" w:cs="宋体"/>
          <w:color w:val="auto"/>
          <w:spacing w:val="2"/>
          <w:sz w:val="21"/>
          <w:szCs w:val="21"/>
          <w:highlight w:val="none"/>
        </w:rPr>
        <w:t>%</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时扣完。</w:t>
      </w:r>
    </w:p>
    <w:p w14:paraId="32023481">
      <w:pPr>
        <w:spacing w:before="296" w:line="220" w:lineRule="auto"/>
        <w:ind w:left="170"/>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17.3</w:t>
      </w:r>
      <w:r>
        <w:rPr>
          <w:rFonts w:ascii="宋体" w:hAnsi="宋体" w:eastAsia="宋体" w:cs="宋体"/>
          <w:color w:val="auto"/>
          <w:spacing w:val="-50"/>
          <w:sz w:val="28"/>
          <w:szCs w:val="28"/>
          <w:highlight w:val="none"/>
        </w:rPr>
        <w:t xml:space="preserve"> </w:t>
      </w:r>
      <w:r>
        <w:rPr>
          <w:rFonts w:ascii="宋体" w:hAnsi="宋体" w:eastAsia="宋体" w:cs="宋体"/>
          <w:b/>
          <w:bCs/>
          <w:color w:val="auto"/>
          <w:spacing w:val="-7"/>
          <w:sz w:val="28"/>
          <w:szCs w:val="28"/>
          <w:highlight w:val="none"/>
        </w:rPr>
        <w:t>工程进度付款</w:t>
      </w:r>
    </w:p>
    <w:p w14:paraId="0EAF0F50">
      <w:pPr>
        <w:spacing w:before="280" w:line="221" w:lineRule="auto"/>
        <w:ind w:left="438"/>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17.3.1</w:t>
      </w:r>
      <w:r>
        <w:rPr>
          <w:rFonts w:ascii="宋体" w:hAnsi="宋体" w:eastAsia="宋体" w:cs="宋体"/>
          <w:color w:val="auto"/>
          <w:spacing w:val="-38"/>
          <w:sz w:val="21"/>
          <w:szCs w:val="21"/>
          <w:highlight w:val="none"/>
        </w:rPr>
        <w:t xml:space="preserve"> </w:t>
      </w:r>
      <w:r>
        <w:rPr>
          <w:rFonts w:ascii="宋体" w:hAnsi="宋体" w:eastAsia="宋体" w:cs="宋体"/>
          <w:b/>
          <w:bCs/>
          <w:color w:val="auto"/>
          <w:spacing w:val="-5"/>
          <w:sz w:val="21"/>
          <w:szCs w:val="21"/>
          <w:highlight w:val="none"/>
        </w:rPr>
        <w:t>付款周期</w:t>
      </w:r>
    </w:p>
    <w:p w14:paraId="3E737612">
      <w:pPr>
        <w:wordWrap w:val="0"/>
        <w:adjustRightInd w:val="0"/>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付款按工程进度进行每月按核定的工程月进度，支付当月实际工程量的80%工程款项，工程完工竣工验收合格后、审核及项目移交完成后支付至审核价款的97%，剩余3%作质保金待缺陷责任期满后，一次性付清。</w:t>
      </w:r>
    </w:p>
    <w:p w14:paraId="69BAC57D">
      <w:pPr>
        <w:wordWrap w:val="0"/>
        <w:adjustRightInd w:val="0"/>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备注：如承包人采用“由银行业金融机构、工程担保公司、保险机构出具的电子保函</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rPr>
        <w:t>纸质保函等担保方式”提交等额工程质量保证金，则在工程竣工结算完成后招标人应付至最终结算价款的100%，若中标人余款采用现金缴纳（含工程款扣留的），招标人同时退还保证金本金和银行同期存款利息。</w:t>
      </w:r>
    </w:p>
    <w:p w14:paraId="1C747CCF">
      <w:pPr>
        <w:spacing w:before="156" w:line="221" w:lineRule="auto"/>
        <w:ind w:left="43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17.3.2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进度付款申请单</w:t>
      </w:r>
    </w:p>
    <w:p w14:paraId="249F5A09">
      <w:pPr>
        <w:spacing w:before="159" w:line="221" w:lineRule="auto"/>
        <w:ind w:left="42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进度付款申请单的份数：</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88"/>
          <w:sz w:val="21"/>
          <w:szCs w:val="21"/>
          <w:highlight w:val="none"/>
        </w:rPr>
        <w:t xml:space="preserve"> </w:t>
      </w:r>
      <w:r>
        <w:rPr>
          <w:rFonts w:ascii="宋体" w:hAnsi="宋体" w:eastAsia="宋体" w:cs="宋体"/>
          <w:color w:val="auto"/>
          <w:spacing w:val="-2"/>
          <w:sz w:val="21"/>
          <w:szCs w:val="21"/>
          <w:highlight w:val="none"/>
        </w:rPr>
        <w:t>份。</w:t>
      </w:r>
    </w:p>
    <w:p w14:paraId="32DB3518">
      <w:pPr>
        <w:spacing w:before="156" w:line="220" w:lineRule="auto"/>
        <w:ind w:left="447"/>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17.3.3</w:t>
      </w:r>
      <w:r>
        <w:rPr>
          <w:rFonts w:ascii="宋体" w:hAnsi="宋体" w:eastAsia="宋体" w:cs="宋体"/>
          <w:color w:val="auto"/>
          <w:spacing w:val="-33"/>
          <w:sz w:val="21"/>
          <w:szCs w:val="21"/>
          <w:highlight w:val="none"/>
        </w:rPr>
        <w:t xml:space="preserve"> </w:t>
      </w:r>
      <w:r>
        <w:rPr>
          <w:rFonts w:ascii="宋体" w:hAnsi="宋体" w:eastAsia="宋体" w:cs="宋体"/>
          <w:b/>
          <w:bCs/>
          <w:color w:val="auto"/>
          <w:spacing w:val="-4"/>
          <w:sz w:val="21"/>
          <w:szCs w:val="21"/>
          <w:highlight w:val="none"/>
        </w:rPr>
        <w:t>进度付款证书和支付时间</w:t>
      </w:r>
    </w:p>
    <w:p w14:paraId="560FD053">
      <w:pPr>
        <w:spacing w:before="31" w:line="353" w:lineRule="auto"/>
        <w:ind w:left="10" w:right="173" w:firstLine="434"/>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（2）逾期付款违约金：</w:t>
      </w:r>
      <w:r>
        <w:rPr>
          <w:rFonts w:hint="eastAsia" w:ascii="宋体" w:hAnsi="宋体" w:eastAsia="宋体" w:cs="宋体"/>
          <w:color w:val="auto"/>
          <w:sz w:val="21"/>
          <w:szCs w:val="21"/>
          <w:highlight w:val="none"/>
          <w:u w:val="single"/>
          <w:lang w:val="en-US" w:eastAsia="zh-CN"/>
        </w:rPr>
        <w:t>按照贷款市场报价利率（LPR）支付利息</w:t>
      </w:r>
      <w:r>
        <w:rPr>
          <w:rFonts w:hint="eastAsia" w:ascii="宋体" w:hAnsi="宋体" w:eastAsia="宋体" w:cs="宋体"/>
          <w:color w:val="auto"/>
          <w:sz w:val="21"/>
          <w:szCs w:val="21"/>
          <w:highlight w:val="none"/>
          <w:lang w:val="en-US" w:eastAsia="zh-CN"/>
        </w:rPr>
        <w:t>。</w:t>
      </w:r>
    </w:p>
    <w:p w14:paraId="5228D79A">
      <w:pPr>
        <w:spacing w:before="31" w:line="353" w:lineRule="auto"/>
        <w:ind w:left="10" w:right="173" w:firstLine="434"/>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本款补充第 17.3.5 项、</w:t>
      </w:r>
      <w:r>
        <w:rPr>
          <w:rFonts w:ascii="宋体" w:hAnsi="宋体" w:eastAsia="宋体" w:cs="宋体"/>
          <w:color w:val="auto"/>
          <w:sz w:val="21"/>
          <w:szCs w:val="21"/>
          <w:highlight w:val="none"/>
        </w:rPr>
        <w:t>第 17.3.6 项：</w:t>
      </w:r>
    </w:p>
    <w:p w14:paraId="21B0264F">
      <w:pPr>
        <w:spacing w:before="33" w:line="346" w:lineRule="auto"/>
        <w:ind w:left="16" w:right="173" w:firstLine="42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17.3.5</w:t>
      </w:r>
      <w:r>
        <w:rPr>
          <w:rFonts w:ascii="宋体" w:hAnsi="宋体" w:eastAsia="宋体" w:cs="宋体"/>
          <w:color w:val="auto"/>
          <w:spacing w:val="-36"/>
          <w:sz w:val="21"/>
          <w:szCs w:val="21"/>
          <w:highlight w:val="none"/>
        </w:rPr>
        <w:t xml:space="preserve"> </w:t>
      </w:r>
      <w:r>
        <w:rPr>
          <w:rFonts w:ascii="宋体" w:hAnsi="宋体" w:eastAsia="宋体" w:cs="宋体"/>
          <w:color w:val="auto"/>
          <w:spacing w:val="-2"/>
          <w:sz w:val="21"/>
          <w:szCs w:val="21"/>
          <w:highlight w:val="none"/>
        </w:rPr>
        <w:t>承包人应保存工程计量和支付的记录，并在发包人要求时允许发包人指派的人员进行</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审计。</w:t>
      </w:r>
    </w:p>
    <w:p w14:paraId="670945C9">
      <w:pPr>
        <w:spacing w:before="31" w:line="353" w:lineRule="auto"/>
        <w:ind w:left="10" w:right="173" w:firstLine="434"/>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17.3.6</w:t>
      </w:r>
      <w:r>
        <w:rPr>
          <w:rFonts w:ascii="宋体" w:hAnsi="宋体" w:eastAsia="宋体" w:cs="宋体"/>
          <w:color w:val="auto"/>
          <w:spacing w:val="-38"/>
          <w:sz w:val="21"/>
          <w:szCs w:val="21"/>
          <w:highlight w:val="none"/>
        </w:rPr>
        <w:t xml:space="preserve"> </w:t>
      </w:r>
      <w:r>
        <w:rPr>
          <w:rFonts w:ascii="宋体" w:hAnsi="宋体" w:eastAsia="宋体" w:cs="宋体"/>
          <w:color w:val="auto"/>
          <w:spacing w:val="-2"/>
          <w:sz w:val="21"/>
          <w:szCs w:val="21"/>
          <w:highlight w:val="none"/>
        </w:rPr>
        <w:t>农民工工资专户资金拨付。发包人应按照相关规定要求，在工程开工前向农民工工资</w:t>
      </w:r>
      <w:r>
        <w:rPr>
          <w:rFonts w:ascii="宋体" w:hAnsi="宋体" w:eastAsia="宋体" w:cs="宋体"/>
          <w:color w:val="auto"/>
          <w:sz w:val="21"/>
          <w:szCs w:val="21"/>
          <w:highlight w:val="none"/>
        </w:rPr>
        <w:t xml:space="preserve"> 专户足额存入核定的工资性工程预付款，开工后按月向专户补足下月工资性工程进度款，确</w:t>
      </w:r>
      <w:r>
        <w:rPr>
          <w:rFonts w:ascii="宋体" w:hAnsi="宋体" w:eastAsia="宋体" w:cs="宋体"/>
          <w:color w:val="auto"/>
          <w:spacing w:val="-1"/>
          <w:sz w:val="21"/>
          <w:szCs w:val="21"/>
          <w:highlight w:val="none"/>
        </w:rPr>
        <w:t>保专</w:t>
      </w:r>
      <w:r>
        <w:rPr>
          <w:rFonts w:ascii="宋体" w:hAnsi="宋体" w:eastAsia="宋体" w:cs="宋体"/>
          <w:color w:val="auto"/>
          <w:sz w:val="21"/>
          <w:szCs w:val="21"/>
          <w:highlight w:val="none"/>
        </w:rPr>
        <w:t xml:space="preserve"> 户余额动态保持不低于预付款金额，到工程款支付节点</w:t>
      </w:r>
      <w:r>
        <w:rPr>
          <w:rFonts w:hint="eastAsia" w:ascii="宋体" w:hAnsi="宋体" w:eastAsia="宋体" w:cs="宋体"/>
          <w:color w:val="auto"/>
          <w:sz w:val="21"/>
          <w:szCs w:val="21"/>
          <w:highlight w:val="none"/>
          <w:lang w:eastAsia="zh-CN"/>
        </w:rPr>
        <w:t>支付</w:t>
      </w:r>
      <w:r>
        <w:rPr>
          <w:rFonts w:ascii="宋体" w:hAnsi="宋体" w:eastAsia="宋体" w:cs="宋体"/>
          <w:color w:val="auto"/>
          <w:sz w:val="21"/>
          <w:szCs w:val="21"/>
          <w:highlight w:val="none"/>
        </w:rPr>
        <w:t>已支付工资预付款，并结清全部</w:t>
      </w:r>
      <w:r>
        <w:rPr>
          <w:rFonts w:ascii="宋体" w:hAnsi="宋体" w:eastAsia="宋体" w:cs="宋体"/>
          <w:color w:val="auto"/>
          <w:spacing w:val="-1"/>
          <w:sz w:val="21"/>
          <w:szCs w:val="21"/>
          <w:highlight w:val="none"/>
        </w:rPr>
        <w:t>农民</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工工资。</w:t>
      </w:r>
    </w:p>
    <w:p w14:paraId="7B8CAF7D">
      <w:pPr>
        <w:spacing w:before="296" w:line="221" w:lineRule="auto"/>
        <w:ind w:left="170"/>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17.4</w:t>
      </w:r>
      <w:r>
        <w:rPr>
          <w:rFonts w:ascii="宋体" w:hAnsi="宋体" w:eastAsia="宋体" w:cs="宋体"/>
          <w:color w:val="auto"/>
          <w:spacing w:val="-55"/>
          <w:sz w:val="28"/>
          <w:szCs w:val="28"/>
          <w:highlight w:val="none"/>
        </w:rPr>
        <w:t xml:space="preserve"> </w:t>
      </w:r>
      <w:r>
        <w:rPr>
          <w:rFonts w:ascii="宋体" w:hAnsi="宋体" w:eastAsia="宋体" w:cs="宋体"/>
          <w:b/>
          <w:bCs/>
          <w:color w:val="auto"/>
          <w:spacing w:val="-7"/>
          <w:sz w:val="28"/>
          <w:szCs w:val="28"/>
          <w:highlight w:val="none"/>
        </w:rPr>
        <w:t>质量保证金</w:t>
      </w:r>
    </w:p>
    <w:p w14:paraId="637FFDE2">
      <w:pPr>
        <w:spacing w:before="279" w:line="331" w:lineRule="auto"/>
        <w:ind w:left="12" w:right="176" w:firstLine="433"/>
        <w:rPr>
          <w:rFonts w:ascii="宋体" w:hAnsi="宋体" w:eastAsia="宋体" w:cs="宋体"/>
          <w:color w:val="auto"/>
          <w:sz w:val="21"/>
          <w:szCs w:val="21"/>
          <w:highlight w:val="none"/>
        </w:rPr>
      </w:pPr>
      <w:r>
        <w:rPr>
          <w:rFonts w:ascii="宋体" w:hAnsi="宋体" w:eastAsia="宋体" w:cs="宋体"/>
          <w:color w:val="auto"/>
          <w:sz w:val="21"/>
          <w:szCs w:val="21"/>
          <w:highlight w:val="none"/>
        </w:rPr>
        <w:t>17.4.1 每个付款周期扣留的质量保证金为工程进</w:t>
      </w:r>
      <w:r>
        <w:rPr>
          <w:rFonts w:ascii="宋体" w:hAnsi="宋体" w:eastAsia="宋体" w:cs="宋体"/>
          <w:color w:val="auto"/>
          <w:spacing w:val="-1"/>
          <w:sz w:val="21"/>
          <w:szCs w:val="21"/>
          <w:highlight w:val="none"/>
        </w:rPr>
        <w:t>度付款的</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%，扣留的质量保证金总额</w:t>
      </w:r>
      <w:r>
        <w:rPr>
          <w:rFonts w:ascii="宋体" w:hAnsi="宋体" w:eastAsia="宋体" w:cs="宋体"/>
          <w:color w:val="auto"/>
          <w:spacing w:val="-3"/>
          <w:sz w:val="21"/>
          <w:szCs w:val="21"/>
          <w:highlight w:val="none"/>
        </w:rPr>
        <w:t>为结算总额的</w:t>
      </w:r>
      <w:r>
        <w:rPr>
          <w:rFonts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lang w:val="en-US" w:eastAsia="zh-CN"/>
        </w:rPr>
        <w:t>3</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%。在工程项目竣工前，承包人已按招标文件和合同条款第</w:t>
      </w:r>
      <w:r>
        <w:rPr>
          <w:rFonts w:ascii="宋体" w:hAnsi="宋体" w:eastAsia="宋体" w:cs="宋体"/>
          <w:color w:val="auto"/>
          <w:spacing w:val="-30"/>
          <w:sz w:val="21"/>
          <w:szCs w:val="21"/>
          <w:highlight w:val="none"/>
        </w:rPr>
        <w:t xml:space="preserve"> </w:t>
      </w:r>
      <w:r>
        <w:rPr>
          <w:rFonts w:ascii="宋体" w:hAnsi="宋体" w:eastAsia="宋体" w:cs="宋体"/>
          <w:color w:val="auto"/>
          <w:spacing w:val="-3"/>
          <w:sz w:val="21"/>
          <w:szCs w:val="21"/>
          <w:highlight w:val="none"/>
        </w:rPr>
        <w:t>4.2</w:t>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款要求提供履</w:t>
      </w:r>
      <w:r>
        <w:rPr>
          <w:rFonts w:ascii="宋体" w:hAnsi="宋体" w:eastAsia="宋体" w:cs="宋体"/>
          <w:color w:val="auto"/>
          <w:spacing w:val="-2"/>
          <w:sz w:val="21"/>
          <w:szCs w:val="21"/>
          <w:highlight w:val="none"/>
        </w:rPr>
        <w:t>约担保的，发包人不得同时预留工程质量保证金。</w:t>
      </w:r>
      <w:r>
        <w:rPr>
          <w:rFonts w:ascii="宋体" w:hAnsi="宋体" w:eastAsia="宋体" w:cs="宋体"/>
          <w:color w:val="auto"/>
          <w:spacing w:val="4"/>
          <w:sz w:val="21"/>
          <w:szCs w:val="21"/>
          <w:highlight w:val="none"/>
        </w:rPr>
        <w:t xml:space="preserve"> </w:t>
      </w:r>
      <w:r>
        <w:rPr>
          <w:rFonts w:ascii="宋体" w:hAnsi="宋体" w:eastAsia="宋体" w:cs="宋体"/>
          <w:color w:val="auto"/>
          <w:spacing w:val="-3"/>
          <w:sz w:val="21"/>
          <w:szCs w:val="21"/>
          <w:highlight w:val="none"/>
        </w:rPr>
        <w:t>质量保证金采用以下第</w:t>
      </w:r>
      <w:r>
        <w:rPr>
          <w:rFonts w:ascii="宋体" w:hAnsi="宋体" w:eastAsia="宋体" w:cs="宋体"/>
          <w:color w:val="auto"/>
          <w:spacing w:val="-101"/>
          <w:sz w:val="21"/>
          <w:szCs w:val="21"/>
          <w:highlight w:val="none"/>
        </w:rPr>
        <w:t xml:space="preserve"> </w:t>
      </w:r>
      <w:r>
        <w:rPr>
          <w:rFonts w:ascii="宋体" w:hAnsi="宋体" w:eastAsia="宋体" w:cs="宋体"/>
          <w:color w:val="auto"/>
          <w:spacing w:val="25"/>
          <w:sz w:val="21"/>
          <w:szCs w:val="21"/>
          <w:highlight w:val="none"/>
          <w:u w:val="single" w:color="auto"/>
        </w:rPr>
        <w:t xml:space="preserve">    </w:t>
      </w:r>
      <w:r>
        <w:rPr>
          <w:rFonts w:ascii="宋体" w:hAnsi="宋体" w:eastAsia="宋体" w:cs="宋体"/>
          <w:color w:val="auto"/>
          <w:spacing w:val="-94"/>
          <w:sz w:val="21"/>
          <w:szCs w:val="21"/>
          <w:highlight w:val="none"/>
        </w:rPr>
        <w:t xml:space="preserve"> </w:t>
      </w:r>
      <w:r>
        <w:rPr>
          <w:rFonts w:ascii="宋体" w:hAnsi="宋体" w:eastAsia="宋体" w:cs="宋体"/>
          <w:color w:val="auto"/>
          <w:spacing w:val="-3"/>
          <w:sz w:val="21"/>
          <w:szCs w:val="21"/>
          <w:highlight w:val="none"/>
        </w:rPr>
        <w:t>种方式：</w:t>
      </w:r>
    </w:p>
    <w:p w14:paraId="38F99015">
      <w:pPr>
        <w:spacing w:before="30" w:line="221" w:lineRule="auto"/>
        <w:ind w:left="4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（1）质量保证金保函，保证金额为</w:t>
      </w:r>
      <w:r>
        <w:rPr>
          <w:rFonts w:ascii="宋体" w:hAnsi="宋体" w:eastAsia="宋体" w:cs="宋体"/>
          <w:color w:val="auto"/>
          <w:sz w:val="21"/>
          <w:szCs w:val="21"/>
          <w:highlight w:val="none"/>
        </w:rPr>
        <w:t>：</w:t>
      </w:r>
      <w:r>
        <w:rPr>
          <w:rFonts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3%的工程结算款</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z w:val="21"/>
          <w:szCs w:val="21"/>
          <w:highlight w:val="none"/>
        </w:rPr>
        <w:t>；</w:t>
      </w:r>
    </w:p>
    <w:p w14:paraId="5B8E3092">
      <w:pPr>
        <w:spacing w:before="157" w:line="221" w:lineRule="auto"/>
        <w:ind w:left="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w:t>
      </w:r>
      <w:r>
        <w:rPr>
          <w:rFonts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lang w:val="en-US" w:eastAsia="zh-CN"/>
        </w:rPr>
        <w:t>3</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7"/>
          <w:sz w:val="21"/>
          <w:szCs w:val="21"/>
          <w:highlight w:val="none"/>
        </w:rPr>
        <w:t xml:space="preserve"> </w:t>
      </w:r>
      <w:r>
        <w:rPr>
          <w:rFonts w:ascii="宋体" w:hAnsi="宋体" w:eastAsia="宋体" w:cs="宋体"/>
          <w:color w:val="auto"/>
          <w:spacing w:val="-3"/>
          <w:sz w:val="21"/>
          <w:szCs w:val="21"/>
          <w:highlight w:val="none"/>
        </w:rPr>
        <w:t>%的工程款；</w:t>
      </w:r>
    </w:p>
    <w:p w14:paraId="4CEC2EEA">
      <w:pPr>
        <w:spacing w:before="159" w:line="221" w:lineRule="auto"/>
        <w:ind w:left="437"/>
        <w:rPr>
          <w:rFonts w:ascii="宋体" w:hAnsi="宋体" w:eastAsia="宋体" w:cs="宋体"/>
          <w:color w:val="auto"/>
          <w:sz w:val="21"/>
          <w:szCs w:val="21"/>
          <w:highlight w:val="none"/>
        </w:rPr>
      </w:pPr>
      <w:r>
        <w:rPr>
          <w:rFonts w:ascii="宋体" w:hAnsi="宋体" w:eastAsia="宋体" w:cs="宋体"/>
          <w:color w:val="auto"/>
          <w:sz w:val="21"/>
          <w:szCs w:val="21"/>
          <w:highlight w:val="none"/>
        </w:rPr>
        <w:t>（3）其他方式:</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70BA9A28">
      <w:pPr>
        <w:spacing w:before="156" w:line="220" w:lineRule="auto"/>
        <w:ind w:left="431"/>
        <w:rPr>
          <w:rFonts w:ascii="Arial"/>
          <w:color w:val="auto"/>
          <w:sz w:val="21"/>
          <w:highlight w:val="none"/>
        </w:rPr>
      </w:pPr>
      <w:r>
        <w:rPr>
          <w:rFonts w:ascii="宋体" w:hAnsi="宋体" w:eastAsia="宋体" w:cs="宋体"/>
          <w:color w:val="auto"/>
          <w:sz w:val="21"/>
          <w:szCs w:val="21"/>
          <w:highlight w:val="none"/>
        </w:rPr>
        <w:t>质量保证金采用现金、支票形式提交的，发包人计付利息的计算方式：</w:t>
      </w:r>
      <w:r>
        <w:rPr>
          <w:rFonts w:hint="eastAsia" w:ascii="宋体" w:hAnsi="宋体" w:eastAsia="宋体" w:cs="宋体"/>
          <w:color w:val="auto"/>
          <w:sz w:val="21"/>
          <w:szCs w:val="21"/>
          <w:highlight w:val="none"/>
          <w:u w:val="single"/>
        </w:rPr>
        <w:t>以现金形式提交质量保证金的（含从工程款中以扣留方式提交的），同时退还银行同期活期存款利息</w:t>
      </w:r>
      <w:r>
        <w:rPr>
          <w:rFonts w:ascii="宋体" w:hAnsi="宋体" w:eastAsia="宋体" w:cs="宋体"/>
          <w:color w:val="auto"/>
          <w:spacing w:val="-1"/>
          <w:sz w:val="21"/>
          <w:szCs w:val="21"/>
          <w:highlight w:val="none"/>
        </w:rPr>
        <w:t>。</w:t>
      </w:r>
    </w:p>
    <w:p w14:paraId="54AE2E1C">
      <w:pPr>
        <w:spacing w:before="91" w:line="220" w:lineRule="auto"/>
        <w:ind w:left="17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17.5</w:t>
      </w:r>
      <w:r>
        <w:rPr>
          <w:rFonts w:ascii="宋体" w:hAnsi="宋体" w:eastAsia="宋体" w:cs="宋体"/>
          <w:color w:val="auto"/>
          <w:spacing w:val="-51"/>
          <w:sz w:val="28"/>
          <w:szCs w:val="28"/>
          <w:highlight w:val="none"/>
        </w:rPr>
        <w:t xml:space="preserve"> </w:t>
      </w:r>
      <w:r>
        <w:rPr>
          <w:rFonts w:ascii="宋体" w:hAnsi="宋体" w:eastAsia="宋体" w:cs="宋体"/>
          <w:b/>
          <w:bCs/>
          <w:color w:val="auto"/>
          <w:spacing w:val="-8"/>
          <w:sz w:val="28"/>
          <w:szCs w:val="28"/>
          <w:highlight w:val="none"/>
        </w:rPr>
        <w:t>竣工结算</w:t>
      </w:r>
    </w:p>
    <w:p w14:paraId="22F0947B">
      <w:pPr>
        <w:spacing w:before="280" w:line="221" w:lineRule="auto"/>
        <w:ind w:left="44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17.5.1</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竣工付款申请单</w:t>
      </w:r>
    </w:p>
    <w:p w14:paraId="22FA81B0">
      <w:pPr>
        <w:spacing w:before="157" w:line="221" w:lineRule="auto"/>
        <w:ind w:left="437"/>
        <w:rPr>
          <w:rFonts w:ascii="宋体" w:hAnsi="宋体" w:eastAsia="宋体" w:cs="宋体"/>
          <w:color w:val="auto"/>
          <w:sz w:val="21"/>
          <w:szCs w:val="21"/>
          <w:highlight w:val="none"/>
        </w:rPr>
      </w:pPr>
      <w:r>
        <w:rPr>
          <w:rFonts w:ascii="宋体" w:hAnsi="宋体" w:eastAsia="宋体" w:cs="宋体"/>
          <w:color w:val="auto"/>
          <w:sz w:val="21"/>
          <w:szCs w:val="21"/>
          <w:highlight w:val="none"/>
        </w:rPr>
        <w:t>（1）承包人应提交竣工付款申请单一式</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4</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7"/>
          <w:sz w:val="21"/>
          <w:szCs w:val="21"/>
          <w:highlight w:val="none"/>
        </w:rPr>
        <w:t xml:space="preserve"> </w:t>
      </w:r>
      <w:r>
        <w:rPr>
          <w:rFonts w:ascii="宋体" w:hAnsi="宋体" w:eastAsia="宋体" w:cs="宋体"/>
          <w:color w:val="auto"/>
          <w:spacing w:val="-1"/>
          <w:sz w:val="21"/>
          <w:szCs w:val="21"/>
          <w:highlight w:val="none"/>
        </w:rPr>
        <w:t>份；提交期限为</w:t>
      </w:r>
      <w:r>
        <w:rPr>
          <w:rFonts w:ascii="宋体" w:hAnsi="宋体" w:eastAsia="宋体" w:cs="宋体"/>
          <w:color w:val="auto"/>
          <w:spacing w:val="-105"/>
          <w:sz w:val="21"/>
          <w:szCs w:val="21"/>
          <w:highlight w:val="none"/>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47480E30">
      <w:pPr>
        <w:spacing w:line="336" w:lineRule="auto"/>
        <w:rPr>
          <w:rFonts w:ascii="Arial"/>
          <w:color w:val="auto"/>
          <w:sz w:val="21"/>
          <w:highlight w:val="none"/>
        </w:rPr>
      </w:pPr>
    </w:p>
    <w:p w14:paraId="607DE738">
      <w:pPr>
        <w:spacing w:before="91" w:line="220" w:lineRule="auto"/>
        <w:ind w:left="17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17.6</w:t>
      </w:r>
      <w:r>
        <w:rPr>
          <w:rFonts w:ascii="宋体" w:hAnsi="宋体" w:eastAsia="宋体" w:cs="宋体"/>
          <w:color w:val="auto"/>
          <w:spacing w:val="-51"/>
          <w:sz w:val="28"/>
          <w:szCs w:val="28"/>
          <w:highlight w:val="none"/>
        </w:rPr>
        <w:t xml:space="preserve"> </w:t>
      </w:r>
      <w:r>
        <w:rPr>
          <w:rFonts w:ascii="宋体" w:hAnsi="宋体" w:eastAsia="宋体" w:cs="宋体"/>
          <w:b/>
          <w:bCs/>
          <w:color w:val="auto"/>
          <w:spacing w:val="-8"/>
          <w:sz w:val="28"/>
          <w:szCs w:val="28"/>
          <w:highlight w:val="none"/>
        </w:rPr>
        <w:t>最终结清</w:t>
      </w:r>
    </w:p>
    <w:p w14:paraId="084CB3A3">
      <w:pPr>
        <w:spacing w:before="278" w:line="221" w:lineRule="auto"/>
        <w:ind w:left="448"/>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17.6</w:t>
      </w:r>
      <w:r>
        <w:rPr>
          <w:rFonts w:ascii="宋体" w:hAnsi="宋体" w:eastAsia="宋体" w:cs="宋体"/>
          <w:color w:val="auto"/>
          <w:spacing w:val="32"/>
          <w:sz w:val="21"/>
          <w:szCs w:val="21"/>
          <w:highlight w:val="none"/>
        </w:rPr>
        <w:t xml:space="preserve"> </w:t>
      </w:r>
      <w:r>
        <w:rPr>
          <w:rFonts w:ascii="宋体" w:hAnsi="宋体" w:eastAsia="宋体" w:cs="宋体"/>
          <w:b/>
          <w:bCs/>
          <w:color w:val="auto"/>
          <w:spacing w:val="-5"/>
          <w:sz w:val="21"/>
          <w:szCs w:val="21"/>
          <w:highlight w:val="none"/>
        </w:rPr>
        <w:t>1</w:t>
      </w:r>
      <w:r>
        <w:rPr>
          <w:rFonts w:ascii="宋体" w:hAnsi="宋体" w:eastAsia="宋体" w:cs="宋体"/>
          <w:color w:val="auto"/>
          <w:spacing w:val="-5"/>
          <w:sz w:val="21"/>
          <w:szCs w:val="21"/>
          <w:highlight w:val="none"/>
        </w:rPr>
        <w:t xml:space="preserve">  </w:t>
      </w:r>
      <w:r>
        <w:rPr>
          <w:rFonts w:ascii="宋体" w:hAnsi="宋体" w:eastAsia="宋体" w:cs="宋体"/>
          <w:b/>
          <w:bCs/>
          <w:color w:val="auto"/>
          <w:spacing w:val="-5"/>
          <w:sz w:val="21"/>
          <w:szCs w:val="21"/>
          <w:highlight w:val="none"/>
        </w:rPr>
        <w:t>最终结清申请单</w:t>
      </w:r>
    </w:p>
    <w:p w14:paraId="34723D46">
      <w:pPr>
        <w:spacing w:before="159" w:line="345" w:lineRule="auto"/>
        <w:ind w:left="14" w:right="369"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（1）承包人应提交最终结清申请单一式</w:t>
      </w:r>
      <w:r>
        <w:rPr>
          <w:rFonts w:ascii="宋体" w:hAnsi="宋体" w:eastAsia="宋体" w:cs="宋体"/>
          <w:color w:val="auto"/>
          <w:spacing w:val="-105"/>
          <w:sz w:val="21"/>
          <w:szCs w:val="21"/>
          <w:highlight w:val="none"/>
        </w:rPr>
        <w:t xml:space="preserve"> </w:t>
      </w:r>
      <w:r>
        <w:rPr>
          <w:rFonts w:ascii="宋体" w:hAnsi="宋体" w:eastAsia="宋体" w:cs="宋体"/>
          <w:color w:val="auto"/>
          <w:spacing w:val="25"/>
          <w:sz w:val="21"/>
          <w:szCs w:val="21"/>
          <w:highlight w:val="none"/>
          <w:u w:val="single" w:color="auto"/>
        </w:rPr>
        <w:t xml:space="preserve">  </w:t>
      </w:r>
      <w:r>
        <w:rPr>
          <w:rFonts w:hint="eastAsia" w:ascii="宋体" w:hAnsi="宋体" w:eastAsia="宋体" w:cs="宋体"/>
          <w:color w:val="auto"/>
          <w:spacing w:val="25"/>
          <w:sz w:val="21"/>
          <w:szCs w:val="21"/>
          <w:highlight w:val="none"/>
          <w:u w:val="single" w:color="auto"/>
          <w:lang w:val="en-US" w:eastAsia="zh-CN"/>
        </w:rPr>
        <w:t>4</w:t>
      </w:r>
      <w:r>
        <w:rPr>
          <w:rFonts w:ascii="宋体" w:hAnsi="宋体" w:eastAsia="宋体" w:cs="宋体"/>
          <w:color w:val="auto"/>
          <w:spacing w:val="25"/>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2"/>
          <w:sz w:val="21"/>
          <w:szCs w:val="21"/>
          <w:highlight w:val="none"/>
        </w:rPr>
        <w:t>份；提交期限为</w:t>
      </w:r>
      <w:r>
        <w:rPr>
          <w:rFonts w:ascii="宋体" w:hAnsi="宋体" w:eastAsia="宋体" w:cs="宋体"/>
          <w:color w:val="auto"/>
          <w:spacing w:val="-2"/>
          <w:sz w:val="21"/>
          <w:szCs w:val="21"/>
          <w:highlight w:val="none"/>
          <w:u w:val="single" w:color="auto"/>
        </w:rPr>
        <w:t>缺陷责任期终止证书签发后</w:t>
      </w:r>
      <w:r>
        <w:rPr>
          <w:rFonts w:ascii="宋体" w:hAnsi="宋体" w:eastAsia="宋体" w:cs="宋体"/>
          <w:color w:val="auto"/>
          <w:spacing w:val="-42"/>
          <w:sz w:val="21"/>
          <w:szCs w:val="21"/>
          <w:highlight w:val="none"/>
          <w:u w:val="single" w:color="auto"/>
        </w:rPr>
        <w:t xml:space="preserve"> </w:t>
      </w:r>
      <w:r>
        <w:rPr>
          <w:rFonts w:ascii="宋体" w:hAnsi="宋体" w:eastAsia="宋体" w:cs="宋体"/>
          <w:color w:val="auto"/>
          <w:spacing w:val="-3"/>
          <w:sz w:val="21"/>
          <w:szCs w:val="21"/>
          <w:highlight w:val="none"/>
          <w:u w:val="single" w:color="auto"/>
        </w:rPr>
        <w:t>28</w:t>
      </w:r>
      <w:r>
        <w:rPr>
          <w:rFonts w:ascii="宋体" w:hAnsi="宋体" w:eastAsia="宋体" w:cs="宋体"/>
          <w:color w:val="auto"/>
          <w:spacing w:val="-4"/>
          <w:sz w:val="21"/>
          <w:szCs w:val="21"/>
          <w:highlight w:val="none"/>
          <w:u w:val="single" w:color="auto"/>
        </w:rPr>
        <w:t>天内</w:t>
      </w:r>
      <w:r>
        <w:rPr>
          <w:rFonts w:ascii="宋体" w:hAnsi="宋体" w:eastAsia="宋体" w:cs="宋体"/>
          <w:color w:val="auto"/>
          <w:spacing w:val="-4"/>
          <w:sz w:val="21"/>
          <w:szCs w:val="21"/>
          <w:highlight w:val="none"/>
        </w:rPr>
        <w:t>。</w:t>
      </w:r>
    </w:p>
    <w:p w14:paraId="3DCBF537">
      <w:pPr>
        <w:spacing w:before="169" w:line="225" w:lineRule="auto"/>
        <w:ind w:left="38"/>
        <w:outlineLvl w:val="2"/>
        <w:rPr>
          <w:rFonts w:ascii="宋体" w:hAnsi="宋体" w:eastAsia="宋体" w:cs="宋体"/>
          <w:color w:val="auto"/>
          <w:sz w:val="31"/>
          <w:szCs w:val="31"/>
          <w:highlight w:val="none"/>
        </w:rPr>
      </w:pPr>
      <w:bookmarkStart w:id="334" w:name="bookmark264"/>
      <w:bookmarkEnd w:id="334"/>
      <w:bookmarkStart w:id="335" w:name="_Toc31969"/>
      <w:bookmarkStart w:id="336" w:name="_Toc17397"/>
      <w:r>
        <w:rPr>
          <w:rFonts w:ascii="宋体" w:hAnsi="宋体" w:eastAsia="宋体" w:cs="宋体"/>
          <w:b/>
          <w:bCs/>
          <w:color w:val="auto"/>
          <w:sz w:val="31"/>
          <w:szCs w:val="31"/>
          <w:highlight w:val="none"/>
        </w:rPr>
        <w:t>18.竣工验收</w:t>
      </w:r>
      <w:bookmarkEnd w:id="335"/>
      <w:bookmarkEnd w:id="336"/>
    </w:p>
    <w:p w14:paraId="117ECAFF">
      <w:pPr>
        <w:spacing w:line="278" w:lineRule="auto"/>
        <w:rPr>
          <w:rFonts w:ascii="Arial"/>
          <w:color w:val="auto"/>
          <w:sz w:val="21"/>
          <w:highlight w:val="none"/>
        </w:rPr>
      </w:pPr>
    </w:p>
    <w:p w14:paraId="0F7F84BE">
      <w:pPr>
        <w:spacing w:before="68" w:line="220" w:lineRule="auto"/>
        <w:ind w:left="43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本条补充以下内容：</w:t>
      </w:r>
    </w:p>
    <w:p w14:paraId="73D99872">
      <w:pPr>
        <w:spacing w:before="157" w:line="340" w:lineRule="auto"/>
        <w:ind w:firstLine="43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本工程竣工验收执行</w:t>
      </w:r>
      <w:r>
        <w:rPr>
          <w:rFonts w:ascii="宋体" w:hAnsi="宋体" w:eastAsia="宋体" w:cs="宋体"/>
          <w:color w:val="auto"/>
          <w:spacing w:val="-8"/>
          <w:sz w:val="21"/>
          <w:szCs w:val="21"/>
          <w:highlight w:val="none"/>
          <w:u w:val="single" w:color="auto"/>
        </w:rPr>
        <w:t>《农业建设项目验收技术规程》（</w:t>
      </w:r>
      <w:r>
        <w:rPr>
          <w:rFonts w:ascii="Times New Roman" w:hAnsi="Times New Roman" w:eastAsia="Times New Roman" w:cs="Times New Roman"/>
          <w:color w:val="auto"/>
          <w:spacing w:val="-8"/>
          <w:sz w:val="21"/>
          <w:szCs w:val="21"/>
          <w:highlight w:val="none"/>
          <w:u w:val="single" w:color="auto"/>
        </w:rPr>
        <w:t>NY/T</w:t>
      </w:r>
      <w:r>
        <w:rPr>
          <w:rFonts w:ascii="Times New Roman" w:hAnsi="Times New Roman" w:eastAsia="Times New Roman" w:cs="Times New Roman"/>
          <w:color w:val="auto"/>
          <w:spacing w:val="25"/>
          <w:sz w:val="21"/>
          <w:szCs w:val="21"/>
          <w:highlight w:val="none"/>
          <w:u w:val="single" w:color="auto"/>
        </w:rPr>
        <w:t xml:space="preserve"> </w:t>
      </w:r>
      <w:r>
        <w:rPr>
          <w:rFonts w:ascii="Times New Roman" w:hAnsi="Times New Roman" w:eastAsia="Times New Roman" w:cs="Times New Roman"/>
          <w:color w:val="auto"/>
          <w:spacing w:val="-8"/>
          <w:sz w:val="21"/>
          <w:szCs w:val="21"/>
          <w:highlight w:val="none"/>
          <w:u w:val="single" w:color="auto"/>
        </w:rPr>
        <w:t>1717-2009</w:t>
      </w:r>
      <w:r>
        <w:rPr>
          <w:rFonts w:ascii="宋体" w:hAnsi="宋体" w:eastAsia="宋体" w:cs="宋体"/>
          <w:color w:val="auto"/>
          <w:spacing w:val="-8"/>
          <w:sz w:val="21"/>
          <w:szCs w:val="21"/>
          <w:highlight w:val="none"/>
          <w:u w:val="single" w:color="auto"/>
        </w:rPr>
        <w:t>）、《安徽省农业农村厅关</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u w:val="single" w:color="auto"/>
        </w:rPr>
        <w:t>于印发安徽省高标准农田建设项目竣工验收工作规定的通</w:t>
      </w:r>
      <w:r>
        <w:rPr>
          <w:rFonts w:ascii="宋体" w:hAnsi="宋体" w:eastAsia="宋体" w:cs="宋体"/>
          <w:color w:val="auto"/>
          <w:spacing w:val="-7"/>
          <w:sz w:val="21"/>
          <w:szCs w:val="21"/>
          <w:highlight w:val="none"/>
          <w:u w:val="single" w:color="auto"/>
        </w:rPr>
        <w:t>知》……</w:t>
      </w:r>
      <w:r>
        <w:rPr>
          <w:rFonts w:ascii="宋体" w:hAnsi="宋体" w:eastAsia="宋体" w:cs="宋体"/>
          <w:color w:val="auto"/>
          <w:spacing w:val="-7"/>
          <w:sz w:val="21"/>
          <w:szCs w:val="21"/>
          <w:highlight w:val="none"/>
        </w:rPr>
        <w:t>等农业农村部门有关规定。（</w:t>
      </w:r>
      <w:r>
        <w:rPr>
          <w:rFonts w:ascii="宋体" w:hAnsi="宋体" w:eastAsia="宋体" w:cs="宋体"/>
          <w:b/>
          <w:bCs/>
          <w:i/>
          <w:iCs/>
          <w:color w:val="auto"/>
          <w:spacing w:val="-7"/>
          <w:sz w:val="22"/>
          <w:szCs w:val="22"/>
          <w:highlight w:val="none"/>
        </w:rPr>
        <w:t>说明：</w:t>
      </w:r>
      <w:r>
        <w:rPr>
          <w:rFonts w:ascii="宋体" w:hAnsi="宋体" w:eastAsia="宋体" w:cs="宋体"/>
          <w:color w:val="auto"/>
          <w:sz w:val="22"/>
          <w:szCs w:val="22"/>
          <w:highlight w:val="none"/>
        </w:rPr>
        <w:t xml:space="preserve"> </w:t>
      </w:r>
      <w:r>
        <w:rPr>
          <w:rFonts w:ascii="宋体" w:hAnsi="宋体" w:eastAsia="宋体" w:cs="宋体"/>
          <w:b/>
          <w:bCs/>
          <w:i/>
          <w:iCs/>
          <w:color w:val="auto"/>
          <w:spacing w:val="-13"/>
          <w:sz w:val="22"/>
          <w:szCs w:val="22"/>
          <w:highlight w:val="none"/>
        </w:rPr>
        <w:t>横线上的内容为示范性写法，招标人可以根据招标项目的具体特点和实际需要自行填写。</w:t>
      </w:r>
      <w:r>
        <w:rPr>
          <w:rFonts w:ascii="宋体" w:hAnsi="宋体" w:eastAsia="宋体" w:cs="宋体"/>
          <w:color w:val="auto"/>
          <w:spacing w:val="-13"/>
          <w:sz w:val="21"/>
          <w:szCs w:val="21"/>
          <w:highlight w:val="none"/>
        </w:rPr>
        <w:t>）</w:t>
      </w:r>
    </w:p>
    <w:p w14:paraId="1EA50313">
      <w:pPr>
        <w:spacing w:before="166" w:line="225" w:lineRule="auto"/>
        <w:ind w:left="38"/>
        <w:outlineLvl w:val="2"/>
        <w:rPr>
          <w:rFonts w:ascii="宋体" w:hAnsi="宋体" w:eastAsia="宋体" w:cs="宋体"/>
          <w:color w:val="auto"/>
          <w:sz w:val="31"/>
          <w:szCs w:val="31"/>
          <w:highlight w:val="none"/>
        </w:rPr>
      </w:pPr>
      <w:bookmarkStart w:id="337" w:name="bookmark265"/>
      <w:bookmarkEnd w:id="337"/>
      <w:bookmarkStart w:id="338" w:name="_Toc3129"/>
      <w:bookmarkStart w:id="339" w:name="_Toc8677"/>
      <w:r>
        <w:rPr>
          <w:rFonts w:ascii="宋体" w:hAnsi="宋体" w:eastAsia="宋体" w:cs="宋体"/>
          <w:b/>
          <w:bCs/>
          <w:color w:val="auto"/>
          <w:spacing w:val="3"/>
          <w:sz w:val="31"/>
          <w:szCs w:val="31"/>
          <w:highlight w:val="none"/>
        </w:rPr>
        <w:t>19.</w:t>
      </w:r>
      <w:r>
        <w:rPr>
          <w:rFonts w:ascii="宋体" w:hAnsi="宋体" w:eastAsia="宋体" w:cs="宋体"/>
          <w:color w:val="auto"/>
          <w:spacing w:val="3"/>
          <w:sz w:val="31"/>
          <w:szCs w:val="31"/>
          <w:highlight w:val="none"/>
        </w:rPr>
        <w:t xml:space="preserve"> </w:t>
      </w:r>
      <w:r>
        <w:rPr>
          <w:rFonts w:ascii="宋体" w:hAnsi="宋体" w:eastAsia="宋体" w:cs="宋体"/>
          <w:b/>
          <w:bCs/>
          <w:color w:val="auto"/>
          <w:spacing w:val="3"/>
          <w:sz w:val="31"/>
          <w:szCs w:val="31"/>
          <w:highlight w:val="none"/>
        </w:rPr>
        <w:t>缺陷责任与保修责任</w:t>
      </w:r>
      <w:bookmarkEnd w:id="338"/>
      <w:bookmarkEnd w:id="339"/>
    </w:p>
    <w:p w14:paraId="67AE1BCE">
      <w:pPr>
        <w:spacing w:line="404" w:lineRule="auto"/>
        <w:rPr>
          <w:rFonts w:ascii="Arial"/>
          <w:color w:val="auto"/>
          <w:sz w:val="21"/>
          <w:highlight w:val="none"/>
        </w:rPr>
      </w:pPr>
    </w:p>
    <w:p w14:paraId="7D6CFED4">
      <w:pPr>
        <w:spacing w:before="91" w:line="220" w:lineRule="auto"/>
        <w:ind w:left="17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19.1</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缺陷责任期的起算时间</w:t>
      </w:r>
    </w:p>
    <w:p w14:paraId="3CE01574">
      <w:pPr>
        <w:spacing w:before="281" w:line="220" w:lineRule="auto"/>
        <w:ind w:left="431"/>
        <w:rPr>
          <w:rFonts w:ascii="宋体" w:hAnsi="宋体" w:eastAsia="宋体" w:cs="宋体"/>
          <w:color w:val="auto"/>
          <w:sz w:val="21"/>
          <w:szCs w:val="21"/>
          <w:highlight w:val="none"/>
        </w:rPr>
      </w:pPr>
      <w:r>
        <w:rPr>
          <w:rFonts w:ascii="宋体" w:hAnsi="宋体" w:eastAsia="宋体" w:cs="宋体"/>
          <w:color w:val="auto"/>
          <w:sz w:val="21"/>
          <w:szCs w:val="21"/>
          <w:highlight w:val="none"/>
        </w:rPr>
        <w:t>本工程缺陷责任期计算如下：</w:t>
      </w:r>
      <w:r>
        <w:rPr>
          <w:rFonts w:hint="eastAsia" w:ascii="Times New Roman" w:hAnsi="Times New Roman" w:cs="Times New Roman"/>
          <w:color w:val="auto"/>
          <w:szCs w:val="21"/>
          <w:highlight w:val="none"/>
          <w:u w:val="single"/>
        </w:rPr>
        <w:t>自工程完工验收合格之日起</w:t>
      </w:r>
      <w:r>
        <w:rPr>
          <w:rFonts w:hint="eastAsia" w:ascii="Times New Roman" w:hAnsi="Times New Roman" w:eastAsia="宋体" w:cs="Times New Roman"/>
          <w:color w:val="auto"/>
          <w:szCs w:val="21"/>
          <w:highlight w:val="none"/>
          <w:u w:val="single"/>
          <w:lang w:val="en-US" w:eastAsia="zh-CN"/>
        </w:rPr>
        <w:t>24个月</w:t>
      </w:r>
      <w:r>
        <w:rPr>
          <w:rFonts w:ascii="宋体" w:hAnsi="宋体" w:eastAsia="宋体" w:cs="宋体"/>
          <w:color w:val="auto"/>
          <w:spacing w:val="-1"/>
          <w:sz w:val="21"/>
          <w:szCs w:val="21"/>
          <w:highlight w:val="none"/>
        </w:rPr>
        <w:t>。</w:t>
      </w:r>
    </w:p>
    <w:p w14:paraId="4B6D461D">
      <w:pPr>
        <w:spacing w:before="172" w:line="226" w:lineRule="auto"/>
        <w:ind w:left="18"/>
        <w:outlineLvl w:val="2"/>
        <w:rPr>
          <w:rFonts w:ascii="宋体" w:hAnsi="宋体" w:eastAsia="宋体" w:cs="宋体"/>
          <w:color w:val="auto"/>
          <w:sz w:val="31"/>
          <w:szCs w:val="31"/>
          <w:highlight w:val="none"/>
        </w:rPr>
      </w:pPr>
      <w:bookmarkStart w:id="340" w:name="bookmark266"/>
      <w:bookmarkEnd w:id="340"/>
      <w:bookmarkStart w:id="341" w:name="_Toc29346"/>
      <w:bookmarkStart w:id="342" w:name="_Toc840"/>
      <w:r>
        <w:rPr>
          <w:rFonts w:ascii="宋体" w:hAnsi="宋体" w:eastAsia="宋体" w:cs="宋体"/>
          <w:b/>
          <w:bCs/>
          <w:color w:val="auto"/>
          <w:spacing w:val="-2"/>
          <w:sz w:val="31"/>
          <w:szCs w:val="31"/>
          <w:highlight w:val="none"/>
        </w:rPr>
        <w:t>20.</w:t>
      </w:r>
      <w:r>
        <w:rPr>
          <w:rFonts w:ascii="宋体" w:hAnsi="宋体" w:eastAsia="宋体" w:cs="宋体"/>
          <w:color w:val="auto"/>
          <w:spacing w:val="22"/>
          <w:sz w:val="31"/>
          <w:szCs w:val="31"/>
          <w:highlight w:val="none"/>
        </w:rPr>
        <w:t xml:space="preserve"> </w:t>
      </w:r>
      <w:r>
        <w:rPr>
          <w:rFonts w:ascii="宋体" w:hAnsi="宋体" w:eastAsia="宋体" w:cs="宋体"/>
          <w:b/>
          <w:bCs/>
          <w:color w:val="auto"/>
          <w:spacing w:val="-2"/>
          <w:sz w:val="31"/>
          <w:szCs w:val="31"/>
          <w:highlight w:val="none"/>
        </w:rPr>
        <w:t>保险</w:t>
      </w:r>
      <w:bookmarkEnd w:id="341"/>
      <w:bookmarkEnd w:id="342"/>
    </w:p>
    <w:p w14:paraId="1A91D8AC">
      <w:pPr>
        <w:spacing w:before="276" w:line="221" w:lineRule="auto"/>
        <w:ind w:left="153"/>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20.1</w:t>
      </w:r>
      <w:r>
        <w:rPr>
          <w:rFonts w:ascii="宋体" w:hAnsi="宋体" w:eastAsia="宋体" w:cs="宋体"/>
          <w:color w:val="auto"/>
          <w:spacing w:val="23"/>
          <w:sz w:val="28"/>
          <w:szCs w:val="28"/>
          <w:highlight w:val="none"/>
        </w:rPr>
        <w:t xml:space="preserve"> </w:t>
      </w:r>
      <w:r>
        <w:rPr>
          <w:rFonts w:ascii="宋体" w:hAnsi="宋体" w:eastAsia="宋体" w:cs="宋体"/>
          <w:b/>
          <w:bCs/>
          <w:color w:val="auto"/>
          <w:spacing w:val="-6"/>
          <w:sz w:val="28"/>
          <w:szCs w:val="28"/>
          <w:highlight w:val="none"/>
        </w:rPr>
        <w:t>工程保险</w:t>
      </w:r>
    </w:p>
    <w:p w14:paraId="12BB76E1">
      <w:pPr>
        <w:spacing w:before="279" w:line="345" w:lineRule="auto"/>
        <w:ind w:left="433" w:right="27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建筑工程一切险和（或）安装工程一切险投保人：</w:t>
      </w:r>
      <w:r>
        <w:rPr>
          <w:rFonts w:ascii="宋体" w:hAnsi="宋体" w:eastAsia="宋体" w:cs="宋体"/>
          <w:color w:val="auto"/>
          <w:spacing w:val="-2"/>
          <w:sz w:val="21"/>
          <w:szCs w:val="21"/>
          <w:highlight w:val="none"/>
          <w:u w:val="single" w:color="auto"/>
        </w:rPr>
        <w:t>执行通用条款</w:t>
      </w:r>
      <w:r>
        <w:rPr>
          <w:rFonts w:ascii="宋体" w:hAnsi="宋体" w:eastAsia="宋体" w:cs="宋体"/>
          <w:color w:val="auto"/>
          <w:spacing w:val="-2"/>
          <w:sz w:val="21"/>
          <w:szCs w:val="21"/>
          <w:highlight w:val="none"/>
        </w:rPr>
        <w:t>；</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投保内容：</w:t>
      </w:r>
      <w:r>
        <w:rPr>
          <w:rFonts w:ascii="宋体" w:hAnsi="宋体" w:eastAsia="宋体" w:cs="宋体"/>
          <w:color w:val="auto"/>
          <w:spacing w:val="-1"/>
          <w:sz w:val="21"/>
          <w:szCs w:val="21"/>
          <w:highlight w:val="none"/>
          <w:u w:val="single" w:color="auto"/>
        </w:rPr>
        <w:t xml:space="preserve">       本项目         </w:t>
      </w:r>
      <w:r>
        <w:rPr>
          <w:rFonts w:ascii="宋体" w:hAnsi="宋体" w:eastAsia="宋体" w:cs="宋体"/>
          <w:color w:val="auto"/>
          <w:spacing w:val="-1"/>
          <w:sz w:val="21"/>
          <w:szCs w:val="21"/>
          <w:highlight w:val="none"/>
        </w:rPr>
        <w:t>；</w:t>
      </w:r>
    </w:p>
    <w:p w14:paraId="22B34E75">
      <w:pPr>
        <w:spacing w:before="33" w:line="344" w:lineRule="auto"/>
        <w:ind w:left="11" w:right="373" w:firstLine="4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保险金额、保险费率和保险期限：</w:t>
      </w:r>
      <w:r>
        <w:rPr>
          <w:rFonts w:ascii="宋体" w:hAnsi="宋体" w:eastAsia="宋体" w:cs="宋体"/>
          <w:color w:val="auto"/>
          <w:spacing w:val="-5"/>
          <w:sz w:val="21"/>
          <w:szCs w:val="21"/>
          <w:highlight w:val="none"/>
          <w:u w:val="single" w:color="auto"/>
        </w:rPr>
        <w:t>依据保险凭证；由承包人以</w:t>
      </w:r>
      <w:r>
        <w:rPr>
          <w:rFonts w:ascii="宋体" w:hAnsi="宋体" w:eastAsia="宋体" w:cs="宋体"/>
          <w:color w:val="auto"/>
          <w:spacing w:val="-6"/>
          <w:sz w:val="21"/>
          <w:szCs w:val="21"/>
          <w:highlight w:val="none"/>
          <w:u w:val="single" w:color="auto"/>
        </w:rPr>
        <w:t>发包人和承包人共同名义投保，</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u w:val="single" w:color="auto"/>
        </w:rPr>
        <w:t>保险费包含在签约合同价中</w:t>
      </w:r>
      <w:r>
        <w:rPr>
          <w:rFonts w:ascii="宋体" w:hAnsi="宋体" w:eastAsia="宋体" w:cs="宋体"/>
          <w:color w:val="auto"/>
          <w:spacing w:val="-1"/>
          <w:sz w:val="21"/>
          <w:szCs w:val="21"/>
          <w:highlight w:val="none"/>
        </w:rPr>
        <w:t>。</w:t>
      </w:r>
    </w:p>
    <w:p w14:paraId="3AE6A7BC">
      <w:pPr>
        <w:spacing w:before="32" w:line="219" w:lineRule="auto"/>
        <w:ind w:left="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承包人须按照有关规定及时投保，否则，发包人有权在合同价款中</w:t>
      </w:r>
      <w:r>
        <w:rPr>
          <w:rFonts w:hint="eastAsia" w:ascii="宋体" w:hAnsi="宋体" w:eastAsia="宋体" w:cs="宋体"/>
          <w:color w:val="auto"/>
          <w:spacing w:val="-1"/>
          <w:sz w:val="21"/>
          <w:szCs w:val="21"/>
          <w:highlight w:val="none"/>
          <w:lang w:eastAsia="zh-CN"/>
        </w:rPr>
        <w:t>支付</w:t>
      </w:r>
      <w:r>
        <w:rPr>
          <w:rFonts w:ascii="宋体" w:hAnsi="宋体" w:eastAsia="宋体" w:cs="宋体"/>
          <w:color w:val="auto"/>
          <w:spacing w:val="-1"/>
          <w:sz w:val="21"/>
          <w:szCs w:val="21"/>
          <w:highlight w:val="none"/>
        </w:rPr>
        <w:t>保险费。</w:t>
      </w:r>
    </w:p>
    <w:p w14:paraId="231C14BF">
      <w:pPr>
        <w:spacing w:before="56" w:line="220" w:lineRule="auto"/>
        <w:ind w:left="142"/>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20.4</w:t>
      </w:r>
      <w:r>
        <w:rPr>
          <w:rFonts w:ascii="宋体" w:hAnsi="宋体" w:eastAsia="宋体" w:cs="宋体"/>
          <w:color w:val="auto"/>
          <w:spacing w:val="-53"/>
          <w:sz w:val="28"/>
          <w:szCs w:val="28"/>
          <w:highlight w:val="none"/>
        </w:rPr>
        <w:t xml:space="preserve"> </w:t>
      </w:r>
      <w:r>
        <w:rPr>
          <w:rFonts w:ascii="宋体" w:hAnsi="宋体" w:eastAsia="宋体" w:cs="宋体"/>
          <w:b/>
          <w:bCs/>
          <w:color w:val="auto"/>
          <w:spacing w:val="-5"/>
          <w:sz w:val="28"/>
          <w:szCs w:val="28"/>
          <w:highlight w:val="none"/>
        </w:rPr>
        <w:t>第三者责任险</w:t>
      </w:r>
    </w:p>
    <w:p w14:paraId="4A9FFB69">
      <w:pPr>
        <w:spacing w:before="279" w:line="347" w:lineRule="auto"/>
        <w:ind w:left="10" w:right="2" w:firstLine="41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20.4.2</w:t>
      </w:r>
      <w:r>
        <w:rPr>
          <w:rFonts w:ascii="宋体" w:hAnsi="宋体" w:eastAsia="宋体" w:cs="宋体"/>
          <w:color w:val="auto"/>
          <w:spacing w:val="-30"/>
          <w:sz w:val="21"/>
          <w:szCs w:val="21"/>
          <w:highlight w:val="none"/>
        </w:rPr>
        <w:t xml:space="preserve"> </w:t>
      </w:r>
      <w:r>
        <w:rPr>
          <w:rFonts w:ascii="宋体" w:hAnsi="宋体" w:eastAsia="宋体" w:cs="宋体"/>
          <w:color w:val="auto"/>
          <w:spacing w:val="-1"/>
          <w:sz w:val="21"/>
          <w:szCs w:val="21"/>
          <w:highlight w:val="none"/>
        </w:rPr>
        <w:t>第三者责任险保险费率：</w:t>
      </w:r>
      <w:r>
        <w:rPr>
          <w:rFonts w:ascii="宋体" w:hAnsi="宋体" w:eastAsia="宋体" w:cs="宋体"/>
          <w:color w:val="auto"/>
          <w:spacing w:val="-1"/>
          <w:sz w:val="21"/>
          <w:szCs w:val="21"/>
          <w:highlight w:val="none"/>
          <w:u w:val="single" w:color="auto"/>
        </w:rPr>
        <w:t>依据保险凭证，由承包人以发包人和承包人共同名义投保，保</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u w:val="single" w:color="auto"/>
        </w:rPr>
        <w:t>费包含在签约合同价中</w:t>
      </w:r>
      <w:r>
        <w:rPr>
          <w:rFonts w:ascii="宋体" w:hAnsi="宋体" w:eastAsia="宋体" w:cs="宋体"/>
          <w:color w:val="auto"/>
          <w:spacing w:val="-2"/>
          <w:sz w:val="21"/>
          <w:szCs w:val="21"/>
          <w:highlight w:val="none"/>
        </w:rPr>
        <w:t>；</w:t>
      </w:r>
    </w:p>
    <w:p w14:paraId="55BB8FD4">
      <w:pPr>
        <w:spacing w:before="29" w:line="220" w:lineRule="auto"/>
        <w:ind w:left="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第三者责任险保险金额：</w:t>
      </w:r>
      <w:r>
        <w:rPr>
          <w:rFonts w:ascii="宋体" w:hAnsi="宋体" w:eastAsia="宋体" w:cs="宋体"/>
          <w:color w:val="auto"/>
          <w:spacing w:val="-1"/>
          <w:sz w:val="21"/>
          <w:szCs w:val="21"/>
          <w:highlight w:val="none"/>
          <w:u w:val="single" w:color="auto"/>
        </w:rPr>
        <w:t xml:space="preserve">   依据保险凭证 </w:t>
      </w:r>
      <w:r>
        <w:rPr>
          <w:rFonts w:ascii="宋体" w:hAnsi="宋体" w:eastAsia="宋体" w:cs="宋体"/>
          <w:color w:val="auto"/>
          <w:spacing w:val="-1"/>
          <w:sz w:val="21"/>
          <w:szCs w:val="21"/>
          <w:highlight w:val="none"/>
        </w:rPr>
        <w:t>。</w:t>
      </w:r>
    </w:p>
    <w:p w14:paraId="3BE6E951">
      <w:pPr>
        <w:spacing w:line="333" w:lineRule="auto"/>
        <w:rPr>
          <w:rFonts w:ascii="Arial"/>
          <w:color w:val="auto"/>
          <w:sz w:val="21"/>
          <w:highlight w:val="none"/>
        </w:rPr>
      </w:pPr>
    </w:p>
    <w:p w14:paraId="6D77C870">
      <w:pPr>
        <w:spacing w:before="91"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其他保险</w:t>
      </w:r>
    </w:p>
    <w:p w14:paraId="652CC9F1">
      <w:pPr>
        <w:spacing w:before="279"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本款约定为：</w:t>
      </w:r>
    </w:p>
    <w:p w14:paraId="04092266">
      <w:pPr>
        <w:spacing w:before="157" w:line="347" w:lineRule="auto"/>
        <w:ind w:right="249" w:firstLine="419"/>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承包人应为其施工设备等办理保险，其投保金额应足以现场重置。办理本款保险的</w:t>
      </w:r>
      <w:r>
        <w:rPr>
          <w:rFonts w:ascii="宋体" w:hAnsi="宋体" w:eastAsia="宋体" w:cs="宋体"/>
          <w:color w:val="auto"/>
          <w:spacing w:val="-1"/>
          <w:sz w:val="21"/>
          <w:szCs w:val="21"/>
          <w:highlight w:val="none"/>
        </w:rPr>
        <w:t>一切费用</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均由承包人承担，并包括在投标报价中，发包人不单独支付。</w:t>
      </w:r>
    </w:p>
    <w:p w14:paraId="141BD754">
      <w:pPr>
        <w:spacing w:before="31" w:line="345" w:lineRule="auto"/>
        <w:ind w:left="420" w:right="2591" w:firstLine="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需要投保的其他内容</w:t>
      </w:r>
      <w:r>
        <w:rPr>
          <w:rFonts w:ascii="宋体" w:hAnsi="宋体" w:eastAsia="宋体" w:cs="宋体"/>
          <w:color w:val="auto"/>
          <w:spacing w:val="-13"/>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1"/>
          <w:sz w:val="21"/>
          <w:szCs w:val="21"/>
          <w:highlight w:val="none"/>
        </w:rPr>
        <w:t>保险金额、保险费率和保险期限：</w:t>
      </w:r>
      <w:r>
        <w:rPr>
          <w:rFonts w:ascii="宋体" w:hAnsi="宋体" w:eastAsia="宋体" w:cs="宋体"/>
          <w:color w:val="auto"/>
          <w:spacing w:val="-1"/>
          <w:sz w:val="21"/>
          <w:szCs w:val="21"/>
          <w:highlight w:val="none"/>
          <w:u w:val="single" w:color="auto"/>
        </w:rPr>
        <w:t xml:space="preserve">                       </w:t>
      </w:r>
    </w:p>
    <w:p w14:paraId="467A72C7">
      <w:pPr>
        <w:spacing w:before="299"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20.6</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对各项保险的一般要求</w:t>
      </w:r>
    </w:p>
    <w:p w14:paraId="19698E4A">
      <w:pPr>
        <w:spacing w:before="279"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保险凭证</w:t>
      </w:r>
    </w:p>
    <w:p w14:paraId="49ED2B6C">
      <w:pPr>
        <w:spacing w:before="157" w:line="220" w:lineRule="auto"/>
        <w:ind w:left="419"/>
        <w:rPr>
          <w:rFonts w:ascii="宋体" w:hAnsi="宋体" w:eastAsia="宋体" w:cs="宋体"/>
          <w:color w:val="auto"/>
          <w:spacing w:val="-1"/>
          <w:sz w:val="21"/>
          <w:szCs w:val="21"/>
          <w:highlight w:val="none"/>
        </w:rPr>
      </w:pPr>
      <w:r>
        <w:rPr>
          <w:rFonts w:ascii="宋体" w:hAnsi="宋体" w:eastAsia="宋体" w:cs="宋体"/>
          <w:color w:val="auto"/>
          <w:sz w:val="21"/>
          <w:szCs w:val="21"/>
          <w:highlight w:val="none"/>
        </w:rPr>
        <w:t>承包人最迟应向发包人提交各项保险生效的证据和保险单副本</w:t>
      </w:r>
      <w:r>
        <w:rPr>
          <w:rFonts w:ascii="宋体" w:hAnsi="宋体" w:eastAsia="宋体" w:cs="宋体"/>
          <w:color w:val="auto"/>
          <w:spacing w:val="-1"/>
          <w:sz w:val="21"/>
          <w:szCs w:val="21"/>
          <w:highlight w:val="none"/>
        </w:rPr>
        <w:t>的期限：开工后</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1"/>
          <w:sz w:val="21"/>
          <w:szCs w:val="21"/>
          <w:highlight w:val="none"/>
        </w:rPr>
        <w:t>天</w:t>
      </w:r>
    </w:p>
    <w:p w14:paraId="67FD3C3E">
      <w:pPr>
        <w:spacing w:before="157" w:line="220" w:lineRule="auto"/>
        <w:ind w:left="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内。</w:t>
      </w:r>
    </w:p>
    <w:p w14:paraId="557C28E0">
      <w:pPr>
        <w:spacing w:before="160"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保险条件：</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75B6D680">
      <w:pPr>
        <w:spacing w:before="157"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20.6.4</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保险金不足的补偿</w:t>
      </w:r>
    </w:p>
    <w:p w14:paraId="2AC9EA50">
      <w:pPr>
        <w:spacing w:before="156" w:line="221" w:lineRule="auto"/>
        <w:ind w:left="419"/>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承包人负责补偿的范围与金额：</w:t>
      </w:r>
      <w:r>
        <w:rPr>
          <w:rFonts w:ascii="宋体" w:hAnsi="宋体" w:eastAsia="宋体" w:cs="宋体"/>
          <w:color w:val="auto"/>
          <w:sz w:val="21"/>
          <w:szCs w:val="21"/>
          <w:highlight w:val="none"/>
          <w:u w:val="single" w:color="auto"/>
        </w:rPr>
        <w:t>全部由承包人负</w:t>
      </w:r>
      <w:r>
        <w:rPr>
          <w:rFonts w:ascii="宋体" w:hAnsi="宋体" w:eastAsia="宋体" w:cs="宋体"/>
          <w:color w:val="auto"/>
          <w:spacing w:val="-1"/>
          <w:sz w:val="21"/>
          <w:szCs w:val="21"/>
          <w:highlight w:val="none"/>
          <w:u w:val="single" w:color="auto"/>
        </w:rPr>
        <w:t>责补偿</w:t>
      </w:r>
      <w:r>
        <w:rPr>
          <w:rFonts w:ascii="宋体" w:hAnsi="宋体" w:eastAsia="宋体" w:cs="宋体"/>
          <w:color w:val="auto"/>
          <w:spacing w:val="-1"/>
          <w:sz w:val="21"/>
          <w:szCs w:val="21"/>
          <w:highlight w:val="none"/>
        </w:rPr>
        <w:t>；</w:t>
      </w:r>
    </w:p>
    <w:p w14:paraId="0070BD07">
      <w:pPr>
        <w:spacing w:before="157" w:line="221" w:lineRule="auto"/>
        <w:ind w:left="422"/>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发包人负责补偿的范围与金额：</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0AAAC077">
      <w:pPr>
        <w:spacing w:before="173" w:line="225" w:lineRule="auto"/>
        <w:ind w:left="7"/>
        <w:outlineLvl w:val="2"/>
        <w:rPr>
          <w:rFonts w:ascii="宋体" w:hAnsi="宋体" w:eastAsia="宋体" w:cs="宋体"/>
          <w:color w:val="auto"/>
          <w:sz w:val="31"/>
          <w:szCs w:val="31"/>
          <w:highlight w:val="none"/>
        </w:rPr>
      </w:pPr>
      <w:bookmarkStart w:id="343" w:name="bookmark267"/>
      <w:bookmarkEnd w:id="343"/>
      <w:bookmarkStart w:id="344" w:name="_Toc8131"/>
      <w:bookmarkStart w:id="345" w:name="_Toc5113"/>
      <w:r>
        <w:rPr>
          <w:rFonts w:ascii="宋体" w:hAnsi="宋体" w:eastAsia="宋体" w:cs="宋体"/>
          <w:b/>
          <w:bCs/>
          <w:color w:val="auto"/>
          <w:sz w:val="31"/>
          <w:szCs w:val="31"/>
          <w:highlight w:val="none"/>
        </w:rPr>
        <w:t>21.</w:t>
      </w:r>
      <w:r>
        <w:rPr>
          <w:rFonts w:ascii="宋体" w:hAnsi="宋体" w:eastAsia="宋体" w:cs="宋体"/>
          <w:color w:val="auto"/>
          <w:spacing w:val="29"/>
          <w:sz w:val="31"/>
          <w:szCs w:val="31"/>
          <w:highlight w:val="none"/>
        </w:rPr>
        <w:t xml:space="preserve"> </w:t>
      </w:r>
      <w:r>
        <w:rPr>
          <w:rFonts w:ascii="宋体" w:hAnsi="宋体" w:eastAsia="宋体" w:cs="宋体"/>
          <w:b/>
          <w:bCs/>
          <w:color w:val="auto"/>
          <w:sz w:val="31"/>
          <w:szCs w:val="31"/>
          <w:highlight w:val="none"/>
        </w:rPr>
        <w:t>不可抗力</w:t>
      </w:r>
      <w:bookmarkEnd w:id="344"/>
      <w:bookmarkEnd w:id="345"/>
    </w:p>
    <w:p w14:paraId="5A945683">
      <w:pPr>
        <w:spacing w:before="276"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21.1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不可抗力的确认</w:t>
      </w:r>
    </w:p>
    <w:p w14:paraId="705384CD">
      <w:pPr>
        <w:spacing w:before="280" w:line="221" w:lineRule="auto"/>
        <w:ind w:left="421"/>
        <w:rPr>
          <w:rFonts w:ascii="宋体" w:hAnsi="宋体" w:eastAsia="宋体" w:cs="宋体"/>
          <w:color w:val="auto"/>
          <w:sz w:val="21"/>
          <w:szCs w:val="21"/>
          <w:highlight w:val="none"/>
        </w:rPr>
      </w:pPr>
      <w:r>
        <w:rPr>
          <w:rFonts w:ascii="宋体" w:hAnsi="宋体" w:eastAsia="宋体" w:cs="宋体"/>
          <w:color w:val="auto"/>
          <w:sz w:val="21"/>
          <w:szCs w:val="21"/>
          <w:highlight w:val="none"/>
        </w:rPr>
        <w:t>21.1.1 不可抗力的其他情形：</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08D062CA">
      <w:pPr>
        <w:spacing w:before="173" w:line="230" w:lineRule="auto"/>
        <w:ind w:left="7"/>
        <w:outlineLvl w:val="2"/>
        <w:rPr>
          <w:rFonts w:ascii="宋体" w:hAnsi="宋体" w:eastAsia="宋体" w:cs="宋体"/>
          <w:color w:val="auto"/>
          <w:sz w:val="31"/>
          <w:szCs w:val="31"/>
          <w:highlight w:val="none"/>
        </w:rPr>
      </w:pPr>
      <w:bookmarkStart w:id="346" w:name="bookmark268"/>
      <w:bookmarkEnd w:id="346"/>
      <w:bookmarkStart w:id="347" w:name="_Toc4086"/>
      <w:bookmarkStart w:id="348" w:name="_Toc24135"/>
      <w:r>
        <w:rPr>
          <w:rFonts w:ascii="宋体" w:hAnsi="宋体" w:eastAsia="宋体" w:cs="宋体"/>
          <w:b/>
          <w:bCs/>
          <w:color w:val="auto"/>
          <w:spacing w:val="-2"/>
          <w:sz w:val="31"/>
          <w:szCs w:val="31"/>
          <w:highlight w:val="none"/>
        </w:rPr>
        <w:t>22.</w:t>
      </w:r>
      <w:r>
        <w:rPr>
          <w:rFonts w:ascii="宋体" w:hAnsi="宋体" w:eastAsia="宋体" w:cs="宋体"/>
          <w:color w:val="auto"/>
          <w:spacing w:val="22"/>
          <w:sz w:val="31"/>
          <w:szCs w:val="31"/>
          <w:highlight w:val="none"/>
        </w:rPr>
        <w:t xml:space="preserve"> </w:t>
      </w:r>
      <w:r>
        <w:rPr>
          <w:rFonts w:ascii="宋体" w:hAnsi="宋体" w:eastAsia="宋体" w:cs="宋体"/>
          <w:b/>
          <w:bCs/>
          <w:color w:val="auto"/>
          <w:spacing w:val="-2"/>
          <w:sz w:val="31"/>
          <w:szCs w:val="31"/>
          <w:highlight w:val="none"/>
        </w:rPr>
        <w:t>违约</w:t>
      </w:r>
      <w:bookmarkEnd w:id="347"/>
      <w:bookmarkEnd w:id="348"/>
    </w:p>
    <w:p w14:paraId="211AC50E">
      <w:pPr>
        <w:spacing w:before="268"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22.1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承包人违约</w:t>
      </w:r>
    </w:p>
    <w:p w14:paraId="5A1A5186">
      <w:pPr>
        <w:spacing w:before="280" w:line="221" w:lineRule="auto"/>
        <w:ind w:left="41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22.1.2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对承包人违约的处理</w:t>
      </w:r>
    </w:p>
    <w:p w14:paraId="351D9600">
      <w:pPr>
        <w:spacing w:before="158"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本项细化为：</w:t>
      </w:r>
    </w:p>
    <w:p w14:paraId="692F21D1">
      <w:pPr>
        <w:spacing w:before="157" w:line="348" w:lineRule="auto"/>
        <w:ind w:left="4"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22.1.2 当承包人发生第 22.1.1 项约定的违</w:t>
      </w:r>
      <w:r>
        <w:rPr>
          <w:rFonts w:ascii="宋体" w:hAnsi="宋体" w:eastAsia="宋体" w:cs="宋体"/>
          <w:color w:val="auto"/>
          <w:spacing w:val="-2"/>
          <w:sz w:val="21"/>
          <w:szCs w:val="21"/>
          <w:highlight w:val="none"/>
        </w:rPr>
        <w:t>约情况时，发包人有权向承包人课以违约金，具体</w:t>
      </w:r>
      <w:r>
        <w:rPr>
          <w:rFonts w:ascii="宋体" w:hAnsi="宋体" w:eastAsia="宋体" w:cs="宋体"/>
          <w:color w:val="auto"/>
          <w:sz w:val="21"/>
          <w:szCs w:val="21"/>
          <w:highlight w:val="none"/>
        </w:rPr>
        <w:t>约定如下：</w:t>
      </w:r>
    </w:p>
    <w:p w14:paraId="393BF2F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项目承包人在施工现场需配备标准化项目部，明确组成部分，配备标准化设施（智能刷脸系统等），配备足够的按表土剥离区划分的区域施工监督公示牌，具备创建标准化工地基本条件。</w:t>
      </w:r>
    </w:p>
    <w:p w14:paraId="5F5E37A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人员驻场要求：承包人项目经理、技术负责人等纳入生物识别系统进行管理和考核，必须常驻施工现场，履行义务，不得随意更换，且每月出勤天数不得少于22天，否则，每缺勤一次支付违约金2000元；根据业主会议通知，项目经理、技术负责人等人员每缺席一次会议支付违约金 5000元。专职质检员、专职安全员、专职资料员每月驻工地天数不得少于22 天，每缺勤一天支付违约金 1000元。以上情况情节严重的，予以上网公示，报招投标管理部门予以处理。</w:t>
      </w:r>
    </w:p>
    <w:p w14:paraId="0E1242A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2、专项施工方案要求： 田块整治、灌溉与排水、田间道路等影响工程质量、工期的重要分部分项工程，施工总承包企业必须组织技术人员，经现场勘测、测量，建立施工控制网，编制专项施工方案，经发包人组织论证后方可按程序施工，否则每次支付违约金1万元。  </w:t>
      </w:r>
    </w:p>
    <w:p w14:paraId="41D4B52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原材料、构配件和设备要求：承包人所采购并进入高标准农田建设项目施工现场的建筑材料、构配件和设备应具有质量保证资料（每批次的产品合格证、检测检验报告等）。进场的混凝土必须为商混并满足抗冻、抗渗、抗折等要求，商混严禁使用再生料拌制；使用的水泥等级标准最低满足42.5普通硅酸盐水泥；现场必须配备足够的新模具、新模板，严禁使用旧、变形等材料；以上每发现一次支付违约金5000元，责令不符合要求的材料设备立即退场。施工单位、监理单位应对原材料和中间材料见证取样和送检，并对构配件和设备等进行抽检，合格并批准后方可使用，未经检查、检验擅自用于工程的，每次支付违约金5000元，累计达三次以上发包人有权支付30%的履约保证金，并予以上网公示，报招投标管理部门予以处理。</w:t>
      </w:r>
    </w:p>
    <w:p w14:paraId="0B30F3C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工序、隐蔽工程施工要求：施工单位必须建立、健全施工质量的检验制度，严格工序管理，作好隐蔽工程的质量检查和记录。灌溉与排水、田间道路、构筑物等影响工程质量的重要工程，上一工序完工，隐蔽工程在隐蔽前，必须经发包方、监理方或发包方指定单位（人员）验收合格后方可进入下道工序，未经验收直接进入下道工序施工的，未造成质量安全问题的每次支付0.5万元违约金，造成质量安全问题每次支付违约金1万元-3万元，并无条件进行整改建设，累计达三次以上，支付50%的履约保证金，予以上网公示并报招投标管理部门予以处理。</w:t>
      </w:r>
    </w:p>
    <w:p w14:paraId="61C856C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农民工工资要求：严格按照国家法律、法规、政策及时办理农民工工资保函、保证金及有关要求，承包人在施工过程中，必须按月足额支付人工工资，乡镇组织的工程竣工验收前，承包人必须全部付清农民工工资、工程机械费等费用，否则不予拨付相应的进度款。因发放不及时造成上访或其他不稳定因素的，每次支付违约金1-5万元。以上情况情节严重的，予以上网公示，报招投标管理部门予以处理。</w:t>
      </w:r>
    </w:p>
    <w:p w14:paraId="5C780F0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工程质量处置要求：承包人施工的工程质量不符合要求、发生严重质量（安全）事故、无故托延工期，发包人有权单方解除与承包人签订的施工合同。承包人从收到发包人要求撤离现场书面通知之日起7日内，必须无条件撤离现场（包括所有未使用的材料、机械、设备、成品、半成品，合同解除后，此部分发包人不支付任何费用），并自行承担撤离现场所发生的一切费用，同时发包人解除与承包人签订的施工合同，且不退还履约保证金，并报招投标管理部门予以处理。</w:t>
      </w:r>
    </w:p>
    <w:p w14:paraId="5C621BF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安全生产和文明施工：严格遵守国家安全生产和文明施工规定，因承包人原因造成的各类人身伤亡等事故，其责任和费用均由承包人自行承担。承包人未按国家规定的安全文明施工标准施工，每发现一次支付2000元违约金，累计达三次以上，发包人不支付安全文明施工专项费用。</w:t>
      </w:r>
    </w:p>
    <w:p w14:paraId="09A0615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8、按图施工：承包人未经发包人同意，不得随意变更田块大小和形状以及渠系和道路等位置，不按设计图纸施工，每发现一处支付1万元违约金。</w:t>
      </w:r>
    </w:p>
    <w:p w14:paraId="3291DE5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竣工图：承包人提交竣工图（实测，定点定位）时必须同时提交竣工图光盘，光盘内容必须与竣工图相符，因承包人提供的竣工图与现场实际不符在后期造成不良后果的，所发生的整改费用由承包人承担并给予支付合同价的1-5%的违约金。</w:t>
      </w:r>
    </w:p>
    <w:p w14:paraId="5AD8467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信访投诉及舆情问题处理：由施工单位施工造成“12345”等信访投诉、社会舆情等方面问题，每发现一起支付违约金5000元。由施工单位施工引起的未及时报告并积极解决的，造成不良社会影响，根据施工造成损失的程度支付合同价款的0.1‰-5‰，直至承包人妥善解决问题为止。以上情况情节严重造成恶劣影响的，予以上网公示，报招投标管理部门予以处理。</w:t>
      </w:r>
    </w:p>
    <w:p w14:paraId="2D519118">
      <w:pPr>
        <w:spacing w:before="296" w:line="221" w:lineRule="auto"/>
        <w:ind w:left="142"/>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22.2</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5"/>
          <w:sz w:val="28"/>
          <w:szCs w:val="28"/>
          <w:highlight w:val="none"/>
        </w:rPr>
        <w:t>发包人违约</w:t>
      </w:r>
    </w:p>
    <w:p w14:paraId="76CAA11C">
      <w:pPr>
        <w:spacing w:before="279"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22.2.2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承包人有权暂停施工</w:t>
      </w:r>
    </w:p>
    <w:p w14:paraId="27E9F342">
      <w:pPr>
        <w:spacing w:before="42" w:line="220" w:lineRule="auto"/>
        <w:ind w:left="419"/>
        <w:rPr>
          <w:rFonts w:ascii="宋体" w:hAnsi="宋体" w:eastAsia="宋体" w:cs="宋体"/>
          <w:color w:val="auto"/>
          <w:spacing w:val="-4"/>
          <w:sz w:val="21"/>
          <w:szCs w:val="21"/>
          <w:highlight w:val="none"/>
        </w:rPr>
      </w:pPr>
    </w:p>
    <w:p w14:paraId="40E9C84A">
      <w:pPr>
        <w:spacing w:before="42" w:line="220" w:lineRule="auto"/>
        <w:ind w:left="41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本项补充以下内容：</w:t>
      </w:r>
    </w:p>
    <w:p w14:paraId="68414D07">
      <w:pPr>
        <w:spacing w:before="158" w:line="346" w:lineRule="auto"/>
        <w:ind w:left="4" w:right="4" w:firstLine="42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当</w:t>
      </w:r>
      <w:r>
        <w:rPr>
          <w:rFonts w:ascii="宋体" w:hAnsi="宋体" w:eastAsia="宋体" w:cs="宋体"/>
          <w:color w:val="auto"/>
          <w:spacing w:val="-58"/>
          <w:sz w:val="21"/>
          <w:szCs w:val="21"/>
          <w:highlight w:val="none"/>
        </w:rPr>
        <w:t xml:space="preserve"> </w:t>
      </w:r>
      <w:r>
        <w:rPr>
          <w:rFonts w:ascii="宋体" w:hAnsi="宋体" w:eastAsia="宋体" w:cs="宋体"/>
          <w:color w:val="auto"/>
          <w:spacing w:val="4"/>
          <w:sz w:val="21"/>
          <w:szCs w:val="21"/>
          <w:highlight w:val="none"/>
        </w:rPr>
        <w:t>发包</w:t>
      </w:r>
      <w:r>
        <w:rPr>
          <w:rFonts w:ascii="宋体" w:hAnsi="宋体" w:eastAsia="宋体" w:cs="宋体"/>
          <w:color w:val="auto"/>
          <w:spacing w:val="-61"/>
          <w:sz w:val="21"/>
          <w:szCs w:val="21"/>
          <w:highlight w:val="none"/>
        </w:rPr>
        <w:t xml:space="preserve"> </w:t>
      </w:r>
      <w:r>
        <w:rPr>
          <w:rFonts w:ascii="宋体" w:hAnsi="宋体" w:eastAsia="宋体" w:cs="宋体"/>
          <w:color w:val="auto"/>
          <w:spacing w:val="4"/>
          <w:sz w:val="21"/>
          <w:szCs w:val="21"/>
          <w:highlight w:val="none"/>
        </w:rPr>
        <w:t>人</w:t>
      </w:r>
      <w:r>
        <w:rPr>
          <w:rFonts w:ascii="宋体" w:hAnsi="宋体" w:eastAsia="宋体" w:cs="宋体"/>
          <w:color w:val="auto"/>
          <w:spacing w:val="-60"/>
          <w:sz w:val="21"/>
          <w:szCs w:val="21"/>
          <w:highlight w:val="none"/>
        </w:rPr>
        <w:t xml:space="preserve"> </w:t>
      </w:r>
      <w:r>
        <w:rPr>
          <w:rFonts w:ascii="宋体" w:hAnsi="宋体" w:eastAsia="宋体" w:cs="宋体"/>
          <w:color w:val="auto"/>
          <w:spacing w:val="4"/>
          <w:sz w:val="21"/>
          <w:szCs w:val="21"/>
          <w:highlight w:val="none"/>
        </w:rPr>
        <w:t>发生第22.2.1项</w:t>
      </w:r>
      <w:r>
        <w:rPr>
          <w:rFonts w:ascii="宋体" w:hAnsi="宋体" w:eastAsia="宋体" w:cs="宋体"/>
          <w:color w:val="auto"/>
          <w:spacing w:val="-59"/>
          <w:sz w:val="21"/>
          <w:szCs w:val="21"/>
          <w:highlight w:val="none"/>
        </w:rPr>
        <w:t xml:space="preserve"> </w:t>
      </w:r>
      <w:r>
        <w:rPr>
          <w:rFonts w:ascii="宋体" w:hAnsi="宋体" w:eastAsia="宋体" w:cs="宋体"/>
          <w:color w:val="auto"/>
          <w:spacing w:val="4"/>
          <w:sz w:val="21"/>
          <w:szCs w:val="21"/>
          <w:highlight w:val="none"/>
        </w:rPr>
        <w:t>约</w:t>
      </w:r>
      <w:r>
        <w:rPr>
          <w:rFonts w:ascii="宋体" w:hAnsi="宋体" w:eastAsia="宋体" w:cs="宋体"/>
          <w:color w:val="auto"/>
          <w:spacing w:val="-58"/>
          <w:sz w:val="21"/>
          <w:szCs w:val="21"/>
          <w:highlight w:val="none"/>
        </w:rPr>
        <w:t xml:space="preserve"> </w:t>
      </w:r>
      <w:r>
        <w:rPr>
          <w:rFonts w:ascii="宋体" w:hAnsi="宋体" w:eastAsia="宋体" w:cs="宋体"/>
          <w:color w:val="auto"/>
          <w:spacing w:val="4"/>
          <w:sz w:val="21"/>
          <w:szCs w:val="21"/>
          <w:highlight w:val="none"/>
        </w:rPr>
        <w:t>定</w:t>
      </w:r>
      <w:r>
        <w:rPr>
          <w:rFonts w:ascii="宋体" w:hAnsi="宋体" w:eastAsia="宋体" w:cs="宋体"/>
          <w:color w:val="auto"/>
          <w:spacing w:val="-46"/>
          <w:sz w:val="21"/>
          <w:szCs w:val="21"/>
          <w:highlight w:val="none"/>
        </w:rPr>
        <w:t xml:space="preserve"> </w:t>
      </w:r>
      <w:r>
        <w:rPr>
          <w:rFonts w:ascii="宋体" w:hAnsi="宋体" w:eastAsia="宋体" w:cs="宋体"/>
          <w:color w:val="auto"/>
          <w:spacing w:val="4"/>
          <w:sz w:val="21"/>
          <w:szCs w:val="21"/>
          <w:highlight w:val="none"/>
        </w:rPr>
        <w:t>的违</w:t>
      </w:r>
      <w:r>
        <w:rPr>
          <w:rFonts w:ascii="宋体" w:hAnsi="宋体" w:eastAsia="宋体" w:cs="宋体"/>
          <w:color w:val="auto"/>
          <w:spacing w:val="-58"/>
          <w:sz w:val="21"/>
          <w:szCs w:val="21"/>
          <w:highlight w:val="none"/>
        </w:rPr>
        <w:t xml:space="preserve"> </w:t>
      </w:r>
      <w:r>
        <w:rPr>
          <w:rFonts w:ascii="宋体" w:hAnsi="宋体" w:eastAsia="宋体" w:cs="宋体"/>
          <w:color w:val="auto"/>
          <w:spacing w:val="4"/>
          <w:sz w:val="21"/>
          <w:szCs w:val="21"/>
          <w:highlight w:val="none"/>
        </w:rPr>
        <w:t>约情况</w:t>
      </w:r>
      <w:r>
        <w:rPr>
          <w:rFonts w:ascii="宋体" w:hAnsi="宋体" w:eastAsia="宋体" w:cs="宋体"/>
          <w:color w:val="auto"/>
          <w:spacing w:val="-54"/>
          <w:sz w:val="21"/>
          <w:szCs w:val="21"/>
          <w:highlight w:val="none"/>
        </w:rPr>
        <w:t xml:space="preserve"> </w:t>
      </w:r>
      <w:r>
        <w:rPr>
          <w:rFonts w:ascii="宋体" w:hAnsi="宋体" w:eastAsia="宋体" w:cs="宋体"/>
          <w:color w:val="auto"/>
          <w:spacing w:val="4"/>
          <w:sz w:val="21"/>
          <w:szCs w:val="21"/>
          <w:highlight w:val="none"/>
        </w:rPr>
        <w:t>时</w:t>
      </w:r>
      <w:r>
        <w:rPr>
          <w:rFonts w:ascii="宋体" w:hAnsi="宋体" w:eastAsia="宋体" w:cs="宋体"/>
          <w:color w:val="auto"/>
          <w:spacing w:val="-51"/>
          <w:sz w:val="21"/>
          <w:szCs w:val="21"/>
          <w:highlight w:val="none"/>
        </w:rPr>
        <w:t xml:space="preserve"> </w:t>
      </w:r>
      <w:r>
        <w:rPr>
          <w:rFonts w:ascii="宋体" w:hAnsi="宋体" w:eastAsia="宋体" w:cs="宋体"/>
          <w:color w:val="auto"/>
          <w:spacing w:val="4"/>
          <w:sz w:val="21"/>
          <w:szCs w:val="21"/>
          <w:highlight w:val="none"/>
        </w:rPr>
        <w:t>，</w:t>
      </w:r>
      <w:r>
        <w:rPr>
          <w:rFonts w:ascii="宋体" w:hAnsi="宋体" w:eastAsia="宋体" w:cs="宋体"/>
          <w:color w:val="auto"/>
          <w:spacing w:val="-61"/>
          <w:sz w:val="21"/>
          <w:szCs w:val="21"/>
          <w:highlight w:val="none"/>
        </w:rPr>
        <w:t xml:space="preserve"> </w:t>
      </w:r>
      <w:r>
        <w:rPr>
          <w:rFonts w:ascii="宋体" w:hAnsi="宋体" w:eastAsia="宋体" w:cs="宋体"/>
          <w:color w:val="auto"/>
          <w:spacing w:val="4"/>
          <w:sz w:val="21"/>
          <w:szCs w:val="21"/>
          <w:highlight w:val="none"/>
        </w:rPr>
        <w:t>发包</w:t>
      </w:r>
      <w:r>
        <w:rPr>
          <w:rFonts w:ascii="宋体" w:hAnsi="宋体" w:eastAsia="宋体" w:cs="宋体"/>
          <w:color w:val="auto"/>
          <w:spacing w:val="-61"/>
          <w:sz w:val="21"/>
          <w:szCs w:val="21"/>
          <w:highlight w:val="none"/>
        </w:rPr>
        <w:t xml:space="preserve"> </w:t>
      </w:r>
      <w:r>
        <w:rPr>
          <w:rFonts w:ascii="宋体" w:hAnsi="宋体" w:eastAsia="宋体" w:cs="宋体"/>
          <w:color w:val="auto"/>
          <w:spacing w:val="4"/>
          <w:sz w:val="21"/>
          <w:szCs w:val="21"/>
          <w:highlight w:val="none"/>
        </w:rPr>
        <w:t>人应</w:t>
      </w:r>
      <w:r>
        <w:rPr>
          <w:rFonts w:ascii="宋体" w:hAnsi="宋体" w:eastAsia="宋体" w:cs="宋体"/>
          <w:color w:val="auto"/>
          <w:spacing w:val="-45"/>
          <w:sz w:val="21"/>
          <w:szCs w:val="21"/>
          <w:highlight w:val="none"/>
        </w:rPr>
        <w:t xml:space="preserve"> </w:t>
      </w:r>
      <w:r>
        <w:rPr>
          <w:rFonts w:ascii="宋体" w:hAnsi="宋体" w:eastAsia="宋体" w:cs="宋体"/>
          <w:color w:val="auto"/>
          <w:spacing w:val="4"/>
          <w:sz w:val="21"/>
          <w:szCs w:val="21"/>
          <w:highlight w:val="none"/>
        </w:rPr>
        <w:t>向承包人</w:t>
      </w:r>
      <w:r>
        <w:rPr>
          <w:rFonts w:ascii="宋体" w:hAnsi="宋体" w:eastAsia="宋体" w:cs="宋体"/>
          <w:color w:val="auto"/>
          <w:spacing w:val="-62"/>
          <w:sz w:val="21"/>
          <w:szCs w:val="21"/>
          <w:highlight w:val="none"/>
        </w:rPr>
        <w:t xml:space="preserve"> </w:t>
      </w:r>
      <w:r>
        <w:rPr>
          <w:rFonts w:ascii="宋体" w:hAnsi="宋体" w:eastAsia="宋体" w:cs="宋体"/>
          <w:color w:val="auto"/>
          <w:spacing w:val="4"/>
          <w:sz w:val="21"/>
          <w:szCs w:val="21"/>
          <w:highlight w:val="none"/>
        </w:rPr>
        <w:t>支付</w:t>
      </w:r>
      <w:r>
        <w:rPr>
          <w:rFonts w:ascii="宋体" w:hAnsi="宋体" w:eastAsia="宋体" w:cs="宋体"/>
          <w:color w:val="auto"/>
          <w:spacing w:val="-46"/>
          <w:sz w:val="21"/>
          <w:szCs w:val="21"/>
          <w:highlight w:val="none"/>
        </w:rPr>
        <w:t xml:space="preserve"> </w:t>
      </w:r>
      <w:r>
        <w:rPr>
          <w:rFonts w:ascii="宋体" w:hAnsi="宋体" w:eastAsia="宋体" w:cs="宋体"/>
          <w:color w:val="auto"/>
          <w:spacing w:val="4"/>
          <w:sz w:val="21"/>
          <w:szCs w:val="21"/>
          <w:highlight w:val="none"/>
        </w:rPr>
        <w:t>的违</w:t>
      </w:r>
      <w:r>
        <w:rPr>
          <w:rFonts w:ascii="宋体" w:hAnsi="宋体" w:eastAsia="宋体" w:cs="宋体"/>
          <w:color w:val="auto"/>
          <w:spacing w:val="-58"/>
          <w:sz w:val="21"/>
          <w:szCs w:val="21"/>
          <w:highlight w:val="none"/>
        </w:rPr>
        <w:t xml:space="preserve"> </w:t>
      </w:r>
      <w:r>
        <w:rPr>
          <w:rFonts w:ascii="宋体" w:hAnsi="宋体" w:eastAsia="宋体" w:cs="宋体"/>
          <w:color w:val="auto"/>
          <w:spacing w:val="4"/>
          <w:sz w:val="21"/>
          <w:szCs w:val="21"/>
          <w:highlight w:val="none"/>
        </w:rPr>
        <w:t>约</w:t>
      </w:r>
      <w:r>
        <w:rPr>
          <w:rFonts w:ascii="宋体" w:hAnsi="宋体" w:eastAsia="宋体" w:cs="宋体"/>
          <w:color w:val="auto"/>
          <w:spacing w:val="-62"/>
          <w:sz w:val="21"/>
          <w:szCs w:val="21"/>
          <w:highlight w:val="none"/>
        </w:rPr>
        <w:t xml:space="preserve"> </w:t>
      </w:r>
      <w:r>
        <w:rPr>
          <w:rFonts w:ascii="宋体" w:hAnsi="宋体" w:eastAsia="宋体" w:cs="宋体"/>
          <w:color w:val="auto"/>
          <w:spacing w:val="4"/>
          <w:sz w:val="21"/>
          <w:szCs w:val="21"/>
          <w:highlight w:val="none"/>
        </w:rPr>
        <w:t>金</w:t>
      </w:r>
      <w:r>
        <w:rPr>
          <w:rFonts w:ascii="宋体" w:hAnsi="宋体" w:eastAsia="宋体" w:cs="宋体"/>
          <w:color w:val="auto"/>
          <w:spacing w:val="-63"/>
          <w:sz w:val="21"/>
          <w:szCs w:val="21"/>
          <w:highlight w:val="none"/>
        </w:rPr>
        <w:t xml:space="preserve"> </w:t>
      </w:r>
      <w:r>
        <w:rPr>
          <w:rFonts w:ascii="宋体" w:hAnsi="宋体" w:eastAsia="宋体" w:cs="宋体"/>
          <w:color w:val="auto"/>
          <w:spacing w:val="4"/>
          <w:sz w:val="21"/>
          <w:szCs w:val="21"/>
          <w:highlight w:val="none"/>
        </w:rPr>
        <w:t>如</w:t>
      </w:r>
      <w:r>
        <w:rPr>
          <w:rFonts w:ascii="宋体" w:hAnsi="宋体" w:eastAsia="宋体" w:cs="宋体"/>
          <w:color w:val="auto"/>
          <w:spacing w:val="-5"/>
          <w:sz w:val="21"/>
          <w:szCs w:val="21"/>
          <w:highlight w:val="none"/>
        </w:rPr>
        <w:t>下：</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5"/>
          <w:sz w:val="21"/>
          <w:szCs w:val="21"/>
          <w:highlight w:val="none"/>
        </w:rPr>
        <w:t>。</w:t>
      </w:r>
    </w:p>
    <w:p w14:paraId="13525EBA">
      <w:pPr>
        <w:spacing w:line="351" w:lineRule="auto"/>
        <w:rPr>
          <w:rFonts w:ascii="Arial"/>
          <w:color w:val="auto"/>
          <w:sz w:val="21"/>
          <w:highlight w:val="none"/>
        </w:rPr>
      </w:pPr>
    </w:p>
    <w:p w14:paraId="6EB1B253">
      <w:pPr>
        <w:spacing w:before="101" w:line="225" w:lineRule="auto"/>
        <w:ind w:left="6"/>
        <w:outlineLvl w:val="2"/>
        <w:rPr>
          <w:rFonts w:ascii="宋体" w:hAnsi="宋体" w:eastAsia="宋体" w:cs="宋体"/>
          <w:color w:val="auto"/>
          <w:sz w:val="31"/>
          <w:szCs w:val="31"/>
          <w:highlight w:val="none"/>
        </w:rPr>
      </w:pPr>
      <w:bookmarkStart w:id="349" w:name="bookmark269"/>
      <w:bookmarkEnd w:id="349"/>
      <w:bookmarkStart w:id="350" w:name="_Toc9523"/>
      <w:bookmarkStart w:id="351" w:name="_Toc8897"/>
      <w:r>
        <w:rPr>
          <w:rFonts w:ascii="宋体" w:hAnsi="宋体" w:eastAsia="宋体" w:cs="宋体"/>
          <w:b/>
          <w:bCs/>
          <w:color w:val="auto"/>
          <w:spacing w:val="1"/>
          <w:sz w:val="31"/>
          <w:szCs w:val="31"/>
          <w:highlight w:val="none"/>
        </w:rPr>
        <w:t>24.</w:t>
      </w:r>
      <w:r>
        <w:rPr>
          <w:rFonts w:ascii="宋体" w:hAnsi="宋体" w:eastAsia="宋体" w:cs="宋体"/>
          <w:color w:val="auto"/>
          <w:spacing w:val="29"/>
          <w:sz w:val="31"/>
          <w:szCs w:val="31"/>
          <w:highlight w:val="none"/>
        </w:rPr>
        <w:t xml:space="preserve"> </w:t>
      </w:r>
      <w:r>
        <w:rPr>
          <w:rFonts w:ascii="宋体" w:hAnsi="宋体" w:eastAsia="宋体" w:cs="宋体"/>
          <w:b/>
          <w:bCs/>
          <w:color w:val="auto"/>
          <w:spacing w:val="1"/>
          <w:sz w:val="31"/>
          <w:szCs w:val="31"/>
          <w:highlight w:val="none"/>
        </w:rPr>
        <w:t>争议的解决</w:t>
      </w:r>
      <w:bookmarkEnd w:id="350"/>
      <w:bookmarkEnd w:id="351"/>
    </w:p>
    <w:p w14:paraId="4CB397A3">
      <w:pPr>
        <w:spacing w:before="274" w:line="220" w:lineRule="auto"/>
        <w:ind w:left="14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24.1</w:t>
      </w:r>
      <w:r>
        <w:rPr>
          <w:rFonts w:ascii="宋体" w:hAnsi="宋体" w:eastAsia="宋体" w:cs="宋体"/>
          <w:color w:val="auto"/>
          <w:spacing w:val="-50"/>
          <w:sz w:val="28"/>
          <w:szCs w:val="28"/>
          <w:highlight w:val="none"/>
        </w:rPr>
        <w:t xml:space="preserve"> </w:t>
      </w:r>
      <w:r>
        <w:rPr>
          <w:rFonts w:ascii="宋体" w:hAnsi="宋体" w:eastAsia="宋体" w:cs="宋体"/>
          <w:b/>
          <w:bCs/>
          <w:color w:val="auto"/>
          <w:spacing w:val="-5"/>
          <w:sz w:val="28"/>
          <w:szCs w:val="28"/>
          <w:highlight w:val="none"/>
        </w:rPr>
        <w:t>争议的解决方式</w:t>
      </w:r>
    </w:p>
    <w:p w14:paraId="68B4514E">
      <w:pPr>
        <w:spacing w:before="281" w:line="347" w:lineRule="auto"/>
        <w:ind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合同当事人友好协商解决不成、不愿提请争议评审或不接受争议评审组意</w:t>
      </w:r>
      <w:r>
        <w:rPr>
          <w:rFonts w:ascii="宋体" w:hAnsi="宋体" w:eastAsia="宋体" w:cs="宋体"/>
          <w:color w:val="auto"/>
          <w:sz w:val="21"/>
          <w:szCs w:val="21"/>
          <w:highlight w:val="none"/>
        </w:rPr>
        <w:t xml:space="preserve">见的，约定的合同争 </w:t>
      </w:r>
      <w:r>
        <w:rPr>
          <w:rFonts w:ascii="宋体" w:hAnsi="宋体" w:eastAsia="宋体" w:cs="宋体"/>
          <w:color w:val="auto"/>
          <w:spacing w:val="-2"/>
          <w:sz w:val="21"/>
          <w:szCs w:val="21"/>
          <w:highlight w:val="none"/>
        </w:rPr>
        <w:t>议解决方式：选择下列</w:t>
      </w:r>
      <w:r>
        <w:rPr>
          <w:rFonts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lang w:eastAsia="zh-CN"/>
        </w:rPr>
        <w:t>（</w:t>
      </w:r>
      <w:r>
        <w:rPr>
          <w:rFonts w:hint="eastAsia" w:ascii="宋体" w:hAnsi="宋体" w:eastAsia="宋体" w:cs="宋体"/>
          <w:color w:val="auto"/>
          <w:spacing w:val="-2"/>
          <w:sz w:val="21"/>
          <w:szCs w:val="21"/>
          <w:highlight w:val="none"/>
          <w:u w:val="single" w:color="auto"/>
          <w:lang w:val="en-US" w:eastAsia="zh-CN"/>
        </w:rPr>
        <w:t>2</w:t>
      </w:r>
      <w:r>
        <w:rPr>
          <w:rFonts w:hint="eastAsia" w:ascii="宋体" w:hAnsi="宋体" w:eastAsia="宋体" w:cs="宋体"/>
          <w:color w:val="auto"/>
          <w:spacing w:val="-2"/>
          <w:sz w:val="21"/>
          <w:szCs w:val="21"/>
          <w:highlight w:val="none"/>
          <w:u w:val="single" w:color="auto"/>
          <w:lang w:eastAsia="zh-CN"/>
        </w:rPr>
        <w:t>）</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2"/>
          <w:sz w:val="21"/>
          <w:szCs w:val="21"/>
          <w:highlight w:val="none"/>
        </w:rPr>
        <w:t>方式解决：</w:t>
      </w:r>
    </w:p>
    <w:p w14:paraId="498AC3D1">
      <w:pPr>
        <w:spacing w:before="28" w:line="220" w:lineRule="auto"/>
        <w:ind w:left="42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（1）向</w:t>
      </w:r>
      <w:r>
        <w:rPr>
          <w:rFonts w:ascii="宋体" w:hAnsi="宋体" w:eastAsia="宋体" w:cs="宋体"/>
          <w:color w:val="auto"/>
          <w:spacing w:val="-79"/>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7"/>
          <w:sz w:val="21"/>
          <w:szCs w:val="21"/>
          <w:highlight w:val="none"/>
        </w:rPr>
        <w:t xml:space="preserve"> </w:t>
      </w:r>
      <w:r>
        <w:rPr>
          <w:rFonts w:ascii="宋体" w:hAnsi="宋体" w:eastAsia="宋体" w:cs="宋体"/>
          <w:color w:val="auto"/>
          <w:spacing w:val="-5"/>
          <w:sz w:val="21"/>
          <w:szCs w:val="21"/>
          <w:highlight w:val="none"/>
        </w:rPr>
        <w:t>仲裁委员会申请仲裁；</w:t>
      </w:r>
    </w:p>
    <w:p w14:paraId="33386BB9">
      <w:pPr>
        <w:spacing w:before="158" w:line="221" w:lineRule="auto"/>
        <w:ind w:left="424"/>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（2）向</w:t>
      </w:r>
      <w:r>
        <w:rPr>
          <w:rFonts w:ascii="宋体" w:hAnsi="宋体" w:eastAsia="宋体" w:cs="宋体"/>
          <w:color w:val="auto"/>
          <w:spacing w:val="-75"/>
          <w:sz w:val="21"/>
          <w:szCs w:val="21"/>
          <w:highlight w:val="none"/>
        </w:rPr>
        <w:t xml:space="preserve"> </w:t>
      </w:r>
      <w:r>
        <w:rPr>
          <w:rFonts w:hint="eastAsia" w:ascii="宋体" w:hAnsi="宋体" w:eastAsia="宋体" w:cs="宋体"/>
          <w:color w:val="auto"/>
          <w:sz w:val="21"/>
          <w:szCs w:val="21"/>
          <w:highlight w:val="none"/>
          <w:u w:val="single" w:color="auto"/>
          <w:lang w:val="en-US" w:eastAsia="zh-CN"/>
        </w:rPr>
        <w:t>肥东县</w:t>
      </w:r>
      <w:r>
        <w:rPr>
          <w:rFonts w:ascii="宋体" w:hAnsi="宋体" w:eastAsia="宋体" w:cs="宋体"/>
          <w:color w:val="auto"/>
          <w:spacing w:val="-94"/>
          <w:sz w:val="21"/>
          <w:szCs w:val="21"/>
          <w:highlight w:val="none"/>
        </w:rPr>
        <w:t xml:space="preserve"> </w:t>
      </w:r>
      <w:r>
        <w:rPr>
          <w:rFonts w:ascii="宋体" w:hAnsi="宋体" w:eastAsia="宋体" w:cs="宋体"/>
          <w:color w:val="auto"/>
          <w:spacing w:val="-4"/>
          <w:sz w:val="21"/>
          <w:szCs w:val="21"/>
          <w:highlight w:val="none"/>
        </w:rPr>
        <w:t>人民法院提起诉讼。</w:t>
      </w:r>
    </w:p>
    <w:p w14:paraId="3D9913F0">
      <w:pPr>
        <w:pStyle w:val="6"/>
        <w:outlineLvl w:val="9"/>
        <w:rPr>
          <w:color w:val="auto"/>
          <w:highlight w:val="none"/>
        </w:rPr>
      </w:pPr>
    </w:p>
    <w:p w14:paraId="5778B1D9">
      <w:pPr>
        <w:rPr>
          <w:rFonts w:ascii="宋体" w:hAnsi="宋体" w:eastAsia="宋体" w:cs="宋体"/>
          <w:b/>
          <w:bCs/>
          <w:color w:val="auto"/>
          <w:spacing w:val="6"/>
          <w:sz w:val="31"/>
          <w:szCs w:val="31"/>
          <w:highlight w:val="none"/>
        </w:rPr>
      </w:pPr>
      <w:bookmarkStart w:id="352" w:name="bookmark270"/>
      <w:bookmarkEnd w:id="352"/>
      <w:bookmarkStart w:id="353" w:name="_Toc3185"/>
      <w:r>
        <w:rPr>
          <w:rFonts w:ascii="宋体" w:hAnsi="宋体" w:eastAsia="宋体" w:cs="宋体"/>
          <w:b/>
          <w:bCs/>
          <w:color w:val="auto"/>
          <w:spacing w:val="6"/>
          <w:sz w:val="31"/>
          <w:szCs w:val="31"/>
          <w:highlight w:val="none"/>
        </w:rPr>
        <w:br w:type="page"/>
      </w:r>
    </w:p>
    <w:p w14:paraId="2A5D281C">
      <w:pPr>
        <w:spacing w:before="64" w:line="224" w:lineRule="auto"/>
        <w:ind w:left="2974"/>
        <w:outlineLvl w:val="1"/>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第三节</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合同附件格式</w:t>
      </w:r>
      <w:bookmarkEnd w:id="353"/>
    </w:p>
    <w:p w14:paraId="357F0DCF">
      <w:pPr>
        <w:spacing w:before="65" w:line="219" w:lineRule="auto"/>
        <w:ind w:left="32"/>
        <w:outlineLvl w:val="2"/>
        <w:rPr>
          <w:rFonts w:ascii="宋体" w:hAnsi="宋体" w:eastAsia="宋体" w:cs="宋体"/>
          <w:color w:val="auto"/>
          <w:sz w:val="28"/>
          <w:szCs w:val="28"/>
          <w:highlight w:val="none"/>
        </w:rPr>
      </w:pPr>
      <w:bookmarkStart w:id="354" w:name="_Toc6242"/>
      <w:bookmarkStart w:id="355" w:name="_Toc20315"/>
      <w:r>
        <w:rPr>
          <w:rFonts w:ascii="宋体" w:hAnsi="宋体" w:eastAsia="宋体" w:cs="宋体"/>
          <w:b/>
          <w:bCs/>
          <w:color w:val="auto"/>
          <w:spacing w:val="-8"/>
          <w:sz w:val="28"/>
          <w:szCs w:val="28"/>
          <w:highlight w:val="none"/>
        </w:rPr>
        <w:t>附件一：合同协议书</w:t>
      </w:r>
      <w:bookmarkEnd w:id="354"/>
      <w:bookmarkEnd w:id="355"/>
    </w:p>
    <w:p w14:paraId="0655ABAE">
      <w:pPr>
        <w:spacing w:line="407" w:lineRule="auto"/>
        <w:rPr>
          <w:rFonts w:ascii="Arial"/>
          <w:color w:val="auto"/>
          <w:sz w:val="21"/>
          <w:highlight w:val="none"/>
        </w:rPr>
      </w:pPr>
    </w:p>
    <w:p w14:paraId="620F3FC0">
      <w:pPr>
        <w:spacing w:before="91" w:line="219" w:lineRule="auto"/>
        <w:ind w:left="3842"/>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合同协议书</w:t>
      </w:r>
    </w:p>
    <w:p w14:paraId="4AFC0F06">
      <w:pPr>
        <w:spacing w:line="394" w:lineRule="auto"/>
        <w:rPr>
          <w:rFonts w:ascii="Arial"/>
          <w:color w:val="auto"/>
          <w:sz w:val="21"/>
          <w:highlight w:val="none"/>
        </w:rPr>
      </w:pPr>
    </w:p>
    <w:p w14:paraId="00BAAC19">
      <w:pPr>
        <w:tabs>
          <w:tab w:val="left" w:pos="1095"/>
        </w:tabs>
        <w:spacing w:before="68" w:line="350" w:lineRule="auto"/>
        <w:ind w:left="8" w:firstLine="351"/>
        <w:jc w:val="both"/>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3"/>
          <w:sz w:val="21"/>
          <w:szCs w:val="21"/>
          <w:highlight w:val="none"/>
        </w:rPr>
        <w:t>（发包人名称，以下简称“发包人”）为实施</w:t>
      </w:r>
      <w:r>
        <w:rPr>
          <w:rFonts w:ascii="宋体" w:hAnsi="宋体" w:eastAsia="宋体" w:cs="宋体"/>
          <w:color w:val="auto"/>
          <w:spacing w:val="-100"/>
          <w:sz w:val="21"/>
          <w:szCs w:val="21"/>
          <w:highlight w:val="none"/>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rPr>
        <w:t>（项目名称</w:t>
      </w:r>
      <w:r>
        <w:rPr>
          <w:rFonts w:ascii="宋体" w:hAnsi="宋体" w:eastAsia="宋体" w:cs="宋体"/>
          <w:color w:val="auto"/>
          <w:spacing w:val="-51"/>
          <w:w w:val="92"/>
          <w:sz w:val="21"/>
          <w:szCs w:val="21"/>
          <w:highlight w:val="none"/>
        </w:rPr>
        <w:t>），</w:t>
      </w:r>
      <w:r>
        <w:rPr>
          <w:rFonts w:ascii="宋体" w:hAnsi="宋体" w:eastAsia="宋体" w:cs="宋体"/>
          <w:color w:val="auto"/>
          <w:spacing w:val="2"/>
          <w:sz w:val="21"/>
          <w:szCs w:val="21"/>
          <w:highlight w:val="none"/>
        </w:rPr>
        <w:t xml:space="preserve"> </w:t>
      </w:r>
      <w:r>
        <w:rPr>
          <w:rFonts w:ascii="宋体" w:hAnsi="宋体" w:eastAsia="宋体" w:cs="宋体"/>
          <w:color w:val="auto"/>
          <w:spacing w:val="-3"/>
          <w:sz w:val="21"/>
          <w:szCs w:val="21"/>
          <w:highlight w:val="none"/>
        </w:rPr>
        <w:t>已接受</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（承包人名称，以下简称“承包人”）对该项目</w:t>
      </w:r>
      <w:r>
        <w:rPr>
          <w:rFonts w:ascii="宋体" w:hAnsi="宋体" w:eastAsia="宋体" w:cs="宋体"/>
          <w:color w:val="auto"/>
          <w:spacing w:val="-54"/>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3"/>
          <w:sz w:val="21"/>
          <w:szCs w:val="21"/>
          <w:highlight w:val="none"/>
        </w:rPr>
        <w:t>标段施工的投标。发包人和承</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包人共同达成如下协议。</w:t>
      </w:r>
    </w:p>
    <w:p w14:paraId="681090C2">
      <w:pPr>
        <w:spacing w:before="30" w:line="220" w:lineRule="auto"/>
        <w:ind w:left="383"/>
        <w:outlineLvl w:val="9"/>
        <w:rPr>
          <w:rFonts w:ascii="宋体" w:hAnsi="宋体" w:eastAsia="宋体" w:cs="宋体"/>
          <w:color w:val="auto"/>
          <w:sz w:val="21"/>
          <w:szCs w:val="21"/>
          <w:highlight w:val="none"/>
        </w:rPr>
      </w:pPr>
      <w:bookmarkStart w:id="356" w:name="_Toc30928"/>
      <w:bookmarkStart w:id="357" w:name="_Toc7867"/>
      <w:r>
        <w:rPr>
          <w:rFonts w:ascii="宋体" w:hAnsi="宋体" w:eastAsia="宋体" w:cs="宋体"/>
          <w:color w:val="auto"/>
          <w:spacing w:val="-1"/>
          <w:sz w:val="21"/>
          <w:szCs w:val="21"/>
          <w:highlight w:val="none"/>
        </w:rPr>
        <w:t>1. 本协议书与下列文件一起构成合同文件：</w:t>
      </w:r>
      <w:bookmarkEnd w:id="356"/>
      <w:bookmarkEnd w:id="357"/>
    </w:p>
    <w:p w14:paraId="3C85DC2B">
      <w:pPr>
        <w:spacing w:before="160" w:line="220" w:lineRule="auto"/>
        <w:ind w:left="73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（1）中标通知书；</w:t>
      </w:r>
    </w:p>
    <w:p w14:paraId="6B3E8CFC">
      <w:pPr>
        <w:spacing w:before="158" w:line="220" w:lineRule="auto"/>
        <w:ind w:left="73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（2）投标函及投标函附录；</w:t>
      </w:r>
    </w:p>
    <w:p w14:paraId="6DD8ADC7">
      <w:pPr>
        <w:spacing w:before="158" w:line="221" w:lineRule="auto"/>
        <w:ind w:left="7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（3）专用合同条款；</w:t>
      </w:r>
    </w:p>
    <w:p w14:paraId="6BA05BC2">
      <w:pPr>
        <w:spacing w:before="157" w:line="221" w:lineRule="auto"/>
        <w:ind w:left="7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（4）通用合同条款；</w:t>
      </w:r>
    </w:p>
    <w:p w14:paraId="472E5382">
      <w:pPr>
        <w:spacing w:before="159" w:line="221" w:lineRule="auto"/>
        <w:ind w:left="73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（5）技术标准和要求；</w:t>
      </w:r>
    </w:p>
    <w:p w14:paraId="2A6D61D4">
      <w:pPr>
        <w:spacing w:before="157" w:line="222" w:lineRule="auto"/>
        <w:ind w:left="7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（6）图纸；</w:t>
      </w:r>
    </w:p>
    <w:p w14:paraId="2990A882">
      <w:pPr>
        <w:spacing w:before="155" w:line="219" w:lineRule="auto"/>
        <w:ind w:left="73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（7）已标价工程量清单；</w:t>
      </w:r>
    </w:p>
    <w:p w14:paraId="31C17854">
      <w:pPr>
        <w:spacing w:before="159" w:line="221" w:lineRule="auto"/>
        <w:ind w:left="7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（8）其他合同文件。</w:t>
      </w:r>
    </w:p>
    <w:p w14:paraId="0150A1A1">
      <w:pPr>
        <w:spacing w:before="156" w:line="221" w:lineRule="auto"/>
        <w:ind w:left="370"/>
        <w:rPr>
          <w:rFonts w:ascii="宋体" w:hAnsi="宋体" w:eastAsia="宋体" w:cs="宋体"/>
          <w:color w:val="auto"/>
          <w:sz w:val="21"/>
          <w:szCs w:val="21"/>
          <w:highlight w:val="none"/>
        </w:rPr>
      </w:pPr>
      <w:r>
        <w:rPr>
          <w:rFonts w:ascii="宋体" w:hAnsi="宋体" w:eastAsia="宋体" w:cs="宋体"/>
          <w:color w:val="auto"/>
          <w:sz w:val="21"/>
          <w:szCs w:val="21"/>
          <w:highlight w:val="none"/>
        </w:rPr>
        <w:t>2. 上述文件互相补充和解释，如有不明</w:t>
      </w:r>
      <w:r>
        <w:rPr>
          <w:rFonts w:ascii="宋体" w:hAnsi="宋体" w:eastAsia="宋体" w:cs="宋体"/>
          <w:color w:val="auto"/>
          <w:spacing w:val="-1"/>
          <w:sz w:val="21"/>
          <w:szCs w:val="21"/>
          <w:highlight w:val="none"/>
        </w:rPr>
        <w:t>确或不一致之处，以合同约定次序在先者为。</w:t>
      </w:r>
    </w:p>
    <w:p w14:paraId="1EC97957">
      <w:pPr>
        <w:spacing w:before="160" w:line="219" w:lineRule="auto"/>
        <w:ind w:left="37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 签约合同价：人民币（大写）</w:t>
      </w:r>
      <w:r>
        <w:rPr>
          <w:rFonts w:ascii="宋体" w:hAnsi="宋体" w:eastAsia="宋体" w:cs="宋体"/>
          <w:color w:val="auto"/>
          <w:spacing w:val="-63"/>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4"/>
          <w:sz w:val="21"/>
          <w:szCs w:val="21"/>
          <w:highlight w:val="none"/>
        </w:rPr>
        <w:t xml:space="preserve"> </w:t>
      </w:r>
      <w:r>
        <w:rPr>
          <w:rFonts w:ascii="宋体" w:hAnsi="宋体" w:eastAsia="宋体" w:cs="宋体"/>
          <w:color w:val="auto"/>
          <w:spacing w:val="1"/>
          <w:sz w:val="21"/>
          <w:szCs w:val="21"/>
          <w:highlight w:val="none"/>
        </w:rPr>
        <w:t>元(¥</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75"/>
          <w:sz w:val="21"/>
          <w:szCs w:val="21"/>
          <w:highlight w:val="none"/>
        </w:rPr>
        <w:t xml:space="preserve"> </w:t>
      </w:r>
      <w:r>
        <w:rPr>
          <w:rFonts w:ascii="宋体" w:hAnsi="宋体" w:eastAsia="宋体" w:cs="宋体"/>
          <w:color w:val="auto"/>
          <w:spacing w:val="1"/>
          <w:sz w:val="21"/>
          <w:szCs w:val="21"/>
          <w:highlight w:val="none"/>
        </w:rPr>
        <w:t>)。</w:t>
      </w:r>
    </w:p>
    <w:p w14:paraId="6802B371">
      <w:pPr>
        <w:spacing w:before="158" w:line="221" w:lineRule="auto"/>
        <w:ind w:left="367"/>
        <w:outlineLvl w:val="9"/>
        <w:rPr>
          <w:rFonts w:ascii="宋体" w:hAnsi="宋体" w:eastAsia="宋体" w:cs="宋体"/>
          <w:color w:val="auto"/>
          <w:sz w:val="21"/>
          <w:szCs w:val="21"/>
          <w:highlight w:val="none"/>
        </w:rPr>
      </w:pPr>
      <w:bookmarkStart w:id="358" w:name="_Toc5448"/>
      <w:bookmarkStart w:id="359" w:name="_Toc3950"/>
      <w:r>
        <w:rPr>
          <w:rFonts w:ascii="宋体" w:hAnsi="宋体" w:eastAsia="宋体" w:cs="宋体"/>
          <w:color w:val="auto"/>
          <w:sz w:val="21"/>
          <w:szCs w:val="21"/>
          <w:highlight w:val="none"/>
        </w:rPr>
        <w:t>4. 承包人项目经理：</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bookmarkEnd w:id="358"/>
      <w:bookmarkEnd w:id="359"/>
    </w:p>
    <w:p w14:paraId="685E6270">
      <w:pPr>
        <w:spacing w:before="157" w:line="221" w:lineRule="auto"/>
        <w:ind w:left="37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 工程质量符合</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4"/>
          <w:sz w:val="21"/>
          <w:szCs w:val="21"/>
          <w:highlight w:val="none"/>
        </w:rPr>
        <w:t xml:space="preserve"> </w:t>
      </w:r>
      <w:r>
        <w:rPr>
          <w:rFonts w:ascii="宋体" w:hAnsi="宋体" w:eastAsia="宋体" w:cs="宋体"/>
          <w:color w:val="auto"/>
          <w:spacing w:val="-1"/>
          <w:sz w:val="21"/>
          <w:szCs w:val="21"/>
          <w:highlight w:val="none"/>
        </w:rPr>
        <w:t>标准，安全目标：</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75"/>
          <w:sz w:val="21"/>
          <w:szCs w:val="21"/>
          <w:highlight w:val="none"/>
        </w:rPr>
        <w:t xml:space="preserve"> </w:t>
      </w:r>
      <w:r>
        <w:rPr>
          <w:rFonts w:ascii="宋体" w:hAnsi="宋体" w:eastAsia="宋体" w:cs="宋体"/>
          <w:color w:val="auto"/>
          <w:spacing w:val="-1"/>
          <w:sz w:val="21"/>
          <w:szCs w:val="21"/>
          <w:highlight w:val="none"/>
        </w:rPr>
        <w:t>，环保目标：</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458689E5">
      <w:pPr>
        <w:spacing w:before="157" w:line="221" w:lineRule="auto"/>
        <w:ind w:left="369"/>
        <w:outlineLvl w:val="9"/>
        <w:rPr>
          <w:rFonts w:ascii="宋体" w:hAnsi="宋体" w:eastAsia="宋体" w:cs="宋体"/>
          <w:color w:val="auto"/>
          <w:sz w:val="21"/>
          <w:szCs w:val="21"/>
          <w:highlight w:val="none"/>
        </w:rPr>
      </w:pPr>
      <w:bookmarkStart w:id="360" w:name="_Toc16077"/>
      <w:bookmarkStart w:id="361" w:name="_Toc21250"/>
      <w:r>
        <w:rPr>
          <w:rFonts w:ascii="宋体" w:hAnsi="宋体" w:eastAsia="宋体" w:cs="宋体"/>
          <w:color w:val="auto"/>
          <w:spacing w:val="-1"/>
          <w:sz w:val="21"/>
          <w:szCs w:val="21"/>
          <w:highlight w:val="none"/>
        </w:rPr>
        <w:t>6. 承包人承诺按合同约定承担工程的实施、完成及缺陷修复。</w:t>
      </w:r>
      <w:bookmarkEnd w:id="360"/>
      <w:bookmarkEnd w:id="361"/>
    </w:p>
    <w:p w14:paraId="1B69F4BF">
      <w:pPr>
        <w:spacing w:before="157" w:line="219" w:lineRule="auto"/>
        <w:ind w:left="37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 发包人承诺按合同约定的条件、时间和方式向承包人支付合同价款。</w:t>
      </w:r>
    </w:p>
    <w:p w14:paraId="6A229002">
      <w:pPr>
        <w:spacing w:before="161" w:line="221" w:lineRule="auto"/>
        <w:ind w:left="36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8. 承包人应按照监理人指示开工，工期为</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3"/>
          <w:sz w:val="21"/>
          <w:szCs w:val="21"/>
          <w:highlight w:val="none"/>
        </w:rPr>
        <w:t xml:space="preserve"> </w:t>
      </w:r>
      <w:r>
        <w:rPr>
          <w:rFonts w:ascii="宋体" w:hAnsi="宋体" w:eastAsia="宋体" w:cs="宋体"/>
          <w:color w:val="auto"/>
          <w:spacing w:val="-3"/>
          <w:sz w:val="21"/>
          <w:szCs w:val="21"/>
          <w:highlight w:val="none"/>
        </w:rPr>
        <w:t>日历天。</w:t>
      </w:r>
    </w:p>
    <w:p w14:paraId="1AB8731A">
      <w:pPr>
        <w:spacing w:before="157" w:line="220" w:lineRule="auto"/>
        <w:ind w:left="36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 本协议书一式</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86"/>
          <w:sz w:val="21"/>
          <w:szCs w:val="21"/>
          <w:highlight w:val="none"/>
        </w:rPr>
        <w:t xml:space="preserve"> </w:t>
      </w:r>
      <w:r>
        <w:rPr>
          <w:rFonts w:ascii="宋体" w:hAnsi="宋体" w:eastAsia="宋体" w:cs="宋体"/>
          <w:color w:val="auto"/>
          <w:spacing w:val="-1"/>
          <w:sz w:val="21"/>
          <w:szCs w:val="21"/>
          <w:highlight w:val="none"/>
        </w:rPr>
        <w:t>份，合同双方各执一份。</w:t>
      </w:r>
    </w:p>
    <w:p w14:paraId="3065D386">
      <w:pPr>
        <w:spacing w:before="157" w:line="221" w:lineRule="auto"/>
        <w:ind w:left="38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10. 合同未尽事宜，双方另行签订补充协议。补充协议是合同的组成部分。</w:t>
      </w:r>
    </w:p>
    <w:p w14:paraId="41650518">
      <w:pPr>
        <w:spacing w:before="21"/>
        <w:rPr>
          <w:color w:val="auto"/>
          <w:highlight w:val="none"/>
        </w:rPr>
      </w:pPr>
    </w:p>
    <w:p w14:paraId="2D0B5E28">
      <w:pPr>
        <w:spacing w:before="21"/>
        <w:rPr>
          <w:color w:val="auto"/>
          <w:highlight w:val="none"/>
        </w:rPr>
      </w:pPr>
    </w:p>
    <w:p w14:paraId="50D98080">
      <w:pPr>
        <w:spacing w:before="42" w:line="220" w:lineRule="auto"/>
        <w:ind w:left="1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w:t>
      </w:r>
      <w:r>
        <w:rPr>
          <w:rFonts w:ascii="宋体" w:hAnsi="宋体" w:eastAsia="宋体" w:cs="宋体"/>
          <w:color w:val="auto"/>
          <w:sz w:val="21"/>
          <w:szCs w:val="21"/>
          <w:highlight w:val="none"/>
        </w:rPr>
        <w:t>：</w:t>
      </w:r>
      <w:r>
        <w:rPr>
          <w:rFonts w:ascii="宋体" w:hAnsi="宋体" w:eastAsia="宋体" w:cs="宋体"/>
          <w:color w:val="auto"/>
          <w:spacing w:val="6"/>
          <w:sz w:val="21"/>
          <w:szCs w:val="21"/>
          <w:highlight w:val="none"/>
          <w:u w:val="single" w:color="auto"/>
        </w:rPr>
        <w:t xml:space="preserve">               </w:t>
      </w:r>
      <w:r>
        <w:rPr>
          <w:rFonts w:ascii="宋体" w:hAnsi="宋体" w:eastAsia="宋体" w:cs="宋体"/>
          <w:color w:val="auto"/>
          <w:sz w:val="21"/>
          <w:szCs w:val="21"/>
          <w:highlight w:val="none"/>
        </w:rPr>
        <w:t>（</w:t>
      </w:r>
      <w:r>
        <w:rPr>
          <w:rFonts w:ascii="宋体" w:hAnsi="宋体" w:eastAsia="宋体" w:cs="宋体"/>
          <w:color w:val="auto"/>
          <w:spacing w:val="-2"/>
          <w:sz w:val="21"/>
          <w:szCs w:val="21"/>
          <w:highlight w:val="none"/>
        </w:rPr>
        <w:t>盖单位章）</w:t>
      </w:r>
    </w:p>
    <w:p w14:paraId="540D3FE1">
      <w:pPr>
        <w:spacing w:before="158" w:line="186" w:lineRule="auto"/>
        <w:ind w:left="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0"/>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0"/>
          <w:sz w:val="21"/>
          <w:szCs w:val="21"/>
          <w:highlight w:val="none"/>
        </w:rPr>
        <w:t>（</w:t>
      </w:r>
      <w:r>
        <w:rPr>
          <w:rFonts w:ascii="宋体" w:hAnsi="宋体" w:eastAsia="宋体" w:cs="宋体"/>
          <w:color w:val="auto"/>
          <w:spacing w:val="1"/>
          <w:sz w:val="21"/>
          <w:szCs w:val="21"/>
          <w:highlight w:val="none"/>
        </w:rPr>
        <w:t>签字）</w:t>
      </w:r>
    </w:p>
    <w:p w14:paraId="3FB66595">
      <w:pPr>
        <w:spacing w:line="14" w:lineRule="auto"/>
        <w:rPr>
          <w:rFonts w:hint="eastAsia" w:ascii="Arial" w:eastAsia="宋体"/>
          <w:color w:val="auto"/>
          <w:sz w:val="2"/>
          <w:highlight w:val="none"/>
          <w:lang w:eastAsia="zh-CN"/>
        </w:rPr>
      </w:pPr>
    </w:p>
    <w:p w14:paraId="3C9B2198">
      <w:pPr>
        <w:spacing w:before="41" w:line="220"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w:t>
      </w:r>
      <w:r>
        <w:rPr>
          <w:rFonts w:ascii="宋体" w:hAnsi="宋体" w:eastAsia="宋体" w:cs="宋体"/>
          <w:color w:val="auto"/>
          <w:spacing w:val="2"/>
          <w:sz w:val="21"/>
          <w:szCs w:val="21"/>
          <w:highlight w:val="none"/>
        </w:rPr>
        <w:t>：</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1"/>
          <w:sz w:val="21"/>
          <w:szCs w:val="21"/>
          <w:highlight w:val="none"/>
        </w:rPr>
        <w:t>盖单位章）</w:t>
      </w:r>
    </w:p>
    <w:p w14:paraId="2F671EDD">
      <w:pPr>
        <w:spacing w:before="157" w:line="186" w:lineRule="auto"/>
        <w:ind w:left="10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2"/>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2"/>
          <w:sz w:val="21"/>
          <w:szCs w:val="21"/>
          <w:highlight w:val="none"/>
        </w:rPr>
        <w:t>（</w:t>
      </w:r>
      <w:r>
        <w:rPr>
          <w:rFonts w:ascii="宋体" w:hAnsi="宋体" w:eastAsia="宋体" w:cs="宋体"/>
          <w:color w:val="auto"/>
          <w:spacing w:val="1"/>
          <w:sz w:val="21"/>
          <w:szCs w:val="21"/>
          <w:highlight w:val="none"/>
        </w:rPr>
        <w:t>签字）</w:t>
      </w:r>
    </w:p>
    <w:p w14:paraId="09A6BDBB">
      <w:pPr>
        <w:tabs>
          <w:tab w:val="left" w:pos="945"/>
        </w:tabs>
        <w:spacing w:before="197" w:line="186"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12"/>
          <w:sz w:val="21"/>
          <w:szCs w:val="21"/>
          <w:highlight w:val="none"/>
        </w:rPr>
        <w:t>年</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pacing w:val="-12"/>
          <w:sz w:val="21"/>
          <w:szCs w:val="21"/>
          <w:highlight w:val="none"/>
        </w:rPr>
        <w:t xml:space="preserve">月 </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46"/>
          <w:sz w:val="21"/>
          <w:szCs w:val="21"/>
          <w:highlight w:val="none"/>
        </w:rPr>
        <w:t xml:space="preserve"> </w:t>
      </w:r>
      <w:r>
        <w:rPr>
          <w:rFonts w:ascii="宋体" w:hAnsi="宋体" w:eastAsia="宋体" w:cs="宋体"/>
          <w:color w:val="auto"/>
          <w:spacing w:val="-12"/>
          <w:sz w:val="21"/>
          <w:szCs w:val="21"/>
          <w:highlight w:val="none"/>
        </w:rPr>
        <w:t>日</w:t>
      </w:r>
      <w:r>
        <w:rPr>
          <w:rFonts w:ascii="宋体" w:hAnsi="宋体" w:eastAsia="宋体" w:cs="宋体"/>
          <w:color w:val="auto"/>
          <w:spacing w:val="11"/>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12"/>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84"/>
          <w:sz w:val="21"/>
          <w:szCs w:val="21"/>
          <w:highlight w:val="none"/>
        </w:rPr>
        <w:t xml:space="preserve"> </w:t>
      </w:r>
      <w:r>
        <w:rPr>
          <w:rFonts w:ascii="宋体" w:hAnsi="宋体" w:eastAsia="宋体" w:cs="宋体"/>
          <w:color w:val="auto"/>
          <w:spacing w:val="-12"/>
          <w:sz w:val="21"/>
          <w:szCs w:val="21"/>
          <w:highlight w:val="none"/>
        </w:rPr>
        <w:t>月</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53"/>
          <w:sz w:val="21"/>
          <w:szCs w:val="21"/>
          <w:highlight w:val="none"/>
        </w:rPr>
        <w:t xml:space="preserve"> </w:t>
      </w:r>
      <w:r>
        <w:rPr>
          <w:rFonts w:ascii="宋体" w:hAnsi="宋体" w:eastAsia="宋体" w:cs="宋体"/>
          <w:color w:val="auto"/>
          <w:spacing w:val="-12"/>
          <w:sz w:val="21"/>
          <w:szCs w:val="21"/>
          <w:highlight w:val="none"/>
        </w:rPr>
        <w:t>日</w:t>
      </w:r>
    </w:p>
    <w:p w14:paraId="173FD70F">
      <w:pPr>
        <w:spacing w:before="65" w:line="219" w:lineRule="auto"/>
        <w:ind w:left="25"/>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附件二：廉政协议书</w:t>
      </w:r>
    </w:p>
    <w:p w14:paraId="5DF29642">
      <w:pPr>
        <w:spacing w:line="264" w:lineRule="auto"/>
        <w:rPr>
          <w:rFonts w:ascii="Arial"/>
          <w:color w:val="auto"/>
          <w:sz w:val="21"/>
          <w:highlight w:val="none"/>
        </w:rPr>
      </w:pPr>
    </w:p>
    <w:p w14:paraId="609FDC13">
      <w:pPr>
        <w:spacing w:line="265" w:lineRule="auto"/>
        <w:rPr>
          <w:rFonts w:ascii="Arial"/>
          <w:color w:val="auto"/>
          <w:sz w:val="21"/>
          <w:highlight w:val="none"/>
        </w:rPr>
      </w:pPr>
    </w:p>
    <w:p w14:paraId="58271505">
      <w:pPr>
        <w:spacing w:line="265" w:lineRule="auto"/>
        <w:rPr>
          <w:rFonts w:ascii="Arial"/>
          <w:color w:val="auto"/>
          <w:sz w:val="21"/>
          <w:highlight w:val="none"/>
        </w:rPr>
      </w:pPr>
    </w:p>
    <w:p w14:paraId="23AAF989">
      <w:pPr>
        <w:spacing w:before="101" w:line="224" w:lineRule="auto"/>
        <w:ind w:left="4057"/>
        <w:rPr>
          <w:rFonts w:ascii="宋体" w:hAnsi="宋体" w:eastAsia="宋体" w:cs="宋体"/>
          <w:color w:val="auto"/>
          <w:sz w:val="31"/>
          <w:szCs w:val="31"/>
          <w:highlight w:val="none"/>
        </w:rPr>
      </w:pPr>
      <w:bookmarkStart w:id="362" w:name="bookmark271"/>
      <w:bookmarkEnd w:id="362"/>
      <w:r>
        <w:rPr>
          <w:rFonts w:ascii="宋体" w:hAnsi="宋体" w:eastAsia="宋体" w:cs="宋体"/>
          <w:b/>
          <w:bCs/>
          <w:color w:val="auto"/>
          <w:spacing w:val="5"/>
          <w:sz w:val="31"/>
          <w:szCs w:val="31"/>
          <w:highlight w:val="none"/>
        </w:rPr>
        <w:t>廉政协议书</w:t>
      </w:r>
    </w:p>
    <w:p w14:paraId="1B214D69">
      <w:pPr>
        <w:spacing w:line="430" w:lineRule="auto"/>
        <w:rPr>
          <w:rFonts w:ascii="Arial"/>
          <w:color w:val="auto"/>
          <w:sz w:val="21"/>
          <w:highlight w:val="none"/>
        </w:rPr>
      </w:pPr>
    </w:p>
    <w:p w14:paraId="662E3248">
      <w:pPr>
        <w:tabs>
          <w:tab w:val="left" w:pos="7132"/>
          <w:tab w:val="left" w:pos="7142"/>
        </w:tabs>
        <w:spacing w:before="69" w:line="398" w:lineRule="auto"/>
        <w:ind w:right="1925" w:firstLine="9"/>
        <w:jc w:val="both"/>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施工合同名称</w:t>
      </w:r>
      <w:r>
        <w:rPr>
          <w:rFonts w:ascii="宋体" w:hAnsi="宋体" w:eastAsia="宋体" w:cs="宋体"/>
          <w:color w:val="auto"/>
          <w:spacing w:val="28"/>
          <w:sz w:val="21"/>
          <w:szCs w:val="21"/>
          <w:highlight w:val="none"/>
        </w:rPr>
        <w:t xml:space="preserve"> </w:t>
      </w:r>
      <w:r>
        <w:rPr>
          <w:rFonts w:ascii="宋体" w:hAnsi="宋体" w:eastAsia="宋体" w:cs="宋体"/>
          <w:color w:val="auto"/>
          <w:spacing w:val="-5"/>
          <w:sz w:val="21"/>
          <w:szCs w:val="21"/>
          <w:highlight w:val="none"/>
        </w:rPr>
        <w:t>：</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p>
    <w:p w14:paraId="74B4F806">
      <w:pPr>
        <w:tabs>
          <w:tab w:val="left" w:pos="7132"/>
          <w:tab w:val="left" w:pos="7142"/>
        </w:tabs>
        <w:spacing w:before="69" w:line="398" w:lineRule="auto"/>
        <w:ind w:right="1925" w:firstLine="9"/>
        <w:jc w:val="both"/>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施工合同编号</w:t>
      </w:r>
      <w:r>
        <w:rPr>
          <w:rFonts w:ascii="宋体" w:hAnsi="宋体" w:eastAsia="宋体" w:cs="宋体"/>
          <w:color w:val="auto"/>
          <w:spacing w:val="28"/>
          <w:sz w:val="21"/>
          <w:szCs w:val="21"/>
          <w:highlight w:val="none"/>
        </w:rPr>
        <w:t xml:space="preserve"> </w:t>
      </w:r>
      <w:r>
        <w:rPr>
          <w:rFonts w:ascii="宋体" w:hAnsi="宋体" w:eastAsia="宋体" w:cs="宋体"/>
          <w:color w:val="auto"/>
          <w:spacing w:val="-5"/>
          <w:sz w:val="21"/>
          <w:szCs w:val="21"/>
          <w:highlight w:val="none"/>
        </w:rPr>
        <w:t>：</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p>
    <w:p w14:paraId="3A102AAC">
      <w:pPr>
        <w:tabs>
          <w:tab w:val="left" w:pos="7132"/>
          <w:tab w:val="left" w:pos="7142"/>
        </w:tabs>
        <w:spacing w:before="69" w:line="398" w:lineRule="auto"/>
        <w:ind w:right="1925" w:firstLine="9"/>
        <w:jc w:val="both"/>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发包人（甲方</w:t>
      </w:r>
      <w:r>
        <w:rPr>
          <w:rFonts w:ascii="宋体" w:hAnsi="宋体" w:eastAsia="宋体" w:cs="宋体"/>
          <w:color w:val="auto"/>
          <w:spacing w:val="-17"/>
          <w:sz w:val="21"/>
          <w:szCs w:val="21"/>
          <w:highlight w:val="none"/>
        </w:rPr>
        <w:t>）：</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p>
    <w:p w14:paraId="08D154F5">
      <w:pPr>
        <w:tabs>
          <w:tab w:val="left" w:pos="7132"/>
          <w:tab w:val="left" w:pos="7142"/>
        </w:tabs>
        <w:spacing w:before="69" w:line="398" w:lineRule="auto"/>
        <w:ind w:right="1925" w:firstLine="9"/>
        <w:jc w:val="both"/>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承包人（乙方</w:t>
      </w:r>
      <w:r>
        <w:rPr>
          <w:rFonts w:ascii="宋体" w:hAnsi="宋体" w:eastAsia="宋体" w:cs="宋体"/>
          <w:color w:val="auto"/>
          <w:spacing w:val="-20"/>
          <w:sz w:val="21"/>
          <w:szCs w:val="21"/>
          <w:highlight w:val="none"/>
        </w:rPr>
        <w:t>）：</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z w:val="21"/>
          <w:szCs w:val="21"/>
          <w:highlight w:val="none"/>
        </w:rPr>
        <w:t xml:space="preserve"> </w:t>
      </w:r>
    </w:p>
    <w:p w14:paraId="6893A90E">
      <w:pPr>
        <w:spacing w:line="268" w:lineRule="auto"/>
        <w:rPr>
          <w:rFonts w:ascii="Arial"/>
          <w:color w:val="auto"/>
          <w:sz w:val="21"/>
          <w:highlight w:val="none"/>
        </w:rPr>
      </w:pPr>
    </w:p>
    <w:p w14:paraId="075353F8">
      <w:pPr>
        <w:spacing w:before="68" w:line="349" w:lineRule="auto"/>
        <w:ind w:left="1" w:right="38" w:firstLine="45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为加强安徽省农业工程建设中的廉政建设，规范农业工程建设项目中承发包双方的各项活动，</w:t>
      </w:r>
      <w:r>
        <w:rPr>
          <w:rFonts w:ascii="宋体" w:hAnsi="宋体" w:eastAsia="宋体" w:cs="宋体"/>
          <w:color w:val="auto"/>
          <w:spacing w:val="7"/>
          <w:sz w:val="21"/>
          <w:szCs w:val="21"/>
          <w:highlight w:val="none"/>
        </w:rPr>
        <w:t xml:space="preserve"> </w:t>
      </w:r>
      <w:r>
        <w:rPr>
          <w:rFonts w:ascii="宋体" w:hAnsi="宋体" w:eastAsia="宋体" w:cs="宋体"/>
          <w:color w:val="auto"/>
          <w:sz w:val="21"/>
          <w:szCs w:val="21"/>
          <w:highlight w:val="none"/>
        </w:rPr>
        <w:t>防止各种非法谋取不正当利益的行为，保护国家、集体和当事人的合法权益，根据国家有关</w:t>
      </w:r>
      <w:r>
        <w:rPr>
          <w:rFonts w:ascii="宋体" w:hAnsi="宋体" w:eastAsia="宋体" w:cs="宋体"/>
          <w:color w:val="auto"/>
          <w:spacing w:val="-1"/>
          <w:sz w:val="21"/>
          <w:szCs w:val="21"/>
          <w:highlight w:val="none"/>
        </w:rPr>
        <w:t>法律法</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规和廉政建设的要求，特签订本廉政协议。</w:t>
      </w:r>
    </w:p>
    <w:p w14:paraId="5988F00C">
      <w:pPr>
        <w:spacing w:before="31" w:line="220" w:lineRule="auto"/>
        <w:ind w:left="490"/>
        <w:rPr>
          <w:rFonts w:ascii="宋体" w:hAnsi="宋体" w:eastAsia="宋体" w:cs="宋体"/>
          <w:color w:val="auto"/>
          <w:sz w:val="21"/>
          <w:szCs w:val="21"/>
          <w:highlight w:val="none"/>
        </w:rPr>
      </w:pPr>
      <w:r>
        <w:rPr>
          <w:rFonts w:ascii="黑体" w:hAnsi="黑体" w:eastAsia="黑体" w:cs="黑体"/>
          <w:color w:val="auto"/>
          <w:spacing w:val="-4"/>
          <w:sz w:val="21"/>
          <w:szCs w:val="21"/>
          <w:highlight w:val="none"/>
        </w:rPr>
        <w:t>第一条</w:t>
      </w:r>
      <w:r>
        <w:rPr>
          <w:rFonts w:ascii="黑体" w:hAnsi="黑体" w:eastAsia="黑体" w:cs="黑体"/>
          <w:color w:val="auto"/>
          <w:spacing w:val="48"/>
          <w:sz w:val="21"/>
          <w:szCs w:val="21"/>
          <w:highlight w:val="none"/>
        </w:rPr>
        <w:t xml:space="preserve">  </w:t>
      </w:r>
      <w:r>
        <w:rPr>
          <w:rFonts w:ascii="宋体" w:hAnsi="宋体" w:eastAsia="宋体" w:cs="宋体"/>
          <w:color w:val="auto"/>
          <w:spacing w:val="-4"/>
          <w:sz w:val="21"/>
          <w:szCs w:val="21"/>
          <w:highlight w:val="none"/>
        </w:rPr>
        <w:t>甲、乙双方的责任</w:t>
      </w:r>
    </w:p>
    <w:p w14:paraId="40FDE011">
      <w:pPr>
        <w:spacing w:before="157" w:line="220" w:lineRule="auto"/>
        <w:ind w:right="1"/>
        <w:jc w:val="right"/>
        <w:rPr>
          <w:rFonts w:ascii="宋体" w:hAnsi="宋体" w:eastAsia="宋体" w:cs="宋体"/>
          <w:color w:val="auto"/>
          <w:spacing w:val="-4"/>
          <w:sz w:val="21"/>
          <w:szCs w:val="21"/>
          <w:highlight w:val="none"/>
        </w:rPr>
      </w:pPr>
      <w:r>
        <w:rPr>
          <w:rFonts w:hint="eastAsia" w:ascii="宋体" w:hAnsi="宋体" w:eastAsia="宋体" w:cs="宋体"/>
          <w:color w:val="auto"/>
          <w:spacing w:val="-3"/>
          <w:sz w:val="21"/>
          <w:szCs w:val="21"/>
          <w:highlight w:val="none"/>
          <w:lang w:val="en-US" w:eastAsia="zh-CN"/>
        </w:rPr>
        <w:t xml:space="preserve">  </w:t>
      </w:r>
      <w:r>
        <w:rPr>
          <w:rFonts w:ascii="宋体" w:hAnsi="宋体" w:eastAsia="宋体" w:cs="宋体"/>
          <w:color w:val="auto"/>
          <w:spacing w:val="-3"/>
          <w:sz w:val="21"/>
          <w:szCs w:val="21"/>
          <w:highlight w:val="none"/>
        </w:rPr>
        <w:t>（一）严格遵守国家、省关于农业工程建设有关法律法规、部门规</w:t>
      </w:r>
      <w:r>
        <w:rPr>
          <w:rFonts w:ascii="宋体" w:hAnsi="宋体" w:eastAsia="宋体" w:cs="宋体"/>
          <w:color w:val="auto"/>
          <w:spacing w:val="-4"/>
          <w:sz w:val="21"/>
          <w:szCs w:val="21"/>
          <w:highlight w:val="none"/>
        </w:rPr>
        <w:t>章以及廉政建设的各项</w:t>
      </w:r>
    </w:p>
    <w:p w14:paraId="64424268">
      <w:pPr>
        <w:spacing w:before="157" w:line="220" w:lineRule="auto"/>
        <w:ind w:right="1"/>
        <w:jc w:val="both"/>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规定。</w:t>
      </w:r>
    </w:p>
    <w:p w14:paraId="0907FC39">
      <w:pPr>
        <w:spacing w:before="160" w:line="221" w:lineRule="auto"/>
        <w:ind w:left="383"/>
        <w:rPr>
          <w:rFonts w:ascii="宋体" w:hAnsi="宋体" w:eastAsia="宋体" w:cs="宋体"/>
          <w:color w:val="auto"/>
          <w:sz w:val="21"/>
          <w:szCs w:val="21"/>
          <w:highlight w:val="none"/>
        </w:rPr>
      </w:pPr>
      <w:r>
        <w:rPr>
          <w:rFonts w:ascii="宋体" w:hAnsi="宋体" w:eastAsia="宋体" w:cs="宋体"/>
          <w:color w:val="auto"/>
          <w:sz w:val="21"/>
          <w:szCs w:val="21"/>
          <w:highlight w:val="none"/>
        </w:rPr>
        <w:t>（二）严格执行工程项目承发包合同文件，认真履行合同</w:t>
      </w:r>
      <w:r>
        <w:rPr>
          <w:rFonts w:ascii="宋体" w:hAnsi="宋体" w:eastAsia="宋体" w:cs="宋体"/>
          <w:color w:val="auto"/>
          <w:spacing w:val="-1"/>
          <w:sz w:val="21"/>
          <w:szCs w:val="21"/>
          <w:highlight w:val="none"/>
        </w:rPr>
        <w:t>规定的权利和义务。</w:t>
      </w:r>
    </w:p>
    <w:p w14:paraId="1D97F1DB">
      <w:pPr>
        <w:spacing w:before="156" w:line="313" w:lineRule="auto"/>
        <w:ind w:left="3" w:firstLine="380"/>
        <w:rPr>
          <w:rFonts w:ascii="宋体" w:hAnsi="宋体" w:eastAsia="宋体" w:cs="宋体"/>
          <w:color w:val="auto"/>
          <w:sz w:val="21"/>
          <w:szCs w:val="21"/>
          <w:highlight w:val="none"/>
        </w:rPr>
      </w:pPr>
      <w:r>
        <w:rPr>
          <w:rFonts w:ascii="宋体" w:hAnsi="宋体" w:eastAsia="宋体" w:cs="宋体"/>
          <w:color w:val="auto"/>
          <w:sz w:val="21"/>
          <w:szCs w:val="21"/>
          <w:highlight w:val="none"/>
        </w:rPr>
        <w:t>（三）业务活动必须坚持公开、公平、公正、诚信、透明的原则（除法律</w:t>
      </w:r>
      <w:r>
        <w:rPr>
          <w:rFonts w:ascii="宋体" w:hAnsi="宋体" w:eastAsia="宋体" w:cs="宋体"/>
          <w:color w:val="auto"/>
          <w:spacing w:val="-1"/>
          <w:sz w:val="21"/>
          <w:szCs w:val="21"/>
          <w:highlight w:val="none"/>
        </w:rPr>
        <w:t>认定的商业秘密和合</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同文件另有规定除外</w:t>
      </w:r>
      <w:r>
        <w:rPr>
          <w:rFonts w:ascii="宋体" w:hAnsi="宋体" w:eastAsia="宋体" w:cs="宋体"/>
          <w:color w:val="auto"/>
          <w:spacing w:val="-53"/>
          <w:w w:val="97"/>
          <w:sz w:val="21"/>
          <w:szCs w:val="21"/>
          <w:highlight w:val="none"/>
        </w:rPr>
        <w:t>），</w:t>
      </w:r>
      <w:r>
        <w:rPr>
          <w:rFonts w:ascii="宋体" w:hAnsi="宋体" w:eastAsia="宋体" w:cs="宋体"/>
          <w:color w:val="auto"/>
          <w:spacing w:val="-1"/>
          <w:sz w:val="21"/>
          <w:szCs w:val="21"/>
          <w:highlight w:val="none"/>
        </w:rPr>
        <w:t>不得为获取不正当利益而损害国家、集</w:t>
      </w:r>
      <w:r>
        <w:rPr>
          <w:rFonts w:ascii="宋体" w:hAnsi="宋体" w:eastAsia="宋体" w:cs="宋体"/>
          <w:color w:val="auto"/>
          <w:spacing w:val="-2"/>
          <w:sz w:val="21"/>
          <w:szCs w:val="21"/>
          <w:highlight w:val="none"/>
        </w:rPr>
        <w:t>体和对方利益，不得违反高标准农田</w:t>
      </w:r>
      <w:r>
        <w:rPr>
          <w:rFonts w:ascii="宋体" w:hAnsi="宋体" w:eastAsia="宋体" w:cs="宋体"/>
          <w:color w:val="auto"/>
          <w:spacing w:val="-1"/>
          <w:sz w:val="21"/>
          <w:szCs w:val="21"/>
          <w:highlight w:val="none"/>
        </w:rPr>
        <w:t>建设管理、勘察、设计、监理、施工的规定和规范。</w:t>
      </w:r>
    </w:p>
    <w:p w14:paraId="3D82AF43">
      <w:pPr>
        <w:spacing w:before="160" w:line="289" w:lineRule="auto"/>
        <w:ind w:right="127" w:firstLine="38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（四）发现对方在业务活动中有违规、违纪、违法行为，有责</w:t>
      </w:r>
      <w:r>
        <w:rPr>
          <w:rFonts w:ascii="宋体" w:hAnsi="宋体" w:eastAsia="宋体" w:cs="宋体"/>
          <w:color w:val="auto"/>
          <w:spacing w:val="-2"/>
          <w:sz w:val="21"/>
          <w:szCs w:val="21"/>
          <w:highlight w:val="none"/>
        </w:rPr>
        <w:t>任及时提醒对方，情节严重的，</w:t>
      </w:r>
      <w:r>
        <w:rPr>
          <w:rFonts w:ascii="宋体" w:hAnsi="宋体" w:eastAsia="宋体" w:cs="宋体"/>
          <w:color w:val="auto"/>
          <w:spacing w:val="-1"/>
          <w:sz w:val="21"/>
          <w:szCs w:val="21"/>
          <w:highlight w:val="none"/>
        </w:rPr>
        <w:t>应向其上级主管部门或纪检、监察、司法等机关举报。</w:t>
      </w:r>
    </w:p>
    <w:p w14:paraId="7F9B4BA5">
      <w:pPr>
        <w:spacing w:before="158" w:line="220" w:lineRule="auto"/>
        <w:ind w:left="490"/>
        <w:rPr>
          <w:rFonts w:ascii="宋体" w:hAnsi="宋体" w:eastAsia="宋体" w:cs="宋体"/>
          <w:color w:val="auto"/>
          <w:sz w:val="21"/>
          <w:szCs w:val="21"/>
          <w:highlight w:val="none"/>
        </w:rPr>
      </w:pPr>
      <w:r>
        <w:rPr>
          <w:rFonts w:ascii="黑体" w:hAnsi="黑体" w:eastAsia="黑体" w:cs="黑体"/>
          <w:color w:val="auto"/>
          <w:spacing w:val="-5"/>
          <w:sz w:val="21"/>
          <w:szCs w:val="21"/>
          <w:highlight w:val="none"/>
        </w:rPr>
        <w:t>第二条</w:t>
      </w:r>
      <w:r>
        <w:rPr>
          <w:rFonts w:ascii="黑体" w:hAnsi="黑体" w:eastAsia="黑体" w:cs="黑体"/>
          <w:color w:val="auto"/>
          <w:spacing w:val="45"/>
          <w:sz w:val="21"/>
          <w:szCs w:val="21"/>
          <w:highlight w:val="none"/>
        </w:rPr>
        <w:t xml:space="preserve">  </w:t>
      </w:r>
      <w:r>
        <w:rPr>
          <w:rFonts w:ascii="宋体" w:hAnsi="宋体" w:eastAsia="宋体" w:cs="宋体"/>
          <w:color w:val="auto"/>
          <w:spacing w:val="-5"/>
          <w:sz w:val="21"/>
          <w:szCs w:val="21"/>
          <w:highlight w:val="none"/>
        </w:rPr>
        <w:t>甲方的责任</w:t>
      </w:r>
    </w:p>
    <w:p w14:paraId="05BE979E">
      <w:pPr>
        <w:spacing w:before="158" w:line="221" w:lineRule="auto"/>
        <w:ind w:firstLine="412" w:firstLineChars="20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甲方的领导和工作人员，在工程建设的事前、事中、事后应遵守以下规定：</w:t>
      </w:r>
    </w:p>
    <w:p w14:paraId="02D816C7">
      <w:pPr>
        <w:spacing w:before="142" w:line="290" w:lineRule="auto"/>
        <w:ind w:left="2" w:right="94" w:firstLine="381"/>
        <w:rPr>
          <w:rFonts w:ascii="宋体" w:hAnsi="宋体" w:eastAsia="宋体" w:cs="宋体"/>
          <w:color w:val="auto"/>
          <w:sz w:val="21"/>
          <w:szCs w:val="21"/>
          <w:highlight w:val="none"/>
        </w:rPr>
      </w:pPr>
      <w:r>
        <w:rPr>
          <w:rFonts w:ascii="宋体" w:hAnsi="宋体" w:eastAsia="宋体" w:cs="宋体"/>
          <w:color w:val="auto"/>
          <w:sz w:val="21"/>
          <w:szCs w:val="21"/>
          <w:highlight w:val="none"/>
        </w:rPr>
        <w:t>（一）不准向乙方和相关单位索要或接受回</w:t>
      </w:r>
      <w:r>
        <w:rPr>
          <w:rFonts w:ascii="宋体" w:hAnsi="宋体" w:eastAsia="宋体" w:cs="宋体"/>
          <w:color w:val="auto"/>
          <w:spacing w:val="-1"/>
          <w:sz w:val="21"/>
          <w:szCs w:val="21"/>
          <w:highlight w:val="none"/>
        </w:rPr>
        <w:t>扣、礼金、有价证券、贵重物品和好处费、感谢费</w:t>
      </w:r>
      <w:r>
        <w:rPr>
          <w:rFonts w:ascii="宋体" w:hAnsi="宋体" w:eastAsia="宋体" w:cs="宋体"/>
          <w:color w:val="auto"/>
          <w:spacing w:val="-10"/>
          <w:sz w:val="21"/>
          <w:szCs w:val="21"/>
          <w:highlight w:val="none"/>
        </w:rPr>
        <w:t>等。</w:t>
      </w:r>
    </w:p>
    <w:p w14:paraId="3200A016">
      <w:pPr>
        <w:spacing w:before="156" w:line="221" w:lineRule="auto"/>
        <w:ind w:left="383"/>
        <w:rPr>
          <w:rFonts w:ascii="宋体" w:hAnsi="宋体" w:eastAsia="宋体" w:cs="宋体"/>
          <w:color w:val="auto"/>
          <w:sz w:val="21"/>
          <w:szCs w:val="21"/>
          <w:highlight w:val="none"/>
        </w:rPr>
      </w:pPr>
      <w:r>
        <w:rPr>
          <w:rFonts w:ascii="宋体" w:hAnsi="宋体" w:eastAsia="宋体" w:cs="宋体"/>
          <w:color w:val="auto"/>
          <w:sz w:val="21"/>
          <w:szCs w:val="21"/>
          <w:highlight w:val="none"/>
        </w:rPr>
        <w:t>（二）不准在乙方和相关单位报销任何应由甲方或应</w:t>
      </w:r>
      <w:r>
        <w:rPr>
          <w:rFonts w:ascii="宋体" w:hAnsi="宋体" w:eastAsia="宋体" w:cs="宋体"/>
          <w:color w:val="auto"/>
          <w:spacing w:val="-1"/>
          <w:sz w:val="21"/>
          <w:szCs w:val="21"/>
          <w:highlight w:val="none"/>
        </w:rPr>
        <w:t>由个人支付的费用。</w:t>
      </w:r>
    </w:p>
    <w:p w14:paraId="23C074EA">
      <w:pPr>
        <w:spacing w:before="158" w:line="313" w:lineRule="auto"/>
        <w:ind w:firstLine="383"/>
        <w:rPr>
          <w:rFonts w:ascii="宋体" w:hAnsi="宋体" w:eastAsia="宋体" w:cs="宋体"/>
          <w:color w:val="auto"/>
          <w:sz w:val="21"/>
          <w:szCs w:val="21"/>
          <w:highlight w:val="none"/>
        </w:rPr>
      </w:pPr>
      <w:r>
        <w:rPr>
          <w:rFonts w:ascii="宋体" w:hAnsi="宋体" w:eastAsia="宋体" w:cs="宋体"/>
          <w:color w:val="auto"/>
          <w:sz w:val="21"/>
          <w:szCs w:val="21"/>
          <w:highlight w:val="none"/>
        </w:rPr>
        <w:t>（三）不准要求、暗示或接受乙方和相关单位为个人装修住房、婚丧嫁娶</w:t>
      </w:r>
      <w:r>
        <w:rPr>
          <w:rFonts w:ascii="宋体" w:hAnsi="宋体" w:eastAsia="宋体" w:cs="宋体"/>
          <w:color w:val="auto"/>
          <w:spacing w:val="-1"/>
          <w:sz w:val="21"/>
          <w:szCs w:val="21"/>
          <w:highlight w:val="none"/>
        </w:rPr>
        <w:t>、配偶子女的工作安</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排以及出国（境）、旅游等提供方便。不准工作人员的配偶、子女从事与甲方工程交易行为有关的材</w:t>
      </w:r>
      <w:r>
        <w:rPr>
          <w:rFonts w:ascii="宋体" w:hAnsi="宋体" w:eastAsia="宋体" w:cs="宋体"/>
          <w:color w:val="auto"/>
          <w:spacing w:val="2"/>
          <w:sz w:val="21"/>
          <w:szCs w:val="21"/>
          <w:highlight w:val="none"/>
        </w:rPr>
        <w:t xml:space="preserve"> </w:t>
      </w:r>
      <w:r>
        <w:rPr>
          <w:rFonts w:ascii="宋体" w:hAnsi="宋体" w:eastAsia="宋体" w:cs="宋体"/>
          <w:color w:val="auto"/>
          <w:spacing w:val="-1"/>
          <w:sz w:val="21"/>
          <w:szCs w:val="21"/>
          <w:highlight w:val="none"/>
        </w:rPr>
        <w:t>料设备供应、工程分包、劳务等经济活动。</w:t>
      </w:r>
    </w:p>
    <w:p w14:paraId="619A70C2">
      <w:pPr>
        <w:spacing w:before="159" w:line="289" w:lineRule="auto"/>
        <w:ind w:left="4" w:right="112" w:firstLine="37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（四）不准参加有可能影响公正执行公务的乙方和相关单位宴请和营业性健身、娱乐等活动。不准接受乙方提供的通信工具和高档办公用品等。</w:t>
      </w:r>
    </w:p>
    <w:p w14:paraId="3C6CADE4">
      <w:pPr>
        <w:spacing w:before="159" w:line="313" w:lineRule="auto"/>
        <w:ind w:right="38" w:firstLine="383"/>
        <w:rPr>
          <w:rFonts w:ascii="宋体" w:hAnsi="宋体" w:eastAsia="宋体" w:cs="宋体"/>
          <w:color w:val="auto"/>
          <w:sz w:val="21"/>
          <w:szCs w:val="21"/>
          <w:highlight w:val="none"/>
        </w:rPr>
      </w:pPr>
      <w:r>
        <w:rPr>
          <w:rFonts w:ascii="宋体" w:hAnsi="宋体" w:eastAsia="宋体" w:cs="宋体"/>
          <w:color w:val="auto"/>
          <w:sz w:val="21"/>
          <w:szCs w:val="21"/>
          <w:highlight w:val="none"/>
        </w:rPr>
        <w:t>（五）不准向乙方介绍与工程建设项目有关的设备、材料采购、劳务等经</w:t>
      </w:r>
      <w:r>
        <w:rPr>
          <w:rFonts w:ascii="宋体" w:hAnsi="宋体" w:eastAsia="宋体" w:cs="宋体"/>
          <w:color w:val="auto"/>
          <w:spacing w:val="-1"/>
          <w:sz w:val="21"/>
          <w:szCs w:val="21"/>
          <w:highlight w:val="none"/>
        </w:rPr>
        <w:t>济活动，不得强行向</w:t>
      </w:r>
      <w:r>
        <w:rPr>
          <w:rFonts w:ascii="宋体" w:hAnsi="宋体" w:eastAsia="宋体" w:cs="宋体"/>
          <w:color w:val="auto"/>
          <w:sz w:val="21"/>
          <w:szCs w:val="21"/>
          <w:highlight w:val="none"/>
        </w:rPr>
        <w:t>乙方和相关单位推荐分包单位，不准以任何理由要求乙方购买工程建设项目施工合同规定以外</w:t>
      </w:r>
      <w:r>
        <w:rPr>
          <w:rFonts w:ascii="宋体" w:hAnsi="宋体" w:eastAsia="宋体" w:cs="宋体"/>
          <w:color w:val="auto"/>
          <w:spacing w:val="-1"/>
          <w:sz w:val="21"/>
          <w:szCs w:val="21"/>
          <w:highlight w:val="none"/>
        </w:rPr>
        <w:t>的材料、设备等。</w:t>
      </w:r>
    </w:p>
    <w:p w14:paraId="0A40AC14">
      <w:pPr>
        <w:spacing w:before="42" w:line="220" w:lineRule="auto"/>
        <w:ind w:left="490"/>
        <w:rPr>
          <w:rFonts w:ascii="宋体" w:hAnsi="宋体" w:eastAsia="宋体" w:cs="宋体"/>
          <w:color w:val="auto"/>
          <w:sz w:val="21"/>
          <w:szCs w:val="21"/>
          <w:highlight w:val="none"/>
        </w:rPr>
      </w:pPr>
      <w:r>
        <w:rPr>
          <w:rFonts w:ascii="黑体" w:hAnsi="黑体" w:eastAsia="黑体" w:cs="黑体"/>
          <w:color w:val="auto"/>
          <w:spacing w:val="-4"/>
          <w:sz w:val="21"/>
          <w:szCs w:val="21"/>
          <w:highlight w:val="none"/>
        </w:rPr>
        <w:t>第三条</w:t>
      </w:r>
      <w:r>
        <w:rPr>
          <w:rFonts w:ascii="黑体" w:hAnsi="黑体" w:eastAsia="黑体" w:cs="黑体"/>
          <w:color w:val="auto"/>
          <w:spacing w:val="41"/>
          <w:sz w:val="21"/>
          <w:szCs w:val="21"/>
          <w:highlight w:val="none"/>
        </w:rPr>
        <w:t xml:space="preserve">  </w:t>
      </w:r>
      <w:r>
        <w:rPr>
          <w:rFonts w:ascii="宋体" w:hAnsi="宋体" w:eastAsia="宋体" w:cs="宋体"/>
          <w:color w:val="auto"/>
          <w:spacing w:val="-4"/>
          <w:sz w:val="21"/>
          <w:szCs w:val="21"/>
          <w:highlight w:val="none"/>
        </w:rPr>
        <w:t>乙方的责任</w:t>
      </w:r>
    </w:p>
    <w:p w14:paraId="1CB73730">
      <w:pPr>
        <w:spacing w:before="157" w:line="231" w:lineRule="auto"/>
        <w:ind w:right="38"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应与甲方保持正常的业务交往，按照有关法律法规和合同规定开展业务工作，严格执</w:t>
      </w:r>
      <w:r>
        <w:rPr>
          <w:rFonts w:ascii="宋体" w:hAnsi="宋体" w:eastAsia="宋体" w:cs="宋体"/>
          <w:color w:val="auto"/>
          <w:spacing w:val="-1"/>
          <w:sz w:val="21"/>
          <w:szCs w:val="21"/>
          <w:highlight w:val="none"/>
        </w:rPr>
        <w:t>行工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程建设的有关政策，并遵守如下规定：</w:t>
      </w:r>
    </w:p>
    <w:p w14:paraId="4FAD1ADA">
      <w:pPr>
        <w:spacing w:before="139" w:line="290" w:lineRule="auto"/>
        <w:ind w:right="31" w:firstLine="37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（一）不准以任何理由向甲方、相关单位及其工作人员赠送礼金、有价证券、贵重物品和回扣、</w:t>
      </w:r>
      <w:r>
        <w:rPr>
          <w:rFonts w:ascii="宋体" w:hAnsi="宋体" w:eastAsia="宋体" w:cs="宋体"/>
          <w:color w:val="auto"/>
          <w:spacing w:val="-3"/>
          <w:sz w:val="21"/>
          <w:szCs w:val="21"/>
          <w:highlight w:val="none"/>
        </w:rPr>
        <w:t>好处费、感谢费等。</w:t>
      </w:r>
    </w:p>
    <w:p w14:paraId="1DD1F5A4">
      <w:pPr>
        <w:spacing w:before="156" w:line="221" w:lineRule="auto"/>
        <w:ind w:left="37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（二）不准以任何理由为甲方和相关单位报销应由对方或应由个人支付的费用。</w:t>
      </w:r>
    </w:p>
    <w:p w14:paraId="7E6C57FC">
      <w:pPr>
        <w:spacing w:before="160" w:line="289" w:lineRule="auto"/>
        <w:ind w:right="31" w:firstLine="37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（三）不准为甲方、相关单位或个人装修住房、</w:t>
      </w:r>
      <w:r>
        <w:rPr>
          <w:rFonts w:ascii="宋体" w:hAnsi="宋体" w:eastAsia="宋体" w:cs="宋体"/>
          <w:color w:val="auto"/>
          <w:spacing w:val="-9"/>
          <w:sz w:val="21"/>
          <w:szCs w:val="21"/>
          <w:highlight w:val="none"/>
        </w:rPr>
        <w:t>婚丧嫁娶、配偶子女的工作安排以及出国（境）、</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旅游等提供方便。</w:t>
      </w:r>
    </w:p>
    <w:p w14:paraId="00B26C58">
      <w:pPr>
        <w:spacing w:before="158" w:line="289" w:lineRule="auto"/>
        <w:ind w:right="101" w:firstLine="371"/>
        <w:rPr>
          <w:rFonts w:ascii="宋体" w:hAnsi="宋体" w:eastAsia="宋体" w:cs="宋体"/>
          <w:color w:val="auto"/>
          <w:sz w:val="21"/>
          <w:szCs w:val="21"/>
          <w:highlight w:val="none"/>
        </w:rPr>
      </w:pPr>
      <w:r>
        <w:rPr>
          <w:rFonts w:ascii="宋体" w:hAnsi="宋体" w:eastAsia="宋体" w:cs="宋体"/>
          <w:color w:val="auto"/>
          <w:sz w:val="21"/>
          <w:szCs w:val="21"/>
          <w:highlight w:val="none"/>
        </w:rPr>
        <w:t>（四）不准以任何理由为甲方、相关单位或个人组织有</w:t>
      </w:r>
      <w:r>
        <w:rPr>
          <w:rFonts w:ascii="宋体" w:hAnsi="宋体" w:eastAsia="宋体" w:cs="宋体"/>
          <w:color w:val="auto"/>
          <w:spacing w:val="-1"/>
          <w:sz w:val="21"/>
          <w:szCs w:val="21"/>
          <w:highlight w:val="none"/>
        </w:rPr>
        <w:t>可能影响公正执行公务的宴请和营业性</w:t>
      </w:r>
      <w:r>
        <w:rPr>
          <w:rFonts w:ascii="宋体" w:hAnsi="宋体" w:eastAsia="宋体" w:cs="宋体"/>
          <w:color w:val="auto"/>
          <w:sz w:val="21"/>
          <w:szCs w:val="21"/>
          <w:highlight w:val="none"/>
        </w:rPr>
        <w:t>健身、娱乐等活动。不准为甲方单位和个人购置或提供通信工具和高档办公用品等。</w:t>
      </w:r>
    </w:p>
    <w:p w14:paraId="72B92E29">
      <w:pPr>
        <w:spacing w:before="160" w:line="220" w:lineRule="auto"/>
        <w:ind w:left="490"/>
        <w:rPr>
          <w:rFonts w:ascii="宋体" w:hAnsi="宋体" w:eastAsia="宋体" w:cs="宋体"/>
          <w:color w:val="auto"/>
          <w:sz w:val="21"/>
          <w:szCs w:val="21"/>
          <w:highlight w:val="none"/>
        </w:rPr>
      </w:pPr>
      <w:r>
        <w:rPr>
          <w:rFonts w:ascii="黑体" w:hAnsi="黑体" w:eastAsia="黑体" w:cs="黑体"/>
          <w:color w:val="auto"/>
          <w:spacing w:val="-2"/>
          <w:sz w:val="21"/>
          <w:szCs w:val="21"/>
          <w:highlight w:val="none"/>
        </w:rPr>
        <w:t>第四条</w:t>
      </w:r>
      <w:r>
        <w:rPr>
          <w:rFonts w:ascii="黑体" w:hAnsi="黑体" w:eastAsia="黑体" w:cs="黑体"/>
          <w:color w:val="auto"/>
          <w:spacing w:val="32"/>
          <w:sz w:val="21"/>
          <w:szCs w:val="21"/>
          <w:highlight w:val="none"/>
        </w:rPr>
        <w:t xml:space="preserve">  </w:t>
      </w:r>
      <w:r>
        <w:rPr>
          <w:rFonts w:ascii="宋体" w:hAnsi="宋体" w:eastAsia="宋体" w:cs="宋体"/>
          <w:color w:val="auto"/>
          <w:spacing w:val="-2"/>
          <w:sz w:val="21"/>
          <w:szCs w:val="21"/>
          <w:highlight w:val="none"/>
        </w:rPr>
        <w:t>违约责任</w:t>
      </w:r>
    </w:p>
    <w:p w14:paraId="39CF3387">
      <w:pPr>
        <w:spacing w:before="158" w:line="220" w:lineRule="auto"/>
        <w:ind w:firstLine="416" w:firstLineChars="200"/>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甲、乙双方工作人员如有违反本协议有关规定，按照管理权限，依据有关法律法规和</w:t>
      </w:r>
    </w:p>
    <w:p w14:paraId="523FE481">
      <w:pPr>
        <w:spacing w:before="158" w:line="220"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规定</w:t>
      </w:r>
      <w:r>
        <w:rPr>
          <w:rFonts w:ascii="宋体" w:hAnsi="宋体" w:eastAsia="宋体" w:cs="宋体"/>
          <w:color w:val="auto"/>
          <w:sz w:val="21"/>
          <w:szCs w:val="21"/>
          <w:highlight w:val="none"/>
        </w:rPr>
        <w:t>对责任人和责任单位负责人给予党纪、政纪处分。涉嫌犯罪的，移交司法机关追究刑</w:t>
      </w:r>
    </w:p>
    <w:p w14:paraId="4BAC4BE1">
      <w:pPr>
        <w:spacing w:before="158" w:line="220" w:lineRule="auto"/>
        <w:rPr>
          <w:rFonts w:ascii="宋体" w:hAnsi="宋体" w:eastAsia="宋体" w:cs="宋体"/>
          <w:color w:val="auto"/>
          <w:sz w:val="21"/>
          <w:szCs w:val="21"/>
          <w:highlight w:val="none"/>
        </w:rPr>
      </w:pPr>
      <w:r>
        <w:rPr>
          <w:rFonts w:ascii="宋体" w:hAnsi="宋体" w:eastAsia="宋体" w:cs="宋体"/>
          <w:color w:val="auto"/>
          <w:sz w:val="21"/>
          <w:szCs w:val="21"/>
          <w:highlight w:val="none"/>
        </w:rPr>
        <w:t>事责任。</w:t>
      </w:r>
    </w:p>
    <w:p w14:paraId="2167A860">
      <w:pPr>
        <w:spacing w:before="143" w:line="220" w:lineRule="auto"/>
        <w:ind w:left="447"/>
        <w:rPr>
          <w:rFonts w:ascii="宋体" w:hAnsi="宋体" w:eastAsia="宋体" w:cs="宋体"/>
          <w:color w:val="auto"/>
          <w:sz w:val="21"/>
          <w:szCs w:val="21"/>
          <w:highlight w:val="none"/>
        </w:rPr>
      </w:pPr>
      <w:r>
        <w:rPr>
          <w:rFonts w:ascii="黑体" w:hAnsi="黑体" w:eastAsia="黑体" w:cs="黑体"/>
          <w:color w:val="auto"/>
          <w:sz w:val="21"/>
          <w:szCs w:val="21"/>
          <w:highlight w:val="none"/>
        </w:rPr>
        <w:t>第五条</w:t>
      </w:r>
      <w:r>
        <w:rPr>
          <w:rFonts w:ascii="黑体" w:hAnsi="黑体" w:eastAsia="黑体" w:cs="黑体"/>
          <w:color w:val="auto"/>
          <w:spacing w:val="46"/>
          <w:sz w:val="21"/>
          <w:szCs w:val="21"/>
          <w:highlight w:val="none"/>
        </w:rPr>
        <w:t xml:space="preserve">  </w:t>
      </w:r>
      <w:r>
        <w:rPr>
          <w:rFonts w:ascii="宋体" w:hAnsi="宋体" w:eastAsia="宋体" w:cs="宋体"/>
          <w:color w:val="auto"/>
          <w:sz w:val="21"/>
          <w:szCs w:val="21"/>
          <w:highlight w:val="none"/>
        </w:rPr>
        <w:t>本协议书的有效期自双方签署之日起至相应承发包</w:t>
      </w:r>
      <w:r>
        <w:rPr>
          <w:rFonts w:ascii="宋体" w:hAnsi="宋体" w:eastAsia="宋体" w:cs="宋体"/>
          <w:color w:val="auto"/>
          <w:spacing w:val="-1"/>
          <w:sz w:val="21"/>
          <w:szCs w:val="21"/>
          <w:highlight w:val="none"/>
        </w:rPr>
        <w:t>合同终了之日止。</w:t>
      </w:r>
    </w:p>
    <w:p w14:paraId="7BE82298">
      <w:pPr>
        <w:spacing w:before="159" w:line="345" w:lineRule="auto"/>
        <w:ind w:left="4" w:firstLine="443"/>
        <w:rPr>
          <w:rFonts w:ascii="宋体" w:hAnsi="宋体" w:eastAsia="宋体" w:cs="宋体"/>
          <w:color w:val="auto"/>
          <w:sz w:val="21"/>
          <w:szCs w:val="21"/>
          <w:highlight w:val="none"/>
        </w:rPr>
      </w:pPr>
      <w:r>
        <w:rPr>
          <w:rFonts w:ascii="黑体" w:hAnsi="黑体" w:eastAsia="黑体" w:cs="黑体"/>
          <w:color w:val="auto"/>
          <w:spacing w:val="-2"/>
          <w:sz w:val="21"/>
          <w:szCs w:val="21"/>
          <w:highlight w:val="none"/>
        </w:rPr>
        <w:t>第六条</w:t>
      </w:r>
      <w:r>
        <w:rPr>
          <w:rFonts w:ascii="黑体" w:hAnsi="黑体" w:eastAsia="黑体" w:cs="黑体"/>
          <w:color w:val="auto"/>
          <w:spacing w:val="46"/>
          <w:sz w:val="21"/>
          <w:szCs w:val="21"/>
          <w:highlight w:val="none"/>
        </w:rPr>
        <w:t xml:space="preserve">  </w:t>
      </w:r>
      <w:r>
        <w:rPr>
          <w:rFonts w:ascii="宋体" w:hAnsi="宋体" w:eastAsia="宋体" w:cs="宋体"/>
          <w:color w:val="auto"/>
          <w:spacing w:val="-2"/>
          <w:sz w:val="21"/>
          <w:szCs w:val="21"/>
          <w:highlight w:val="none"/>
        </w:rPr>
        <w:t>本责任书一式</w:t>
      </w:r>
      <w:r>
        <w:rPr>
          <w:rFonts w:ascii="宋体" w:hAnsi="宋体" w:eastAsia="宋体" w:cs="宋体"/>
          <w:color w:val="auto"/>
          <w:spacing w:val="-104"/>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7"/>
          <w:sz w:val="21"/>
          <w:szCs w:val="21"/>
          <w:highlight w:val="none"/>
        </w:rPr>
        <w:t xml:space="preserve"> </w:t>
      </w:r>
      <w:r>
        <w:rPr>
          <w:rFonts w:ascii="宋体" w:hAnsi="宋体" w:eastAsia="宋体" w:cs="宋体"/>
          <w:color w:val="auto"/>
          <w:spacing w:val="-2"/>
          <w:sz w:val="21"/>
          <w:szCs w:val="21"/>
          <w:highlight w:val="none"/>
        </w:rPr>
        <w:t>份，甲乙双方各执一份，并分送</w:t>
      </w:r>
      <w:r>
        <w:rPr>
          <w:rFonts w:ascii="宋体" w:hAnsi="宋体" w:eastAsia="宋体" w:cs="宋体"/>
          <w:color w:val="auto"/>
          <w:spacing w:val="-3"/>
          <w:sz w:val="21"/>
          <w:szCs w:val="21"/>
          <w:highlight w:val="none"/>
        </w:rPr>
        <w:t>甲乙双方主管单位纪检监察部门各</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一份。</w:t>
      </w:r>
    </w:p>
    <w:p w14:paraId="5A207F90">
      <w:pPr>
        <w:spacing w:line="247" w:lineRule="auto"/>
        <w:rPr>
          <w:rFonts w:ascii="Arial"/>
          <w:color w:val="auto"/>
          <w:sz w:val="21"/>
          <w:highlight w:val="none"/>
        </w:rPr>
      </w:pPr>
    </w:p>
    <w:p w14:paraId="28137339">
      <w:pPr>
        <w:spacing w:line="247" w:lineRule="auto"/>
        <w:rPr>
          <w:rFonts w:ascii="Arial"/>
          <w:color w:val="auto"/>
          <w:sz w:val="21"/>
          <w:highlight w:val="none"/>
        </w:rPr>
      </w:pPr>
    </w:p>
    <w:p w14:paraId="71D0692D">
      <w:pPr>
        <w:spacing w:line="248" w:lineRule="auto"/>
        <w:rPr>
          <w:rFonts w:ascii="Arial"/>
          <w:color w:val="auto"/>
          <w:sz w:val="21"/>
          <w:highlight w:val="none"/>
        </w:rPr>
      </w:pPr>
    </w:p>
    <w:p w14:paraId="553F51AB">
      <w:pPr>
        <w:spacing w:before="68" w:line="220" w:lineRule="auto"/>
        <w:ind w:left="868"/>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甲 方（盖章</w:t>
      </w:r>
      <w:r>
        <w:rPr>
          <w:rFonts w:ascii="宋体" w:hAnsi="宋体" w:eastAsia="宋体" w:cs="宋体"/>
          <w:color w:val="auto"/>
          <w:spacing w:val="-29"/>
          <w:sz w:val="21"/>
          <w:szCs w:val="21"/>
          <w:highlight w:val="none"/>
        </w:rPr>
        <w:t>）：</w:t>
      </w:r>
      <w:r>
        <w:rPr>
          <w:rFonts w:ascii="宋体" w:hAnsi="宋体" w:eastAsia="宋体" w:cs="宋体"/>
          <w:color w:val="auto"/>
          <w:spacing w:val="1"/>
          <w:sz w:val="21"/>
          <w:szCs w:val="21"/>
          <w:highlight w:val="none"/>
        </w:rPr>
        <w:t xml:space="preserve">                             </w:t>
      </w:r>
      <w:r>
        <w:rPr>
          <w:rFonts w:ascii="宋体" w:hAnsi="宋体" w:eastAsia="宋体" w:cs="宋体"/>
          <w:color w:val="auto"/>
          <w:spacing w:val="-17"/>
          <w:sz w:val="21"/>
          <w:szCs w:val="21"/>
          <w:highlight w:val="none"/>
        </w:rPr>
        <w:t>乙</w:t>
      </w:r>
      <w:r>
        <w:rPr>
          <w:rFonts w:ascii="宋体" w:hAnsi="宋体" w:eastAsia="宋体" w:cs="宋体"/>
          <w:color w:val="auto"/>
          <w:spacing w:val="16"/>
          <w:sz w:val="21"/>
          <w:szCs w:val="21"/>
          <w:highlight w:val="none"/>
        </w:rPr>
        <w:t xml:space="preserve"> </w:t>
      </w:r>
      <w:r>
        <w:rPr>
          <w:rFonts w:ascii="宋体" w:hAnsi="宋体" w:eastAsia="宋体" w:cs="宋体"/>
          <w:color w:val="auto"/>
          <w:spacing w:val="-17"/>
          <w:sz w:val="21"/>
          <w:szCs w:val="21"/>
          <w:highlight w:val="none"/>
        </w:rPr>
        <w:t>方（盖章</w:t>
      </w:r>
      <w:r>
        <w:rPr>
          <w:rFonts w:ascii="宋体" w:hAnsi="宋体" w:eastAsia="宋体" w:cs="宋体"/>
          <w:color w:val="auto"/>
          <w:spacing w:val="-29"/>
          <w:sz w:val="21"/>
          <w:szCs w:val="21"/>
          <w:highlight w:val="none"/>
        </w:rPr>
        <w:t>）：</w:t>
      </w:r>
    </w:p>
    <w:p w14:paraId="54B378F2">
      <w:pPr>
        <w:spacing w:line="463" w:lineRule="auto"/>
        <w:rPr>
          <w:rFonts w:ascii="Arial"/>
          <w:color w:val="auto"/>
          <w:sz w:val="21"/>
          <w:highlight w:val="none"/>
        </w:rPr>
      </w:pPr>
    </w:p>
    <w:p w14:paraId="5CB87830">
      <w:pPr>
        <w:spacing w:before="69" w:line="221" w:lineRule="auto"/>
        <w:ind w:left="84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法定代表人：</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法定代表人：</w:t>
      </w:r>
    </w:p>
    <w:p w14:paraId="2E0A9157">
      <w:pPr>
        <w:spacing w:before="142" w:line="221" w:lineRule="auto"/>
        <w:ind w:left="638"/>
        <w:rPr>
          <w:rFonts w:ascii="宋体" w:hAnsi="宋体" w:eastAsia="宋体" w:cs="宋体"/>
          <w:color w:val="auto"/>
          <w:sz w:val="21"/>
          <w:szCs w:val="21"/>
          <w:highlight w:val="none"/>
        </w:rPr>
      </w:pPr>
      <w:r>
        <w:rPr>
          <w:rFonts w:ascii="宋体" w:hAnsi="宋体" w:eastAsia="宋体" w:cs="宋体"/>
          <w:color w:val="auto"/>
          <w:sz w:val="21"/>
          <w:szCs w:val="21"/>
          <w:highlight w:val="none"/>
        </w:rPr>
        <w:t>（或委托代理人</w:t>
      </w:r>
      <w:r>
        <w:rPr>
          <w:rFonts w:ascii="宋体" w:hAnsi="宋体" w:eastAsia="宋体" w:cs="宋体"/>
          <w:color w:val="auto"/>
          <w:spacing w:val="-10"/>
          <w:sz w:val="21"/>
          <w:szCs w:val="21"/>
          <w:highlight w:val="none"/>
        </w:rPr>
        <w:t>）</w:t>
      </w:r>
      <w:r>
        <w:rPr>
          <w:rFonts w:ascii="宋体" w:hAnsi="宋体" w:eastAsia="宋体" w:cs="宋体"/>
          <w:color w:val="auto"/>
          <w:spacing w:val="4"/>
          <w:sz w:val="21"/>
          <w:szCs w:val="21"/>
          <w:highlight w:val="none"/>
        </w:rPr>
        <w:t xml:space="preserve">                       </w:t>
      </w:r>
      <w:r>
        <w:rPr>
          <w:rFonts w:ascii="宋体" w:hAnsi="宋体" w:eastAsia="宋体" w:cs="宋体"/>
          <w:color w:val="auto"/>
          <w:spacing w:val="3"/>
          <w:sz w:val="21"/>
          <w:szCs w:val="21"/>
          <w:highlight w:val="none"/>
        </w:rPr>
        <w:t xml:space="preserve">    </w:t>
      </w:r>
      <w:r>
        <w:rPr>
          <w:rFonts w:ascii="宋体" w:hAnsi="宋体" w:eastAsia="宋体" w:cs="宋体"/>
          <w:color w:val="auto"/>
          <w:spacing w:val="-10"/>
          <w:sz w:val="21"/>
          <w:szCs w:val="21"/>
          <w:highlight w:val="none"/>
        </w:rPr>
        <w:t>（</w:t>
      </w:r>
      <w:r>
        <w:rPr>
          <w:rFonts w:ascii="宋体" w:hAnsi="宋体" w:eastAsia="宋体" w:cs="宋体"/>
          <w:color w:val="auto"/>
          <w:sz w:val="21"/>
          <w:szCs w:val="21"/>
          <w:highlight w:val="none"/>
        </w:rPr>
        <w:t>或委托代理人）</w:t>
      </w:r>
    </w:p>
    <w:p w14:paraId="5A364E05">
      <w:pPr>
        <w:spacing w:line="462" w:lineRule="auto"/>
        <w:rPr>
          <w:rFonts w:ascii="Arial"/>
          <w:color w:val="auto"/>
          <w:sz w:val="21"/>
          <w:highlight w:val="none"/>
        </w:rPr>
      </w:pPr>
    </w:p>
    <w:p w14:paraId="4D32A932">
      <w:pPr>
        <w:tabs>
          <w:tab w:val="left" w:pos="1298"/>
        </w:tabs>
        <w:spacing w:before="69" w:line="221" w:lineRule="auto"/>
        <w:ind w:left="352"/>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4"/>
          <w:sz w:val="21"/>
          <w:szCs w:val="21"/>
          <w:highlight w:val="none"/>
        </w:rPr>
        <w:t xml:space="preserve"> </w:t>
      </w:r>
      <w:r>
        <w:rPr>
          <w:rFonts w:ascii="宋体" w:hAnsi="宋体" w:eastAsia="宋体" w:cs="宋体"/>
          <w:color w:val="auto"/>
          <w:spacing w:val="-8"/>
          <w:sz w:val="21"/>
          <w:szCs w:val="21"/>
          <w:highlight w:val="none"/>
        </w:rPr>
        <w:t>年</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8"/>
          <w:sz w:val="21"/>
          <w:szCs w:val="21"/>
          <w:highlight w:val="none"/>
        </w:rPr>
        <w:t xml:space="preserve"> </w:t>
      </w:r>
      <w:r>
        <w:rPr>
          <w:rFonts w:ascii="宋体" w:hAnsi="宋体" w:eastAsia="宋体" w:cs="宋体"/>
          <w:color w:val="auto"/>
          <w:spacing w:val="-8"/>
          <w:sz w:val="21"/>
          <w:szCs w:val="21"/>
          <w:highlight w:val="none"/>
        </w:rPr>
        <w:t xml:space="preserve">日                   </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8"/>
          <w:sz w:val="21"/>
          <w:szCs w:val="21"/>
          <w:highlight w:val="none"/>
        </w:rPr>
        <w:t>年</w:t>
      </w:r>
      <w:r>
        <w:rPr>
          <w:rFonts w:ascii="宋体" w:hAnsi="宋体" w:eastAsia="宋体" w:cs="宋体"/>
          <w:color w:val="auto"/>
          <w:spacing w:val="25"/>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25"/>
          <w:sz w:val="21"/>
          <w:szCs w:val="21"/>
          <w:highlight w:val="none"/>
          <w:u w:val="single" w:color="auto"/>
        </w:rPr>
        <w:t xml:space="preserve">    </w:t>
      </w:r>
      <w:r>
        <w:rPr>
          <w:rFonts w:ascii="宋体" w:hAnsi="宋体" w:eastAsia="宋体" w:cs="宋体"/>
          <w:color w:val="auto"/>
          <w:spacing w:val="-57"/>
          <w:sz w:val="21"/>
          <w:szCs w:val="21"/>
          <w:highlight w:val="none"/>
        </w:rPr>
        <w:t xml:space="preserve"> </w:t>
      </w:r>
      <w:r>
        <w:rPr>
          <w:rFonts w:ascii="宋体" w:hAnsi="宋体" w:eastAsia="宋体" w:cs="宋体"/>
          <w:color w:val="auto"/>
          <w:spacing w:val="-8"/>
          <w:sz w:val="21"/>
          <w:szCs w:val="21"/>
          <w:highlight w:val="none"/>
        </w:rPr>
        <w:t>日</w:t>
      </w:r>
    </w:p>
    <w:p w14:paraId="5A8B1040">
      <w:pPr>
        <w:spacing w:before="65" w:line="219" w:lineRule="auto"/>
        <w:ind w:left="25"/>
        <w:rPr>
          <w:rFonts w:ascii="宋体" w:hAnsi="宋体" w:eastAsia="宋体" w:cs="宋体"/>
          <w:b/>
          <w:bCs/>
          <w:color w:val="auto"/>
          <w:spacing w:val="-7"/>
          <w:sz w:val="28"/>
          <w:szCs w:val="28"/>
          <w:highlight w:val="none"/>
        </w:rPr>
      </w:pPr>
    </w:p>
    <w:p w14:paraId="1BB3A556">
      <w:pPr>
        <w:spacing w:before="65" w:line="219" w:lineRule="auto"/>
        <w:ind w:left="25"/>
        <w:rPr>
          <w:rFonts w:ascii="宋体" w:hAnsi="宋体" w:eastAsia="宋体" w:cs="宋体"/>
          <w:b/>
          <w:bCs/>
          <w:color w:val="auto"/>
          <w:spacing w:val="-7"/>
          <w:sz w:val="28"/>
          <w:szCs w:val="28"/>
          <w:highlight w:val="none"/>
        </w:rPr>
      </w:pPr>
    </w:p>
    <w:p w14:paraId="3AB9507C">
      <w:pPr>
        <w:spacing w:before="65" w:line="219" w:lineRule="auto"/>
        <w:ind w:left="25"/>
        <w:rPr>
          <w:rFonts w:ascii="宋体" w:hAnsi="宋体" w:eastAsia="宋体" w:cs="宋体"/>
          <w:b/>
          <w:bCs/>
          <w:color w:val="auto"/>
          <w:spacing w:val="-7"/>
          <w:sz w:val="28"/>
          <w:szCs w:val="28"/>
          <w:highlight w:val="none"/>
        </w:rPr>
      </w:pPr>
    </w:p>
    <w:p w14:paraId="3A8B2772">
      <w:pPr>
        <w:spacing w:before="65" w:line="219" w:lineRule="auto"/>
        <w:ind w:left="25"/>
        <w:rPr>
          <w:rFonts w:ascii="宋体" w:hAnsi="宋体" w:eastAsia="宋体" w:cs="宋体"/>
          <w:b/>
          <w:bCs/>
          <w:color w:val="auto"/>
          <w:spacing w:val="-7"/>
          <w:sz w:val="28"/>
          <w:szCs w:val="28"/>
          <w:highlight w:val="none"/>
        </w:rPr>
      </w:pPr>
    </w:p>
    <w:p w14:paraId="5A08A9A0">
      <w:pPr>
        <w:spacing w:before="65" w:line="219" w:lineRule="auto"/>
        <w:ind w:left="25"/>
        <w:rPr>
          <w:rFonts w:ascii="宋体" w:hAnsi="宋体" w:eastAsia="宋体" w:cs="宋体"/>
          <w:b/>
          <w:bCs/>
          <w:color w:val="auto"/>
          <w:spacing w:val="-7"/>
          <w:sz w:val="28"/>
          <w:szCs w:val="28"/>
          <w:highlight w:val="none"/>
        </w:rPr>
      </w:pPr>
    </w:p>
    <w:p w14:paraId="31437A6B">
      <w:pPr>
        <w:spacing w:before="65" w:line="219" w:lineRule="auto"/>
        <w:ind w:left="25"/>
        <w:rPr>
          <w:rFonts w:ascii="宋体" w:hAnsi="宋体" w:eastAsia="宋体" w:cs="宋体"/>
          <w:b/>
          <w:bCs/>
          <w:color w:val="auto"/>
          <w:spacing w:val="-7"/>
          <w:sz w:val="28"/>
          <w:szCs w:val="28"/>
          <w:highlight w:val="none"/>
        </w:rPr>
      </w:pPr>
    </w:p>
    <w:p w14:paraId="2FAC57CD">
      <w:pPr>
        <w:rPr>
          <w:rFonts w:ascii="宋体" w:hAnsi="宋体" w:eastAsia="宋体" w:cs="宋体"/>
          <w:b/>
          <w:bCs/>
          <w:color w:val="auto"/>
          <w:spacing w:val="-7"/>
          <w:sz w:val="28"/>
          <w:szCs w:val="28"/>
          <w:highlight w:val="none"/>
        </w:rPr>
      </w:pPr>
      <w:r>
        <w:rPr>
          <w:rFonts w:ascii="宋体" w:hAnsi="宋体" w:eastAsia="宋体" w:cs="宋体"/>
          <w:b/>
          <w:bCs/>
          <w:color w:val="auto"/>
          <w:spacing w:val="-7"/>
          <w:sz w:val="28"/>
          <w:szCs w:val="28"/>
          <w:highlight w:val="none"/>
        </w:rPr>
        <w:br w:type="page"/>
      </w:r>
    </w:p>
    <w:p w14:paraId="06FB2A83">
      <w:pPr>
        <w:spacing w:before="65" w:line="219" w:lineRule="auto"/>
        <w:ind w:left="25"/>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附件三：安全生产责任书</w:t>
      </w:r>
    </w:p>
    <w:p w14:paraId="2EABF32E">
      <w:pPr>
        <w:spacing w:line="417" w:lineRule="auto"/>
        <w:rPr>
          <w:rFonts w:ascii="Arial"/>
          <w:color w:val="auto"/>
          <w:sz w:val="21"/>
          <w:highlight w:val="none"/>
        </w:rPr>
      </w:pPr>
    </w:p>
    <w:p w14:paraId="77B21D06">
      <w:pPr>
        <w:spacing w:before="91" w:line="219" w:lineRule="auto"/>
        <w:ind w:left="3559"/>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安全生产责任书</w:t>
      </w:r>
    </w:p>
    <w:p w14:paraId="4D2C6292">
      <w:pPr>
        <w:spacing w:line="295" w:lineRule="auto"/>
        <w:rPr>
          <w:rFonts w:ascii="Arial"/>
          <w:color w:val="auto"/>
          <w:sz w:val="21"/>
          <w:highlight w:val="none"/>
        </w:rPr>
      </w:pPr>
    </w:p>
    <w:p w14:paraId="02460424">
      <w:pPr>
        <w:spacing w:line="295" w:lineRule="auto"/>
        <w:rPr>
          <w:rFonts w:ascii="Arial"/>
          <w:color w:val="auto"/>
          <w:sz w:val="21"/>
          <w:highlight w:val="none"/>
        </w:rPr>
      </w:pPr>
    </w:p>
    <w:p w14:paraId="0306CB6D">
      <w:pPr>
        <w:spacing w:before="69" w:line="223" w:lineRule="auto"/>
        <w:ind w:left="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施工合同名称： </w:t>
      </w:r>
      <w:r>
        <w:rPr>
          <w:rFonts w:ascii="宋体" w:hAnsi="宋体" w:eastAsia="宋体" w:cs="宋体"/>
          <w:color w:val="auto"/>
          <w:sz w:val="21"/>
          <w:szCs w:val="21"/>
          <w:highlight w:val="none"/>
          <w:u w:val="single" w:color="auto"/>
        </w:rPr>
        <w:t xml:space="preserve">                                                     </w:t>
      </w:r>
    </w:p>
    <w:p w14:paraId="05248F9E">
      <w:pPr>
        <w:spacing w:before="156" w:line="221"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施工合同编号： </w:t>
      </w:r>
      <w:r>
        <w:rPr>
          <w:rFonts w:ascii="宋体" w:hAnsi="宋体" w:eastAsia="宋体" w:cs="宋体"/>
          <w:color w:val="auto"/>
          <w:sz w:val="21"/>
          <w:szCs w:val="21"/>
          <w:highlight w:val="none"/>
          <w:u w:val="single" w:color="auto"/>
        </w:rPr>
        <w:t xml:space="preserve">                                                     </w:t>
      </w:r>
    </w:p>
    <w:p w14:paraId="22240E87">
      <w:pPr>
        <w:spacing w:before="157" w:line="221" w:lineRule="auto"/>
        <w:ind w:left="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发</w:t>
      </w:r>
      <w:r>
        <w:rPr>
          <w:rFonts w:ascii="宋体" w:hAnsi="宋体" w:eastAsia="宋体" w:cs="宋体"/>
          <w:color w:val="auto"/>
          <w:spacing w:val="3"/>
          <w:sz w:val="21"/>
          <w:szCs w:val="21"/>
          <w:highlight w:val="none"/>
        </w:rPr>
        <w:t xml:space="preserve">   </w:t>
      </w:r>
      <w:r>
        <w:rPr>
          <w:rFonts w:ascii="宋体" w:hAnsi="宋体" w:eastAsia="宋体" w:cs="宋体"/>
          <w:color w:val="auto"/>
          <w:spacing w:val="-4"/>
          <w:sz w:val="21"/>
          <w:szCs w:val="21"/>
          <w:highlight w:val="none"/>
        </w:rPr>
        <w:t>包</w:t>
      </w:r>
      <w:r>
        <w:rPr>
          <w:rFonts w:ascii="宋体" w:hAnsi="宋体" w:eastAsia="宋体" w:cs="宋体"/>
          <w:color w:val="auto"/>
          <w:spacing w:val="3"/>
          <w:sz w:val="21"/>
          <w:szCs w:val="21"/>
          <w:highlight w:val="none"/>
        </w:rPr>
        <w:t xml:space="preserve">   </w:t>
      </w:r>
      <w:r>
        <w:rPr>
          <w:rFonts w:ascii="宋体" w:hAnsi="宋体" w:eastAsia="宋体" w:cs="宋体"/>
          <w:color w:val="auto"/>
          <w:spacing w:val="-4"/>
          <w:sz w:val="21"/>
          <w:szCs w:val="21"/>
          <w:highlight w:val="none"/>
        </w:rPr>
        <w:t xml:space="preserve">人： </w:t>
      </w:r>
      <w:r>
        <w:rPr>
          <w:rFonts w:ascii="宋体" w:hAnsi="宋体" w:eastAsia="宋体" w:cs="宋体"/>
          <w:color w:val="auto"/>
          <w:spacing w:val="-4"/>
          <w:sz w:val="21"/>
          <w:szCs w:val="21"/>
          <w:highlight w:val="none"/>
          <w:u w:val="single" w:color="auto"/>
        </w:rPr>
        <w:t xml:space="preserve">                                                       </w:t>
      </w:r>
    </w:p>
    <w:p w14:paraId="12ED7903">
      <w:pPr>
        <w:spacing w:before="155" w:line="221" w:lineRule="auto"/>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承</w:t>
      </w:r>
      <w:r>
        <w:rPr>
          <w:rFonts w:ascii="宋体" w:hAnsi="宋体" w:eastAsia="宋体" w:cs="宋体"/>
          <w:color w:val="auto"/>
          <w:spacing w:val="2"/>
          <w:sz w:val="21"/>
          <w:szCs w:val="21"/>
          <w:highlight w:val="none"/>
        </w:rPr>
        <w:t xml:space="preserve">   </w:t>
      </w:r>
      <w:r>
        <w:rPr>
          <w:rFonts w:ascii="宋体" w:hAnsi="宋体" w:eastAsia="宋体" w:cs="宋体"/>
          <w:color w:val="auto"/>
          <w:spacing w:val="-5"/>
          <w:sz w:val="21"/>
          <w:szCs w:val="21"/>
          <w:highlight w:val="none"/>
        </w:rPr>
        <w:t>包</w:t>
      </w:r>
      <w:r>
        <w:rPr>
          <w:rFonts w:ascii="宋体" w:hAnsi="宋体" w:eastAsia="宋体" w:cs="宋体"/>
          <w:color w:val="auto"/>
          <w:spacing w:val="3"/>
          <w:sz w:val="21"/>
          <w:szCs w:val="21"/>
          <w:highlight w:val="none"/>
        </w:rPr>
        <w:t xml:space="preserve">   </w:t>
      </w:r>
      <w:r>
        <w:rPr>
          <w:rFonts w:ascii="宋体" w:hAnsi="宋体" w:eastAsia="宋体" w:cs="宋体"/>
          <w:color w:val="auto"/>
          <w:spacing w:val="-5"/>
          <w:sz w:val="21"/>
          <w:szCs w:val="21"/>
          <w:highlight w:val="none"/>
        </w:rPr>
        <w:t xml:space="preserve">人： </w:t>
      </w:r>
      <w:r>
        <w:rPr>
          <w:rFonts w:ascii="宋体" w:hAnsi="宋体" w:eastAsia="宋体" w:cs="宋体"/>
          <w:color w:val="auto"/>
          <w:sz w:val="21"/>
          <w:szCs w:val="21"/>
          <w:highlight w:val="none"/>
          <w:u w:val="single" w:color="auto"/>
        </w:rPr>
        <w:t xml:space="preserve">                                                     </w:t>
      </w:r>
    </w:p>
    <w:p w14:paraId="4079CCE1">
      <w:pPr>
        <w:spacing w:before="156" w:line="351" w:lineRule="auto"/>
        <w:ind w:left="1" w:firstLine="45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为进一步落实施工过程的安全生产主体责任，加强项目安全生产管理工作，有效保</w:t>
      </w:r>
      <w:r>
        <w:rPr>
          <w:rFonts w:ascii="宋体" w:hAnsi="宋体" w:eastAsia="宋体" w:cs="宋体"/>
          <w:color w:val="auto"/>
          <w:spacing w:val="-1"/>
          <w:sz w:val="21"/>
          <w:szCs w:val="21"/>
          <w:highlight w:val="none"/>
        </w:rPr>
        <w:t>障从业人员</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人身安全和职业健康，根据《中华人民共和国安全生产法》、国务院《建设工程安全生产管理条例》</w:t>
      </w:r>
      <w:r>
        <w:rPr>
          <w:rFonts w:ascii="宋体" w:hAnsi="宋体" w:eastAsia="宋体" w:cs="宋体"/>
          <w:color w:val="auto"/>
          <w:spacing w:val="3"/>
          <w:sz w:val="21"/>
          <w:szCs w:val="21"/>
          <w:highlight w:val="none"/>
        </w:rPr>
        <w:t xml:space="preserve"> </w:t>
      </w:r>
      <w:r>
        <w:rPr>
          <w:rFonts w:ascii="宋体" w:hAnsi="宋体" w:eastAsia="宋体" w:cs="宋体"/>
          <w:color w:val="auto"/>
          <w:sz w:val="21"/>
          <w:szCs w:val="21"/>
          <w:highlight w:val="none"/>
        </w:rPr>
        <w:t>和《安徽省建设工程安全生产管理办法》等法律法规规章，制订本安全生产责任</w:t>
      </w:r>
      <w:r>
        <w:rPr>
          <w:rFonts w:ascii="宋体" w:hAnsi="宋体" w:eastAsia="宋体" w:cs="宋体"/>
          <w:color w:val="auto"/>
          <w:spacing w:val="-1"/>
          <w:sz w:val="21"/>
          <w:szCs w:val="21"/>
          <w:highlight w:val="none"/>
        </w:rPr>
        <w:t>书。</w:t>
      </w:r>
    </w:p>
    <w:p w14:paraId="7652FD52">
      <w:pPr>
        <w:spacing w:before="31" w:line="221" w:lineRule="auto"/>
        <w:ind w:left="45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一、目标与要求</w:t>
      </w:r>
    </w:p>
    <w:p w14:paraId="140E3A46">
      <w:pPr>
        <w:spacing w:before="157" w:line="345" w:lineRule="auto"/>
        <w:ind w:left="452" w:right="1600" w:firstLine="13"/>
        <w:outlineLvl w:val="9"/>
        <w:rPr>
          <w:rFonts w:ascii="宋体" w:hAnsi="宋体" w:eastAsia="宋体" w:cs="宋体"/>
          <w:color w:val="auto"/>
          <w:spacing w:val="-2"/>
          <w:sz w:val="21"/>
          <w:szCs w:val="21"/>
          <w:highlight w:val="none"/>
        </w:rPr>
      </w:pPr>
      <w:bookmarkStart w:id="363" w:name="_Toc32483"/>
      <w:bookmarkStart w:id="364" w:name="_Toc4729"/>
      <w:r>
        <w:rPr>
          <w:rFonts w:ascii="宋体" w:hAnsi="宋体" w:eastAsia="宋体" w:cs="宋体"/>
          <w:color w:val="auto"/>
          <w:spacing w:val="-1"/>
          <w:sz w:val="21"/>
          <w:szCs w:val="21"/>
          <w:highlight w:val="none"/>
        </w:rPr>
        <w:t>1.强化承包人的安全生产主体责任，确保本</w:t>
      </w:r>
      <w:r>
        <w:rPr>
          <w:rFonts w:ascii="宋体" w:hAnsi="宋体" w:eastAsia="宋体" w:cs="宋体"/>
          <w:color w:val="auto"/>
          <w:spacing w:val="-2"/>
          <w:sz w:val="21"/>
          <w:szCs w:val="21"/>
          <w:highlight w:val="none"/>
        </w:rPr>
        <w:t>项目安全生产工作规范有</w:t>
      </w:r>
      <w:bookmarkEnd w:id="363"/>
      <w:bookmarkEnd w:id="364"/>
    </w:p>
    <w:p w14:paraId="1CD0E583">
      <w:pPr>
        <w:spacing w:before="157" w:line="345" w:lineRule="auto"/>
        <w:ind w:right="16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序开展。</w:t>
      </w:r>
    </w:p>
    <w:p w14:paraId="0D95AB9E">
      <w:pPr>
        <w:spacing w:before="157" w:line="345" w:lineRule="auto"/>
        <w:ind w:left="452" w:right="1600" w:firstLine="13"/>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2.严格兑现投标文件中有关安全生产方面的承诺。</w:t>
      </w:r>
    </w:p>
    <w:p w14:paraId="1D3E424D">
      <w:pPr>
        <w:spacing w:before="157" w:line="345" w:lineRule="auto"/>
        <w:ind w:right="1600" w:firstLine="416" w:firstLineChars="2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3.事故控制目标：不发生死亡事故及重伤事故。</w:t>
      </w:r>
    </w:p>
    <w:p w14:paraId="43798EE7">
      <w:pPr>
        <w:spacing w:before="157" w:line="221" w:lineRule="auto"/>
        <w:ind w:left="45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二、施工单位安全生产责任</w:t>
      </w:r>
    </w:p>
    <w:p w14:paraId="6E95E1AB">
      <w:pPr>
        <w:spacing w:before="157" w:line="345" w:lineRule="auto"/>
        <w:ind w:right="108" w:firstLine="46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1.认真贯彻落实“安全第一，预防为主，综合治理”的方针，严格遵守安全生产法律法规、规程规范，开展安全生产标准化工地建设。</w:t>
      </w:r>
    </w:p>
    <w:p w14:paraId="5B2857C3">
      <w:pPr>
        <w:spacing w:before="32" w:line="347" w:lineRule="auto"/>
        <w:ind w:left="41" w:right="89" w:firstLine="41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2.健全安全生产责任体系。施工企业法定代表人是本单位的安全生产第一责任人，项目经理（项目负责人）对本项目的施工安全生产全面负责，明确落实各部门、各环节、各岗位的安全生产责任。</w:t>
      </w:r>
    </w:p>
    <w:p w14:paraId="303A37C3">
      <w:pPr>
        <w:spacing w:before="29" w:line="345" w:lineRule="auto"/>
        <w:ind w:left="1" w:right="145" w:firstLine="45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3.健全安全生产管理体系。设立现场安全生产管理机构，按规定配备</w:t>
      </w:r>
      <w:r>
        <w:rPr>
          <w:rFonts w:ascii="宋体" w:hAnsi="宋体" w:eastAsia="宋体" w:cs="宋体"/>
          <w:color w:val="auto"/>
          <w:spacing w:val="-2"/>
          <w:sz w:val="21"/>
          <w:szCs w:val="21"/>
          <w:highlight w:val="none"/>
        </w:rPr>
        <w:t>专职安全生产管理人员，</w:t>
      </w:r>
      <w:r>
        <w:rPr>
          <w:rFonts w:ascii="宋体" w:hAnsi="宋体" w:eastAsia="宋体" w:cs="宋体"/>
          <w:color w:val="auto"/>
          <w:spacing w:val="-1"/>
          <w:sz w:val="21"/>
          <w:szCs w:val="21"/>
          <w:highlight w:val="none"/>
        </w:rPr>
        <w:t>保证专职安全生产管理人员有职有权。</w:t>
      </w:r>
    </w:p>
    <w:p w14:paraId="520B052B">
      <w:pPr>
        <w:spacing w:before="32" w:line="344" w:lineRule="auto"/>
        <w:ind w:left="3" w:right="99" w:firstLine="445"/>
        <w:rPr>
          <w:rFonts w:ascii="宋体" w:hAnsi="宋体" w:eastAsia="宋体" w:cs="宋体"/>
          <w:color w:val="auto"/>
          <w:sz w:val="21"/>
          <w:szCs w:val="21"/>
          <w:highlight w:val="none"/>
        </w:rPr>
      </w:pPr>
      <w:r>
        <w:rPr>
          <w:rFonts w:ascii="宋体" w:hAnsi="宋体" w:eastAsia="宋体" w:cs="宋体"/>
          <w:color w:val="auto"/>
          <w:sz w:val="21"/>
          <w:szCs w:val="21"/>
          <w:highlight w:val="none"/>
        </w:rPr>
        <w:t>4.健全安全生产规章制度。结合本项目特点，建立并完善安全生产责任制、教育培训、日</w:t>
      </w:r>
      <w:r>
        <w:rPr>
          <w:rFonts w:ascii="宋体" w:hAnsi="宋体" w:eastAsia="宋体" w:cs="宋体"/>
          <w:color w:val="auto"/>
          <w:spacing w:val="-1"/>
          <w:sz w:val="21"/>
          <w:szCs w:val="21"/>
          <w:highlight w:val="none"/>
        </w:rPr>
        <w:t>常检查、隐患排查治理、事故报告等规章制度。</w:t>
      </w:r>
    </w:p>
    <w:p w14:paraId="28788D0D">
      <w:pPr>
        <w:spacing w:before="35" w:line="345" w:lineRule="auto"/>
        <w:ind w:left="23" w:right="89" w:firstLine="43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5.提升从业人员安全生产知识技能。认真开展“三级安全生产教育”；保证特种作业人员持证上</w:t>
      </w:r>
      <w:r>
        <w:rPr>
          <w:rFonts w:ascii="宋体" w:hAnsi="宋体" w:eastAsia="宋体" w:cs="宋体"/>
          <w:color w:val="auto"/>
          <w:spacing w:val="-1"/>
          <w:sz w:val="21"/>
          <w:szCs w:val="21"/>
          <w:highlight w:val="none"/>
        </w:rPr>
        <w:t>岗；各作业场所悬挂安全生产操作规程；施工前必须进行安全技术交底。</w:t>
      </w:r>
    </w:p>
    <w:p w14:paraId="05134062">
      <w:pPr>
        <w:spacing w:before="30" w:line="221" w:lineRule="auto"/>
        <w:ind w:left="451"/>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6.保证安全生产投入。不得挪用安全生产措施</w:t>
      </w:r>
      <w:r>
        <w:rPr>
          <w:rFonts w:ascii="宋体" w:hAnsi="宋体" w:eastAsia="宋体" w:cs="宋体"/>
          <w:color w:val="auto"/>
          <w:spacing w:val="-1"/>
          <w:sz w:val="21"/>
          <w:szCs w:val="21"/>
          <w:highlight w:val="none"/>
        </w:rPr>
        <w:t>费，施工安全生产投入应满足实际需要</w:t>
      </w:r>
      <w:r>
        <w:rPr>
          <w:rFonts w:hint="eastAsia" w:ascii="宋体" w:hAnsi="宋体" w:eastAsia="宋体" w:cs="宋体"/>
          <w:color w:val="auto"/>
          <w:spacing w:val="-1"/>
          <w:sz w:val="21"/>
          <w:szCs w:val="21"/>
          <w:highlight w:val="none"/>
          <w:lang w:eastAsia="zh-CN"/>
        </w:rPr>
        <w:t>。</w:t>
      </w:r>
    </w:p>
    <w:p w14:paraId="32E46F72">
      <w:pPr>
        <w:spacing w:before="157" w:line="351" w:lineRule="auto"/>
        <w:ind w:right="89" w:firstLine="4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7.建立风险管控和隐患排查治理双重预防工作机制。构建安全风险管控“六项机制”，经常开展</w:t>
      </w:r>
      <w:r>
        <w:rPr>
          <w:rFonts w:ascii="宋体" w:hAnsi="宋体" w:eastAsia="宋体" w:cs="宋体"/>
          <w:color w:val="auto"/>
          <w:spacing w:val="7"/>
          <w:sz w:val="21"/>
          <w:szCs w:val="21"/>
          <w:highlight w:val="none"/>
        </w:rPr>
        <w:t xml:space="preserve"> </w:t>
      </w:r>
      <w:r>
        <w:rPr>
          <w:rFonts w:ascii="宋体" w:hAnsi="宋体" w:eastAsia="宋体" w:cs="宋体"/>
          <w:color w:val="auto"/>
          <w:sz w:val="21"/>
          <w:szCs w:val="21"/>
          <w:highlight w:val="none"/>
        </w:rPr>
        <w:t>安全隐患排查治理，认真落实项目主管及安全生产监督等机构的检查意见并按时反馈整改结果</w:t>
      </w:r>
      <w:r>
        <w:rPr>
          <w:rFonts w:ascii="宋体" w:hAnsi="宋体" w:eastAsia="宋体" w:cs="宋体"/>
          <w:color w:val="auto"/>
          <w:spacing w:val="-1"/>
          <w:sz w:val="21"/>
          <w:szCs w:val="21"/>
          <w:highlight w:val="none"/>
        </w:rPr>
        <w:t>。生</w:t>
      </w:r>
      <w:r>
        <w:rPr>
          <w:rFonts w:ascii="宋体" w:hAnsi="宋体" w:eastAsia="宋体" w:cs="宋体"/>
          <w:color w:val="auto"/>
          <w:sz w:val="21"/>
          <w:szCs w:val="21"/>
          <w:highlight w:val="none"/>
        </w:rPr>
        <w:t>产安全事故隐患排查整治方案要做到责任到人、明确时限、</w:t>
      </w:r>
      <w:r>
        <w:rPr>
          <w:rFonts w:ascii="宋体" w:hAnsi="宋体" w:eastAsia="宋体" w:cs="宋体"/>
          <w:color w:val="auto"/>
          <w:spacing w:val="-1"/>
          <w:sz w:val="21"/>
          <w:szCs w:val="21"/>
          <w:highlight w:val="none"/>
        </w:rPr>
        <w:t>规范程序，保证及时消除事故隐患。</w:t>
      </w:r>
    </w:p>
    <w:p w14:paraId="773DC9D9">
      <w:pPr>
        <w:spacing w:before="28" w:line="350" w:lineRule="auto"/>
        <w:ind w:right="99" w:firstLine="450"/>
        <w:rPr>
          <w:rFonts w:ascii="宋体" w:hAnsi="宋体" w:eastAsia="宋体" w:cs="宋体"/>
          <w:color w:val="auto"/>
          <w:sz w:val="21"/>
          <w:szCs w:val="21"/>
          <w:highlight w:val="none"/>
        </w:rPr>
      </w:pPr>
      <w:r>
        <w:rPr>
          <w:rFonts w:ascii="宋体" w:hAnsi="宋体" w:eastAsia="宋体" w:cs="宋体"/>
          <w:color w:val="auto"/>
          <w:sz w:val="21"/>
          <w:szCs w:val="21"/>
          <w:highlight w:val="none"/>
        </w:rPr>
        <w:t>8.制定各类有关安全生产方案或预案。辨识危险源和危险性较大的单项工程，对达到一</w:t>
      </w:r>
      <w:r>
        <w:rPr>
          <w:rFonts w:ascii="宋体" w:hAnsi="宋体" w:eastAsia="宋体" w:cs="宋体"/>
          <w:color w:val="auto"/>
          <w:spacing w:val="-1"/>
          <w:sz w:val="21"/>
          <w:szCs w:val="21"/>
          <w:highlight w:val="none"/>
        </w:rPr>
        <w:t>定规模</w:t>
      </w:r>
      <w:r>
        <w:rPr>
          <w:rFonts w:ascii="宋体" w:hAnsi="宋体" w:eastAsia="宋体" w:cs="宋体"/>
          <w:color w:val="auto"/>
          <w:sz w:val="21"/>
          <w:szCs w:val="21"/>
          <w:highlight w:val="none"/>
        </w:rPr>
        <w:t xml:space="preserve"> 的危险性较大工程制定专项施工方案，超过一定规模的危险性较大工程组织论证；有度汛要求的工 </w:t>
      </w:r>
      <w:r>
        <w:rPr>
          <w:rFonts w:ascii="宋体" w:hAnsi="宋体" w:eastAsia="宋体" w:cs="宋体"/>
          <w:color w:val="auto"/>
          <w:spacing w:val="-1"/>
          <w:sz w:val="21"/>
          <w:szCs w:val="21"/>
          <w:highlight w:val="none"/>
        </w:rPr>
        <w:t>程，制定相应的度汛方案；编制应急救援预案，并保持与地方应急部门联系畅通。</w:t>
      </w:r>
    </w:p>
    <w:p w14:paraId="75952AAE">
      <w:pPr>
        <w:spacing w:before="41" w:line="350" w:lineRule="auto"/>
        <w:ind w:firstLine="44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9.严格执行《安徽省生产安全事故报告和调查处理办法》。事故发生后，应及时向地方应急部门</w:t>
      </w:r>
      <w:r>
        <w:rPr>
          <w:rFonts w:ascii="宋体" w:hAnsi="宋体" w:eastAsia="宋体" w:cs="宋体"/>
          <w:color w:val="auto"/>
          <w:sz w:val="21"/>
          <w:szCs w:val="21"/>
          <w:highlight w:val="none"/>
        </w:rPr>
        <w:t>和本项目发包人、主管部门报告，采取有效措施抢救人员和财产，保护事故现场，配合事故调</w:t>
      </w:r>
      <w:r>
        <w:rPr>
          <w:rFonts w:ascii="宋体" w:hAnsi="宋体" w:eastAsia="宋体" w:cs="宋体"/>
          <w:color w:val="auto"/>
          <w:spacing w:val="-1"/>
          <w:sz w:val="21"/>
          <w:szCs w:val="21"/>
          <w:highlight w:val="none"/>
        </w:rPr>
        <w:t>查，</w:t>
      </w:r>
      <w:r>
        <w:rPr>
          <w:rFonts w:ascii="宋体" w:hAnsi="宋体" w:eastAsia="宋体" w:cs="宋体"/>
          <w:color w:val="auto"/>
          <w:sz w:val="21"/>
          <w:szCs w:val="21"/>
          <w:highlight w:val="none"/>
        </w:rPr>
        <w:t>妥善处理事故善后工作；严格落实 “四不放过</w:t>
      </w:r>
      <w:r>
        <w:rPr>
          <w:rFonts w:ascii="宋体" w:hAnsi="宋体" w:eastAsia="宋体" w:cs="宋体"/>
          <w:color w:val="auto"/>
          <w:spacing w:val="-1"/>
          <w:sz w:val="21"/>
          <w:szCs w:val="21"/>
          <w:highlight w:val="none"/>
        </w:rPr>
        <w:t>”处理原则。</w:t>
      </w:r>
    </w:p>
    <w:p w14:paraId="2837866E">
      <w:pPr>
        <w:spacing w:before="30" w:line="220" w:lineRule="auto"/>
        <w:ind w:left="447"/>
        <w:rPr>
          <w:rFonts w:ascii="宋体" w:hAnsi="宋体" w:eastAsia="宋体" w:cs="宋体"/>
          <w:color w:val="auto"/>
          <w:sz w:val="21"/>
          <w:szCs w:val="21"/>
          <w:highlight w:val="none"/>
        </w:rPr>
      </w:pPr>
      <w:r>
        <w:rPr>
          <w:rFonts w:ascii="宋体" w:hAnsi="宋体" w:eastAsia="宋体" w:cs="宋体"/>
          <w:color w:val="auto"/>
          <w:sz w:val="21"/>
          <w:szCs w:val="21"/>
          <w:highlight w:val="none"/>
        </w:rPr>
        <w:t>三、本责任书一式三份，发包人与承包人各存一份，报送农业农村部门</w:t>
      </w:r>
      <w:r>
        <w:rPr>
          <w:rFonts w:ascii="宋体" w:hAnsi="宋体" w:eastAsia="宋体" w:cs="宋体"/>
          <w:color w:val="auto"/>
          <w:spacing w:val="-1"/>
          <w:sz w:val="21"/>
          <w:szCs w:val="21"/>
          <w:highlight w:val="none"/>
        </w:rPr>
        <w:t>一份。</w:t>
      </w:r>
    </w:p>
    <w:p w14:paraId="62E490D1">
      <w:pPr>
        <w:spacing w:before="160" w:line="220" w:lineRule="auto"/>
        <w:ind w:left="46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四、本责任书自签订施工合同起执行，至合同工程完工验收结束止。</w:t>
      </w:r>
    </w:p>
    <w:p w14:paraId="63AA7277">
      <w:pPr>
        <w:spacing w:line="258" w:lineRule="auto"/>
        <w:rPr>
          <w:rFonts w:ascii="Arial"/>
          <w:color w:val="auto"/>
          <w:sz w:val="21"/>
          <w:highlight w:val="none"/>
        </w:rPr>
      </w:pPr>
    </w:p>
    <w:p w14:paraId="4A3CA34B">
      <w:pPr>
        <w:spacing w:line="258" w:lineRule="auto"/>
        <w:rPr>
          <w:rFonts w:ascii="Arial"/>
          <w:color w:val="auto"/>
          <w:sz w:val="21"/>
          <w:highlight w:val="none"/>
        </w:rPr>
      </w:pPr>
    </w:p>
    <w:p w14:paraId="06460AEB">
      <w:pPr>
        <w:spacing w:line="258" w:lineRule="auto"/>
        <w:rPr>
          <w:rFonts w:ascii="Arial"/>
          <w:color w:val="auto"/>
          <w:sz w:val="21"/>
          <w:highlight w:val="none"/>
        </w:rPr>
      </w:pPr>
    </w:p>
    <w:p w14:paraId="0347B148">
      <w:pPr>
        <w:spacing w:line="258" w:lineRule="auto"/>
        <w:rPr>
          <w:rFonts w:ascii="Arial"/>
          <w:color w:val="auto"/>
          <w:sz w:val="21"/>
          <w:highlight w:val="none"/>
        </w:rPr>
      </w:pPr>
    </w:p>
    <w:p w14:paraId="35D20C7E">
      <w:pPr>
        <w:spacing w:line="259" w:lineRule="auto"/>
        <w:rPr>
          <w:rFonts w:ascii="Arial"/>
          <w:color w:val="auto"/>
          <w:sz w:val="21"/>
          <w:highlight w:val="none"/>
        </w:rPr>
      </w:pPr>
    </w:p>
    <w:p w14:paraId="5E8520B7">
      <w:pPr>
        <w:spacing w:before="68" w:line="220" w:lineRule="auto"/>
        <w:ind w:left="948"/>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发包人（盖章</w:t>
      </w:r>
      <w:r>
        <w:rPr>
          <w:rFonts w:ascii="宋体" w:hAnsi="宋体" w:eastAsia="宋体" w:cs="宋体"/>
          <w:color w:val="auto"/>
          <w:spacing w:val="-25"/>
          <w:sz w:val="21"/>
          <w:szCs w:val="21"/>
          <w:highlight w:val="none"/>
        </w:rPr>
        <w:t>）：</w:t>
      </w:r>
      <w:r>
        <w:rPr>
          <w:rFonts w:ascii="宋体" w:hAnsi="宋体" w:eastAsia="宋体" w:cs="宋体"/>
          <w:color w:val="auto"/>
          <w:spacing w:val="1"/>
          <w:sz w:val="21"/>
          <w:szCs w:val="21"/>
          <w:highlight w:val="none"/>
        </w:rPr>
        <w:t xml:space="preserve">                    </w:t>
      </w:r>
      <w:r>
        <w:rPr>
          <w:rFonts w:ascii="宋体" w:hAnsi="宋体" w:eastAsia="宋体" w:cs="宋体"/>
          <w:color w:val="auto"/>
          <w:spacing w:val="-13"/>
          <w:sz w:val="21"/>
          <w:szCs w:val="21"/>
          <w:highlight w:val="none"/>
        </w:rPr>
        <w:t>承包人（盖章</w:t>
      </w:r>
      <w:r>
        <w:rPr>
          <w:rFonts w:ascii="宋体" w:hAnsi="宋体" w:eastAsia="宋体" w:cs="宋体"/>
          <w:color w:val="auto"/>
          <w:spacing w:val="-25"/>
          <w:sz w:val="21"/>
          <w:szCs w:val="21"/>
          <w:highlight w:val="none"/>
        </w:rPr>
        <w:t>）：</w:t>
      </w:r>
    </w:p>
    <w:p w14:paraId="0DF727FF">
      <w:pPr>
        <w:spacing w:line="284" w:lineRule="auto"/>
        <w:rPr>
          <w:rFonts w:ascii="Arial"/>
          <w:color w:val="auto"/>
          <w:sz w:val="21"/>
          <w:highlight w:val="none"/>
        </w:rPr>
      </w:pPr>
    </w:p>
    <w:p w14:paraId="276399D6">
      <w:pPr>
        <w:spacing w:line="284" w:lineRule="auto"/>
        <w:rPr>
          <w:rFonts w:ascii="Arial"/>
          <w:color w:val="auto"/>
          <w:sz w:val="21"/>
          <w:highlight w:val="none"/>
        </w:rPr>
      </w:pPr>
    </w:p>
    <w:p w14:paraId="7B6B1FC8">
      <w:pPr>
        <w:spacing w:line="284" w:lineRule="auto"/>
        <w:rPr>
          <w:rFonts w:ascii="Arial"/>
          <w:color w:val="auto"/>
          <w:sz w:val="21"/>
          <w:highlight w:val="none"/>
        </w:rPr>
      </w:pPr>
    </w:p>
    <w:p w14:paraId="5565BABF">
      <w:pPr>
        <w:spacing w:before="68" w:line="221" w:lineRule="auto"/>
        <w:ind w:left="94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法定代表人：                     </w:t>
      </w:r>
      <w:r>
        <w:rPr>
          <w:rFonts w:ascii="宋体" w:hAnsi="宋体" w:eastAsia="宋体" w:cs="宋体"/>
          <w:color w:val="auto"/>
          <w:spacing w:val="-1"/>
          <w:sz w:val="21"/>
          <w:szCs w:val="21"/>
          <w:highlight w:val="none"/>
        </w:rPr>
        <w:t xml:space="preserve">   法定代表人：</w:t>
      </w:r>
    </w:p>
    <w:p w14:paraId="183F08E1">
      <w:pPr>
        <w:spacing w:before="142" w:line="221" w:lineRule="auto"/>
        <w:ind w:left="6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（或委托代理人</w:t>
      </w:r>
      <w:r>
        <w:rPr>
          <w:rFonts w:ascii="宋体" w:hAnsi="宋体" w:eastAsia="宋体" w:cs="宋体"/>
          <w:color w:val="auto"/>
          <w:spacing w:val="3"/>
          <w:sz w:val="21"/>
          <w:szCs w:val="21"/>
          <w:highlight w:val="none"/>
        </w:rPr>
        <w:t>）</w:t>
      </w:r>
      <w:r>
        <w:rPr>
          <w:rFonts w:ascii="宋体" w:hAnsi="宋体" w:eastAsia="宋体" w:cs="宋体"/>
          <w:color w:val="auto"/>
          <w:spacing w:val="5"/>
          <w:sz w:val="21"/>
          <w:szCs w:val="21"/>
          <w:highlight w:val="none"/>
        </w:rPr>
        <w:t xml:space="preserve">                   </w:t>
      </w:r>
      <w:r>
        <w:rPr>
          <w:rFonts w:ascii="宋体" w:hAnsi="宋体" w:eastAsia="宋体" w:cs="宋体"/>
          <w:color w:val="auto"/>
          <w:spacing w:val="3"/>
          <w:sz w:val="21"/>
          <w:szCs w:val="21"/>
          <w:highlight w:val="none"/>
        </w:rPr>
        <w:t>（</w:t>
      </w:r>
      <w:r>
        <w:rPr>
          <w:rFonts w:ascii="宋体" w:hAnsi="宋体" w:eastAsia="宋体" w:cs="宋体"/>
          <w:color w:val="auto"/>
          <w:spacing w:val="-2"/>
          <w:sz w:val="21"/>
          <w:szCs w:val="21"/>
          <w:highlight w:val="none"/>
        </w:rPr>
        <w:t>或委托代理人）</w:t>
      </w:r>
    </w:p>
    <w:p w14:paraId="2AC2898D">
      <w:pPr>
        <w:spacing w:line="283" w:lineRule="auto"/>
        <w:rPr>
          <w:rFonts w:ascii="Arial"/>
          <w:color w:val="auto"/>
          <w:sz w:val="21"/>
          <w:highlight w:val="none"/>
        </w:rPr>
      </w:pPr>
    </w:p>
    <w:p w14:paraId="596D976D">
      <w:pPr>
        <w:spacing w:line="284" w:lineRule="auto"/>
        <w:rPr>
          <w:rFonts w:ascii="Arial"/>
          <w:color w:val="auto"/>
          <w:sz w:val="21"/>
          <w:highlight w:val="none"/>
        </w:rPr>
      </w:pPr>
    </w:p>
    <w:p w14:paraId="46FB24A6">
      <w:pPr>
        <w:spacing w:line="284" w:lineRule="auto"/>
        <w:rPr>
          <w:rFonts w:ascii="Arial"/>
          <w:color w:val="auto"/>
          <w:sz w:val="21"/>
          <w:highlight w:val="none"/>
        </w:rPr>
      </w:pPr>
    </w:p>
    <w:p w14:paraId="0EF7BEE3">
      <w:pPr>
        <w:tabs>
          <w:tab w:val="left" w:pos="1250"/>
        </w:tabs>
        <w:spacing w:before="68" w:line="221" w:lineRule="auto"/>
        <w:ind w:left="305"/>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14"/>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88"/>
          <w:sz w:val="21"/>
          <w:szCs w:val="21"/>
          <w:highlight w:val="none"/>
        </w:rPr>
        <w:t xml:space="preserve"> </w:t>
      </w:r>
      <w:r>
        <w:rPr>
          <w:rFonts w:ascii="宋体" w:hAnsi="宋体" w:eastAsia="宋体" w:cs="宋体"/>
          <w:color w:val="auto"/>
          <w:spacing w:val="-14"/>
          <w:sz w:val="21"/>
          <w:szCs w:val="21"/>
          <w:highlight w:val="none"/>
        </w:rPr>
        <w:t>月</w:t>
      </w:r>
      <w:r>
        <w:rPr>
          <w:rFonts w:ascii="宋体" w:hAnsi="宋体" w:eastAsia="宋体" w:cs="宋体"/>
          <w:color w:val="auto"/>
          <w:spacing w:val="-105"/>
          <w:sz w:val="21"/>
          <w:szCs w:val="21"/>
          <w:highlight w:val="none"/>
        </w:rPr>
        <w:t xml:space="preserve"> </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6"/>
          <w:sz w:val="21"/>
          <w:szCs w:val="21"/>
          <w:highlight w:val="none"/>
        </w:rPr>
        <w:t xml:space="preserve"> </w:t>
      </w:r>
      <w:r>
        <w:rPr>
          <w:rFonts w:ascii="宋体" w:hAnsi="宋体" w:eastAsia="宋体" w:cs="宋体"/>
          <w:color w:val="auto"/>
          <w:spacing w:val="-14"/>
          <w:sz w:val="21"/>
          <w:szCs w:val="21"/>
          <w:highlight w:val="none"/>
        </w:rPr>
        <w:t>日</w:t>
      </w:r>
      <w:r>
        <w:rPr>
          <w:rFonts w:ascii="宋体" w:hAnsi="宋体" w:eastAsia="宋体" w:cs="宋体"/>
          <w:color w:val="auto"/>
          <w:spacing w:val="11"/>
          <w:sz w:val="21"/>
          <w:szCs w:val="21"/>
          <w:highlight w:val="none"/>
        </w:rPr>
        <w:t xml:space="preserve">         </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14"/>
          <w:sz w:val="21"/>
          <w:szCs w:val="21"/>
          <w:highlight w:val="none"/>
        </w:rPr>
        <w:t>年</w:t>
      </w:r>
      <w:r>
        <w:rPr>
          <w:rFonts w:ascii="宋体" w:hAnsi="宋体" w:eastAsia="宋体" w:cs="宋体"/>
          <w:color w:val="auto"/>
          <w:spacing w:val="-104"/>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14"/>
          <w:sz w:val="21"/>
          <w:szCs w:val="21"/>
          <w:highlight w:val="none"/>
        </w:rPr>
        <w:t>月</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6"/>
          <w:sz w:val="21"/>
          <w:szCs w:val="21"/>
          <w:highlight w:val="none"/>
        </w:rPr>
        <w:t xml:space="preserve"> </w:t>
      </w:r>
      <w:r>
        <w:rPr>
          <w:rFonts w:ascii="宋体" w:hAnsi="宋体" w:eastAsia="宋体" w:cs="宋体"/>
          <w:color w:val="auto"/>
          <w:spacing w:val="-14"/>
          <w:sz w:val="21"/>
          <w:szCs w:val="21"/>
          <w:highlight w:val="none"/>
        </w:rPr>
        <w:t>日</w:t>
      </w:r>
    </w:p>
    <w:p w14:paraId="06BE3E0C">
      <w:pPr>
        <w:spacing w:before="65" w:line="219" w:lineRule="auto"/>
        <w:ind w:left="26"/>
        <w:rPr>
          <w:rFonts w:ascii="宋体" w:hAnsi="宋体" w:eastAsia="宋体" w:cs="宋体"/>
          <w:b/>
          <w:bCs/>
          <w:color w:val="auto"/>
          <w:spacing w:val="-5"/>
          <w:sz w:val="28"/>
          <w:szCs w:val="28"/>
          <w:highlight w:val="none"/>
        </w:rPr>
      </w:pPr>
      <w:bookmarkStart w:id="365" w:name="bookmark272"/>
      <w:bookmarkEnd w:id="365"/>
    </w:p>
    <w:p w14:paraId="43193B87">
      <w:pPr>
        <w:spacing w:before="65" w:line="219" w:lineRule="auto"/>
        <w:ind w:left="26"/>
        <w:rPr>
          <w:rFonts w:ascii="宋体" w:hAnsi="宋体" w:eastAsia="宋体" w:cs="宋体"/>
          <w:b/>
          <w:bCs/>
          <w:color w:val="auto"/>
          <w:spacing w:val="-5"/>
          <w:sz w:val="28"/>
          <w:szCs w:val="28"/>
          <w:highlight w:val="none"/>
        </w:rPr>
      </w:pPr>
    </w:p>
    <w:p w14:paraId="0048A984">
      <w:pPr>
        <w:spacing w:before="65" w:line="219" w:lineRule="auto"/>
        <w:ind w:left="26"/>
        <w:rPr>
          <w:rFonts w:ascii="宋体" w:hAnsi="宋体" w:eastAsia="宋体" w:cs="宋体"/>
          <w:b/>
          <w:bCs/>
          <w:color w:val="auto"/>
          <w:spacing w:val="-5"/>
          <w:sz w:val="28"/>
          <w:szCs w:val="28"/>
          <w:highlight w:val="none"/>
        </w:rPr>
      </w:pPr>
    </w:p>
    <w:p w14:paraId="35657990">
      <w:pPr>
        <w:spacing w:before="65" w:line="219" w:lineRule="auto"/>
        <w:ind w:left="26"/>
        <w:rPr>
          <w:rFonts w:ascii="宋体" w:hAnsi="宋体" w:eastAsia="宋体" w:cs="宋体"/>
          <w:b/>
          <w:bCs/>
          <w:color w:val="auto"/>
          <w:spacing w:val="-5"/>
          <w:sz w:val="28"/>
          <w:szCs w:val="28"/>
          <w:highlight w:val="none"/>
        </w:rPr>
      </w:pPr>
    </w:p>
    <w:p w14:paraId="33CA62C5">
      <w:pPr>
        <w:spacing w:before="65" w:line="219" w:lineRule="auto"/>
        <w:ind w:left="26"/>
        <w:rPr>
          <w:rFonts w:ascii="宋体" w:hAnsi="宋体" w:eastAsia="宋体" w:cs="宋体"/>
          <w:b/>
          <w:bCs/>
          <w:color w:val="auto"/>
          <w:spacing w:val="-5"/>
          <w:sz w:val="28"/>
          <w:szCs w:val="28"/>
          <w:highlight w:val="none"/>
        </w:rPr>
      </w:pPr>
    </w:p>
    <w:p w14:paraId="0F9800DC">
      <w:pPr>
        <w:spacing w:before="65" w:line="219" w:lineRule="auto"/>
        <w:ind w:left="26"/>
        <w:rPr>
          <w:rFonts w:ascii="宋体" w:hAnsi="宋体" w:eastAsia="宋体" w:cs="宋体"/>
          <w:b/>
          <w:bCs/>
          <w:color w:val="auto"/>
          <w:spacing w:val="-5"/>
          <w:sz w:val="28"/>
          <w:szCs w:val="28"/>
          <w:highlight w:val="none"/>
        </w:rPr>
      </w:pPr>
    </w:p>
    <w:p w14:paraId="10518D4A">
      <w:pPr>
        <w:spacing w:before="65" w:line="219" w:lineRule="auto"/>
        <w:ind w:left="26"/>
        <w:rPr>
          <w:rFonts w:ascii="宋体" w:hAnsi="宋体" w:eastAsia="宋体" w:cs="宋体"/>
          <w:b/>
          <w:bCs/>
          <w:color w:val="auto"/>
          <w:spacing w:val="-5"/>
          <w:sz w:val="28"/>
          <w:szCs w:val="28"/>
          <w:highlight w:val="none"/>
        </w:rPr>
      </w:pPr>
    </w:p>
    <w:p w14:paraId="3B5A610D">
      <w:pPr>
        <w:spacing w:before="65" w:line="219" w:lineRule="auto"/>
        <w:ind w:left="26"/>
        <w:rPr>
          <w:rFonts w:ascii="宋体" w:hAnsi="宋体" w:eastAsia="宋体" w:cs="宋体"/>
          <w:b/>
          <w:bCs/>
          <w:color w:val="auto"/>
          <w:spacing w:val="-5"/>
          <w:sz w:val="28"/>
          <w:szCs w:val="28"/>
          <w:highlight w:val="none"/>
        </w:rPr>
      </w:pPr>
    </w:p>
    <w:p w14:paraId="672D7E4D">
      <w:pPr>
        <w:spacing w:before="65" w:line="219" w:lineRule="auto"/>
        <w:ind w:left="26"/>
        <w:rPr>
          <w:rFonts w:ascii="宋体" w:hAnsi="宋体" w:eastAsia="宋体" w:cs="宋体"/>
          <w:b/>
          <w:bCs/>
          <w:color w:val="auto"/>
          <w:spacing w:val="-5"/>
          <w:sz w:val="28"/>
          <w:szCs w:val="28"/>
          <w:highlight w:val="none"/>
        </w:rPr>
      </w:pPr>
    </w:p>
    <w:p w14:paraId="53FB9971">
      <w:pPr>
        <w:spacing w:before="65" w:line="219" w:lineRule="auto"/>
        <w:ind w:left="26"/>
        <w:rPr>
          <w:rFonts w:ascii="宋体" w:hAnsi="宋体" w:eastAsia="宋体" w:cs="宋体"/>
          <w:b/>
          <w:bCs/>
          <w:color w:val="auto"/>
          <w:spacing w:val="-5"/>
          <w:sz w:val="28"/>
          <w:szCs w:val="28"/>
          <w:highlight w:val="none"/>
        </w:rPr>
      </w:pPr>
    </w:p>
    <w:p w14:paraId="5CAC0FB7">
      <w:pPr>
        <w:spacing w:before="65" w:line="219" w:lineRule="auto"/>
        <w:ind w:left="26"/>
        <w:rPr>
          <w:rFonts w:ascii="宋体" w:hAnsi="宋体" w:eastAsia="宋体" w:cs="宋体"/>
          <w:b/>
          <w:bCs/>
          <w:color w:val="auto"/>
          <w:spacing w:val="-5"/>
          <w:sz w:val="28"/>
          <w:szCs w:val="28"/>
          <w:highlight w:val="none"/>
        </w:rPr>
      </w:pPr>
    </w:p>
    <w:p w14:paraId="3AF12F0D">
      <w:pPr>
        <w:spacing w:before="65" w:line="219" w:lineRule="auto"/>
        <w:ind w:left="26"/>
        <w:rPr>
          <w:rFonts w:ascii="宋体" w:hAnsi="宋体" w:eastAsia="宋体" w:cs="宋体"/>
          <w:b/>
          <w:bCs/>
          <w:color w:val="auto"/>
          <w:spacing w:val="-5"/>
          <w:sz w:val="28"/>
          <w:szCs w:val="28"/>
          <w:highlight w:val="none"/>
        </w:rPr>
      </w:pPr>
    </w:p>
    <w:p w14:paraId="356A93A2">
      <w:pPr>
        <w:spacing w:before="65" w:line="219" w:lineRule="auto"/>
        <w:ind w:left="26"/>
        <w:rPr>
          <w:rFonts w:ascii="宋体" w:hAnsi="宋体" w:eastAsia="宋体" w:cs="宋体"/>
          <w:b/>
          <w:bCs/>
          <w:color w:val="auto"/>
          <w:spacing w:val="-5"/>
          <w:sz w:val="28"/>
          <w:szCs w:val="28"/>
          <w:highlight w:val="none"/>
        </w:rPr>
      </w:pPr>
    </w:p>
    <w:p w14:paraId="21F84DEF">
      <w:pPr>
        <w:spacing w:before="65" w:line="219" w:lineRule="auto"/>
        <w:ind w:left="26"/>
        <w:outlineLvl w:val="9"/>
        <w:rPr>
          <w:rFonts w:ascii="宋体" w:hAnsi="宋体" w:eastAsia="宋体" w:cs="宋体"/>
          <w:color w:val="auto"/>
          <w:sz w:val="28"/>
          <w:szCs w:val="28"/>
          <w:highlight w:val="none"/>
        </w:rPr>
      </w:pPr>
      <w:bookmarkStart w:id="366" w:name="_Toc32718"/>
      <w:bookmarkStart w:id="367" w:name="_Toc12421"/>
      <w:r>
        <w:rPr>
          <w:rFonts w:ascii="宋体" w:hAnsi="宋体" w:eastAsia="宋体" w:cs="宋体"/>
          <w:b/>
          <w:bCs/>
          <w:color w:val="auto"/>
          <w:spacing w:val="-5"/>
          <w:sz w:val="28"/>
          <w:szCs w:val="28"/>
          <w:highlight w:val="none"/>
        </w:rPr>
        <w:t>附件四：工程质量终身责任承诺书</w:t>
      </w:r>
      <w:bookmarkEnd w:id="366"/>
      <w:bookmarkEnd w:id="367"/>
    </w:p>
    <w:p w14:paraId="2524B194">
      <w:pPr>
        <w:spacing w:before="156" w:line="224" w:lineRule="auto"/>
        <w:ind w:left="2777"/>
        <w:rPr>
          <w:rFonts w:ascii="宋体" w:hAnsi="宋体" w:eastAsia="宋体" w:cs="宋体"/>
          <w:b/>
          <w:bCs/>
          <w:color w:val="auto"/>
          <w:spacing w:val="6"/>
          <w:sz w:val="31"/>
          <w:szCs w:val="31"/>
          <w:highlight w:val="none"/>
        </w:rPr>
      </w:pPr>
    </w:p>
    <w:p w14:paraId="610491EA">
      <w:pPr>
        <w:spacing w:before="156" w:line="224" w:lineRule="auto"/>
        <w:ind w:left="2777"/>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工程质量终身责任承诺书</w:t>
      </w:r>
    </w:p>
    <w:p w14:paraId="2EDE5B9B">
      <w:pPr>
        <w:spacing w:line="280" w:lineRule="auto"/>
        <w:rPr>
          <w:rFonts w:ascii="Arial"/>
          <w:color w:val="auto"/>
          <w:sz w:val="21"/>
          <w:highlight w:val="none"/>
        </w:rPr>
      </w:pPr>
    </w:p>
    <w:p w14:paraId="4291C786">
      <w:pPr>
        <w:keepNext w:val="0"/>
        <w:keepLines w:val="0"/>
        <w:pageBreakBefore w:val="0"/>
        <w:widowControl/>
        <w:kinsoku w:val="0"/>
        <w:wordWrap/>
        <w:overflowPunct/>
        <w:topLinePunct w:val="0"/>
        <w:autoSpaceDE w:val="0"/>
        <w:autoSpaceDN w:val="0"/>
        <w:bidi w:val="0"/>
        <w:adjustRightInd w:val="0"/>
        <w:snapToGrid w:val="0"/>
        <w:spacing w:before="68" w:line="360" w:lineRule="auto"/>
        <w:ind w:left="5" w:right="9" w:firstLine="446"/>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本人承诺在本工程建设过程中认真履行下列相应职责，并对施工原因造成的质量问题承</w:t>
      </w:r>
      <w:r>
        <w:rPr>
          <w:rFonts w:ascii="宋体" w:hAnsi="宋体" w:eastAsia="宋体" w:cs="宋体"/>
          <w:color w:val="auto"/>
          <w:spacing w:val="-1"/>
          <w:sz w:val="21"/>
          <w:szCs w:val="21"/>
          <w:highlight w:val="none"/>
        </w:rPr>
        <w:t>担相应</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终身质量责任。</w:t>
      </w:r>
    </w:p>
    <w:p w14:paraId="0FB95255">
      <w:pPr>
        <w:keepNext w:val="0"/>
        <w:keepLines w:val="0"/>
        <w:pageBreakBefore w:val="0"/>
        <w:widowControl/>
        <w:kinsoku w:val="0"/>
        <w:wordWrap/>
        <w:overflowPunct/>
        <w:topLinePunct w:val="0"/>
        <w:autoSpaceDE w:val="0"/>
        <w:autoSpaceDN w:val="0"/>
        <w:bidi w:val="0"/>
        <w:adjustRightInd w:val="0"/>
        <w:snapToGrid w:val="0"/>
        <w:spacing w:before="31" w:line="360" w:lineRule="auto"/>
        <w:ind w:left="3" w:right="9" w:firstLine="462"/>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1.不转包或违法分包所承揽的施工业务，严格按照经</w:t>
      </w:r>
      <w:r>
        <w:rPr>
          <w:rFonts w:ascii="宋体" w:hAnsi="宋体" w:eastAsia="宋体" w:cs="宋体"/>
          <w:color w:val="auto"/>
          <w:spacing w:val="-1"/>
          <w:sz w:val="21"/>
          <w:szCs w:val="21"/>
          <w:highlight w:val="none"/>
        </w:rPr>
        <w:t>审查合格的工程设计图纸、文件和施工技术标准及规程规范进行施工，不擅自修改设计文件，不偷工减料。</w:t>
      </w:r>
    </w:p>
    <w:p w14:paraId="7471BD5D">
      <w:pPr>
        <w:keepNext w:val="0"/>
        <w:keepLines w:val="0"/>
        <w:pageBreakBefore w:val="0"/>
        <w:widowControl/>
        <w:kinsoku w:val="0"/>
        <w:wordWrap/>
        <w:overflowPunct/>
        <w:topLinePunct w:val="0"/>
        <w:autoSpaceDE w:val="0"/>
        <w:autoSpaceDN w:val="0"/>
        <w:bidi w:val="0"/>
        <w:adjustRightInd w:val="0"/>
        <w:snapToGrid w:val="0"/>
        <w:spacing w:before="28" w:line="360" w:lineRule="auto"/>
        <w:ind w:left="2" w:firstLine="450"/>
        <w:textAlignment w:val="baseline"/>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2.组织建立健全质量管理体系，组织成立符合</w:t>
      </w:r>
      <w:r>
        <w:rPr>
          <w:rFonts w:ascii="宋体" w:hAnsi="宋体" w:eastAsia="宋体" w:cs="宋体"/>
          <w:color w:val="auto"/>
          <w:spacing w:val="-4"/>
          <w:sz w:val="21"/>
          <w:szCs w:val="21"/>
          <w:highlight w:val="none"/>
        </w:rPr>
        <w:t>规定并满足施工需要的项目管理机构，配备符合</w:t>
      </w:r>
      <w:r>
        <w:rPr>
          <w:rFonts w:ascii="宋体" w:hAnsi="宋体" w:eastAsia="宋体" w:cs="宋体"/>
          <w:color w:val="auto"/>
          <w:spacing w:val="-1"/>
          <w:sz w:val="21"/>
          <w:szCs w:val="21"/>
          <w:highlight w:val="none"/>
        </w:rPr>
        <w:t>规定和合同要求的管理人员，并确保所有人员到岗履职。</w:t>
      </w:r>
    </w:p>
    <w:p w14:paraId="6D8CA394">
      <w:pPr>
        <w:keepNext w:val="0"/>
        <w:keepLines w:val="0"/>
        <w:pageBreakBefore w:val="0"/>
        <w:widowControl/>
        <w:kinsoku w:val="0"/>
        <w:wordWrap/>
        <w:overflowPunct/>
        <w:topLinePunct w:val="0"/>
        <w:autoSpaceDE w:val="0"/>
        <w:autoSpaceDN w:val="0"/>
        <w:bidi w:val="0"/>
        <w:adjustRightInd w:val="0"/>
        <w:snapToGrid w:val="0"/>
        <w:spacing w:before="30" w:line="360" w:lineRule="auto"/>
        <w:ind w:right="9" w:firstLine="453"/>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3.组织质量管理人员学习规程规范、设计文件提出的工艺、工法和技术要求，熟</w:t>
      </w:r>
      <w:r>
        <w:rPr>
          <w:rFonts w:ascii="宋体" w:hAnsi="宋体" w:eastAsia="宋体" w:cs="宋体"/>
          <w:color w:val="auto"/>
          <w:spacing w:val="-1"/>
          <w:sz w:val="21"/>
          <w:szCs w:val="21"/>
          <w:highlight w:val="none"/>
        </w:rPr>
        <w:t>悉相关施工流</w:t>
      </w:r>
      <w:r>
        <w:rPr>
          <w:rFonts w:ascii="宋体" w:hAnsi="宋体" w:eastAsia="宋体" w:cs="宋体"/>
          <w:color w:val="auto"/>
          <w:spacing w:val="-2"/>
          <w:sz w:val="21"/>
          <w:szCs w:val="21"/>
          <w:highlight w:val="none"/>
        </w:rPr>
        <w:t>程和技术，提高质量管理水平。</w:t>
      </w:r>
    </w:p>
    <w:p w14:paraId="3B5859B8">
      <w:pPr>
        <w:keepNext w:val="0"/>
        <w:keepLines w:val="0"/>
        <w:pageBreakBefore w:val="0"/>
        <w:widowControl/>
        <w:kinsoku w:val="0"/>
        <w:wordWrap/>
        <w:overflowPunct/>
        <w:topLinePunct w:val="0"/>
        <w:autoSpaceDE w:val="0"/>
        <w:autoSpaceDN w:val="0"/>
        <w:bidi w:val="0"/>
        <w:adjustRightInd w:val="0"/>
        <w:snapToGrid w:val="0"/>
        <w:spacing w:before="32" w:line="360" w:lineRule="auto"/>
        <w:ind w:left="3" w:firstLine="446"/>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4.按照工程设计要求、技术标准和合同约定，对原材料、中间产品、</w:t>
      </w:r>
      <w:r>
        <w:rPr>
          <w:rFonts w:ascii="宋体" w:hAnsi="宋体" w:eastAsia="宋体" w:cs="宋体"/>
          <w:color w:val="auto"/>
          <w:spacing w:val="-3"/>
          <w:sz w:val="21"/>
          <w:szCs w:val="21"/>
          <w:highlight w:val="none"/>
        </w:rPr>
        <w:t>工程设备等进行检验，未</w:t>
      </w:r>
      <w:r>
        <w:rPr>
          <w:rFonts w:ascii="宋体" w:hAnsi="宋体" w:eastAsia="宋体" w:cs="宋体"/>
          <w:color w:val="auto"/>
          <w:sz w:val="21"/>
          <w:szCs w:val="21"/>
          <w:highlight w:val="none"/>
        </w:rPr>
        <w:t xml:space="preserve"> 经检验或者检验不合格的，绝不在工程建设中使用；不使用国家明令淘汰、禁止使用的材料</w:t>
      </w:r>
      <w:r>
        <w:rPr>
          <w:rFonts w:ascii="宋体" w:hAnsi="宋体" w:eastAsia="宋体" w:cs="宋体"/>
          <w:color w:val="auto"/>
          <w:spacing w:val="-1"/>
          <w:sz w:val="21"/>
          <w:szCs w:val="21"/>
          <w:highlight w:val="none"/>
        </w:rPr>
        <w:t>设备、</w:t>
      </w:r>
      <w:r>
        <w:rPr>
          <w:rFonts w:ascii="宋体" w:hAnsi="宋体" w:eastAsia="宋体" w:cs="宋体"/>
          <w:color w:val="auto"/>
          <w:spacing w:val="-9"/>
          <w:sz w:val="21"/>
          <w:szCs w:val="21"/>
          <w:highlight w:val="none"/>
        </w:rPr>
        <w:t>工艺。</w:t>
      </w:r>
    </w:p>
    <w:p w14:paraId="58DE5806">
      <w:pPr>
        <w:keepNext w:val="0"/>
        <w:keepLines w:val="0"/>
        <w:pageBreakBefore w:val="0"/>
        <w:widowControl/>
        <w:kinsoku w:val="0"/>
        <w:wordWrap/>
        <w:overflowPunct/>
        <w:topLinePunct w:val="0"/>
        <w:autoSpaceDE w:val="0"/>
        <w:autoSpaceDN w:val="0"/>
        <w:bidi w:val="0"/>
        <w:adjustRightInd w:val="0"/>
        <w:snapToGrid w:val="0"/>
        <w:spacing w:before="21" w:line="360" w:lineRule="auto"/>
        <w:ind w:left="2" w:right="9" w:firstLine="452"/>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5.在施工中按照设计和规范要求对原材料、中间产品和部分实体质量进行检测</w:t>
      </w:r>
      <w:r>
        <w:rPr>
          <w:rFonts w:ascii="宋体" w:hAnsi="宋体" w:eastAsia="宋体" w:cs="宋体"/>
          <w:color w:val="auto"/>
          <w:spacing w:val="-1"/>
          <w:sz w:val="21"/>
          <w:szCs w:val="21"/>
          <w:highlight w:val="none"/>
        </w:rPr>
        <w:t>；送检试样不弄虚作假，不篡改或者伪造检测报告，不明示或暗示检测机构出具虚假检测报告。</w:t>
      </w:r>
    </w:p>
    <w:p w14:paraId="2FE95414">
      <w:pPr>
        <w:keepNext w:val="0"/>
        <w:keepLines w:val="0"/>
        <w:pageBreakBefore w:val="0"/>
        <w:widowControl/>
        <w:kinsoku w:val="0"/>
        <w:wordWrap/>
        <w:overflowPunct/>
        <w:topLinePunct w:val="0"/>
        <w:autoSpaceDE w:val="0"/>
        <w:autoSpaceDN w:val="0"/>
        <w:bidi w:val="0"/>
        <w:adjustRightInd w:val="0"/>
        <w:snapToGrid w:val="0"/>
        <w:spacing w:before="35" w:line="360" w:lineRule="auto"/>
        <w:ind w:right="9" w:firstLine="451"/>
        <w:textAlignment w:val="baseline"/>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6.组织现场质量管理人员严格按照“ 三检制” 要求，真实、准确地做好每一道工序</w:t>
      </w:r>
      <w:r>
        <w:rPr>
          <w:rFonts w:ascii="宋体" w:hAnsi="宋体" w:eastAsia="宋体" w:cs="宋体"/>
          <w:color w:val="auto"/>
          <w:spacing w:val="-1"/>
          <w:sz w:val="21"/>
          <w:szCs w:val="21"/>
          <w:highlight w:val="none"/>
        </w:rPr>
        <w:t>的质量检验和质量自评工作，及时填写工序和单元工程质量评定资料，并报监理单位复核</w:t>
      </w:r>
      <w:r>
        <w:rPr>
          <w:rFonts w:hint="eastAsia" w:ascii="宋体" w:hAnsi="宋体" w:eastAsia="宋体" w:cs="宋体"/>
          <w:color w:val="auto"/>
          <w:spacing w:val="-1"/>
          <w:sz w:val="21"/>
          <w:szCs w:val="21"/>
          <w:highlight w:val="none"/>
          <w:lang w:eastAsia="zh-CN"/>
        </w:rPr>
        <w:t>。</w:t>
      </w:r>
    </w:p>
    <w:p w14:paraId="57A46D15">
      <w:pPr>
        <w:keepNext w:val="0"/>
        <w:keepLines w:val="0"/>
        <w:pageBreakBefore w:val="0"/>
        <w:widowControl/>
        <w:kinsoku w:val="0"/>
        <w:wordWrap/>
        <w:overflowPunct/>
        <w:topLinePunct w:val="0"/>
        <w:autoSpaceDE w:val="0"/>
        <w:autoSpaceDN w:val="0"/>
        <w:bidi w:val="0"/>
        <w:adjustRightInd w:val="0"/>
        <w:snapToGrid w:val="0"/>
        <w:spacing w:before="31" w:line="360" w:lineRule="auto"/>
        <w:ind w:right="2" w:firstLine="455"/>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 组织人员做好重要隐蔽（关键部位）单元工程</w:t>
      </w:r>
      <w:r>
        <w:rPr>
          <w:rFonts w:ascii="宋体" w:hAnsi="宋体" w:eastAsia="宋体" w:cs="宋体"/>
          <w:color w:val="auto"/>
          <w:spacing w:val="-3"/>
          <w:sz w:val="21"/>
          <w:szCs w:val="21"/>
          <w:highlight w:val="none"/>
        </w:rPr>
        <w:t>的自评工作，并负责收集测量成果、检测试验</w:t>
      </w:r>
      <w:r>
        <w:rPr>
          <w:rFonts w:ascii="宋体" w:hAnsi="宋体" w:eastAsia="宋体" w:cs="宋体"/>
          <w:color w:val="auto"/>
          <w:sz w:val="21"/>
          <w:szCs w:val="21"/>
          <w:highlight w:val="none"/>
        </w:rPr>
        <w:t>报告、影像资料等基础资料，派人参加联合验收小组并在质量等级签证表上签字；参加法人验收，对工程质量等级提出自评意见并签字；主持编制施工管理</w:t>
      </w:r>
      <w:r>
        <w:rPr>
          <w:rFonts w:ascii="宋体" w:hAnsi="宋体" w:eastAsia="宋体" w:cs="宋体"/>
          <w:color w:val="auto"/>
          <w:spacing w:val="-1"/>
          <w:sz w:val="21"/>
          <w:szCs w:val="21"/>
          <w:highlight w:val="none"/>
        </w:rPr>
        <w:t>工作报告并签字，参加竣工验收。</w:t>
      </w:r>
    </w:p>
    <w:p w14:paraId="0C6492E2">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51"/>
        <w:textAlignment w:val="baseline"/>
        <w:outlineLvl w:val="9"/>
        <w:rPr>
          <w:rFonts w:ascii="宋体" w:hAnsi="宋体" w:eastAsia="宋体" w:cs="宋体"/>
          <w:color w:val="auto"/>
          <w:spacing w:val="-1"/>
          <w:sz w:val="21"/>
          <w:szCs w:val="21"/>
          <w:highlight w:val="none"/>
        </w:rPr>
      </w:pPr>
      <w:bookmarkStart w:id="368" w:name="_Toc3711"/>
      <w:bookmarkStart w:id="369" w:name="_Toc5555"/>
      <w:r>
        <w:rPr>
          <w:rFonts w:ascii="宋体" w:hAnsi="宋体" w:eastAsia="宋体" w:cs="宋体"/>
          <w:color w:val="auto"/>
          <w:sz w:val="21"/>
          <w:szCs w:val="21"/>
          <w:highlight w:val="none"/>
        </w:rPr>
        <w:t>8. 对已验收合格并交付使用的工程按规定承担保修责任，并对造成的损失承担赔</w:t>
      </w:r>
      <w:r>
        <w:rPr>
          <w:rFonts w:ascii="宋体" w:hAnsi="宋体" w:eastAsia="宋体" w:cs="宋体"/>
          <w:color w:val="auto"/>
          <w:spacing w:val="-1"/>
          <w:sz w:val="21"/>
          <w:szCs w:val="21"/>
          <w:highlight w:val="none"/>
        </w:rPr>
        <w:t>偿</w:t>
      </w:r>
      <w:bookmarkEnd w:id="368"/>
      <w:bookmarkEnd w:id="369"/>
    </w:p>
    <w:p w14:paraId="439BC6F5">
      <w:pPr>
        <w:keepNext w:val="0"/>
        <w:keepLines w:val="0"/>
        <w:pageBreakBefore w:val="0"/>
        <w:widowControl/>
        <w:kinsoku w:val="0"/>
        <w:wordWrap/>
        <w:overflowPunct/>
        <w:topLinePunct w:val="0"/>
        <w:autoSpaceDE w:val="0"/>
        <w:autoSpaceDN w:val="0"/>
        <w:bidi w:val="0"/>
        <w:adjustRightInd w:val="0"/>
        <w:snapToGrid w:val="0"/>
        <w:spacing w:before="158" w:line="360" w:lineRule="auto"/>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责任。</w:t>
      </w:r>
    </w:p>
    <w:p w14:paraId="49EE503E">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51"/>
        <w:textAlignment w:val="baseline"/>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9. 确保工程施工资料收集真实、准确、完整，签章手续齐全，及时整理移交</w:t>
      </w:r>
      <w:r>
        <w:rPr>
          <w:rFonts w:ascii="宋体" w:hAnsi="宋体" w:eastAsia="宋体" w:cs="宋体"/>
          <w:color w:val="auto"/>
          <w:spacing w:val="-1"/>
          <w:sz w:val="21"/>
          <w:szCs w:val="21"/>
          <w:highlight w:val="none"/>
        </w:rPr>
        <w:t>并归档</w:t>
      </w:r>
      <w:r>
        <w:rPr>
          <w:rFonts w:hint="eastAsia" w:ascii="宋体" w:hAnsi="宋体" w:eastAsia="宋体" w:cs="宋体"/>
          <w:color w:val="auto"/>
          <w:spacing w:val="-1"/>
          <w:sz w:val="21"/>
          <w:szCs w:val="21"/>
          <w:highlight w:val="none"/>
          <w:lang w:eastAsia="zh-CN"/>
        </w:rPr>
        <w:t>。</w:t>
      </w:r>
    </w:p>
    <w:p w14:paraId="3F144E23">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66"/>
        <w:textAlignment w:val="baseline"/>
        <w:outlineLvl w:val="9"/>
        <w:rPr>
          <w:rFonts w:ascii="宋体" w:hAnsi="宋体" w:eastAsia="宋体" w:cs="宋体"/>
          <w:color w:val="auto"/>
          <w:sz w:val="21"/>
          <w:szCs w:val="21"/>
          <w:highlight w:val="none"/>
        </w:rPr>
      </w:pPr>
      <w:bookmarkStart w:id="370" w:name="_Toc13700"/>
      <w:bookmarkStart w:id="371" w:name="_Toc9182"/>
      <w:r>
        <w:rPr>
          <w:rFonts w:ascii="宋体" w:hAnsi="宋体" w:eastAsia="宋体" w:cs="宋体"/>
          <w:color w:val="auto"/>
          <w:spacing w:val="-2"/>
          <w:sz w:val="21"/>
          <w:szCs w:val="21"/>
          <w:highlight w:val="none"/>
        </w:rPr>
        <w:t>10. 履行其他法律法规和规程规范中规定的职责。</w:t>
      </w:r>
      <w:bookmarkEnd w:id="370"/>
      <w:bookmarkEnd w:id="371"/>
    </w:p>
    <w:p w14:paraId="20094E29">
      <w:pPr>
        <w:keepNext w:val="0"/>
        <w:keepLines w:val="0"/>
        <w:pageBreakBefore w:val="0"/>
        <w:widowControl/>
        <w:kinsoku w:val="0"/>
        <w:wordWrap/>
        <w:overflowPunct/>
        <w:topLinePunct w:val="0"/>
        <w:autoSpaceDE w:val="0"/>
        <w:autoSpaceDN w:val="0"/>
        <w:bidi w:val="0"/>
        <w:adjustRightInd w:val="0"/>
        <w:snapToGrid w:val="0"/>
        <w:spacing w:before="156" w:line="360" w:lineRule="auto"/>
        <w:ind w:left="2" w:right="9" w:firstLine="448"/>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本承诺书一式四份，一份在竣工验收时提交竣工验收主持单位，与竣工验收鉴定书等资</w:t>
      </w:r>
      <w:r>
        <w:rPr>
          <w:rFonts w:ascii="宋体" w:hAnsi="宋体" w:eastAsia="宋体" w:cs="宋体"/>
          <w:color w:val="auto"/>
          <w:spacing w:val="-1"/>
          <w:sz w:val="21"/>
          <w:szCs w:val="21"/>
          <w:highlight w:val="none"/>
        </w:rPr>
        <w:t>料一起</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作为永久档案保存；一份由项目法人作为工程建设永久档案进行归档保存；一份由</w:t>
      </w:r>
      <w:r>
        <w:rPr>
          <w:rFonts w:ascii="宋体" w:hAnsi="宋体" w:eastAsia="宋体" w:cs="宋体"/>
          <w:color w:val="auto"/>
          <w:spacing w:val="-5"/>
          <w:sz w:val="21"/>
          <w:szCs w:val="21"/>
          <w:highlight w:val="none"/>
        </w:rPr>
        <w:t>承诺人自行保存。</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一份由承诺人自行保存。</w:t>
      </w:r>
    </w:p>
    <w:p w14:paraId="79F6835B">
      <w:pPr>
        <w:spacing w:before="29" w:line="221" w:lineRule="auto"/>
        <w:ind w:left="508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承</w:t>
      </w:r>
      <w:r>
        <w:rPr>
          <w:rFonts w:ascii="宋体" w:hAnsi="宋体" w:eastAsia="宋体" w:cs="宋体"/>
          <w:color w:val="auto"/>
          <w:spacing w:val="14"/>
          <w:sz w:val="21"/>
          <w:szCs w:val="21"/>
          <w:highlight w:val="none"/>
        </w:rPr>
        <w:t xml:space="preserve"> </w:t>
      </w:r>
      <w:r>
        <w:rPr>
          <w:rFonts w:ascii="宋体" w:hAnsi="宋体" w:eastAsia="宋体" w:cs="宋体"/>
          <w:color w:val="auto"/>
          <w:spacing w:val="-9"/>
          <w:sz w:val="21"/>
          <w:szCs w:val="21"/>
          <w:highlight w:val="none"/>
        </w:rPr>
        <w:t>诺</w:t>
      </w:r>
      <w:r>
        <w:rPr>
          <w:rFonts w:ascii="宋体" w:hAnsi="宋体" w:eastAsia="宋体" w:cs="宋体"/>
          <w:color w:val="auto"/>
          <w:spacing w:val="8"/>
          <w:sz w:val="21"/>
          <w:szCs w:val="21"/>
          <w:highlight w:val="none"/>
        </w:rPr>
        <w:t xml:space="preserve"> </w:t>
      </w:r>
      <w:r>
        <w:rPr>
          <w:rFonts w:ascii="宋体" w:hAnsi="宋体" w:eastAsia="宋体" w:cs="宋体"/>
          <w:color w:val="auto"/>
          <w:spacing w:val="-9"/>
          <w:sz w:val="21"/>
          <w:szCs w:val="21"/>
          <w:highlight w:val="none"/>
        </w:rPr>
        <w:t>人 签</w:t>
      </w:r>
      <w:r>
        <w:rPr>
          <w:rFonts w:ascii="宋体" w:hAnsi="宋体" w:eastAsia="宋体" w:cs="宋体"/>
          <w:color w:val="auto"/>
          <w:spacing w:val="10"/>
          <w:sz w:val="21"/>
          <w:szCs w:val="21"/>
          <w:highlight w:val="none"/>
        </w:rPr>
        <w:t xml:space="preserve"> </w:t>
      </w:r>
      <w:r>
        <w:rPr>
          <w:rFonts w:ascii="宋体" w:hAnsi="宋体" w:eastAsia="宋体" w:cs="宋体"/>
          <w:color w:val="auto"/>
          <w:spacing w:val="-9"/>
          <w:sz w:val="21"/>
          <w:szCs w:val="21"/>
          <w:highlight w:val="none"/>
        </w:rPr>
        <w:t>字</w:t>
      </w:r>
      <w:r>
        <w:rPr>
          <w:rFonts w:ascii="宋体" w:hAnsi="宋体" w:eastAsia="宋体" w:cs="宋体"/>
          <w:color w:val="auto"/>
          <w:spacing w:val="25"/>
          <w:sz w:val="21"/>
          <w:szCs w:val="21"/>
          <w:highlight w:val="none"/>
        </w:rPr>
        <w:t xml:space="preserve"> </w:t>
      </w:r>
      <w:r>
        <w:rPr>
          <w:rFonts w:ascii="宋体" w:hAnsi="宋体" w:eastAsia="宋体" w:cs="宋体"/>
          <w:color w:val="auto"/>
          <w:spacing w:val="-9"/>
          <w:sz w:val="21"/>
          <w:szCs w:val="21"/>
          <w:highlight w:val="none"/>
        </w:rPr>
        <w:t>：</w:t>
      </w:r>
      <w:r>
        <w:rPr>
          <w:rFonts w:ascii="宋体" w:hAnsi="宋体" w:eastAsia="宋体" w:cs="宋体"/>
          <w:color w:val="auto"/>
          <w:sz w:val="21"/>
          <w:szCs w:val="21"/>
          <w:highlight w:val="none"/>
          <w:u w:val="single" w:color="auto"/>
        </w:rPr>
        <w:t xml:space="preserve">                     </w:t>
      </w:r>
    </w:p>
    <w:p w14:paraId="0A204C78">
      <w:pPr>
        <w:spacing w:before="158" w:line="221" w:lineRule="auto"/>
        <w:ind w:left="5403"/>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身</w:t>
      </w:r>
      <w:r>
        <w:rPr>
          <w:rFonts w:ascii="宋体" w:hAnsi="宋体" w:eastAsia="宋体" w:cs="宋体"/>
          <w:color w:val="auto"/>
          <w:spacing w:val="11"/>
          <w:sz w:val="21"/>
          <w:szCs w:val="21"/>
          <w:highlight w:val="none"/>
        </w:rPr>
        <w:t xml:space="preserve"> </w:t>
      </w:r>
      <w:r>
        <w:rPr>
          <w:rFonts w:ascii="宋体" w:hAnsi="宋体" w:eastAsia="宋体" w:cs="宋体"/>
          <w:color w:val="auto"/>
          <w:spacing w:val="-14"/>
          <w:sz w:val="21"/>
          <w:szCs w:val="21"/>
          <w:highlight w:val="none"/>
        </w:rPr>
        <w:t>份</w:t>
      </w:r>
      <w:r>
        <w:rPr>
          <w:rFonts w:ascii="宋体" w:hAnsi="宋体" w:eastAsia="宋体" w:cs="宋体"/>
          <w:color w:val="auto"/>
          <w:spacing w:val="6"/>
          <w:sz w:val="21"/>
          <w:szCs w:val="21"/>
          <w:highlight w:val="none"/>
        </w:rPr>
        <w:t xml:space="preserve"> </w:t>
      </w:r>
      <w:r>
        <w:rPr>
          <w:rFonts w:ascii="宋体" w:hAnsi="宋体" w:eastAsia="宋体" w:cs="宋体"/>
          <w:color w:val="auto"/>
          <w:spacing w:val="-14"/>
          <w:sz w:val="21"/>
          <w:szCs w:val="21"/>
          <w:highlight w:val="none"/>
        </w:rPr>
        <w:t>证</w:t>
      </w:r>
      <w:r>
        <w:rPr>
          <w:rFonts w:ascii="宋体" w:hAnsi="宋体" w:eastAsia="宋体" w:cs="宋体"/>
          <w:color w:val="auto"/>
          <w:spacing w:val="12"/>
          <w:sz w:val="21"/>
          <w:szCs w:val="21"/>
          <w:highlight w:val="none"/>
        </w:rPr>
        <w:t xml:space="preserve"> </w:t>
      </w:r>
      <w:r>
        <w:rPr>
          <w:rFonts w:ascii="宋体" w:hAnsi="宋体" w:eastAsia="宋体" w:cs="宋体"/>
          <w:color w:val="auto"/>
          <w:spacing w:val="-14"/>
          <w:sz w:val="21"/>
          <w:szCs w:val="21"/>
          <w:highlight w:val="none"/>
        </w:rPr>
        <w:t>号</w:t>
      </w:r>
      <w:r>
        <w:rPr>
          <w:rFonts w:ascii="宋体" w:hAnsi="宋体" w:eastAsia="宋体" w:cs="宋体"/>
          <w:color w:val="auto"/>
          <w:spacing w:val="27"/>
          <w:sz w:val="21"/>
          <w:szCs w:val="21"/>
          <w:highlight w:val="none"/>
        </w:rPr>
        <w:t xml:space="preserve"> </w:t>
      </w:r>
      <w:r>
        <w:rPr>
          <w:rFonts w:ascii="宋体" w:hAnsi="宋体" w:eastAsia="宋体" w:cs="宋体"/>
          <w:color w:val="auto"/>
          <w:spacing w:val="-14"/>
          <w:sz w:val="21"/>
          <w:szCs w:val="21"/>
          <w:highlight w:val="none"/>
        </w:rPr>
        <w:t>：</w:t>
      </w:r>
      <w:r>
        <w:rPr>
          <w:rFonts w:ascii="宋体" w:hAnsi="宋体" w:eastAsia="宋体" w:cs="宋体"/>
          <w:color w:val="auto"/>
          <w:sz w:val="21"/>
          <w:szCs w:val="21"/>
          <w:highlight w:val="none"/>
          <w:u w:val="single" w:color="auto"/>
        </w:rPr>
        <w:t xml:space="preserve">                     </w:t>
      </w:r>
    </w:p>
    <w:p w14:paraId="0AF8E711">
      <w:pPr>
        <w:spacing w:before="156" w:line="221" w:lineRule="auto"/>
        <w:ind w:left="529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注册执业资格</w:t>
      </w:r>
      <w:r>
        <w:rPr>
          <w:rFonts w:ascii="宋体" w:hAnsi="宋体" w:eastAsia="宋体" w:cs="宋体"/>
          <w:color w:val="auto"/>
          <w:spacing w:val="27"/>
          <w:sz w:val="21"/>
          <w:szCs w:val="21"/>
          <w:highlight w:val="none"/>
        </w:rPr>
        <w:t xml:space="preserve"> </w:t>
      </w:r>
      <w:r>
        <w:rPr>
          <w:rFonts w:ascii="宋体" w:hAnsi="宋体" w:eastAsia="宋体" w:cs="宋体"/>
          <w:color w:val="auto"/>
          <w:spacing w:val="-5"/>
          <w:sz w:val="21"/>
          <w:szCs w:val="21"/>
          <w:highlight w:val="none"/>
        </w:rPr>
        <w:t>：</w:t>
      </w:r>
      <w:r>
        <w:rPr>
          <w:rFonts w:ascii="宋体" w:hAnsi="宋体" w:eastAsia="宋体" w:cs="宋体"/>
          <w:color w:val="auto"/>
          <w:sz w:val="21"/>
          <w:szCs w:val="21"/>
          <w:highlight w:val="none"/>
          <w:u w:val="single" w:color="auto"/>
        </w:rPr>
        <w:t xml:space="preserve">                     </w:t>
      </w:r>
    </w:p>
    <w:p w14:paraId="5B593C41">
      <w:pPr>
        <w:spacing w:before="159" w:line="346" w:lineRule="auto"/>
        <w:ind w:left="5083" w:right="211" w:firstLine="20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注册执业证号</w:t>
      </w:r>
      <w:r>
        <w:rPr>
          <w:rFonts w:ascii="宋体" w:hAnsi="宋体" w:eastAsia="宋体" w:cs="宋体"/>
          <w:color w:val="auto"/>
          <w:spacing w:val="27"/>
          <w:sz w:val="21"/>
          <w:szCs w:val="21"/>
          <w:highlight w:val="none"/>
        </w:rPr>
        <w:t xml:space="preserve"> </w:t>
      </w:r>
      <w:r>
        <w:rPr>
          <w:rFonts w:ascii="宋体" w:hAnsi="宋体" w:eastAsia="宋体" w:cs="宋体"/>
          <w:color w:val="auto"/>
          <w:spacing w:val="-5"/>
          <w:sz w:val="21"/>
          <w:szCs w:val="21"/>
          <w:highlight w:val="none"/>
        </w:rPr>
        <w:t>：</w:t>
      </w:r>
      <w:r>
        <w:rPr>
          <w:rFonts w:ascii="宋体" w:hAnsi="宋体" w:eastAsia="宋体" w:cs="宋体"/>
          <w:color w:val="auto"/>
          <w:spacing w:val="6"/>
          <w:sz w:val="21"/>
          <w:szCs w:val="21"/>
          <w:highlight w:val="none"/>
          <w:u w:val="single" w:color="auto"/>
        </w:rPr>
        <w:t xml:space="preserve">                 </w:t>
      </w:r>
      <w:r>
        <w:rPr>
          <w:rFonts w:ascii="宋体" w:hAnsi="宋体" w:eastAsia="宋体" w:cs="宋体"/>
          <w:color w:val="auto"/>
          <w:spacing w:val="1"/>
          <w:sz w:val="21"/>
          <w:szCs w:val="21"/>
          <w:highlight w:val="none"/>
        </w:rPr>
        <w:t xml:space="preserve">  </w:t>
      </w:r>
      <w:r>
        <w:rPr>
          <w:rFonts w:ascii="宋体" w:hAnsi="宋体" w:eastAsia="宋体" w:cs="宋体"/>
          <w:color w:val="auto"/>
          <w:spacing w:val="-6"/>
          <w:sz w:val="21"/>
          <w:szCs w:val="21"/>
          <w:highlight w:val="none"/>
        </w:rPr>
        <w:t>职</w:t>
      </w:r>
      <w:r>
        <w:rPr>
          <w:rFonts w:ascii="宋体" w:hAnsi="宋体" w:eastAsia="宋体" w:cs="宋体"/>
          <w:color w:val="auto"/>
          <w:spacing w:val="10"/>
          <w:sz w:val="21"/>
          <w:szCs w:val="21"/>
          <w:highlight w:val="none"/>
        </w:rPr>
        <w:t xml:space="preserve"> </w:t>
      </w:r>
      <w:r>
        <w:rPr>
          <w:rFonts w:ascii="宋体" w:hAnsi="宋体" w:eastAsia="宋体" w:cs="宋体"/>
          <w:color w:val="auto"/>
          <w:spacing w:val="-6"/>
          <w:sz w:val="21"/>
          <w:szCs w:val="21"/>
          <w:highlight w:val="none"/>
        </w:rPr>
        <w:t>称 及</w:t>
      </w:r>
      <w:r>
        <w:rPr>
          <w:rFonts w:ascii="宋体" w:hAnsi="宋体" w:eastAsia="宋体" w:cs="宋体"/>
          <w:color w:val="auto"/>
          <w:spacing w:val="7"/>
          <w:sz w:val="21"/>
          <w:szCs w:val="21"/>
          <w:highlight w:val="none"/>
        </w:rPr>
        <w:t xml:space="preserve"> </w:t>
      </w:r>
      <w:r>
        <w:rPr>
          <w:rFonts w:ascii="宋体" w:hAnsi="宋体" w:eastAsia="宋体" w:cs="宋体"/>
          <w:color w:val="auto"/>
          <w:spacing w:val="-6"/>
          <w:sz w:val="21"/>
          <w:szCs w:val="21"/>
          <w:highlight w:val="none"/>
        </w:rPr>
        <w:t>专</w:t>
      </w:r>
      <w:r>
        <w:rPr>
          <w:rFonts w:ascii="宋体" w:hAnsi="宋体" w:eastAsia="宋体" w:cs="宋体"/>
          <w:color w:val="auto"/>
          <w:spacing w:val="8"/>
          <w:sz w:val="21"/>
          <w:szCs w:val="21"/>
          <w:highlight w:val="none"/>
        </w:rPr>
        <w:t xml:space="preserve"> </w:t>
      </w:r>
      <w:r>
        <w:rPr>
          <w:rFonts w:ascii="宋体" w:hAnsi="宋体" w:eastAsia="宋体" w:cs="宋体"/>
          <w:color w:val="auto"/>
          <w:spacing w:val="-6"/>
          <w:sz w:val="21"/>
          <w:szCs w:val="21"/>
          <w:highlight w:val="none"/>
        </w:rPr>
        <w:t>业</w:t>
      </w:r>
      <w:r>
        <w:rPr>
          <w:rFonts w:ascii="宋体" w:hAnsi="宋体" w:eastAsia="宋体" w:cs="宋体"/>
          <w:color w:val="auto"/>
          <w:spacing w:val="25"/>
          <w:sz w:val="21"/>
          <w:szCs w:val="21"/>
          <w:highlight w:val="none"/>
        </w:rPr>
        <w:t xml:space="preserve"> </w:t>
      </w:r>
      <w:r>
        <w:rPr>
          <w:rFonts w:ascii="宋体" w:hAnsi="宋体" w:eastAsia="宋体" w:cs="宋体"/>
          <w:color w:val="auto"/>
          <w:spacing w:val="-6"/>
          <w:sz w:val="21"/>
          <w:szCs w:val="21"/>
          <w:highlight w:val="none"/>
        </w:rPr>
        <w:t>：</w:t>
      </w:r>
      <w:r>
        <w:rPr>
          <w:rFonts w:ascii="宋体" w:hAnsi="宋体" w:eastAsia="宋体" w:cs="宋体"/>
          <w:color w:val="auto"/>
          <w:spacing w:val="-6"/>
          <w:sz w:val="21"/>
          <w:szCs w:val="21"/>
          <w:highlight w:val="none"/>
          <w:u w:val="single" w:color="auto"/>
        </w:rPr>
        <w:t xml:space="preserve">                    </w:t>
      </w:r>
    </w:p>
    <w:p w14:paraId="0C438FBF">
      <w:pPr>
        <w:spacing w:before="29" w:line="221" w:lineRule="auto"/>
        <w:jc w:val="right"/>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签</w:t>
      </w:r>
      <w:r>
        <w:rPr>
          <w:rFonts w:ascii="宋体" w:hAnsi="宋体" w:eastAsia="宋体" w:cs="宋体"/>
          <w:color w:val="auto"/>
          <w:spacing w:val="11"/>
          <w:sz w:val="21"/>
          <w:szCs w:val="21"/>
          <w:highlight w:val="none"/>
        </w:rPr>
        <w:t xml:space="preserve"> </w:t>
      </w:r>
      <w:r>
        <w:rPr>
          <w:rFonts w:ascii="宋体" w:hAnsi="宋体" w:eastAsia="宋体" w:cs="宋体"/>
          <w:color w:val="auto"/>
          <w:spacing w:val="-20"/>
          <w:sz w:val="21"/>
          <w:szCs w:val="21"/>
          <w:highlight w:val="none"/>
        </w:rPr>
        <w:t>字</w:t>
      </w:r>
      <w:r>
        <w:rPr>
          <w:rFonts w:ascii="宋体" w:hAnsi="宋体" w:eastAsia="宋体" w:cs="宋体"/>
          <w:color w:val="auto"/>
          <w:spacing w:val="21"/>
          <w:sz w:val="21"/>
          <w:szCs w:val="21"/>
          <w:highlight w:val="none"/>
        </w:rPr>
        <w:t xml:space="preserve">  </w:t>
      </w:r>
      <w:r>
        <w:rPr>
          <w:rFonts w:ascii="宋体" w:hAnsi="宋体" w:eastAsia="宋体" w:cs="宋体"/>
          <w:color w:val="auto"/>
          <w:spacing w:val="-20"/>
          <w:sz w:val="21"/>
          <w:szCs w:val="21"/>
          <w:highlight w:val="none"/>
        </w:rPr>
        <w:t>日</w:t>
      </w:r>
      <w:r>
        <w:rPr>
          <w:rFonts w:ascii="宋体" w:hAnsi="宋体" w:eastAsia="宋体" w:cs="宋体"/>
          <w:color w:val="auto"/>
          <w:spacing w:val="10"/>
          <w:sz w:val="21"/>
          <w:szCs w:val="21"/>
          <w:highlight w:val="none"/>
        </w:rPr>
        <w:t xml:space="preserve"> </w:t>
      </w:r>
      <w:r>
        <w:rPr>
          <w:rFonts w:ascii="宋体" w:hAnsi="宋体" w:eastAsia="宋体" w:cs="宋体"/>
          <w:color w:val="auto"/>
          <w:spacing w:val="-20"/>
          <w:sz w:val="21"/>
          <w:szCs w:val="21"/>
          <w:highlight w:val="none"/>
        </w:rPr>
        <w:t>期</w:t>
      </w:r>
      <w:r>
        <w:rPr>
          <w:rFonts w:ascii="宋体" w:hAnsi="宋体" w:eastAsia="宋体" w:cs="宋体"/>
          <w:color w:val="auto"/>
          <w:spacing w:val="25"/>
          <w:sz w:val="21"/>
          <w:szCs w:val="21"/>
          <w:highlight w:val="none"/>
        </w:rPr>
        <w:t xml:space="preserve"> </w:t>
      </w:r>
      <w:r>
        <w:rPr>
          <w:rFonts w:ascii="宋体" w:hAnsi="宋体" w:eastAsia="宋体" w:cs="宋体"/>
          <w:color w:val="auto"/>
          <w:spacing w:val="-20"/>
          <w:sz w:val="21"/>
          <w:szCs w:val="21"/>
          <w:highlight w:val="none"/>
        </w:rPr>
        <w:t>：</w:t>
      </w:r>
      <w:r>
        <w:rPr>
          <w:rFonts w:ascii="宋体" w:hAnsi="宋体" w:eastAsia="宋体" w:cs="宋体"/>
          <w:color w:val="auto"/>
          <w:spacing w:val="1"/>
          <w:sz w:val="21"/>
          <w:szCs w:val="21"/>
          <w:highlight w:val="none"/>
        </w:rPr>
        <w:t xml:space="preserve">       </w:t>
      </w:r>
      <w:r>
        <w:rPr>
          <w:rFonts w:ascii="宋体" w:hAnsi="宋体" w:eastAsia="宋体" w:cs="宋体"/>
          <w:color w:val="auto"/>
          <w:spacing w:val="-20"/>
          <w:sz w:val="21"/>
          <w:szCs w:val="21"/>
          <w:highlight w:val="none"/>
        </w:rPr>
        <w:t>年</w:t>
      </w:r>
      <w:r>
        <w:rPr>
          <w:rFonts w:ascii="宋体" w:hAnsi="宋体" w:eastAsia="宋体" w:cs="宋体"/>
          <w:color w:val="auto"/>
          <w:spacing w:val="3"/>
          <w:sz w:val="21"/>
          <w:szCs w:val="21"/>
          <w:highlight w:val="none"/>
        </w:rPr>
        <w:t xml:space="preserve">     </w:t>
      </w:r>
      <w:r>
        <w:rPr>
          <w:rFonts w:ascii="宋体" w:hAnsi="宋体" w:eastAsia="宋体" w:cs="宋体"/>
          <w:color w:val="auto"/>
          <w:spacing w:val="-20"/>
          <w:sz w:val="21"/>
          <w:szCs w:val="21"/>
          <w:highlight w:val="none"/>
        </w:rPr>
        <w:t>月</w:t>
      </w:r>
      <w:r>
        <w:rPr>
          <w:rFonts w:ascii="宋体" w:hAnsi="宋体" w:eastAsia="宋体" w:cs="宋体"/>
          <w:color w:val="auto"/>
          <w:spacing w:val="11"/>
          <w:sz w:val="21"/>
          <w:szCs w:val="21"/>
          <w:highlight w:val="none"/>
        </w:rPr>
        <w:t xml:space="preserve">    </w:t>
      </w:r>
      <w:r>
        <w:rPr>
          <w:rFonts w:ascii="宋体" w:hAnsi="宋体" w:eastAsia="宋体" w:cs="宋体"/>
          <w:color w:val="auto"/>
          <w:spacing w:val="-20"/>
          <w:sz w:val="21"/>
          <w:szCs w:val="21"/>
          <w:highlight w:val="none"/>
        </w:rPr>
        <w:t>日</w:t>
      </w:r>
    </w:p>
    <w:p w14:paraId="7F1148D8">
      <w:pPr>
        <w:spacing w:before="286" w:line="219" w:lineRule="auto"/>
        <w:ind w:left="32"/>
        <w:rPr>
          <w:rFonts w:ascii="宋体" w:hAnsi="宋体" w:eastAsia="宋体" w:cs="宋体"/>
          <w:b/>
          <w:bCs/>
          <w:color w:val="auto"/>
          <w:spacing w:val="-7"/>
          <w:sz w:val="28"/>
          <w:szCs w:val="28"/>
          <w:highlight w:val="none"/>
        </w:rPr>
      </w:pPr>
    </w:p>
    <w:p w14:paraId="65BD6100">
      <w:pPr>
        <w:spacing w:before="286" w:line="219" w:lineRule="auto"/>
        <w:ind w:left="32"/>
        <w:rPr>
          <w:rFonts w:ascii="宋体" w:hAnsi="宋体" w:eastAsia="宋体" w:cs="宋体"/>
          <w:b/>
          <w:bCs/>
          <w:color w:val="auto"/>
          <w:spacing w:val="-7"/>
          <w:sz w:val="28"/>
          <w:szCs w:val="28"/>
          <w:highlight w:val="none"/>
        </w:rPr>
      </w:pPr>
    </w:p>
    <w:p w14:paraId="09CC0853">
      <w:pPr>
        <w:spacing w:before="286" w:line="219" w:lineRule="auto"/>
        <w:ind w:left="32"/>
        <w:rPr>
          <w:rFonts w:ascii="宋体" w:hAnsi="宋体" w:eastAsia="宋体" w:cs="宋体"/>
          <w:b/>
          <w:bCs/>
          <w:color w:val="auto"/>
          <w:spacing w:val="-7"/>
          <w:sz w:val="28"/>
          <w:szCs w:val="28"/>
          <w:highlight w:val="none"/>
        </w:rPr>
      </w:pPr>
    </w:p>
    <w:p w14:paraId="32B8D58D">
      <w:pPr>
        <w:spacing w:before="286" w:line="219" w:lineRule="auto"/>
        <w:ind w:left="32"/>
        <w:rPr>
          <w:rFonts w:ascii="宋体" w:hAnsi="宋体" w:eastAsia="宋体" w:cs="宋体"/>
          <w:b/>
          <w:bCs/>
          <w:color w:val="auto"/>
          <w:spacing w:val="-7"/>
          <w:sz w:val="28"/>
          <w:szCs w:val="28"/>
          <w:highlight w:val="none"/>
        </w:rPr>
      </w:pPr>
    </w:p>
    <w:p w14:paraId="2BB6D53E">
      <w:pPr>
        <w:spacing w:before="286" w:line="219" w:lineRule="auto"/>
        <w:ind w:left="32"/>
        <w:rPr>
          <w:rFonts w:ascii="宋体" w:hAnsi="宋体" w:eastAsia="宋体" w:cs="宋体"/>
          <w:b/>
          <w:bCs/>
          <w:color w:val="auto"/>
          <w:spacing w:val="-7"/>
          <w:sz w:val="28"/>
          <w:szCs w:val="28"/>
          <w:highlight w:val="none"/>
        </w:rPr>
      </w:pPr>
    </w:p>
    <w:p w14:paraId="34F7EDB2">
      <w:pPr>
        <w:spacing w:before="286" w:line="219" w:lineRule="auto"/>
        <w:ind w:left="32"/>
        <w:rPr>
          <w:rFonts w:ascii="宋体" w:hAnsi="宋体" w:eastAsia="宋体" w:cs="宋体"/>
          <w:b/>
          <w:bCs/>
          <w:color w:val="auto"/>
          <w:spacing w:val="-7"/>
          <w:sz w:val="28"/>
          <w:szCs w:val="28"/>
          <w:highlight w:val="none"/>
        </w:rPr>
      </w:pPr>
    </w:p>
    <w:p w14:paraId="51B29915">
      <w:pPr>
        <w:spacing w:before="286" w:line="219" w:lineRule="auto"/>
        <w:ind w:left="32"/>
        <w:rPr>
          <w:rFonts w:ascii="宋体" w:hAnsi="宋体" w:eastAsia="宋体" w:cs="宋体"/>
          <w:b/>
          <w:bCs/>
          <w:color w:val="auto"/>
          <w:spacing w:val="-7"/>
          <w:sz w:val="28"/>
          <w:szCs w:val="28"/>
          <w:highlight w:val="none"/>
        </w:rPr>
      </w:pPr>
    </w:p>
    <w:p w14:paraId="3163D981">
      <w:pPr>
        <w:spacing w:before="286" w:line="219" w:lineRule="auto"/>
        <w:ind w:left="32"/>
        <w:rPr>
          <w:rFonts w:ascii="宋体" w:hAnsi="宋体" w:eastAsia="宋体" w:cs="宋体"/>
          <w:b/>
          <w:bCs/>
          <w:color w:val="auto"/>
          <w:spacing w:val="-7"/>
          <w:sz w:val="28"/>
          <w:szCs w:val="28"/>
          <w:highlight w:val="none"/>
        </w:rPr>
      </w:pPr>
    </w:p>
    <w:p w14:paraId="1CC6F933">
      <w:pPr>
        <w:spacing w:before="286" w:line="219" w:lineRule="auto"/>
        <w:ind w:left="32"/>
        <w:rPr>
          <w:rFonts w:ascii="宋体" w:hAnsi="宋体" w:eastAsia="宋体" w:cs="宋体"/>
          <w:b/>
          <w:bCs/>
          <w:color w:val="auto"/>
          <w:spacing w:val="-7"/>
          <w:sz w:val="28"/>
          <w:szCs w:val="28"/>
          <w:highlight w:val="none"/>
        </w:rPr>
      </w:pPr>
    </w:p>
    <w:p w14:paraId="254390BD">
      <w:pPr>
        <w:spacing w:before="286" w:line="219" w:lineRule="auto"/>
        <w:ind w:left="32"/>
        <w:rPr>
          <w:rFonts w:ascii="宋体" w:hAnsi="宋体" w:eastAsia="宋体" w:cs="宋体"/>
          <w:b/>
          <w:bCs/>
          <w:color w:val="auto"/>
          <w:spacing w:val="-7"/>
          <w:sz w:val="28"/>
          <w:szCs w:val="28"/>
          <w:highlight w:val="none"/>
        </w:rPr>
      </w:pPr>
    </w:p>
    <w:p w14:paraId="44E6D8E3">
      <w:pPr>
        <w:spacing w:before="286" w:line="219" w:lineRule="auto"/>
        <w:ind w:left="32"/>
        <w:rPr>
          <w:rFonts w:ascii="宋体" w:hAnsi="宋体" w:eastAsia="宋体" w:cs="宋体"/>
          <w:b/>
          <w:bCs/>
          <w:color w:val="auto"/>
          <w:spacing w:val="-7"/>
          <w:sz w:val="28"/>
          <w:szCs w:val="28"/>
          <w:highlight w:val="none"/>
        </w:rPr>
      </w:pPr>
    </w:p>
    <w:p w14:paraId="64F5D225">
      <w:pPr>
        <w:spacing w:before="286" w:line="219" w:lineRule="auto"/>
        <w:ind w:left="32"/>
        <w:rPr>
          <w:rFonts w:ascii="宋体" w:hAnsi="宋体" w:eastAsia="宋体" w:cs="宋体"/>
          <w:b/>
          <w:bCs/>
          <w:color w:val="auto"/>
          <w:spacing w:val="-7"/>
          <w:sz w:val="28"/>
          <w:szCs w:val="28"/>
          <w:highlight w:val="none"/>
        </w:rPr>
      </w:pPr>
    </w:p>
    <w:p w14:paraId="684F6F95">
      <w:pPr>
        <w:pStyle w:val="6"/>
        <w:outlineLvl w:val="9"/>
        <w:rPr>
          <w:rFonts w:ascii="宋体" w:hAnsi="宋体" w:eastAsia="宋体" w:cs="宋体"/>
          <w:b/>
          <w:bCs/>
          <w:color w:val="auto"/>
          <w:spacing w:val="-7"/>
          <w:sz w:val="28"/>
          <w:szCs w:val="28"/>
          <w:highlight w:val="none"/>
        </w:rPr>
      </w:pPr>
    </w:p>
    <w:p w14:paraId="365050B7">
      <w:pPr>
        <w:rPr>
          <w:rFonts w:ascii="宋体" w:hAnsi="宋体" w:eastAsia="宋体" w:cs="宋体"/>
          <w:b/>
          <w:bCs/>
          <w:color w:val="auto"/>
          <w:spacing w:val="-7"/>
          <w:sz w:val="28"/>
          <w:szCs w:val="28"/>
          <w:highlight w:val="none"/>
        </w:rPr>
      </w:pPr>
    </w:p>
    <w:p w14:paraId="4EE381A8">
      <w:pPr>
        <w:pStyle w:val="6"/>
        <w:outlineLvl w:val="9"/>
        <w:rPr>
          <w:rFonts w:ascii="宋体" w:hAnsi="宋体" w:eastAsia="宋体" w:cs="宋体"/>
          <w:b/>
          <w:bCs/>
          <w:color w:val="auto"/>
          <w:spacing w:val="-7"/>
          <w:sz w:val="28"/>
          <w:szCs w:val="28"/>
          <w:highlight w:val="none"/>
        </w:rPr>
      </w:pPr>
    </w:p>
    <w:p w14:paraId="6966C751">
      <w:pPr>
        <w:rPr>
          <w:rFonts w:ascii="宋体" w:hAnsi="宋体" w:eastAsia="宋体" w:cs="宋体"/>
          <w:b/>
          <w:bCs/>
          <w:color w:val="auto"/>
          <w:spacing w:val="-7"/>
          <w:sz w:val="28"/>
          <w:szCs w:val="28"/>
          <w:highlight w:val="none"/>
        </w:rPr>
      </w:pPr>
    </w:p>
    <w:p w14:paraId="574A0EE2">
      <w:pPr>
        <w:pStyle w:val="6"/>
        <w:outlineLvl w:val="9"/>
        <w:rPr>
          <w:rFonts w:ascii="宋体" w:hAnsi="宋体" w:eastAsia="宋体" w:cs="宋体"/>
          <w:b/>
          <w:bCs/>
          <w:color w:val="auto"/>
          <w:spacing w:val="-7"/>
          <w:sz w:val="28"/>
          <w:szCs w:val="28"/>
          <w:highlight w:val="none"/>
        </w:rPr>
      </w:pPr>
    </w:p>
    <w:p w14:paraId="03C80F35">
      <w:pPr>
        <w:rPr>
          <w:color w:val="auto"/>
          <w:highlight w:val="none"/>
        </w:rPr>
      </w:pPr>
    </w:p>
    <w:p w14:paraId="3FE136DB">
      <w:pPr>
        <w:spacing w:before="286" w:line="219" w:lineRule="auto"/>
        <w:ind w:left="32"/>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附件五：履约保证金</w:t>
      </w:r>
    </w:p>
    <w:p w14:paraId="60109D32">
      <w:pPr>
        <w:spacing w:line="462" w:lineRule="auto"/>
        <w:rPr>
          <w:rFonts w:ascii="Arial"/>
          <w:color w:val="auto"/>
          <w:sz w:val="21"/>
          <w:highlight w:val="none"/>
        </w:rPr>
      </w:pPr>
    </w:p>
    <w:p w14:paraId="0AAFFF36">
      <w:pPr>
        <w:spacing w:before="91" w:line="219" w:lineRule="auto"/>
        <w:ind w:left="3426"/>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履约保函示范文本</w:t>
      </w:r>
    </w:p>
    <w:p w14:paraId="08894CE8">
      <w:pPr>
        <w:spacing w:before="204" w:line="221" w:lineRule="auto"/>
        <w:ind w:left="7294"/>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编号：</w:t>
      </w:r>
    </w:p>
    <w:p w14:paraId="2B6F320B">
      <w:pPr>
        <w:spacing w:line="246" w:lineRule="auto"/>
        <w:rPr>
          <w:rFonts w:ascii="Arial"/>
          <w:color w:val="auto"/>
          <w:sz w:val="21"/>
          <w:highlight w:val="none"/>
        </w:rPr>
      </w:pPr>
    </w:p>
    <w:p w14:paraId="22F37BB6">
      <w:pPr>
        <w:spacing w:line="247" w:lineRule="auto"/>
        <w:rPr>
          <w:rFonts w:ascii="Arial"/>
          <w:color w:val="auto"/>
          <w:sz w:val="21"/>
          <w:highlight w:val="none"/>
        </w:rPr>
      </w:pPr>
    </w:p>
    <w:p w14:paraId="515D6316">
      <w:pPr>
        <w:tabs>
          <w:tab w:val="left" w:pos="1471"/>
        </w:tabs>
        <w:spacing w:before="68" w:line="223"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3"/>
          <w:sz w:val="21"/>
          <w:szCs w:val="21"/>
          <w:highlight w:val="none"/>
        </w:rPr>
        <w:t>（受益人名称</w:t>
      </w:r>
      <w:r>
        <w:rPr>
          <w:rFonts w:ascii="宋体" w:hAnsi="宋体" w:eastAsia="宋体" w:cs="宋体"/>
          <w:color w:val="auto"/>
          <w:spacing w:val="-20"/>
          <w:sz w:val="21"/>
          <w:szCs w:val="21"/>
          <w:highlight w:val="none"/>
        </w:rPr>
        <w:t>）：</w:t>
      </w:r>
    </w:p>
    <w:p w14:paraId="0ACDEFF2">
      <w:pPr>
        <w:spacing w:before="153" w:line="354" w:lineRule="auto"/>
        <w:ind w:left="9" w:firstLine="420"/>
        <w:jc w:val="both"/>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鉴于</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8"/>
          <w:sz w:val="21"/>
          <w:szCs w:val="21"/>
          <w:highlight w:val="none"/>
        </w:rPr>
        <w:t>（以下简称“受益人</w:t>
      </w:r>
      <w:r>
        <w:rPr>
          <w:rFonts w:ascii="宋体" w:hAnsi="宋体" w:eastAsia="宋体" w:cs="宋体"/>
          <w:color w:val="auto"/>
          <w:spacing w:val="-59"/>
          <w:sz w:val="21"/>
          <w:szCs w:val="21"/>
          <w:highlight w:val="none"/>
        </w:rPr>
        <w:t xml:space="preserve"> </w:t>
      </w:r>
      <w:r>
        <w:rPr>
          <w:rFonts w:ascii="宋体" w:hAnsi="宋体" w:eastAsia="宋体" w:cs="宋体"/>
          <w:color w:val="auto"/>
          <w:spacing w:val="-8"/>
          <w:sz w:val="21"/>
          <w:szCs w:val="21"/>
          <w:highlight w:val="none"/>
        </w:rPr>
        <w:t>”）与</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8"/>
          <w:sz w:val="21"/>
          <w:szCs w:val="21"/>
          <w:highlight w:val="none"/>
        </w:rPr>
        <w:t>（以下简称“</w:t>
      </w:r>
      <w:r>
        <w:rPr>
          <w:rFonts w:ascii="宋体" w:hAnsi="宋体" w:eastAsia="宋体" w:cs="宋体"/>
          <w:color w:val="auto"/>
          <w:spacing w:val="-62"/>
          <w:sz w:val="21"/>
          <w:szCs w:val="21"/>
          <w:highlight w:val="none"/>
        </w:rPr>
        <w:t xml:space="preserve"> </w:t>
      </w:r>
      <w:r>
        <w:rPr>
          <w:rFonts w:ascii="宋体" w:hAnsi="宋体" w:eastAsia="宋体" w:cs="宋体"/>
          <w:color w:val="auto"/>
          <w:spacing w:val="-8"/>
          <w:sz w:val="21"/>
          <w:szCs w:val="21"/>
          <w:highlight w:val="none"/>
        </w:rPr>
        <w:t>申请人”）于</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8"/>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51"/>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8"/>
          <w:sz w:val="21"/>
          <w:szCs w:val="21"/>
          <w:highlight w:val="none"/>
        </w:rPr>
        <w:t>日</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就</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（标段编号）的</w:t>
      </w:r>
      <w:r>
        <w:rPr>
          <w:rFonts w:ascii="宋体" w:hAnsi="宋体" w:eastAsia="宋体" w:cs="宋体"/>
          <w:color w:val="auto"/>
          <w:spacing w:val="-105"/>
          <w:sz w:val="21"/>
          <w:szCs w:val="21"/>
          <w:highlight w:val="none"/>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（标段名称）有关事项协商一致共同签订</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（以下</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简称“基础合同”</w:t>
      </w:r>
      <w:r>
        <w:rPr>
          <w:rFonts w:ascii="宋体" w:hAnsi="宋体" w:eastAsia="宋体" w:cs="宋体"/>
          <w:color w:val="auto"/>
          <w:spacing w:val="-37"/>
          <w:w w:val="67"/>
          <w:sz w:val="21"/>
          <w:szCs w:val="21"/>
          <w:highlight w:val="none"/>
        </w:rPr>
        <w:t>），</w:t>
      </w:r>
      <w:r>
        <w:rPr>
          <w:rFonts w:ascii="宋体" w:hAnsi="宋体" w:eastAsia="宋体" w:cs="宋体"/>
          <w:color w:val="auto"/>
          <w:spacing w:val="1"/>
          <w:sz w:val="21"/>
          <w:szCs w:val="21"/>
          <w:highlight w:val="none"/>
        </w:rPr>
        <w:t>开立人根据基础合同了解到申请人为基础合同项下之承包人</w:t>
      </w:r>
      <w:r>
        <w:rPr>
          <w:rFonts w:ascii="宋体" w:hAnsi="宋体" w:eastAsia="宋体" w:cs="宋体"/>
          <w:color w:val="auto"/>
          <w:sz w:val="21"/>
          <w:szCs w:val="21"/>
          <w:highlight w:val="none"/>
        </w:rPr>
        <w:t>，受益人为基础合</w:t>
      </w:r>
      <w:r>
        <w:rPr>
          <w:rFonts w:ascii="宋体" w:hAnsi="宋体" w:eastAsia="宋体" w:cs="宋体"/>
          <w:color w:val="auto"/>
          <w:spacing w:val="1"/>
          <w:sz w:val="21"/>
          <w:szCs w:val="21"/>
          <w:highlight w:val="none"/>
        </w:rPr>
        <w:t>同项下之发包人，基于申请人的请求，开立人同意就申请人履行与受益人签订</w:t>
      </w:r>
      <w:r>
        <w:rPr>
          <w:rFonts w:ascii="宋体" w:hAnsi="宋体" w:eastAsia="宋体" w:cs="宋体"/>
          <w:color w:val="auto"/>
          <w:sz w:val="21"/>
          <w:szCs w:val="21"/>
          <w:highlight w:val="none"/>
        </w:rPr>
        <w:t xml:space="preserve">的基础合同项下的义 </w:t>
      </w:r>
      <w:r>
        <w:rPr>
          <w:rFonts w:ascii="宋体" w:hAnsi="宋体" w:eastAsia="宋体" w:cs="宋体"/>
          <w:color w:val="auto"/>
          <w:spacing w:val="-5"/>
          <w:sz w:val="21"/>
          <w:szCs w:val="21"/>
          <w:highlight w:val="none"/>
        </w:rPr>
        <w:t>务，向受益人提供不可撤销、不可转让的见索即付独立保函（以下简称“本保函”）。</w:t>
      </w:r>
    </w:p>
    <w:p w14:paraId="4DB6355E">
      <w:pPr>
        <w:spacing w:before="30" w:line="291" w:lineRule="auto"/>
        <w:ind w:left="9" w:right="1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一、本保函担保范围：承包人未按照基础合同</w:t>
      </w:r>
      <w:r>
        <w:rPr>
          <w:rFonts w:ascii="宋体" w:hAnsi="宋体" w:eastAsia="宋体" w:cs="宋体"/>
          <w:color w:val="auto"/>
          <w:sz w:val="21"/>
          <w:szCs w:val="21"/>
          <w:highlight w:val="none"/>
        </w:rPr>
        <w:t xml:space="preserve">的约定履行义务，应当向受益人承担的违约责任 </w:t>
      </w:r>
      <w:r>
        <w:rPr>
          <w:rFonts w:ascii="宋体" w:hAnsi="宋体" w:eastAsia="宋体" w:cs="宋体"/>
          <w:color w:val="auto"/>
          <w:spacing w:val="-1"/>
          <w:sz w:val="21"/>
          <w:szCs w:val="21"/>
          <w:highlight w:val="none"/>
        </w:rPr>
        <w:t>和赔偿因此造成的损失、利息、律师费、诉讼费用等实现债权的费用。</w:t>
      </w:r>
    </w:p>
    <w:p w14:paraId="1C0DE481">
      <w:pPr>
        <w:spacing w:before="157" w:line="220" w:lineRule="auto"/>
        <w:ind w:left="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二、本保函担保金额最高不超过人民币（大写）</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2"/>
          <w:sz w:val="21"/>
          <w:szCs w:val="21"/>
          <w:highlight w:val="none"/>
        </w:rPr>
        <w:t>元(¥</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72"/>
          <w:sz w:val="21"/>
          <w:szCs w:val="21"/>
          <w:highlight w:val="none"/>
        </w:rPr>
        <w:t xml:space="preserve"> </w:t>
      </w:r>
      <w:r>
        <w:rPr>
          <w:rFonts w:ascii="宋体" w:hAnsi="宋体" w:eastAsia="宋体" w:cs="宋体"/>
          <w:color w:val="auto"/>
          <w:spacing w:val="2"/>
          <w:sz w:val="21"/>
          <w:szCs w:val="21"/>
          <w:highlight w:val="none"/>
        </w:rPr>
        <w:t>)。</w:t>
      </w:r>
    </w:p>
    <w:p w14:paraId="01089999">
      <w:pPr>
        <w:spacing w:before="158" w:line="220" w:lineRule="auto"/>
        <w:ind w:left="428"/>
        <w:rPr>
          <w:rFonts w:ascii="宋体" w:hAnsi="宋体" w:eastAsia="宋体" w:cs="宋体"/>
          <w:color w:val="auto"/>
          <w:sz w:val="21"/>
          <w:szCs w:val="21"/>
          <w:highlight w:val="none"/>
        </w:rPr>
      </w:pPr>
      <w:r>
        <w:rPr>
          <w:rFonts w:ascii="宋体" w:hAnsi="宋体" w:eastAsia="宋体" w:cs="宋体"/>
          <w:color w:val="auto"/>
          <w:sz w:val="21"/>
          <w:szCs w:val="21"/>
          <w:highlight w:val="none"/>
        </w:rPr>
        <w:t>三、本保函有效期自开立之日起至基础合同约定的缺陷责任期满之</w:t>
      </w:r>
      <w:r>
        <w:rPr>
          <w:rFonts w:ascii="宋体" w:hAnsi="宋体" w:eastAsia="宋体" w:cs="宋体"/>
          <w:color w:val="auto"/>
          <w:spacing w:val="-1"/>
          <w:sz w:val="21"/>
          <w:szCs w:val="21"/>
          <w:highlight w:val="none"/>
        </w:rPr>
        <w:t>日止。</w:t>
      </w:r>
    </w:p>
    <w:p w14:paraId="119A8A0D">
      <w:pPr>
        <w:spacing w:before="157" w:line="291" w:lineRule="auto"/>
        <w:ind w:firstLine="416" w:firstLineChars="2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四、开立人承诺，在收到受益人发来的书面付款通知后的七日内无条件支付，前述书面</w:t>
      </w:r>
      <w:r>
        <w:rPr>
          <w:rFonts w:ascii="宋体" w:hAnsi="宋体" w:eastAsia="宋体" w:cs="宋体"/>
          <w:color w:val="auto"/>
          <w:spacing w:val="-2"/>
          <w:sz w:val="21"/>
          <w:szCs w:val="21"/>
          <w:highlight w:val="none"/>
        </w:rPr>
        <w:t>付款通</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知即为付款要求之单据，且应满足以下要求：</w:t>
      </w:r>
    </w:p>
    <w:p w14:paraId="4A3AD329">
      <w:pPr>
        <w:spacing w:before="157" w:line="220"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（1）付款通知到达的日期在本保函的有效期内；</w:t>
      </w:r>
    </w:p>
    <w:p w14:paraId="298C8B43">
      <w:pPr>
        <w:spacing w:before="158" w:line="221"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（2）载明要求支付的金额；</w:t>
      </w:r>
    </w:p>
    <w:p w14:paraId="12AB31EC">
      <w:pPr>
        <w:spacing w:before="156" w:line="221" w:lineRule="auto"/>
        <w:ind w:left="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（3）载明申请人违反合同义务的条款和内容；</w:t>
      </w:r>
    </w:p>
    <w:p w14:paraId="1A094FC2">
      <w:pPr>
        <w:spacing w:before="157" w:line="221" w:lineRule="auto"/>
        <w:ind w:left="434"/>
        <w:rPr>
          <w:rFonts w:ascii="宋体" w:hAnsi="宋体" w:eastAsia="宋体" w:cs="宋体"/>
          <w:color w:val="auto"/>
          <w:sz w:val="21"/>
          <w:szCs w:val="21"/>
          <w:highlight w:val="none"/>
        </w:rPr>
      </w:pPr>
      <w:r>
        <w:rPr>
          <w:rFonts w:ascii="宋体" w:hAnsi="宋体" w:eastAsia="宋体" w:cs="宋体"/>
          <w:color w:val="auto"/>
          <w:sz w:val="21"/>
          <w:szCs w:val="21"/>
          <w:highlight w:val="none"/>
        </w:rPr>
        <w:t>（4）声明不存在合同文件约定或我国法律规定免除申请人或开立</w:t>
      </w:r>
      <w:r>
        <w:rPr>
          <w:rFonts w:ascii="宋体" w:hAnsi="宋体" w:eastAsia="宋体" w:cs="宋体"/>
          <w:color w:val="auto"/>
          <w:spacing w:val="-1"/>
          <w:sz w:val="21"/>
          <w:szCs w:val="21"/>
          <w:highlight w:val="none"/>
        </w:rPr>
        <w:t>人支付责任的情形；</w:t>
      </w:r>
    </w:p>
    <w:p w14:paraId="73DFC6A1">
      <w:pPr>
        <w:spacing w:before="159" w:line="220" w:lineRule="auto"/>
        <w:ind w:left="434"/>
        <w:rPr>
          <w:rFonts w:ascii="宋体" w:hAnsi="宋体" w:eastAsia="宋体" w:cs="宋体"/>
          <w:color w:val="auto"/>
          <w:sz w:val="21"/>
          <w:szCs w:val="21"/>
          <w:highlight w:val="none"/>
        </w:rPr>
      </w:pPr>
      <w:r>
        <w:rPr>
          <w:rFonts w:ascii="宋体" w:hAnsi="宋体" w:eastAsia="宋体" w:cs="宋体"/>
          <w:color w:val="auto"/>
          <w:sz w:val="21"/>
          <w:szCs w:val="21"/>
          <w:highlight w:val="none"/>
        </w:rPr>
        <w:t>（5）付款通知应在本保函有效期内到达的地址是：</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2F403B3D">
      <w:pPr>
        <w:spacing w:before="158" w:line="220" w:lineRule="auto"/>
        <w:ind w:left="434"/>
        <w:rPr>
          <w:rFonts w:ascii="宋体" w:hAnsi="宋体" w:eastAsia="宋体" w:cs="宋体"/>
          <w:color w:val="auto"/>
          <w:spacing w:val="-1"/>
          <w:sz w:val="21"/>
          <w:szCs w:val="21"/>
          <w:highlight w:val="none"/>
        </w:rPr>
      </w:pPr>
      <w:r>
        <w:rPr>
          <w:rFonts w:ascii="宋体" w:hAnsi="宋体" w:eastAsia="宋体" w:cs="宋体"/>
          <w:color w:val="auto"/>
          <w:sz w:val="21"/>
          <w:szCs w:val="21"/>
          <w:highlight w:val="none"/>
        </w:rPr>
        <w:t>受益人发出的书面付款通知应由其法定代表人（负责人）或授权代理人</w:t>
      </w:r>
      <w:r>
        <w:rPr>
          <w:rFonts w:ascii="宋体" w:hAnsi="宋体" w:eastAsia="宋体" w:cs="宋体"/>
          <w:color w:val="auto"/>
          <w:spacing w:val="-1"/>
          <w:sz w:val="21"/>
          <w:szCs w:val="21"/>
          <w:highlight w:val="none"/>
        </w:rPr>
        <w:t>签字并加盖公</w:t>
      </w:r>
    </w:p>
    <w:p w14:paraId="6EBC0B31">
      <w:pPr>
        <w:spacing w:before="158" w:line="220"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章。</w:t>
      </w:r>
    </w:p>
    <w:p w14:paraId="6D7C55FC">
      <w:pPr>
        <w:spacing w:before="158" w:line="345" w:lineRule="auto"/>
        <w:ind w:left="14"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五、本保函项下的权利不得转让，不得设定担保。受益人未经我方书面同意转 让本保函或其项</w:t>
      </w:r>
      <w:r>
        <w:rPr>
          <w:rFonts w:ascii="宋体" w:hAnsi="宋体" w:eastAsia="宋体" w:cs="宋体"/>
          <w:color w:val="auto"/>
          <w:spacing w:val="-1"/>
          <w:sz w:val="21"/>
          <w:szCs w:val="21"/>
          <w:highlight w:val="none"/>
        </w:rPr>
        <w:t>下任何权利，对我方不发生法律效力。</w:t>
      </w:r>
    </w:p>
    <w:p w14:paraId="3AD89F2E">
      <w:pPr>
        <w:spacing w:before="31" w:line="291" w:lineRule="auto"/>
        <w:ind w:left="9" w:right="3"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六、与本保函有关的基础合同不成立、不生效、无效、被撤销、被解除</w:t>
      </w:r>
      <w:r>
        <w:rPr>
          <w:rFonts w:ascii="宋体" w:hAnsi="宋体" w:eastAsia="宋体" w:cs="宋体"/>
          <w:color w:val="auto"/>
          <w:sz w:val="21"/>
          <w:szCs w:val="21"/>
          <w:highlight w:val="none"/>
        </w:rPr>
        <w:t>，不影响本保函的独立</w:t>
      </w:r>
      <w:r>
        <w:rPr>
          <w:rFonts w:ascii="宋体" w:hAnsi="宋体" w:eastAsia="宋体" w:cs="宋体"/>
          <w:color w:val="auto"/>
          <w:spacing w:val="-8"/>
          <w:sz w:val="21"/>
          <w:szCs w:val="21"/>
          <w:highlight w:val="none"/>
        </w:rPr>
        <w:t>有效。</w:t>
      </w:r>
    </w:p>
    <w:p w14:paraId="06814CFE">
      <w:pPr>
        <w:spacing w:before="157" w:line="220"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七、本保函项下的义务和责任均在保函有效期到期后自动消</w:t>
      </w:r>
      <w:r>
        <w:rPr>
          <w:rFonts w:ascii="宋体" w:hAnsi="宋体" w:eastAsia="宋体" w:cs="宋体"/>
          <w:color w:val="auto"/>
          <w:spacing w:val="-1"/>
          <w:sz w:val="21"/>
          <w:szCs w:val="21"/>
          <w:highlight w:val="none"/>
        </w:rPr>
        <w:t>灭。</w:t>
      </w:r>
    </w:p>
    <w:p w14:paraId="0A66E8B3">
      <w:pPr>
        <w:spacing w:before="158" w:line="289" w:lineRule="auto"/>
        <w:ind w:left="28" w:right="3" w:firstLine="402"/>
        <w:rPr>
          <w:rFonts w:ascii="宋体" w:hAnsi="宋体" w:eastAsia="宋体" w:cs="宋体"/>
          <w:color w:val="auto"/>
          <w:sz w:val="21"/>
          <w:szCs w:val="21"/>
          <w:highlight w:val="none"/>
        </w:rPr>
      </w:pPr>
      <w:r>
        <w:rPr>
          <w:rFonts w:ascii="宋体" w:hAnsi="宋体" w:eastAsia="宋体" w:cs="宋体"/>
          <w:color w:val="auto"/>
          <w:sz w:val="21"/>
          <w:szCs w:val="21"/>
          <w:highlight w:val="none"/>
        </w:rPr>
        <w:t>八、本保函适用的法律为中华人民共和国法律，因本保函产生的</w:t>
      </w:r>
      <w:r>
        <w:rPr>
          <w:rFonts w:ascii="宋体" w:hAnsi="宋体" w:eastAsia="宋体" w:cs="宋体"/>
          <w:color w:val="auto"/>
          <w:spacing w:val="-1"/>
          <w:sz w:val="21"/>
          <w:szCs w:val="21"/>
          <w:highlight w:val="none"/>
        </w:rPr>
        <w:t>纠纷案件，</w:t>
      </w:r>
      <w:r>
        <w:rPr>
          <w:rFonts w:ascii="宋体" w:hAnsi="宋体" w:eastAsia="宋体" w:cs="宋体"/>
          <w:color w:val="auto"/>
          <w:spacing w:val="-63"/>
          <w:sz w:val="21"/>
          <w:szCs w:val="21"/>
          <w:highlight w:val="none"/>
        </w:rPr>
        <w:t xml:space="preserve"> </w:t>
      </w:r>
      <w:r>
        <w:rPr>
          <w:rFonts w:ascii="宋体" w:hAnsi="宋体" w:eastAsia="宋体" w:cs="宋体"/>
          <w:color w:val="auto"/>
          <w:spacing w:val="-1"/>
          <w:sz w:val="21"/>
          <w:szCs w:val="21"/>
          <w:highlight w:val="none"/>
        </w:rPr>
        <w:t>由受益人所在地人</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民法院管辖。</w:t>
      </w:r>
    </w:p>
    <w:p w14:paraId="2295926C">
      <w:pPr>
        <w:spacing w:before="160" w:line="220" w:lineRule="auto"/>
        <w:ind w:left="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九、本保函自我方法定代表人或授权代表签字并加盖公章之日起生效。</w:t>
      </w:r>
    </w:p>
    <w:p w14:paraId="49C302F4">
      <w:pPr>
        <w:spacing w:line="354" w:lineRule="auto"/>
        <w:rPr>
          <w:rFonts w:hint="eastAsia" w:ascii="Arial" w:eastAsia="宋体"/>
          <w:color w:val="auto"/>
          <w:sz w:val="21"/>
          <w:highlight w:val="none"/>
          <w:lang w:eastAsia="zh-CN"/>
        </w:rPr>
      </w:pPr>
    </w:p>
    <w:p w14:paraId="70FD6B1A">
      <w:pPr>
        <w:spacing w:before="68" w:line="220" w:lineRule="auto"/>
        <w:ind w:left="6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开 立 人</w:t>
      </w:r>
      <w:r>
        <w:rPr>
          <w:rFonts w:ascii="宋体" w:hAnsi="宋体" w:eastAsia="宋体" w:cs="宋体"/>
          <w:color w:val="auto"/>
          <w:spacing w:val="-28"/>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8"/>
          <w:sz w:val="21"/>
          <w:szCs w:val="21"/>
          <w:highlight w:val="none"/>
        </w:rPr>
        <w:t>（</w:t>
      </w:r>
      <w:r>
        <w:rPr>
          <w:rFonts w:ascii="宋体" w:hAnsi="宋体" w:eastAsia="宋体" w:cs="宋体"/>
          <w:color w:val="auto"/>
          <w:spacing w:val="5"/>
          <w:sz w:val="21"/>
          <w:szCs w:val="21"/>
          <w:highlight w:val="none"/>
        </w:rPr>
        <w:t>公章）</w:t>
      </w:r>
    </w:p>
    <w:p w14:paraId="728A4CBA">
      <w:pPr>
        <w:spacing w:before="157" w:line="221" w:lineRule="auto"/>
        <w:ind w:left="6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法定代表人（或授权代表</w:t>
      </w:r>
      <w:r>
        <w:rPr>
          <w:rFonts w:ascii="宋体" w:hAnsi="宋体" w:eastAsia="宋体" w:cs="宋体"/>
          <w:color w:val="auto"/>
          <w:spacing w:val="-33"/>
          <w:sz w:val="21"/>
          <w:szCs w:val="21"/>
          <w:highlight w:val="none"/>
        </w:rPr>
        <w:t>）：</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33"/>
          <w:sz w:val="21"/>
          <w:szCs w:val="21"/>
          <w:highlight w:val="none"/>
        </w:rPr>
        <w:t>（</w:t>
      </w:r>
      <w:r>
        <w:rPr>
          <w:rFonts w:ascii="宋体" w:hAnsi="宋体" w:eastAsia="宋体" w:cs="宋体"/>
          <w:color w:val="auto"/>
          <w:spacing w:val="-1"/>
          <w:sz w:val="21"/>
          <w:szCs w:val="21"/>
          <w:highlight w:val="none"/>
        </w:rPr>
        <w:t>签字）</w:t>
      </w:r>
    </w:p>
    <w:p w14:paraId="6DA199E4">
      <w:pPr>
        <w:spacing w:before="157" w:line="347" w:lineRule="auto"/>
        <w:ind w:left="76" w:right="3137" w:hanging="1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地</w:t>
      </w:r>
      <w:r>
        <w:rPr>
          <w:rFonts w:ascii="宋体" w:hAnsi="宋体" w:eastAsia="宋体" w:cs="宋体"/>
          <w:color w:val="auto"/>
          <w:spacing w:val="3"/>
          <w:sz w:val="21"/>
          <w:szCs w:val="21"/>
          <w:highlight w:val="none"/>
        </w:rPr>
        <w:t xml:space="preserve">    </w:t>
      </w:r>
      <w:r>
        <w:rPr>
          <w:rFonts w:ascii="宋体" w:hAnsi="宋体" w:eastAsia="宋体" w:cs="宋体"/>
          <w:color w:val="auto"/>
          <w:spacing w:val="-3"/>
          <w:sz w:val="21"/>
          <w:szCs w:val="21"/>
          <w:highlight w:val="none"/>
        </w:rPr>
        <w:t>址：</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1"/>
          <w:sz w:val="21"/>
          <w:szCs w:val="21"/>
          <w:highlight w:val="none"/>
        </w:rPr>
        <w:t xml:space="preserve"> </w:t>
      </w:r>
      <w:r>
        <w:rPr>
          <w:rFonts w:ascii="宋体" w:hAnsi="宋体" w:eastAsia="宋体" w:cs="宋体"/>
          <w:color w:val="auto"/>
          <w:spacing w:val="-5"/>
          <w:sz w:val="21"/>
          <w:szCs w:val="21"/>
          <w:highlight w:val="none"/>
        </w:rPr>
        <w:t>邮政编码：</w:t>
      </w:r>
      <w:r>
        <w:rPr>
          <w:rFonts w:ascii="宋体" w:hAnsi="宋体" w:eastAsia="宋体" w:cs="宋体"/>
          <w:color w:val="auto"/>
          <w:sz w:val="21"/>
          <w:szCs w:val="21"/>
          <w:highlight w:val="none"/>
          <w:u w:val="single" w:color="auto"/>
        </w:rPr>
        <w:t xml:space="preserve">                 </w:t>
      </w:r>
    </w:p>
    <w:p w14:paraId="641D2A95">
      <w:pPr>
        <w:spacing w:before="28" w:line="345" w:lineRule="auto"/>
        <w:ind w:left="59" w:right="5446" w:firstLine="2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电</w:t>
      </w:r>
      <w:r>
        <w:rPr>
          <w:rFonts w:ascii="宋体" w:hAnsi="宋体" w:eastAsia="宋体" w:cs="宋体"/>
          <w:color w:val="auto"/>
          <w:spacing w:val="2"/>
          <w:sz w:val="21"/>
          <w:szCs w:val="21"/>
          <w:highlight w:val="none"/>
        </w:rPr>
        <w:t xml:space="preserve">    </w:t>
      </w:r>
      <w:r>
        <w:rPr>
          <w:rFonts w:ascii="宋体" w:hAnsi="宋体" w:eastAsia="宋体" w:cs="宋体"/>
          <w:color w:val="auto"/>
          <w:spacing w:val="-7"/>
          <w:sz w:val="21"/>
          <w:szCs w:val="21"/>
          <w:highlight w:val="none"/>
        </w:rPr>
        <w:t>话：</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传</w:t>
      </w:r>
      <w:r>
        <w:rPr>
          <w:rFonts w:ascii="宋体" w:hAnsi="宋体" w:eastAsia="宋体" w:cs="宋体"/>
          <w:color w:val="auto"/>
          <w:spacing w:val="2"/>
          <w:sz w:val="21"/>
          <w:szCs w:val="21"/>
          <w:highlight w:val="none"/>
        </w:rPr>
        <w:t xml:space="preserve">    </w:t>
      </w:r>
      <w:r>
        <w:rPr>
          <w:rFonts w:ascii="宋体" w:hAnsi="宋体" w:eastAsia="宋体" w:cs="宋体"/>
          <w:color w:val="auto"/>
          <w:spacing w:val="-6"/>
          <w:sz w:val="21"/>
          <w:szCs w:val="21"/>
          <w:highlight w:val="none"/>
        </w:rPr>
        <w:t>真：</w:t>
      </w:r>
      <w:r>
        <w:rPr>
          <w:rFonts w:ascii="宋体" w:hAnsi="宋体" w:eastAsia="宋体" w:cs="宋体"/>
          <w:color w:val="auto"/>
          <w:sz w:val="21"/>
          <w:szCs w:val="21"/>
          <w:highlight w:val="none"/>
          <w:u w:val="single" w:color="auto"/>
        </w:rPr>
        <w:t xml:space="preserve">                 </w:t>
      </w:r>
    </w:p>
    <w:p w14:paraId="560D5EAA">
      <w:pPr>
        <w:spacing w:before="31" w:line="221" w:lineRule="auto"/>
        <w:ind w:left="6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开立时间：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79"/>
          <w:sz w:val="21"/>
          <w:szCs w:val="21"/>
          <w:highlight w:val="none"/>
        </w:rPr>
        <w:t xml:space="preserve"> </w:t>
      </w:r>
      <w:r>
        <w:rPr>
          <w:rFonts w:ascii="宋体" w:hAnsi="宋体" w:eastAsia="宋体" w:cs="宋体"/>
          <w:color w:val="auto"/>
          <w:spacing w:val="-2"/>
          <w:sz w:val="21"/>
          <w:szCs w:val="21"/>
          <w:highlight w:val="none"/>
        </w:rPr>
        <w:t>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2"/>
          <w:sz w:val="21"/>
          <w:szCs w:val="21"/>
          <w:highlight w:val="none"/>
        </w:rPr>
        <w:t>日</w:t>
      </w:r>
    </w:p>
    <w:p w14:paraId="2BCF4CDE">
      <w:pPr>
        <w:spacing w:before="286" w:line="219" w:lineRule="auto"/>
        <w:ind w:left="32"/>
        <w:rPr>
          <w:rFonts w:ascii="宋体" w:hAnsi="宋体" w:eastAsia="宋体" w:cs="宋体"/>
          <w:b/>
          <w:bCs/>
          <w:color w:val="auto"/>
          <w:spacing w:val="-7"/>
          <w:sz w:val="28"/>
          <w:szCs w:val="28"/>
          <w:highlight w:val="none"/>
        </w:rPr>
      </w:pPr>
    </w:p>
    <w:p w14:paraId="279C56F0">
      <w:pPr>
        <w:spacing w:before="286" w:line="219" w:lineRule="auto"/>
        <w:ind w:left="32"/>
        <w:rPr>
          <w:rFonts w:ascii="宋体" w:hAnsi="宋体" w:eastAsia="宋体" w:cs="宋体"/>
          <w:b/>
          <w:bCs/>
          <w:color w:val="auto"/>
          <w:spacing w:val="-7"/>
          <w:sz w:val="28"/>
          <w:szCs w:val="28"/>
          <w:highlight w:val="none"/>
        </w:rPr>
      </w:pPr>
    </w:p>
    <w:p w14:paraId="19F07CC5">
      <w:pPr>
        <w:spacing w:before="286" w:line="219" w:lineRule="auto"/>
        <w:ind w:left="32"/>
        <w:rPr>
          <w:rFonts w:ascii="宋体" w:hAnsi="宋体" w:eastAsia="宋体" w:cs="宋体"/>
          <w:b/>
          <w:bCs/>
          <w:color w:val="auto"/>
          <w:spacing w:val="-7"/>
          <w:sz w:val="28"/>
          <w:szCs w:val="28"/>
          <w:highlight w:val="none"/>
        </w:rPr>
      </w:pPr>
    </w:p>
    <w:p w14:paraId="4AF3081F">
      <w:pPr>
        <w:spacing w:before="286" w:line="219" w:lineRule="auto"/>
        <w:ind w:left="32"/>
        <w:rPr>
          <w:rFonts w:ascii="宋体" w:hAnsi="宋体" w:eastAsia="宋体" w:cs="宋体"/>
          <w:b/>
          <w:bCs/>
          <w:color w:val="auto"/>
          <w:spacing w:val="-7"/>
          <w:sz w:val="28"/>
          <w:szCs w:val="28"/>
          <w:highlight w:val="none"/>
        </w:rPr>
      </w:pPr>
    </w:p>
    <w:p w14:paraId="19DADBD9">
      <w:pPr>
        <w:spacing w:before="286" w:line="219" w:lineRule="auto"/>
        <w:ind w:left="32"/>
        <w:rPr>
          <w:rFonts w:ascii="宋体" w:hAnsi="宋体" w:eastAsia="宋体" w:cs="宋体"/>
          <w:b/>
          <w:bCs/>
          <w:color w:val="auto"/>
          <w:spacing w:val="-7"/>
          <w:sz w:val="28"/>
          <w:szCs w:val="28"/>
          <w:highlight w:val="none"/>
        </w:rPr>
      </w:pPr>
    </w:p>
    <w:p w14:paraId="217A2371">
      <w:pPr>
        <w:spacing w:before="286" w:line="219" w:lineRule="auto"/>
        <w:ind w:left="32"/>
        <w:rPr>
          <w:rFonts w:ascii="宋体" w:hAnsi="宋体" w:eastAsia="宋体" w:cs="宋体"/>
          <w:b/>
          <w:bCs/>
          <w:color w:val="auto"/>
          <w:spacing w:val="-7"/>
          <w:sz w:val="28"/>
          <w:szCs w:val="28"/>
          <w:highlight w:val="none"/>
        </w:rPr>
      </w:pPr>
    </w:p>
    <w:p w14:paraId="6A236040">
      <w:pPr>
        <w:spacing w:before="286" w:line="219" w:lineRule="auto"/>
        <w:ind w:left="32"/>
        <w:rPr>
          <w:rFonts w:ascii="宋体" w:hAnsi="宋体" w:eastAsia="宋体" w:cs="宋体"/>
          <w:b/>
          <w:bCs/>
          <w:color w:val="auto"/>
          <w:spacing w:val="-7"/>
          <w:sz w:val="28"/>
          <w:szCs w:val="28"/>
          <w:highlight w:val="none"/>
        </w:rPr>
      </w:pPr>
    </w:p>
    <w:p w14:paraId="402C1328">
      <w:pPr>
        <w:spacing w:before="286" w:line="219" w:lineRule="auto"/>
        <w:ind w:left="32"/>
        <w:rPr>
          <w:rFonts w:ascii="宋体" w:hAnsi="宋体" w:eastAsia="宋体" w:cs="宋体"/>
          <w:b/>
          <w:bCs/>
          <w:color w:val="auto"/>
          <w:spacing w:val="-7"/>
          <w:sz w:val="28"/>
          <w:szCs w:val="28"/>
          <w:highlight w:val="none"/>
        </w:rPr>
      </w:pPr>
    </w:p>
    <w:p w14:paraId="785061A1">
      <w:pPr>
        <w:spacing w:before="286" w:line="219" w:lineRule="auto"/>
        <w:ind w:left="32"/>
        <w:rPr>
          <w:rFonts w:ascii="宋体" w:hAnsi="宋体" w:eastAsia="宋体" w:cs="宋体"/>
          <w:b/>
          <w:bCs/>
          <w:color w:val="auto"/>
          <w:spacing w:val="-7"/>
          <w:sz w:val="28"/>
          <w:szCs w:val="28"/>
          <w:highlight w:val="none"/>
        </w:rPr>
      </w:pPr>
    </w:p>
    <w:p w14:paraId="02ED5DE1">
      <w:pPr>
        <w:spacing w:before="286" w:line="219" w:lineRule="auto"/>
        <w:ind w:left="32"/>
        <w:rPr>
          <w:rFonts w:ascii="宋体" w:hAnsi="宋体" w:eastAsia="宋体" w:cs="宋体"/>
          <w:b/>
          <w:bCs/>
          <w:color w:val="auto"/>
          <w:spacing w:val="-7"/>
          <w:sz w:val="28"/>
          <w:szCs w:val="28"/>
          <w:highlight w:val="none"/>
        </w:rPr>
      </w:pPr>
    </w:p>
    <w:p w14:paraId="17E684FC">
      <w:pPr>
        <w:spacing w:before="286" w:line="219" w:lineRule="auto"/>
        <w:ind w:left="32"/>
        <w:rPr>
          <w:rFonts w:ascii="宋体" w:hAnsi="宋体" w:eastAsia="宋体" w:cs="宋体"/>
          <w:b/>
          <w:bCs/>
          <w:color w:val="auto"/>
          <w:spacing w:val="-7"/>
          <w:sz w:val="28"/>
          <w:szCs w:val="28"/>
          <w:highlight w:val="none"/>
        </w:rPr>
      </w:pPr>
    </w:p>
    <w:p w14:paraId="08720256">
      <w:pPr>
        <w:spacing w:before="286" w:line="219" w:lineRule="auto"/>
        <w:ind w:left="32"/>
        <w:rPr>
          <w:rFonts w:ascii="宋体" w:hAnsi="宋体" w:eastAsia="宋体" w:cs="宋体"/>
          <w:b/>
          <w:bCs/>
          <w:color w:val="auto"/>
          <w:spacing w:val="-7"/>
          <w:sz w:val="28"/>
          <w:szCs w:val="28"/>
          <w:highlight w:val="none"/>
        </w:rPr>
      </w:pPr>
    </w:p>
    <w:p w14:paraId="7CCFE0CB">
      <w:pPr>
        <w:spacing w:before="286" w:line="219" w:lineRule="auto"/>
        <w:ind w:left="32"/>
        <w:rPr>
          <w:rFonts w:ascii="宋体" w:hAnsi="宋体" w:eastAsia="宋体" w:cs="宋体"/>
          <w:b/>
          <w:bCs/>
          <w:color w:val="auto"/>
          <w:spacing w:val="-7"/>
          <w:sz w:val="28"/>
          <w:szCs w:val="28"/>
          <w:highlight w:val="none"/>
        </w:rPr>
      </w:pPr>
    </w:p>
    <w:p w14:paraId="34AF16C3">
      <w:pPr>
        <w:spacing w:before="286" w:line="219" w:lineRule="auto"/>
        <w:ind w:left="32"/>
        <w:rPr>
          <w:rFonts w:ascii="宋体" w:hAnsi="宋体" w:eastAsia="宋体" w:cs="宋体"/>
          <w:b/>
          <w:bCs/>
          <w:color w:val="auto"/>
          <w:spacing w:val="-7"/>
          <w:sz w:val="28"/>
          <w:szCs w:val="28"/>
          <w:highlight w:val="none"/>
        </w:rPr>
      </w:pPr>
    </w:p>
    <w:p w14:paraId="3DE4BB68">
      <w:pPr>
        <w:spacing w:before="286" w:line="219" w:lineRule="auto"/>
        <w:ind w:left="32"/>
        <w:rPr>
          <w:rFonts w:ascii="宋体" w:hAnsi="宋体" w:eastAsia="宋体" w:cs="宋体"/>
          <w:b/>
          <w:bCs/>
          <w:color w:val="auto"/>
          <w:spacing w:val="-7"/>
          <w:sz w:val="28"/>
          <w:szCs w:val="28"/>
          <w:highlight w:val="none"/>
        </w:rPr>
      </w:pPr>
    </w:p>
    <w:p w14:paraId="35EC33A3">
      <w:pPr>
        <w:spacing w:before="286" w:line="219" w:lineRule="auto"/>
        <w:ind w:left="32"/>
        <w:rPr>
          <w:rFonts w:ascii="宋体" w:hAnsi="宋体" w:eastAsia="宋体" w:cs="宋体"/>
          <w:b/>
          <w:bCs/>
          <w:color w:val="auto"/>
          <w:spacing w:val="-7"/>
          <w:sz w:val="28"/>
          <w:szCs w:val="28"/>
          <w:highlight w:val="none"/>
        </w:rPr>
      </w:pPr>
    </w:p>
    <w:p w14:paraId="376FF3D0">
      <w:pPr>
        <w:spacing w:before="286" w:line="219" w:lineRule="auto"/>
        <w:ind w:left="32"/>
        <w:rPr>
          <w:rFonts w:ascii="宋体" w:hAnsi="宋体" w:eastAsia="宋体" w:cs="宋体"/>
          <w:b/>
          <w:bCs/>
          <w:color w:val="auto"/>
          <w:spacing w:val="-7"/>
          <w:sz w:val="28"/>
          <w:szCs w:val="28"/>
          <w:highlight w:val="none"/>
        </w:rPr>
      </w:pPr>
    </w:p>
    <w:p w14:paraId="6A3DC7FB">
      <w:pPr>
        <w:spacing w:before="286" w:line="219" w:lineRule="auto"/>
        <w:ind w:left="32"/>
        <w:rPr>
          <w:rFonts w:ascii="宋体" w:hAnsi="宋体" w:eastAsia="宋体" w:cs="宋体"/>
          <w:b/>
          <w:bCs/>
          <w:color w:val="auto"/>
          <w:spacing w:val="-7"/>
          <w:sz w:val="28"/>
          <w:szCs w:val="28"/>
          <w:highlight w:val="none"/>
        </w:rPr>
      </w:pPr>
    </w:p>
    <w:p w14:paraId="3D27CEAF">
      <w:pPr>
        <w:spacing w:before="286" w:line="219" w:lineRule="auto"/>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附件六：预付款担保</w:t>
      </w:r>
    </w:p>
    <w:p w14:paraId="64BFD63E">
      <w:pPr>
        <w:spacing w:line="462" w:lineRule="auto"/>
        <w:rPr>
          <w:rFonts w:ascii="Arial"/>
          <w:color w:val="auto"/>
          <w:sz w:val="21"/>
          <w:highlight w:val="none"/>
        </w:rPr>
      </w:pPr>
    </w:p>
    <w:p w14:paraId="6A7ED950">
      <w:pPr>
        <w:spacing w:before="91" w:line="219" w:lineRule="auto"/>
        <w:ind w:left="328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预付款保函示范文本</w:t>
      </w:r>
    </w:p>
    <w:p w14:paraId="65093A6B">
      <w:pPr>
        <w:spacing w:before="204" w:line="221" w:lineRule="auto"/>
        <w:ind w:left="7294"/>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编号：</w:t>
      </w:r>
    </w:p>
    <w:p w14:paraId="503DD44E">
      <w:pPr>
        <w:spacing w:line="246" w:lineRule="auto"/>
        <w:rPr>
          <w:rFonts w:ascii="Arial"/>
          <w:color w:val="auto"/>
          <w:sz w:val="21"/>
          <w:highlight w:val="none"/>
        </w:rPr>
      </w:pPr>
    </w:p>
    <w:p w14:paraId="42B19D1C">
      <w:pPr>
        <w:spacing w:line="247" w:lineRule="auto"/>
        <w:rPr>
          <w:rFonts w:ascii="Arial"/>
          <w:color w:val="auto"/>
          <w:sz w:val="21"/>
          <w:highlight w:val="none"/>
        </w:rPr>
      </w:pPr>
    </w:p>
    <w:p w14:paraId="2086673B">
      <w:pPr>
        <w:tabs>
          <w:tab w:val="left" w:pos="1471"/>
        </w:tabs>
        <w:spacing w:before="68" w:line="223"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3"/>
          <w:sz w:val="21"/>
          <w:szCs w:val="21"/>
          <w:highlight w:val="none"/>
        </w:rPr>
        <w:t>（受益人名称</w:t>
      </w:r>
      <w:r>
        <w:rPr>
          <w:rFonts w:ascii="宋体" w:hAnsi="宋体" w:eastAsia="宋体" w:cs="宋体"/>
          <w:color w:val="auto"/>
          <w:spacing w:val="-20"/>
          <w:sz w:val="21"/>
          <w:szCs w:val="21"/>
          <w:highlight w:val="none"/>
        </w:rPr>
        <w:t>）：</w:t>
      </w:r>
    </w:p>
    <w:p w14:paraId="7E580299">
      <w:pPr>
        <w:spacing w:before="153" w:line="354" w:lineRule="auto"/>
        <w:ind w:left="8" w:firstLine="422"/>
        <w:jc w:val="both"/>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鉴于</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8"/>
          <w:sz w:val="21"/>
          <w:szCs w:val="21"/>
          <w:highlight w:val="none"/>
        </w:rPr>
        <w:t>（以下简称“受益人</w:t>
      </w:r>
      <w:r>
        <w:rPr>
          <w:rFonts w:ascii="宋体" w:hAnsi="宋体" w:eastAsia="宋体" w:cs="宋体"/>
          <w:color w:val="auto"/>
          <w:spacing w:val="-59"/>
          <w:sz w:val="21"/>
          <w:szCs w:val="21"/>
          <w:highlight w:val="none"/>
        </w:rPr>
        <w:t xml:space="preserve"> </w:t>
      </w:r>
      <w:r>
        <w:rPr>
          <w:rFonts w:ascii="宋体" w:hAnsi="宋体" w:eastAsia="宋体" w:cs="宋体"/>
          <w:color w:val="auto"/>
          <w:spacing w:val="-8"/>
          <w:sz w:val="21"/>
          <w:szCs w:val="21"/>
          <w:highlight w:val="none"/>
        </w:rPr>
        <w:t>”）与</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8"/>
          <w:sz w:val="21"/>
          <w:szCs w:val="21"/>
          <w:highlight w:val="none"/>
        </w:rPr>
        <w:t>（以下简称“</w:t>
      </w:r>
      <w:r>
        <w:rPr>
          <w:rFonts w:ascii="宋体" w:hAnsi="宋体" w:eastAsia="宋体" w:cs="宋体"/>
          <w:color w:val="auto"/>
          <w:spacing w:val="-62"/>
          <w:sz w:val="21"/>
          <w:szCs w:val="21"/>
          <w:highlight w:val="none"/>
        </w:rPr>
        <w:t xml:space="preserve"> </w:t>
      </w:r>
      <w:r>
        <w:rPr>
          <w:rFonts w:ascii="宋体" w:hAnsi="宋体" w:eastAsia="宋体" w:cs="宋体"/>
          <w:color w:val="auto"/>
          <w:spacing w:val="-8"/>
          <w:sz w:val="21"/>
          <w:szCs w:val="21"/>
          <w:highlight w:val="none"/>
        </w:rPr>
        <w:t>申请人”）于</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8"/>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51"/>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8"/>
          <w:sz w:val="21"/>
          <w:szCs w:val="21"/>
          <w:highlight w:val="none"/>
        </w:rPr>
        <w:t>日</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就</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（标段编号）的</w:t>
      </w:r>
      <w:r>
        <w:rPr>
          <w:rFonts w:ascii="宋体" w:hAnsi="宋体" w:eastAsia="宋体" w:cs="宋体"/>
          <w:color w:val="auto"/>
          <w:spacing w:val="-104"/>
          <w:sz w:val="21"/>
          <w:szCs w:val="21"/>
          <w:highlight w:val="none"/>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（标段名称）有关事项协商一致共同签订</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（以下</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简称“基础合同”</w:t>
      </w:r>
      <w:r>
        <w:rPr>
          <w:rFonts w:ascii="宋体" w:hAnsi="宋体" w:eastAsia="宋体" w:cs="宋体"/>
          <w:color w:val="auto"/>
          <w:spacing w:val="-37"/>
          <w:w w:val="67"/>
          <w:sz w:val="21"/>
          <w:szCs w:val="21"/>
          <w:highlight w:val="none"/>
        </w:rPr>
        <w:t>），</w:t>
      </w:r>
      <w:r>
        <w:rPr>
          <w:rFonts w:ascii="宋体" w:hAnsi="宋体" w:eastAsia="宋体" w:cs="宋体"/>
          <w:color w:val="auto"/>
          <w:spacing w:val="1"/>
          <w:sz w:val="21"/>
          <w:szCs w:val="21"/>
          <w:highlight w:val="none"/>
        </w:rPr>
        <w:t>开立人根据主合同了解到申请人</w:t>
      </w:r>
      <w:r>
        <w:rPr>
          <w:rFonts w:ascii="宋体" w:hAnsi="宋体" w:eastAsia="宋体" w:cs="宋体"/>
          <w:color w:val="auto"/>
          <w:sz w:val="21"/>
          <w:szCs w:val="21"/>
          <w:highlight w:val="none"/>
        </w:rPr>
        <w:t>为主合同项下之承包人，受益人为主合同项下</w:t>
      </w:r>
      <w:r>
        <w:rPr>
          <w:rFonts w:ascii="宋体" w:hAnsi="宋体" w:eastAsia="宋体" w:cs="宋体"/>
          <w:color w:val="auto"/>
          <w:spacing w:val="1"/>
          <w:sz w:val="21"/>
          <w:szCs w:val="21"/>
          <w:highlight w:val="none"/>
        </w:rPr>
        <w:t>之发包人，基于申请人的请求，开立人同意就申请人按照合同约定正确和合理地</w:t>
      </w:r>
      <w:r>
        <w:rPr>
          <w:rFonts w:ascii="宋体" w:hAnsi="宋体" w:eastAsia="宋体" w:cs="宋体"/>
          <w:color w:val="auto"/>
          <w:sz w:val="21"/>
          <w:szCs w:val="21"/>
          <w:highlight w:val="none"/>
        </w:rPr>
        <w:t>为合同目的使用预</w:t>
      </w:r>
      <w:r>
        <w:rPr>
          <w:rFonts w:ascii="宋体" w:hAnsi="宋体" w:eastAsia="宋体" w:cs="宋体"/>
          <w:color w:val="auto"/>
          <w:spacing w:val="-5"/>
          <w:sz w:val="21"/>
          <w:szCs w:val="21"/>
          <w:highlight w:val="none"/>
        </w:rPr>
        <w:t>付款，向受益人提供不可撤销、不可转让的见索即付独立保函（以下简称“本保函”）。</w:t>
      </w:r>
    </w:p>
    <w:p w14:paraId="1BE18EFB">
      <w:pPr>
        <w:spacing w:before="30" w:line="291" w:lineRule="auto"/>
        <w:ind w:left="9" w:right="12"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一、本保函担保范围：申请人未按照合同约定</w:t>
      </w:r>
      <w:r>
        <w:rPr>
          <w:rFonts w:ascii="宋体" w:hAnsi="宋体" w:eastAsia="宋体" w:cs="宋体"/>
          <w:color w:val="auto"/>
          <w:sz w:val="21"/>
          <w:szCs w:val="21"/>
          <w:highlight w:val="none"/>
        </w:rPr>
        <w:t>正确和合理地为合同目的使用预付款，应当向受 益人承担的违约责任和赔偿因此造成的损失、利息</w:t>
      </w:r>
      <w:r>
        <w:rPr>
          <w:rFonts w:ascii="宋体" w:hAnsi="宋体" w:eastAsia="宋体" w:cs="宋体"/>
          <w:color w:val="auto"/>
          <w:spacing w:val="-1"/>
          <w:sz w:val="21"/>
          <w:szCs w:val="21"/>
          <w:highlight w:val="none"/>
        </w:rPr>
        <w:t>、律师费、诉讼费用等实现债权的费用。</w:t>
      </w:r>
    </w:p>
    <w:p w14:paraId="18D24F1D">
      <w:pPr>
        <w:spacing w:before="157" w:line="220" w:lineRule="auto"/>
        <w:ind w:left="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二、本保函担保金额最高不超过人民币（大写）</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2"/>
          <w:sz w:val="21"/>
          <w:szCs w:val="21"/>
          <w:highlight w:val="none"/>
        </w:rPr>
        <w:t>元(¥</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72"/>
          <w:sz w:val="21"/>
          <w:szCs w:val="21"/>
          <w:highlight w:val="none"/>
        </w:rPr>
        <w:t xml:space="preserve"> </w:t>
      </w:r>
      <w:r>
        <w:rPr>
          <w:rFonts w:ascii="宋体" w:hAnsi="宋体" w:eastAsia="宋体" w:cs="宋体"/>
          <w:color w:val="auto"/>
          <w:spacing w:val="2"/>
          <w:sz w:val="21"/>
          <w:szCs w:val="21"/>
          <w:highlight w:val="none"/>
        </w:rPr>
        <w:t>)。</w:t>
      </w:r>
    </w:p>
    <w:p w14:paraId="2065B0A2">
      <w:pPr>
        <w:spacing w:before="158" w:line="220" w:lineRule="auto"/>
        <w:ind w:left="42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三、本保函有效期自开立之日起至发包人全额扣回预付款之日止。</w:t>
      </w:r>
    </w:p>
    <w:p w14:paraId="5BACCE35">
      <w:pPr>
        <w:spacing w:before="157" w:line="291" w:lineRule="auto"/>
        <w:ind w:left="12" w:firstLine="49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四、开立人承诺，在收到受益人发来的书面付款通知后的七日内无条件支付，前述书面</w:t>
      </w:r>
      <w:r>
        <w:rPr>
          <w:rFonts w:ascii="宋体" w:hAnsi="宋体" w:eastAsia="宋体" w:cs="宋体"/>
          <w:color w:val="auto"/>
          <w:spacing w:val="-2"/>
          <w:sz w:val="21"/>
          <w:szCs w:val="21"/>
          <w:highlight w:val="none"/>
        </w:rPr>
        <w:t>付款通</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知即为付款要求之单据，且应满足以下要求：</w:t>
      </w:r>
    </w:p>
    <w:p w14:paraId="40BE4617">
      <w:pPr>
        <w:spacing w:before="157" w:line="220"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（1）付款通知到达的日期在本保函的有效期内；</w:t>
      </w:r>
    </w:p>
    <w:p w14:paraId="4D1842D1">
      <w:pPr>
        <w:spacing w:before="158" w:line="221"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（2）载明要求支付的金额；</w:t>
      </w:r>
    </w:p>
    <w:p w14:paraId="1EDBD62F">
      <w:pPr>
        <w:spacing w:before="156" w:line="221" w:lineRule="auto"/>
        <w:ind w:left="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（3）载明申请人违反合同义务的条款和内容；</w:t>
      </w:r>
    </w:p>
    <w:p w14:paraId="011C6A21">
      <w:pPr>
        <w:spacing w:before="157" w:line="221" w:lineRule="auto"/>
        <w:ind w:left="434"/>
        <w:rPr>
          <w:rFonts w:ascii="宋体" w:hAnsi="宋体" w:eastAsia="宋体" w:cs="宋体"/>
          <w:color w:val="auto"/>
          <w:sz w:val="21"/>
          <w:szCs w:val="21"/>
          <w:highlight w:val="none"/>
        </w:rPr>
      </w:pPr>
      <w:r>
        <w:rPr>
          <w:rFonts w:ascii="宋体" w:hAnsi="宋体" w:eastAsia="宋体" w:cs="宋体"/>
          <w:color w:val="auto"/>
          <w:sz w:val="21"/>
          <w:szCs w:val="21"/>
          <w:highlight w:val="none"/>
        </w:rPr>
        <w:t>（4）声明不存在合同文件约定或我国法律规定免除申请人或开立</w:t>
      </w:r>
      <w:r>
        <w:rPr>
          <w:rFonts w:ascii="宋体" w:hAnsi="宋体" w:eastAsia="宋体" w:cs="宋体"/>
          <w:color w:val="auto"/>
          <w:spacing w:val="-1"/>
          <w:sz w:val="21"/>
          <w:szCs w:val="21"/>
          <w:highlight w:val="none"/>
        </w:rPr>
        <w:t>人支付责任的情形；</w:t>
      </w:r>
    </w:p>
    <w:p w14:paraId="60EB4B94">
      <w:pPr>
        <w:spacing w:before="159" w:line="220" w:lineRule="auto"/>
        <w:ind w:left="434"/>
        <w:rPr>
          <w:rFonts w:ascii="宋体" w:hAnsi="宋体" w:eastAsia="宋体" w:cs="宋体"/>
          <w:color w:val="auto"/>
          <w:sz w:val="21"/>
          <w:szCs w:val="21"/>
          <w:highlight w:val="none"/>
        </w:rPr>
      </w:pPr>
      <w:r>
        <w:rPr>
          <w:rFonts w:ascii="宋体" w:hAnsi="宋体" w:eastAsia="宋体" w:cs="宋体"/>
          <w:color w:val="auto"/>
          <w:sz w:val="21"/>
          <w:szCs w:val="21"/>
          <w:highlight w:val="none"/>
        </w:rPr>
        <w:t>（5）付款通知应在本保函有效期内到达的地址是：</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59984C47">
      <w:pPr>
        <w:spacing w:before="158" w:line="220" w:lineRule="auto"/>
        <w:ind w:left="434"/>
        <w:rPr>
          <w:rFonts w:ascii="宋体" w:hAnsi="宋体" w:eastAsia="宋体" w:cs="宋体"/>
          <w:color w:val="auto"/>
          <w:spacing w:val="-1"/>
          <w:sz w:val="21"/>
          <w:szCs w:val="21"/>
          <w:highlight w:val="none"/>
        </w:rPr>
      </w:pPr>
      <w:r>
        <w:rPr>
          <w:rFonts w:ascii="宋体" w:hAnsi="宋体" w:eastAsia="宋体" w:cs="宋体"/>
          <w:color w:val="auto"/>
          <w:sz w:val="21"/>
          <w:szCs w:val="21"/>
          <w:highlight w:val="none"/>
        </w:rPr>
        <w:t>受益人发出的书面付款通知应由其法定代表人（负责人）或授权代理人</w:t>
      </w:r>
      <w:r>
        <w:rPr>
          <w:rFonts w:ascii="宋体" w:hAnsi="宋体" w:eastAsia="宋体" w:cs="宋体"/>
          <w:color w:val="auto"/>
          <w:spacing w:val="-1"/>
          <w:sz w:val="21"/>
          <w:szCs w:val="21"/>
          <w:highlight w:val="none"/>
        </w:rPr>
        <w:t>签字并加盖公</w:t>
      </w:r>
    </w:p>
    <w:p w14:paraId="718A02F1">
      <w:pPr>
        <w:spacing w:before="158" w:line="220"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章。</w:t>
      </w:r>
    </w:p>
    <w:p w14:paraId="6BB03BD7">
      <w:pPr>
        <w:spacing w:before="158" w:line="345" w:lineRule="auto"/>
        <w:ind w:left="11"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五、本保函项下的权利不得转让，不得设定担保。受益人未经开立人</w:t>
      </w:r>
      <w:r>
        <w:rPr>
          <w:rFonts w:ascii="宋体" w:hAnsi="宋体" w:eastAsia="宋体" w:cs="宋体"/>
          <w:color w:val="auto"/>
          <w:sz w:val="21"/>
          <w:szCs w:val="21"/>
          <w:highlight w:val="none"/>
        </w:rPr>
        <w:t>书面同意转让本保函或其</w:t>
      </w:r>
      <w:r>
        <w:rPr>
          <w:rFonts w:ascii="宋体" w:hAnsi="宋体" w:eastAsia="宋体" w:cs="宋体"/>
          <w:color w:val="auto"/>
          <w:spacing w:val="-1"/>
          <w:sz w:val="21"/>
          <w:szCs w:val="21"/>
          <w:highlight w:val="none"/>
        </w:rPr>
        <w:t>项下任何权利，对开立人不发生法律效力。</w:t>
      </w:r>
    </w:p>
    <w:p w14:paraId="0D5ED433">
      <w:pPr>
        <w:spacing w:before="31" w:line="291" w:lineRule="auto"/>
        <w:ind w:left="13" w:right="3"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六、本保函项下的基础交易不成立、不生效、无效、被撤销、被解除，</w:t>
      </w:r>
      <w:r>
        <w:rPr>
          <w:rFonts w:ascii="宋体" w:hAnsi="宋体" w:eastAsia="宋体" w:cs="宋体"/>
          <w:color w:val="auto"/>
          <w:sz w:val="21"/>
          <w:szCs w:val="21"/>
          <w:highlight w:val="none"/>
        </w:rPr>
        <w:t>不影响本保函的独立有</w:t>
      </w:r>
      <w:r>
        <w:rPr>
          <w:rFonts w:ascii="宋体" w:hAnsi="宋体" w:eastAsia="宋体" w:cs="宋体"/>
          <w:color w:val="auto"/>
          <w:spacing w:val="-11"/>
          <w:sz w:val="21"/>
          <w:szCs w:val="21"/>
          <w:highlight w:val="none"/>
        </w:rPr>
        <w:t>效。</w:t>
      </w:r>
    </w:p>
    <w:p w14:paraId="623EE346">
      <w:pPr>
        <w:spacing w:before="157" w:line="220"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七、本保函项下的义务和责任均在保函有效期到期后自动消</w:t>
      </w:r>
      <w:r>
        <w:rPr>
          <w:rFonts w:ascii="宋体" w:hAnsi="宋体" w:eastAsia="宋体" w:cs="宋体"/>
          <w:color w:val="auto"/>
          <w:spacing w:val="-1"/>
          <w:sz w:val="21"/>
          <w:szCs w:val="21"/>
          <w:highlight w:val="none"/>
        </w:rPr>
        <w:t>灭。</w:t>
      </w:r>
    </w:p>
    <w:p w14:paraId="4B75EED4">
      <w:pPr>
        <w:spacing w:before="158" w:line="289" w:lineRule="auto"/>
        <w:ind w:left="28" w:right="3" w:firstLine="402"/>
        <w:rPr>
          <w:rFonts w:ascii="宋体" w:hAnsi="宋体" w:eastAsia="宋体" w:cs="宋体"/>
          <w:color w:val="auto"/>
          <w:sz w:val="21"/>
          <w:szCs w:val="21"/>
          <w:highlight w:val="none"/>
        </w:rPr>
      </w:pPr>
      <w:r>
        <w:rPr>
          <w:rFonts w:ascii="宋体" w:hAnsi="宋体" w:eastAsia="宋体" w:cs="宋体"/>
          <w:color w:val="auto"/>
          <w:sz w:val="21"/>
          <w:szCs w:val="21"/>
          <w:highlight w:val="none"/>
        </w:rPr>
        <w:t>八、本保函适用的法律为中华人民共和国法律，因本保函产生的</w:t>
      </w:r>
      <w:r>
        <w:rPr>
          <w:rFonts w:ascii="宋体" w:hAnsi="宋体" w:eastAsia="宋体" w:cs="宋体"/>
          <w:color w:val="auto"/>
          <w:spacing w:val="-1"/>
          <w:sz w:val="21"/>
          <w:szCs w:val="21"/>
          <w:highlight w:val="none"/>
        </w:rPr>
        <w:t>纠纷案件，</w:t>
      </w:r>
      <w:r>
        <w:rPr>
          <w:rFonts w:ascii="宋体" w:hAnsi="宋体" w:eastAsia="宋体" w:cs="宋体"/>
          <w:color w:val="auto"/>
          <w:spacing w:val="-63"/>
          <w:sz w:val="21"/>
          <w:szCs w:val="21"/>
          <w:highlight w:val="none"/>
        </w:rPr>
        <w:t xml:space="preserve"> </w:t>
      </w:r>
      <w:r>
        <w:rPr>
          <w:rFonts w:ascii="宋体" w:hAnsi="宋体" w:eastAsia="宋体" w:cs="宋体"/>
          <w:color w:val="auto"/>
          <w:spacing w:val="-1"/>
          <w:sz w:val="21"/>
          <w:szCs w:val="21"/>
          <w:highlight w:val="none"/>
        </w:rPr>
        <w:t>由受益人所在地人</w:t>
      </w:r>
      <w:r>
        <w:rPr>
          <w:rFonts w:ascii="宋体" w:hAnsi="宋体" w:eastAsia="宋体" w:cs="宋体"/>
          <w:color w:val="auto"/>
          <w:spacing w:val="-5"/>
          <w:sz w:val="21"/>
          <w:szCs w:val="21"/>
          <w:highlight w:val="none"/>
        </w:rPr>
        <w:t>民法院管辖。</w:t>
      </w:r>
    </w:p>
    <w:p w14:paraId="759AC651">
      <w:pPr>
        <w:spacing w:before="160" w:line="220" w:lineRule="auto"/>
        <w:ind w:left="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九、本保函自我方法定代表人或授权代表签字并加盖公章之日起生效。</w:t>
      </w:r>
    </w:p>
    <w:p w14:paraId="264E3FFF">
      <w:pPr>
        <w:spacing w:line="354" w:lineRule="auto"/>
        <w:rPr>
          <w:rFonts w:hint="eastAsia" w:ascii="Arial" w:eastAsia="宋体"/>
          <w:color w:val="auto"/>
          <w:sz w:val="21"/>
          <w:highlight w:val="none"/>
          <w:lang w:eastAsia="zh-CN"/>
        </w:rPr>
      </w:pPr>
    </w:p>
    <w:p w14:paraId="568F5790">
      <w:pPr>
        <w:spacing w:before="68" w:line="220" w:lineRule="auto"/>
        <w:ind w:left="6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开 立 人</w:t>
      </w:r>
      <w:r>
        <w:rPr>
          <w:rFonts w:ascii="宋体" w:hAnsi="宋体" w:eastAsia="宋体" w:cs="宋体"/>
          <w:color w:val="auto"/>
          <w:spacing w:val="-28"/>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8"/>
          <w:sz w:val="21"/>
          <w:szCs w:val="21"/>
          <w:highlight w:val="none"/>
        </w:rPr>
        <w:t>（</w:t>
      </w:r>
      <w:r>
        <w:rPr>
          <w:rFonts w:ascii="宋体" w:hAnsi="宋体" w:eastAsia="宋体" w:cs="宋体"/>
          <w:color w:val="auto"/>
          <w:spacing w:val="5"/>
          <w:sz w:val="21"/>
          <w:szCs w:val="21"/>
          <w:highlight w:val="none"/>
        </w:rPr>
        <w:t>公章）</w:t>
      </w:r>
    </w:p>
    <w:p w14:paraId="37853C15">
      <w:pPr>
        <w:spacing w:before="157" w:line="221" w:lineRule="auto"/>
        <w:ind w:left="6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法定代表人（或授权代表</w:t>
      </w:r>
      <w:r>
        <w:rPr>
          <w:rFonts w:ascii="宋体" w:hAnsi="宋体" w:eastAsia="宋体" w:cs="宋体"/>
          <w:color w:val="auto"/>
          <w:spacing w:val="-33"/>
          <w:sz w:val="21"/>
          <w:szCs w:val="21"/>
          <w:highlight w:val="none"/>
        </w:rPr>
        <w:t>）：</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33"/>
          <w:sz w:val="21"/>
          <w:szCs w:val="21"/>
          <w:highlight w:val="none"/>
        </w:rPr>
        <w:t>（</w:t>
      </w:r>
      <w:r>
        <w:rPr>
          <w:rFonts w:ascii="宋体" w:hAnsi="宋体" w:eastAsia="宋体" w:cs="宋体"/>
          <w:color w:val="auto"/>
          <w:spacing w:val="-1"/>
          <w:sz w:val="21"/>
          <w:szCs w:val="21"/>
          <w:highlight w:val="none"/>
        </w:rPr>
        <w:t>签字）</w:t>
      </w:r>
    </w:p>
    <w:p w14:paraId="7B98BD8B">
      <w:pPr>
        <w:spacing w:before="157" w:line="347" w:lineRule="auto"/>
        <w:ind w:left="76" w:right="3137" w:hanging="1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地</w:t>
      </w:r>
      <w:r>
        <w:rPr>
          <w:rFonts w:ascii="宋体" w:hAnsi="宋体" w:eastAsia="宋体" w:cs="宋体"/>
          <w:color w:val="auto"/>
          <w:spacing w:val="3"/>
          <w:sz w:val="21"/>
          <w:szCs w:val="21"/>
          <w:highlight w:val="none"/>
        </w:rPr>
        <w:t xml:space="preserve">    </w:t>
      </w:r>
      <w:r>
        <w:rPr>
          <w:rFonts w:ascii="宋体" w:hAnsi="宋体" w:eastAsia="宋体" w:cs="宋体"/>
          <w:color w:val="auto"/>
          <w:spacing w:val="-3"/>
          <w:sz w:val="21"/>
          <w:szCs w:val="21"/>
          <w:highlight w:val="none"/>
        </w:rPr>
        <w:t>址：</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1"/>
          <w:sz w:val="21"/>
          <w:szCs w:val="21"/>
          <w:highlight w:val="none"/>
        </w:rPr>
        <w:t xml:space="preserve"> </w:t>
      </w:r>
      <w:r>
        <w:rPr>
          <w:rFonts w:ascii="宋体" w:hAnsi="宋体" w:eastAsia="宋体" w:cs="宋体"/>
          <w:color w:val="auto"/>
          <w:spacing w:val="-5"/>
          <w:sz w:val="21"/>
          <w:szCs w:val="21"/>
          <w:highlight w:val="none"/>
        </w:rPr>
        <w:t>邮政编码：</w:t>
      </w:r>
      <w:r>
        <w:rPr>
          <w:rFonts w:ascii="宋体" w:hAnsi="宋体" w:eastAsia="宋体" w:cs="宋体"/>
          <w:color w:val="auto"/>
          <w:sz w:val="21"/>
          <w:szCs w:val="21"/>
          <w:highlight w:val="none"/>
          <w:u w:val="single" w:color="auto"/>
        </w:rPr>
        <w:t xml:space="preserve">                 </w:t>
      </w:r>
    </w:p>
    <w:p w14:paraId="07BEBF08">
      <w:pPr>
        <w:spacing w:before="28" w:line="345" w:lineRule="auto"/>
        <w:ind w:left="59" w:right="5446" w:firstLine="2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电</w:t>
      </w:r>
      <w:r>
        <w:rPr>
          <w:rFonts w:ascii="宋体" w:hAnsi="宋体" w:eastAsia="宋体" w:cs="宋体"/>
          <w:color w:val="auto"/>
          <w:spacing w:val="2"/>
          <w:sz w:val="21"/>
          <w:szCs w:val="21"/>
          <w:highlight w:val="none"/>
        </w:rPr>
        <w:t xml:space="preserve">    </w:t>
      </w:r>
      <w:r>
        <w:rPr>
          <w:rFonts w:ascii="宋体" w:hAnsi="宋体" w:eastAsia="宋体" w:cs="宋体"/>
          <w:color w:val="auto"/>
          <w:spacing w:val="-7"/>
          <w:sz w:val="21"/>
          <w:szCs w:val="21"/>
          <w:highlight w:val="none"/>
        </w:rPr>
        <w:t>话：</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传</w:t>
      </w:r>
      <w:r>
        <w:rPr>
          <w:rFonts w:ascii="宋体" w:hAnsi="宋体" w:eastAsia="宋体" w:cs="宋体"/>
          <w:color w:val="auto"/>
          <w:spacing w:val="2"/>
          <w:sz w:val="21"/>
          <w:szCs w:val="21"/>
          <w:highlight w:val="none"/>
        </w:rPr>
        <w:t xml:space="preserve">    </w:t>
      </w:r>
      <w:r>
        <w:rPr>
          <w:rFonts w:ascii="宋体" w:hAnsi="宋体" w:eastAsia="宋体" w:cs="宋体"/>
          <w:color w:val="auto"/>
          <w:spacing w:val="-6"/>
          <w:sz w:val="21"/>
          <w:szCs w:val="21"/>
          <w:highlight w:val="none"/>
        </w:rPr>
        <w:t>真：</w:t>
      </w:r>
      <w:r>
        <w:rPr>
          <w:rFonts w:ascii="宋体" w:hAnsi="宋体" w:eastAsia="宋体" w:cs="宋体"/>
          <w:color w:val="auto"/>
          <w:sz w:val="21"/>
          <w:szCs w:val="21"/>
          <w:highlight w:val="none"/>
          <w:u w:val="single" w:color="auto"/>
        </w:rPr>
        <w:t xml:space="preserve">                 </w:t>
      </w:r>
    </w:p>
    <w:p w14:paraId="33735286">
      <w:pPr>
        <w:spacing w:before="31" w:line="221" w:lineRule="auto"/>
        <w:ind w:left="6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开立时间：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79"/>
          <w:sz w:val="21"/>
          <w:szCs w:val="21"/>
          <w:highlight w:val="none"/>
        </w:rPr>
        <w:t xml:space="preserve"> </w:t>
      </w:r>
      <w:r>
        <w:rPr>
          <w:rFonts w:ascii="宋体" w:hAnsi="宋体" w:eastAsia="宋体" w:cs="宋体"/>
          <w:color w:val="auto"/>
          <w:spacing w:val="-2"/>
          <w:sz w:val="21"/>
          <w:szCs w:val="21"/>
          <w:highlight w:val="none"/>
        </w:rPr>
        <w:t>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2"/>
          <w:sz w:val="21"/>
          <w:szCs w:val="21"/>
          <w:highlight w:val="none"/>
        </w:rPr>
        <w:t>日</w:t>
      </w:r>
    </w:p>
    <w:p w14:paraId="63F90CC6">
      <w:pPr>
        <w:spacing w:before="286" w:line="219" w:lineRule="auto"/>
        <w:ind w:left="32"/>
        <w:rPr>
          <w:rFonts w:ascii="宋体" w:hAnsi="宋体" w:eastAsia="宋体" w:cs="宋体"/>
          <w:b/>
          <w:bCs/>
          <w:color w:val="auto"/>
          <w:spacing w:val="-8"/>
          <w:sz w:val="28"/>
          <w:szCs w:val="28"/>
          <w:highlight w:val="none"/>
        </w:rPr>
      </w:pPr>
    </w:p>
    <w:p w14:paraId="4E545088">
      <w:pPr>
        <w:spacing w:before="286" w:line="219" w:lineRule="auto"/>
        <w:ind w:left="32"/>
        <w:rPr>
          <w:rFonts w:ascii="宋体" w:hAnsi="宋体" w:eastAsia="宋体" w:cs="宋体"/>
          <w:b/>
          <w:bCs/>
          <w:color w:val="auto"/>
          <w:spacing w:val="-8"/>
          <w:sz w:val="28"/>
          <w:szCs w:val="28"/>
          <w:highlight w:val="none"/>
        </w:rPr>
      </w:pPr>
    </w:p>
    <w:p w14:paraId="0665A0F3">
      <w:pPr>
        <w:spacing w:before="286" w:line="219" w:lineRule="auto"/>
        <w:ind w:left="32"/>
        <w:rPr>
          <w:rFonts w:ascii="宋体" w:hAnsi="宋体" w:eastAsia="宋体" w:cs="宋体"/>
          <w:b/>
          <w:bCs/>
          <w:color w:val="auto"/>
          <w:spacing w:val="-8"/>
          <w:sz w:val="28"/>
          <w:szCs w:val="28"/>
          <w:highlight w:val="none"/>
        </w:rPr>
      </w:pPr>
    </w:p>
    <w:p w14:paraId="7E421ABE">
      <w:pPr>
        <w:spacing w:before="286" w:line="219" w:lineRule="auto"/>
        <w:ind w:left="32"/>
        <w:rPr>
          <w:rFonts w:ascii="宋体" w:hAnsi="宋体" w:eastAsia="宋体" w:cs="宋体"/>
          <w:b/>
          <w:bCs/>
          <w:color w:val="auto"/>
          <w:spacing w:val="-8"/>
          <w:sz w:val="28"/>
          <w:szCs w:val="28"/>
          <w:highlight w:val="none"/>
        </w:rPr>
      </w:pPr>
    </w:p>
    <w:p w14:paraId="5881DFCD">
      <w:pPr>
        <w:spacing w:before="286" w:line="219" w:lineRule="auto"/>
        <w:ind w:left="32"/>
        <w:rPr>
          <w:rFonts w:ascii="宋体" w:hAnsi="宋体" w:eastAsia="宋体" w:cs="宋体"/>
          <w:b/>
          <w:bCs/>
          <w:color w:val="auto"/>
          <w:spacing w:val="-8"/>
          <w:sz w:val="28"/>
          <w:szCs w:val="28"/>
          <w:highlight w:val="none"/>
        </w:rPr>
      </w:pPr>
    </w:p>
    <w:p w14:paraId="51FC3D03">
      <w:pPr>
        <w:spacing w:before="286" w:line="219" w:lineRule="auto"/>
        <w:ind w:left="32"/>
        <w:rPr>
          <w:rFonts w:ascii="宋体" w:hAnsi="宋体" w:eastAsia="宋体" w:cs="宋体"/>
          <w:b/>
          <w:bCs/>
          <w:color w:val="auto"/>
          <w:spacing w:val="-8"/>
          <w:sz w:val="28"/>
          <w:szCs w:val="28"/>
          <w:highlight w:val="none"/>
        </w:rPr>
      </w:pPr>
    </w:p>
    <w:p w14:paraId="13ED9C38">
      <w:pPr>
        <w:spacing w:before="286" w:line="219" w:lineRule="auto"/>
        <w:ind w:left="32"/>
        <w:rPr>
          <w:rFonts w:ascii="宋体" w:hAnsi="宋体" w:eastAsia="宋体" w:cs="宋体"/>
          <w:b/>
          <w:bCs/>
          <w:color w:val="auto"/>
          <w:spacing w:val="-8"/>
          <w:sz w:val="28"/>
          <w:szCs w:val="28"/>
          <w:highlight w:val="none"/>
        </w:rPr>
      </w:pPr>
    </w:p>
    <w:p w14:paraId="2F8279C0">
      <w:pPr>
        <w:spacing w:before="286" w:line="219" w:lineRule="auto"/>
        <w:ind w:left="32"/>
        <w:rPr>
          <w:rFonts w:ascii="宋体" w:hAnsi="宋体" w:eastAsia="宋体" w:cs="宋体"/>
          <w:b/>
          <w:bCs/>
          <w:color w:val="auto"/>
          <w:spacing w:val="-8"/>
          <w:sz w:val="28"/>
          <w:szCs w:val="28"/>
          <w:highlight w:val="none"/>
        </w:rPr>
      </w:pPr>
    </w:p>
    <w:p w14:paraId="74CAACF1">
      <w:pPr>
        <w:spacing w:before="286" w:line="219" w:lineRule="auto"/>
        <w:ind w:left="32"/>
        <w:rPr>
          <w:rFonts w:ascii="宋体" w:hAnsi="宋体" w:eastAsia="宋体" w:cs="宋体"/>
          <w:b/>
          <w:bCs/>
          <w:color w:val="auto"/>
          <w:spacing w:val="-8"/>
          <w:sz w:val="28"/>
          <w:szCs w:val="28"/>
          <w:highlight w:val="none"/>
        </w:rPr>
      </w:pPr>
    </w:p>
    <w:p w14:paraId="04AA2D51">
      <w:pPr>
        <w:spacing w:before="286" w:line="219" w:lineRule="auto"/>
        <w:ind w:left="32"/>
        <w:rPr>
          <w:rFonts w:ascii="宋体" w:hAnsi="宋体" w:eastAsia="宋体" w:cs="宋体"/>
          <w:b/>
          <w:bCs/>
          <w:color w:val="auto"/>
          <w:spacing w:val="-8"/>
          <w:sz w:val="28"/>
          <w:szCs w:val="28"/>
          <w:highlight w:val="none"/>
        </w:rPr>
      </w:pPr>
    </w:p>
    <w:p w14:paraId="79140A54">
      <w:pPr>
        <w:spacing w:before="286" w:line="219" w:lineRule="auto"/>
        <w:ind w:left="32"/>
        <w:rPr>
          <w:rFonts w:ascii="宋体" w:hAnsi="宋体" w:eastAsia="宋体" w:cs="宋体"/>
          <w:b/>
          <w:bCs/>
          <w:color w:val="auto"/>
          <w:spacing w:val="-8"/>
          <w:sz w:val="28"/>
          <w:szCs w:val="28"/>
          <w:highlight w:val="none"/>
        </w:rPr>
      </w:pPr>
    </w:p>
    <w:p w14:paraId="5B71E191">
      <w:pPr>
        <w:spacing w:before="286" w:line="219" w:lineRule="auto"/>
        <w:ind w:left="32"/>
        <w:rPr>
          <w:rFonts w:ascii="宋体" w:hAnsi="宋体" w:eastAsia="宋体" w:cs="宋体"/>
          <w:b/>
          <w:bCs/>
          <w:color w:val="auto"/>
          <w:spacing w:val="-8"/>
          <w:sz w:val="28"/>
          <w:szCs w:val="28"/>
          <w:highlight w:val="none"/>
        </w:rPr>
      </w:pPr>
    </w:p>
    <w:p w14:paraId="6FC4238F">
      <w:pPr>
        <w:spacing w:before="286" w:line="219" w:lineRule="auto"/>
        <w:ind w:left="32"/>
        <w:rPr>
          <w:rFonts w:ascii="宋体" w:hAnsi="宋体" w:eastAsia="宋体" w:cs="宋体"/>
          <w:b/>
          <w:bCs/>
          <w:color w:val="auto"/>
          <w:spacing w:val="-8"/>
          <w:sz w:val="28"/>
          <w:szCs w:val="28"/>
          <w:highlight w:val="none"/>
        </w:rPr>
      </w:pPr>
    </w:p>
    <w:p w14:paraId="74583917">
      <w:pPr>
        <w:spacing w:before="286" w:line="219" w:lineRule="auto"/>
        <w:ind w:left="32"/>
        <w:rPr>
          <w:rFonts w:ascii="宋体" w:hAnsi="宋体" w:eastAsia="宋体" w:cs="宋体"/>
          <w:b/>
          <w:bCs/>
          <w:color w:val="auto"/>
          <w:spacing w:val="-8"/>
          <w:sz w:val="28"/>
          <w:szCs w:val="28"/>
          <w:highlight w:val="none"/>
        </w:rPr>
      </w:pPr>
    </w:p>
    <w:p w14:paraId="13B3E036">
      <w:pPr>
        <w:spacing w:before="286" w:line="219" w:lineRule="auto"/>
        <w:ind w:left="32"/>
        <w:rPr>
          <w:rFonts w:ascii="宋体" w:hAnsi="宋体" w:eastAsia="宋体" w:cs="宋体"/>
          <w:b/>
          <w:bCs/>
          <w:color w:val="auto"/>
          <w:spacing w:val="-8"/>
          <w:sz w:val="28"/>
          <w:szCs w:val="28"/>
          <w:highlight w:val="none"/>
        </w:rPr>
      </w:pPr>
    </w:p>
    <w:p w14:paraId="7AF66C14">
      <w:pPr>
        <w:spacing w:before="286" w:line="219" w:lineRule="auto"/>
        <w:ind w:left="32"/>
        <w:rPr>
          <w:rFonts w:ascii="宋体" w:hAnsi="宋体" w:eastAsia="宋体" w:cs="宋体"/>
          <w:b/>
          <w:bCs/>
          <w:color w:val="auto"/>
          <w:spacing w:val="-8"/>
          <w:sz w:val="28"/>
          <w:szCs w:val="28"/>
          <w:highlight w:val="none"/>
        </w:rPr>
      </w:pPr>
    </w:p>
    <w:p w14:paraId="5D9B6994">
      <w:pPr>
        <w:spacing w:before="286" w:line="219" w:lineRule="auto"/>
        <w:ind w:left="32"/>
        <w:rPr>
          <w:rFonts w:ascii="宋体" w:hAnsi="宋体" w:eastAsia="宋体" w:cs="宋体"/>
          <w:b/>
          <w:bCs/>
          <w:color w:val="auto"/>
          <w:spacing w:val="-8"/>
          <w:sz w:val="28"/>
          <w:szCs w:val="28"/>
          <w:highlight w:val="none"/>
        </w:rPr>
      </w:pPr>
    </w:p>
    <w:p w14:paraId="5BD3D054">
      <w:pPr>
        <w:spacing w:before="286" w:line="219" w:lineRule="auto"/>
        <w:ind w:left="32"/>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附件七：支付担保</w:t>
      </w:r>
    </w:p>
    <w:p w14:paraId="3486A7BD">
      <w:pPr>
        <w:spacing w:line="313" w:lineRule="auto"/>
        <w:rPr>
          <w:rFonts w:ascii="Arial"/>
          <w:color w:val="auto"/>
          <w:sz w:val="21"/>
          <w:highlight w:val="none"/>
        </w:rPr>
      </w:pPr>
    </w:p>
    <w:p w14:paraId="5D5E5E49">
      <w:pPr>
        <w:spacing w:line="314" w:lineRule="auto"/>
        <w:rPr>
          <w:rFonts w:ascii="Arial"/>
          <w:color w:val="auto"/>
          <w:sz w:val="21"/>
          <w:highlight w:val="none"/>
        </w:rPr>
      </w:pPr>
    </w:p>
    <w:p w14:paraId="57E7ED47">
      <w:pPr>
        <w:spacing w:line="314" w:lineRule="auto"/>
        <w:rPr>
          <w:rFonts w:ascii="Arial"/>
          <w:color w:val="auto"/>
          <w:sz w:val="21"/>
          <w:highlight w:val="none"/>
        </w:rPr>
      </w:pPr>
    </w:p>
    <w:p w14:paraId="67F40055">
      <w:pPr>
        <w:spacing w:before="91" w:line="219" w:lineRule="auto"/>
        <w:ind w:left="342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支付保函示范文本</w:t>
      </w:r>
    </w:p>
    <w:p w14:paraId="31FF9720">
      <w:pPr>
        <w:spacing w:before="204" w:line="221" w:lineRule="auto"/>
        <w:ind w:left="7294"/>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编号：</w:t>
      </w:r>
    </w:p>
    <w:p w14:paraId="59322CF3">
      <w:pPr>
        <w:spacing w:line="246" w:lineRule="auto"/>
        <w:rPr>
          <w:rFonts w:ascii="Arial"/>
          <w:color w:val="auto"/>
          <w:sz w:val="21"/>
          <w:highlight w:val="none"/>
        </w:rPr>
      </w:pPr>
    </w:p>
    <w:p w14:paraId="69263F93">
      <w:pPr>
        <w:spacing w:line="247" w:lineRule="auto"/>
        <w:rPr>
          <w:rFonts w:ascii="Arial"/>
          <w:color w:val="auto"/>
          <w:sz w:val="21"/>
          <w:highlight w:val="none"/>
        </w:rPr>
      </w:pPr>
    </w:p>
    <w:p w14:paraId="78E329CC">
      <w:pPr>
        <w:tabs>
          <w:tab w:val="left" w:pos="1471"/>
        </w:tabs>
        <w:spacing w:before="68" w:line="223"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3"/>
          <w:sz w:val="21"/>
          <w:szCs w:val="21"/>
          <w:highlight w:val="none"/>
        </w:rPr>
        <w:t>（受益人名称</w:t>
      </w:r>
      <w:r>
        <w:rPr>
          <w:rFonts w:ascii="宋体" w:hAnsi="宋体" w:eastAsia="宋体" w:cs="宋体"/>
          <w:color w:val="auto"/>
          <w:spacing w:val="-20"/>
          <w:sz w:val="21"/>
          <w:szCs w:val="21"/>
          <w:highlight w:val="none"/>
        </w:rPr>
        <w:t>）：</w:t>
      </w:r>
    </w:p>
    <w:p w14:paraId="467F8C74">
      <w:pPr>
        <w:spacing w:before="154" w:line="355" w:lineRule="auto"/>
        <w:ind w:left="9" w:firstLine="421"/>
        <w:jc w:val="both"/>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鉴于</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8"/>
          <w:sz w:val="21"/>
          <w:szCs w:val="21"/>
          <w:highlight w:val="none"/>
        </w:rPr>
        <w:t>（以下简称“受益人</w:t>
      </w:r>
      <w:r>
        <w:rPr>
          <w:rFonts w:ascii="宋体" w:hAnsi="宋体" w:eastAsia="宋体" w:cs="宋体"/>
          <w:color w:val="auto"/>
          <w:spacing w:val="-59"/>
          <w:sz w:val="21"/>
          <w:szCs w:val="21"/>
          <w:highlight w:val="none"/>
        </w:rPr>
        <w:t xml:space="preserve"> </w:t>
      </w:r>
      <w:r>
        <w:rPr>
          <w:rFonts w:ascii="宋体" w:hAnsi="宋体" w:eastAsia="宋体" w:cs="宋体"/>
          <w:color w:val="auto"/>
          <w:spacing w:val="-8"/>
          <w:sz w:val="21"/>
          <w:szCs w:val="21"/>
          <w:highlight w:val="none"/>
        </w:rPr>
        <w:t>”）与</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8"/>
          <w:sz w:val="21"/>
          <w:szCs w:val="21"/>
          <w:highlight w:val="none"/>
        </w:rPr>
        <w:t>（以下简称“</w:t>
      </w:r>
      <w:r>
        <w:rPr>
          <w:rFonts w:ascii="宋体" w:hAnsi="宋体" w:eastAsia="宋体" w:cs="宋体"/>
          <w:color w:val="auto"/>
          <w:spacing w:val="-62"/>
          <w:sz w:val="21"/>
          <w:szCs w:val="21"/>
          <w:highlight w:val="none"/>
        </w:rPr>
        <w:t xml:space="preserve"> </w:t>
      </w:r>
      <w:r>
        <w:rPr>
          <w:rFonts w:ascii="宋体" w:hAnsi="宋体" w:eastAsia="宋体" w:cs="宋体"/>
          <w:color w:val="auto"/>
          <w:spacing w:val="-8"/>
          <w:sz w:val="21"/>
          <w:szCs w:val="21"/>
          <w:highlight w:val="none"/>
        </w:rPr>
        <w:t>申请人”）于</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8"/>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51"/>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8"/>
          <w:sz w:val="21"/>
          <w:szCs w:val="21"/>
          <w:highlight w:val="none"/>
        </w:rPr>
        <w:t>日</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就</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（标段编号）的</w:t>
      </w:r>
      <w:r>
        <w:rPr>
          <w:rFonts w:ascii="宋体" w:hAnsi="宋体" w:eastAsia="宋体" w:cs="宋体"/>
          <w:color w:val="auto"/>
          <w:spacing w:val="-104"/>
          <w:sz w:val="21"/>
          <w:szCs w:val="21"/>
          <w:highlight w:val="none"/>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（标段名称）有关事项协商一致共同签订</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（以下</w:t>
      </w:r>
      <w:r>
        <w:rPr>
          <w:rFonts w:ascii="宋体" w:hAnsi="宋体" w:eastAsia="宋体" w:cs="宋体"/>
          <w:color w:val="auto"/>
          <w:spacing w:val="1"/>
          <w:sz w:val="21"/>
          <w:szCs w:val="21"/>
          <w:highlight w:val="none"/>
        </w:rPr>
        <w:t>简称基础合同”</w:t>
      </w:r>
      <w:r>
        <w:rPr>
          <w:rFonts w:ascii="宋体" w:hAnsi="宋体" w:eastAsia="宋体" w:cs="宋体"/>
          <w:color w:val="auto"/>
          <w:spacing w:val="-39"/>
          <w:w w:val="71"/>
          <w:sz w:val="21"/>
          <w:szCs w:val="21"/>
          <w:highlight w:val="none"/>
        </w:rPr>
        <w:t>），</w:t>
      </w:r>
      <w:r>
        <w:rPr>
          <w:rFonts w:ascii="宋体" w:hAnsi="宋体" w:eastAsia="宋体" w:cs="宋体"/>
          <w:color w:val="auto"/>
          <w:spacing w:val="1"/>
          <w:sz w:val="21"/>
          <w:szCs w:val="21"/>
          <w:highlight w:val="none"/>
        </w:rPr>
        <w:t>开立人根据基础合同了解到申请人为基</w:t>
      </w:r>
      <w:r>
        <w:rPr>
          <w:rFonts w:ascii="宋体" w:hAnsi="宋体" w:eastAsia="宋体" w:cs="宋体"/>
          <w:color w:val="auto"/>
          <w:sz w:val="21"/>
          <w:szCs w:val="21"/>
          <w:highlight w:val="none"/>
        </w:rPr>
        <w:t>础合同项下之发包人，受益人为基础合同</w:t>
      </w:r>
      <w:r>
        <w:rPr>
          <w:rFonts w:ascii="宋体" w:hAnsi="宋体" w:eastAsia="宋体" w:cs="宋体"/>
          <w:color w:val="auto"/>
          <w:spacing w:val="1"/>
          <w:sz w:val="21"/>
          <w:szCs w:val="21"/>
          <w:highlight w:val="none"/>
        </w:rPr>
        <w:t>项下之承包人，基于申请人的请求，开立人同意就申请人履行与受益人签订的基</w:t>
      </w:r>
      <w:r>
        <w:rPr>
          <w:rFonts w:ascii="宋体" w:hAnsi="宋体" w:eastAsia="宋体" w:cs="宋体"/>
          <w:color w:val="auto"/>
          <w:sz w:val="21"/>
          <w:szCs w:val="21"/>
          <w:highlight w:val="none"/>
        </w:rPr>
        <w:t>础合同项下的工程</w:t>
      </w:r>
      <w:r>
        <w:rPr>
          <w:rFonts w:ascii="宋体" w:hAnsi="宋体" w:eastAsia="宋体" w:cs="宋体"/>
          <w:color w:val="auto"/>
          <w:spacing w:val="1"/>
          <w:sz w:val="21"/>
          <w:szCs w:val="21"/>
          <w:highlight w:val="none"/>
        </w:rPr>
        <w:t>款（指基础合同约定的除工程质量保修金以外的工程款）付款义务，向受益人提</w:t>
      </w:r>
      <w:r>
        <w:rPr>
          <w:rFonts w:ascii="宋体" w:hAnsi="宋体" w:eastAsia="宋体" w:cs="宋体"/>
          <w:color w:val="auto"/>
          <w:sz w:val="21"/>
          <w:szCs w:val="21"/>
          <w:highlight w:val="none"/>
        </w:rPr>
        <w:t>供不可撤销、不可</w:t>
      </w:r>
      <w:r>
        <w:rPr>
          <w:rFonts w:ascii="宋体" w:hAnsi="宋体" w:eastAsia="宋体" w:cs="宋体"/>
          <w:color w:val="auto"/>
          <w:spacing w:val="-8"/>
          <w:sz w:val="21"/>
          <w:szCs w:val="21"/>
          <w:highlight w:val="none"/>
        </w:rPr>
        <w:t>转让的见索即付独立保函（以下简称“本保</w:t>
      </w:r>
      <w:r>
        <w:rPr>
          <w:rFonts w:ascii="宋体" w:hAnsi="宋体" w:eastAsia="宋体" w:cs="宋体"/>
          <w:color w:val="auto"/>
          <w:spacing w:val="-9"/>
          <w:sz w:val="21"/>
          <w:szCs w:val="21"/>
          <w:highlight w:val="none"/>
        </w:rPr>
        <w:t>函”）。</w:t>
      </w:r>
    </w:p>
    <w:p w14:paraId="39CEAF8B">
      <w:pPr>
        <w:spacing w:before="30" w:line="290" w:lineRule="auto"/>
        <w:ind w:left="13" w:right="12" w:firstLine="4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一、本保函担保范围：申请人未履行基础合同</w:t>
      </w:r>
      <w:r>
        <w:rPr>
          <w:rFonts w:ascii="宋体" w:hAnsi="宋体" w:eastAsia="宋体" w:cs="宋体"/>
          <w:color w:val="auto"/>
          <w:sz w:val="21"/>
          <w:szCs w:val="21"/>
          <w:highlight w:val="none"/>
        </w:rPr>
        <w:t>约定的工程款支付义务，应当向受益人承担的违约责任和赔偿因此造成的损失、利息、律师费、诉讼费用等</w:t>
      </w:r>
      <w:r>
        <w:rPr>
          <w:rFonts w:ascii="宋体" w:hAnsi="宋体" w:eastAsia="宋体" w:cs="宋体"/>
          <w:color w:val="auto"/>
          <w:spacing w:val="-1"/>
          <w:sz w:val="21"/>
          <w:szCs w:val="21"/>
          <w:highlight w:val="none"/>
        </w:rPr>
        <w:t>实现债权的费用。</w:t>
      </w:r>
    </w:p>
    <w:p w14:paraId="6DED62BF">
      <w:pPr>
        <w:spacing w:before="157" w:line="220" w:lineRule="auto"/>
        <w:ind w:left="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二、本保函担保金额最高不超过人民币（大写）</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2"/>
          <w:sz w:val="21"/>
          <w:szCs w:val="21"/>
          <w:highlight w:val="none"/>
        </w:rPr>
        <w:t>元(¥</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72"/>
          <w:sz w:val="21"/>
          <w:szCs w:val="21"/>
          <w:highlight w:val="none"/>
        </w:rPr>
        <w:t xml:space="preserve"> </w:t>
      </w:r>
      <w:r>
        <w:rPr>
          <w:rFonts w:ascii="宋体" w:hAnsi="宋体" w:eastAsia="宋体" w:cs="宋体"/>
          <w:color w:val="auto"/>
          <w:spacing w:val="2"/>
          <w:sz w:val="21"/>
          <w:szCs w:val="21"/>
          <w:highlight w:val="none"/>
        </w:rPr>
        <w:t>)。</w:t>
      </w:r>
    </w:p>
    <w:p w14:paraId="2E957D8F">
      <w:pPr>
        <w:spacing w:before="160" w:line="290" w:lineRule="auto"/>
        <w:ind w:left="9" w:right="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三、本保函有效期自开立之日起至基础合同约定的除工程质量保修金以外的</w:t>
      </w:r>
      <w:r>
        <w:rPr>
          <w:rFonts w:ascii="宋体" w:hAnsi="宋体" w:eastAsia="宋体" w:cs="宋体"/>
          <w:color w:val="auto"/>
          <w:sz w:val="21"/>
          <w:szCs w:val="21"/>
          <w:highlight w:val="none"/>
        </w:rPr>
        <w:t>全部工程结算款项</w:t>
      </w:r>
      <w:r>
        <w:rPr>
          <w:rFonts w:ascii="宋体" w:hAnsi="宋体" w:eastAsia="宋体" w:cs="宋体"/>
          <w:color w:val="auto"/>
          <w:spacing w:val="-5"/>
          <w:sz w:val="21"/>
          <w:szCs w:val="21"/>
          <w:highlight w:val="none"/>
        </w:rPr>
        <w:t>支付之日后</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52"/>
          <w:sz w:val="21"/>
          <w:szCs w:val="21"/>
          <w:highlight w:val="none"/>
        </w:rPr>
        <w:t xml:space="preserve"> </w:t>
      </w:r>
      <w:r>
        <w:rPr>
          <w:rFonts w:ascii="宋体" w:hAnsi="宋体" w:eastAsia="宋体" w:cs="宋体"/>
          <w:color w:val="auto"/>
          <w:spacing w:val="-5"/>
          <w:sz w:val="21"/>
          <w:szCs w:val="21"/>
          <w:highlight w:val="none"/>
        </w:rPr>
        <w:t>日止。</w:t>
      </w:r>
    </w:p>
    <w:p w14:paraId="4BD828B2">
      <w:pPr>
        <w:spacing w:before="156" w:line="290" w:lineRule="auto"/>
        <w:ind w:left="12" w:firstLine="49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四、开立人承诺，在收到受益人发来的书面付款通知后的七日内无条件支付，前述书面</w:t>
      </w:r>
      <w:r>
        <w:rPr>
          <w:rFonts w:ascii="宋体" w:hAnsi="宋体" w:eastAsia="宋体" w:cs="宋体"/>
          <w:color w:val="auto"/>
          <w:spacing w:val="-2"/>
          <w:sz w:val="21"/>
          <w:szCs w:val="21"/>
          <w:highlight w:val="none"/>
        </w:rPr>
        <w:t>付款通知即为付款要求之单据，且应满足以下要求：</w:t>
      </w:r>
    </w:p>
    <w:p w14:paraId="37C3B164">
      <w:pPr>
        <w:spacing w:before="157" w:line="220"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（1）付款通知到达的日期在本保函的有效期内；</w:t>
      </w:r>
    </w:p>
    <w:p w14:paraId="065F6007">
      <w:pPr>
        <w:spacing w:before="160" w:line="221"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（2）载明要求支付的金额；</w:t>
      </w:r>
    </w:p>
    <w:p w14:paraId="5195DC7C">
      <w:pPr>
        <w:spacing w:before="157" w:line="221" w:lineRule="auto"/>
        <w:ind w:left="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（3）载明申请人违反合同义务的条款和内容；</w:t>
      </w:r>
    </w:p>
    <w:p w14:paraId="3897BE11">
      <w:pPr>
        <w:spacing w:before="156" w:line="221" w:lineRule="auto"/>
        <w:ind w:left="434"/>
        <w:rPr>
          <w:rFonts w:ascii="宋体" w:hAnsi="宋体" w:eastAsia="宋体" w:cs="宋体"/>
          <w:color w:val="auto"/>
          <w:sz w:val="21"/>
          <w:szCs w:val="21"/>
          <w:highlight w:val="none"/>
        </w:rPr>
      </w:pPr>
      <w:r>
        <w:rPr>
          <w:rFonts w:ascii="宋体" w:hAnsi="宋体" w:eastAsia="宋体" w:cs="宋体"/>
          <w:color w:val="auto"/>
          <w:sz w:val="21"/>
          <w:szCs w:val="21"/>
          <w:highlight w:val="none"/>
        </w:rPr>
        <w:t>（4）声明不存在合同文件约定或我国法律规定免除申请人或开立</w:t>
      </w:r>
      <w:r>
        <w:rPr>
          <w:rFonts w:ascii="宋体" w:hAnsi="宋体" w:eastAsia="宋体" w:cs="宋体"/>
          <w:color w:val="auto"/>
          <w:spacing w:val="-1"/>
          <w:sz w:val="21"/>
          <w:szCs w:val="21"/>
          <w:highlight w:val="none"/>
        </w:rPr>
        <w:t>人支付责任的情形；</w:t>
      </w:r>
    </w:p>
    <w:p w14:paraId="2DF6E431">
      <w:pPr>
        <w:spacing w:before="157" w:line="220" w:lineRule="auto"/>
        <w:ind w:left="434"/>
        <w:rPr>
          <w:rFonts w:ascii="宋体" w:hAnsi="宋体" w:eastAsia="宋体" w:cs="宋体"/>
          <w:color w:val="auto"/>
          <w:sz w:val="21"/>
          <w:szCs w:val="21"/>
          <w:highlight w:val="none"/>
        </w:rPr>
      </w:pPr>
      <w:r>
        <w:rPr>
          <w:rFonts w:ascii="宋体" w:hAnsi="宋体" w:eastAsia="宋体" w:cs="宋体"/>
          <w:color w:val="auto"/>
          <w:sz w:val="21"/>
          <w:szCs w:val="21"/>
          <w:highlight w:val="none"/>
        </w:rPr>
        <w:t>（5）付款通知应在本保函有效期内到达的地址是：</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11E574A8">
      <w:pPr>
        <w:spacing w:before="158" w:line="220" w:lineRule="auto"/>
        <w:ind w:left="434"/>
        <w:rPr>
          <w:rFonts w:ascii="宋体" w:hAnsi="宋体" w:eastAsia="宋体" w:cs="宋体"/>
          <w:color w:val="auto"/>
          <w:spacing w:val="-1"/>
          <w:sz w:val="21"/>
          <w:szCs w:val="21"/>
          <w:highlight w:val="none"/>
        </w:rPr>
      </w:pPr>
      <w:r>
        <w:rPr>
          <w:rFonts w:ascii="宋体" w:hAnsi="宋体" w:eastAsia="宋体" w:cs="宋体"/>
          <w:color w:val="auto"/>
          <w:sz w:val="21"/>
          <w:szCs w:val="21"/>
          <w:highlight w:val="none"/>
        </w:rPr>
        <w:t>受益人发出的书面付款通知应由其法定代表人（负责人）或授权代理人</w:t>
      </w:r>
      <w:r>
        <w:rPr>
          <w:rFonts w:ascii="宋体" w:hAnsi="宋体" w:eastAsia="宋体" w:cs="宋体"/>
          <w:color w:val="auto"/>
          <w:spacing w:val="-1"/>
          <w:sz w:val="21"/>
          <w:szCs w:val="21"/>
          <w:highlight w:val="none"/>
        </w:rPr>
        <w:t>签字并加盖公</w:t>
      </w:r>
    </w:p>
    <w:p w14:paraId="0E6DE131">
      <w:pPr>
        <w:spacing w:before="158" w:line="220"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章。</w:t>
      </w:r>
    </w:p>
    <w:p w14:paraId="74B6735C">
      <w:pPr>
        <w:spacing w:before="159" w:line="346" w:lineRule="auto"/>
        <w:ind w:left="11"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五、本保函项下的权利不得转让，不得设定担保。受益人未经开立人</w:t>
      </w:r>
      <w:r>
        <w:rPr>
          <w:rFonts w:ascii="宋体" w:hAnsi="宋体" w:eastAsia="宋体" w:cs="宋体"/>
          <w:color w:val="auto"/>
          <w:sz w:val="21"/>
          <w:szCs w:val="21"/>
          <w:highlight w:val="none"/>
        </w:rPr>
        <w:t xml:space="preserve">书面同意转让本保函或其 </w:t>
      </w:r>
      <w:r>
        <w:rPr>
          <w:rFonts w:ascii="宋体" w:hAnsi="宋体" w:eastAsia="宋体" w:cs="宋体"/>
          <w:color w:val="auto"/>
          <w:spacing w:val="-1"/>
          <w:sz w:val="21"/>
          <w:szCs w:val="21"/>
          <w:highlight w:val="none"/>
        </w:rPr>
        <w:t>项下任何权利，对开立人不发生法律效力。</w:t>
      </w:r>
    </w:p>
    <w:p w14:paraId="462B428C">
      <w:pPr>
        <w:spacing w:before="31" w:line="290" w:lineRule="auto"/>
        <w:ind w:left="13" w:right="3"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六、本保函项下的基础交易不成立、不生效、无效、被撤销、被解除，</w:t>
      </w:r>
      <w:r>
        <w:rPr>
          <w:rFonts w:ascii="宋体" w:hAnsi="宋体" w:eastAsia="宋体" w:cs="宋体"/>
          <w:color w:val="auto"/>
          <w:sz w:val="21"/>
          <w:szCs w:val="21"/>
          <w:highlight w:val="none"/>
        </w:rPr>
        <w:t xml:space="preserve">不影响本保函的独立有 </w:t>
      </w:r>
      <w:r>
        <w:rPr>
          <w:rFonts w:ascii="宋体" w:hAnsi="宋体" w:eastAsia="宋体" w:cs="宋体"/>
          <w:color w:val="auto"/>
          <w:spacing w:val="-11"/>
          <w:sz w:val="21"/>
          <w:szCs w:val="21"/>
          <w:highlight w:val="none"/>
        </w:rPr>
        <w:t>效。</w:t>
      </w:r>
    </w:p>
    <w:p w14:paraId="0B1536ED">
      <w:pPr>
        <w:spacing w:before="158" w:line="220"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七、本保函项下的义务和责任均在保函有效期到期后自动消</w:t>
      </w:r>
      <w:r>
        <w:rPr>
          <w:rFonts w:ascii="宋体" w:hAnsi="宋体" w:eastAsia="宋体" w:cs="宋体"/>
          <w:color w:val="auto"/>
          <w:spacing w:val="-1"/>
          <w:sz w:val="21"/>
          <w:szCs w:val="21"/>
          <w:highlight w:val="none"/>
        </w:rPr>
        <w:t>灭。</w:t>
      </w:r>
    </w:p>
    <w:p w14:paraId="4C03A075">
      <w:pPr>
        <w:spacing w:before="159" w:line="289" w:lineRule="auto"/>
        <w:ind w:left="28" w:right="3" w:firstLine="402"/>
        <w:rPr>
          <w:rFonts w:ascii="宋体" w:hAnsi="宋体" w:eastAsia="宋体" w:cs="宋体"/>
          <w:color w:val="auto"/>
          <w:sz w:val="21"/>
          <w:szCs w:val="21"/>
          <w:highlight w:val="none"/>
        </w:rPr>
      </w:pPr>
      <w:r>
        <w:rPr>
          <w:rFonts w:ascii="宋体" w:hAnsi="宋体" w:eastAsia="宋体" w:cs="宋体"/>
          <w:color w:val="auto"/>
          <w:sz w:val="21"/>
          <w:szCs w:val="21"/>
          <w:highlight w:val="none"/>
        </w:rPr>
        <w:t>八、本保函适用的法律为中华人民共和国法律，因本保函产生的</w:t>
      </w:r>
      <w:r>
        <w:rPr>
          <w:rFonts w:ascii="宋体" w:hAnsi="宋体" w:eastAsia="宋体" w:cs="宋体"/>
          <w:color w:val="auto"/>
          <w:spacing w:val="-1"/>
          <w:sz w:val="21"/>
          <w:szCs w:val="21"/>
          <w:highlight w:val="none"/>
        </w:rPr>
        <w:t>纠纷案件，</w:t>
      </w:r>
      <w:r>
        <w:rPr>
          <w:rFonts w:ascii="宋体" w:hAnsi="宋体" w:eastAsia="宋体" w:cs="宋体"/>
          <w:color w:val="auto"/>
          <w:spacing w:val="-63"/>
          <w:sz w:val="21"/>
          <w:szCs w:val="21"/>
          <w:highlight w:val="none"/>
        </w:rPr>
        <w:t xml:space="preserve"> </w:t>
      </w:r>
      <w:r>
        <w:rPr>
          <w:rFonts w:ascii="宋体" w:hAnsi="宋体" w:eastAsia="宋体" w:cs="宋体"/>
          <w:color w:val="auto"/>
          <w:spacing w:val="-1"/>
          <w:sz w:val="21"/>
          <w:szCs w:val="21"/>
          <w:highlight w:val="none"/>
        </w:rPr>
        <w:t>由申请人所在地人</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民法院管辖。</w:t>
      </w:r>
    </w:p>
    <w:p w14:paraId="1E257831">
      <w:pPr>
        <w:spacing w:before="42" w:line="220" w:lineRule="auto"/>
        <w:ind w:left="6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九、本保函自我方法定代表人或授权代表签字并加盖公章之日起生效。</w:t>
      </w:r>
    </w:p>
    <w:p w14:paraId="6CE366CA">
      <w:pPr>
        <w:spacing w:line="300" w:lineRule="auto"/>
        <w:rPr>
          <w:rFonts w:ascii="Arial"/>
          <w:color w:val="auto"/>
          <w:sz w:val="21"/>
          <w:highlight w:val="none"/>
        </w:rPr>
      </w:pPr>
    </w:p>
    <w:p w14:paraId="0E1F24C3">
      <w:pPr>
        <w:spacing w:line="300" w:lineRule="auto"/>
        <w:rPr>
          <w:rFonts w:ascii="Arial"/>
          <w:color w:val="auto"/>
          <w:sz w:val="21"/>
          <w:highlight w:val="none"/>
        </w:rPr>
      </w:pPr>
    </w:p>
    <w:p w14:paraId="1F8A82F6">
      <w:pPr>
        <w:spacing w:line="300" w:lineRule="auto"/>
        <w:rPr>
          <w:rFonts w:ascii="Arial"/>
          <w:color w:val="auto"/>
          <w:sz w:val="21"/>
          <w:highlight w:val="none"/>
        </w:rPr>
      </w:pPr>
    </w:p>
    <w:p w14:paraId="17299F26">
      <w:pPr>
        <w:spacing w:before="68" w:line="220" w:lineRule="auto"/>
        <w:ind w:left="6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开 立 人</w:t>
      </w:r>
      <w:r>
        <w:rPr>
          <w:rFonts w:ascii="宋体" w:hAnsi="宋体" w:eastAsia="宋体" w:cs="宋体"/>
          <w:color w:val="auto"/>
          <w:spacing w:val="-28"/>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8"/>
          <w:sz w:val="21"/>
          <w:szCs w:val="21"/>
          <w:highlight w:val="none"/>
        </w:rPr>
        <w:t>（</w:t>
      </w:r>
      <w:r>
        <w:rPr>
          <w:rFonts w:ascii="宋体" w:hAnsi="宋体" w:eastAsia="宋体" w:cs="宋体"/>
          <w:color w:val="auto"/>
          <w:spacing w:val="5"/>
          <w:sz w:val="21"/>
          <w:szCs w:val="21"/>
          <w:highlight w:val="none"/>
        </w:rPr>
        <w:t>公章）</w:t>
      </w:r>
    </w:p>
    <w:p w14:paraId="3C7693A6">
      <w:pPr>
        <w:spacing w:before="159" w:line="221" w:lineRule="auto"/>
        <w:ind w:left="62"/>
        <w:outlineLvl w:val="9"/>
        <w:rPr>
          <w:rFonts w:ascii="宋体" w:hAnsi="宋体" w:eastAsia="宋体" w:cs="宋体"/>
          <w:color w:val="auto"/>
          <w:sz w:val="21"/>
          <w:szCs w:val="21"/>
          <w:highlight w:val="none"/>
        </w:rPr>
      </w:pPr>
      <w:bookmarkStart w:id="372" w:name="_Toc32269"/>
      <w:bookmarkStart w:id="373" w:name="_Toc32767"/>
      <w:r>
        <w:rPr>
          <w:rFonts w:ascii="宋体" w:hAnsi="宋体" w:eastAsia="宋体" w:cs="宋体"/>
          <w:color w:val="auto"/>
          <w:spacing w:val="-1"/>
          <w:sz w:val="21"/>
          <w:szCs w:val="21"/>
          <w:highlight w:val="none"/>
        </w:rPr>
        <w:t>法定代表人（或授权代表</w:t>
      </w:r>
      <w:r>
        <w:rPr>
          <w:rFonts w:ascii="宋体" w:hAnsi="宋体" w:eastAsia="宋体" w:cs="宋体"/>
          <w:color w:val="auto"/>
          <w:spacing w:val="-33"/>
          <w:sz w:val="21"/>
          <w:szCs w:val="21"/>
          <w:highlight w:val="none"/>
        </w:rPr>
        <w:t>）：</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33"/>
          <w:sz w:val="21"/>
          <w:szCs w:val="21"/>
          <w:highlight w:val="none"/>
        </w:rPr>
        <w:t>（</w:t>
      </w:r>
      <w:r>
        <w:rPr>
          <w:rFonts w:ascii="宋体" w:hAnsi="宋体" w:eastAsia="宋体" w:cs="宋体"/>
          <w:color w:val="auto"/>
          <w:spacing w:val="-1"/>
          <w:sz w:val="21"/>
          <w:szCs w:val="21"/>
          <w:highlight w:val="none"/>
        </w:rPr>
        <w:t>签字）</w:t>
      </w:r>
      <w:bookmarkEnd w:id="372"/>
      <w:bookmarkEnd w:id="373"/>
    </w:p>
    <w:p w14:paraId="00099ED5">
      <w:pPr>
        <w:spacing w:before="157" w:line="230" w:lineRule="auto"/>
        <w:ind w:left="61"/>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地</w:t>
      </w:r>
      <w:r>
        <w:rPr>
          <w:rFonts w:ascii="宋体" w:hAnsi="宋体" w:eastAsia="宋体" w:cs="宋体"/>
          <w:color w:val="auto"/>
          <w:spacing w:val="2"/>
          <w:sz w:val="21"/>
          <w:szCs w:val="21"/>
          <w:highlight w:val="none"/>
        </w:rPr>
        <w:t xml:space="preserve">    </w:t>
      </w:r>
      <w:r>
        <w:rPr>
          <w:rFonts w:ascii="宋体" w:hAnsi="宋体" w:eastAsia="宋体" w:cs="宋体"/>
          <w:color w:val="auto"/>
          <w:spacing w:val="-6"/>
          <w:sz w:val="21"/>
          <w:szCs w:val="21"/>
          <w:highlight w:val="none"/>
        </w:rPr>
        <w:t>址：</w:t>
      </w:r>
      <w:r>
        <w:rPr>
          <w:rFonts w:ascii="宋体" w:hAnsi="宋体" w:eastAsia="宋体" w:cs="宋体"/>
          <w:color w:val="auto"/>
          <w:sz w:val="21"/>
          <w:szCs w:val="21"/>
          <w:highlight w:val="none"/>
          <w:u w:val="single" w:color="auto"/>
        </w:rPr>
        <w:t xml:space="preserve">                                       </w:t>
      </w:r>
    </w:p>
    <w:p w14:paraId="423E3D61">
      <w:pPr>
        <w:tabs>
          <w:tab w:val="left" w:pos="2887"/>
        </w:tabs>
        <w:spacing w:before="144" w:line="351" w:lineRule="auto"/>
        <w:ind w:left="59" w:right="5446" w:firstLine="17"/>
        <w:jc w:val="both"/>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邮政编码：</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电</w:t>
      </w:r>
      <w:r>
        <w:rPr>
          <w:rFonts w:ascii="宋体" w:hAnsi="宋体" w:eastAsia="宋体" w:cs="宋体"/>
          <w:color w:val="auto"/>
          <w:spacing w:val="2"/>
          <w:sz w:val="21"/>
          <w:szCs w:val="21"/>
          <w:highlight w:val="none"/>
        </w:rPr>
        <w:t xml:space="preserve">    </w:t>
      </w:r>
      <w:r>
        <w:rPr>
          <w:rFonts w:ascii="宋体" w:hAnsi="宋体" w:eastAsia="宋体" w:cs="宋体"/>
          <w:color w:val="auto"/>
          <w:spacing w:val="-5"/>
          <w:sz w:val="21"/>
          <w:szCs w:val="21"/>
          <w:highlight w:val="none"/>
        </w:rPr>
        <w:t>话：</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传</w:t>
      </w:r>
      <w:r>
        <w:rPr>
          <w:rFonts w:ascii="宋体" w:hAnsi="宋体" w:eastAsia="宋体" w:cs="宋体"/>
          <w:color w:val="auto"/>
          <w:spacing w:val="2"/>
          <w:sz w:val="21"/>
          <w:szCs w:val="21"/>
          <w:highlight w:val="none"/>
        </w:rPr>
        <w:t xml:space="preserve">    </w:t>
      </w:r>
      <w:r>
        <w:rPr>
          <w:rFonts w:ascii="宋体" w:hAnsi="宋体" w:eastAsia="宋体" w:cs="宋体"/>
          <w:color w:val="auto"/>
          <w:spacing w:val="-6"/>
          <w:sz w:val="21"/>
          <w:szCs w:val="21"/>
          <w:highlight w:val="none"/>
        </w:rPr>
        <w:t>真：</w:t>
      </w:r>
      <w:r>
        <w:rPr>
          <w:rFonts w:ascii="宋体" w:hAnsi="宋体" w:eastAsia="宋体" w:cs="宋体"/>
          <w:color w:val="auto"/>
          <w:sz w:val="21"/>
          <w:szCs w:val="21"/>
          <w:highlight w:val="none"/>
          <w:u w:val="single" w:color="auto"/>
        </w:rPr>
        <w:t xml:space="preserve">                 </w:t>
      </w:r>
    </w:p>
    <w:p w14:paraId="211AB887">
      <w:pPr>
        <w:spacing w:before="30" w:line="221" w:lineRule="auto"/>
        <w:ind w:left="6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开立时间：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79"/>
          <w:sz w:val="21"/>
          <w:szCs w:val="21"/>
          <w:highlight w:val="none"/>
        </w:rPr>
        <w:t xml:space="preserve"> </w:t>
      </w:r>
      <w:r>
        <w:rPr>
          <w:rFonts w:ascii="宋体" w:hAnsi="宋体" w:eastAsia="宋体" w:cs="宋体"/>
          <w:color w:val="auto"/>
          <w:spacing w:val="-2"/>
          <w:sz w:val="21"/>
          <w:szCs w:val="21"/>
          <w:highlight w:val="none"/>
        </w:rPr>
        <w:t>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2"/>
          <w:sz w:val="21"/>
          <w:szCs w:val="21"/>
          <w:highlight w:val="none"/>
        </w:rPr>
        <w:t>日</w:t>
      </w:r>
    </w:p>
    <w:p w14:paraId="250E0524">
      <w:pPr>
        <w:spacing w:before="87" w:line="223" w:lineRule="auto"/>
        <w:ind w:left="3108"/>
        <w:rPr>
          <w:rFonts w:ascii="宋体" w:hAnsi="宋体" w:eastAsia="宋体" w:cs="宋体"/>
          <w:b/>
          <w:bCs/>
          <w:color w:val="auto"/>
          <w:spacing w:val="4"/>
          <w:sz w:val="43"/>
          <w:szCs w:val="43"/>
          <w:highlight w:val="none"/>
        </w:rPr>
      </w:pPr>
      <w:bookmarkStart w:id="374" w:name="bookmark273"/>
      <w:bookmarkEnd w:id="374"/>
    </w:p>
    <w:p w14:paraId="2AE9AE7C">
      <w:pPr>
        <w:spacing w:before="87" w:line="223" w:lineRule="auto"/>
        <w:ind w:left="3108"/>
        <w:rPr>
          <w:rFonts w:ascii="宋体" w:hAnsi="宋体" w:eastAsia="宋体" w:cs="宋体"/>
          <w:b/>
          <w:bCs/>
          <w:color w:val="auto"/>
          <w:spacing w:val="4"/>
          <w:sz w:val="43"/>
          <w:szCs w:val="43"/>
          <w:highlight w:val="none"/>
        </w:rPr>
      </w:pPr>
    </w:p>
    <w:p w14:paraId="5D9510FD">
      <w:pPr>
        <w:spacing w:before="87" w:line="223" w:lineRule="auto"/>
        <w:ind w:left="3108"/>
        <w:rPr>
          <w:rFonts w:ascii="宋体" w:hAnsi="宋体" w:eastAsia="宋体" w:cs="宋体"/>
          <w:b/>
          <w:bCs/>
          <w:color w:val="auto"/>
          <w:spacing w:val="4"/>
          <w:sz w:val="43"/>
          <w:szCs w:val="43"/>
          <w:highlight w:val="none"/>
        </w:rPr>
      </w:pPr>
    </w:p>
    <w:p w14:paraId="3979DACF">
      <w:pPr>
        <w:spacing w:before="87" w:line="223" w:lineRule="auto"/>
        <w:ind w:left="3108"/>
        <w:rPr>
          <w:rFonts w:ascii="宋体" w:hAnsi="宋体" w:eastAsia="宋体" w:cs="宋体"/>
          <w:b/>
          <w:bCs/>
          <w:color w:val="auto"/>
          <w:spacing w:val="4"/>
          <w:sz w:val="43"/>
          <w:szCs w:val="43"/>
          <w:highlight w:val="none"/>
        </w:rPr>
      </w:pPr>
    </w:p>
    <w:p w14:paraId="748E31D8">
      <w:pPr>
        <w:spacing w:before="87" w:line="223" w:lineRule="auto"/>
        <w:ind w:left="3108"/>
        <w:rPr>
          <w:rFonts w:ascii="宋体" w:hAnsi="宋体" w:eastAsia="宋体" w:cs="宋体"/>
          <w:b/>
          <w:bCs/>
          <w:color w:val="auto"/>
          <w:spacing w:val="4"/>
          <w:sz w:val="43"/>
          <w:szCs w:val="43"/>
          <w:highlight w:val="none"/>
        </w:rPr>
      </w:pPr>
    </w:p>
    <w:p w14:paraId="3AB39392">
      <w:pPr>
        <w:spacing w:before="87" w:line="223" w:lineRule="auto"/>
        <w:ind w:left="3108"/>
        <w:rPr>
          <w:rFonts w:ascii="宋体" w:hAnsi="宋体" w:eastAsia="宋体" w:cs="宋体"/>
          <w:b/>
          <w:bCs/>
          <w:color w:val="auto"/>
          <w:spacing w:val="4"/>
          <w:sz w:val="43"/>
          <w:szCs w:val="43"/>
          <w:highlight w:val="none"/>
        </w:rPr>
      </w:pPr>
    </w:p>
    <w:p w14:paraId="116ED2D0">
      <w:pPr>
        <w:spacing w:before="87" w:line="223" w:lineRule="auto"/>
        <w:ind w:left="3108"/>
        <w:rPr>
          <w:rFonts w:ascii="宋体" w:hAnsi="宋体" w:eastAsia="宋体" w:cs="宋体"/>
          <w:b/>
          <w:bCs/>
          <w:color w:val="auto"/>
          <w:spacing w:val="4"/>
          <w:sz w:val="43"/>
          <w:szCs w:val="43"/>
          <w:highlight w:val="none"/>
        </w:rPr>
      </w:pPr>
    </w:p>
    <w:p w14:paraId="145612D8">
      <w:pPr>
        <w:spacing w:before="87" w:line="223" w:lineRule="auto"/>
        <w:ind w:left="3108"/>
        <w:rPr>
          <w:rFonts w:ascii="宋体" w:hAnsi="宋体" w:eastAsia="宋体" w:cs="宋体"/>
          <w:b/>
          <w:bCs/>
          <w:color w:val="auto"/>
          <w:spacing w:val="4"/>
          <w:sz w:val="43"/>
          <w:szCs w:val="43"/>
          <w:highlight w:val="none"/>
        </w:rPr>
      </w:pPr>
    </w:p>
    <w:p w14:paraId="5175345B">
      <w:pPr>
        <w:spacing w:before="87" w:line="223" w:lineRule="auto"/>
        <w:ind w:left="3108"/>
        <w:rPr>
          <w:rFonts w:ascii="宋体" w:hAnsi="宋体" w:eastAsia="宋体" w:cs="宋体"/>
          <w:b/>
          <w:bCs/>
          <w:color w:val="auto"/>
          <w:spacing w:val="4"/>
          <w:sz w:val="43"/>
          <w:szCs w:val="43"/>
          <w:highlight w:val="none"/>
        </w:rPr>
      </w:pPr>
    </w:p>
    <w:p w14:paraId="6D4B370E">
      <w:pPr>
        <w:spacing w:before="87" w:line="223" w:lineRule="auto"/>
        <w:ind w:left="3108"/>
        <w:rPr>
          <w:rFonts w:ascii="宋体" w:hAnsi="宋体" w:eastAsia="宋体" w:cs="宋体"/>
          <w:b/>
          <w:bCs/>
          <w:color w:val="auto"/>
          <w:spacing w:val="4"/>
          <w:sz w:val="43"/>
          <w:szCs w:val="43"/>
          <w:highlight w:val="none"/>
        </w:rPr>
      </w:pPr>
    </w:p>
    <w:p w14:paraId="66820BBD">
      <w:pPr>
        <w:spacing w:before="87" w:line="223" w:lineRule="auto"/>
        <w:ind w:left="3108"/>
        <w:rPr>
          <w:rFonts w:ascii="宋体" w:hAnsi="宋体" w:eastAsia="宋体" w:cs="宋体"/>
          <w:b/>
          <w:bCs/>
          <w:color w:val="auto"/>
          <w:spacing w:val="4"/>
          <w:sz w:val="43"/>
          <w:szCs w:val="43"/>
          <w:highlight w:val="none"/>
        </w:rPr>
      </w:pPr>
    </w:p>
    <w:p w14:paraId="735FF6AB">
      <w:pPr>
        <w:spacing w:before="87" w:line="223" w:lineRule="auto"/>
        <w:ind w:left="3108"/>
        <w:rPr>
          <w:rFonts w:ascii="宋体" w:hAnsi="宋体" w:eastAsia="宋体" w:cs="宋体"/>
          <w:b/>
          <w:bCs/>
          <w:color w:val="auto"/>
          <w:spacing w:val="4"/>
          <w:sz w:val="43"/>
          <w:szCs w:val="43"/>
          <w:highlight w:val="none"/>
        </w:rPr>
      </w:pPr>
    </w:p>
    <w:p w14:paraId="650797BA">
      <w:pPr>
        <w:spacing w:before="87" w:line="223" w:lineRule="auto"/>
        <w:ind w:left="3108"/>
        <w:rPr>
          <w:rFonts w:ascii="宋体" w:hAnsi="宋体" w:eastAsia="宋体" w:cs="宋体"/>
          <w:b/>
          <w:bCs/>
          <w:color w:val="auto"/>
          <w:spacing w:val="4"/>
          <w:sz w:val="43"/>
          <w:szCs w:val="43"/>
          <w:highlight w:val="none"/>
        </w:rPr>
      </w:pPr>
    </w:p>
    <w:p w14:paraId="3E4343A5">
      <w:pPr>
        <w:spacing w:before="87" w:line="223" w:lineRule="auto"/>
        <w:ind w:left="3108"/>
        <w:rPr>
          <w:rFonts w:ascii="宋体" w:hAnsi="宋体" w:eastAsia="宋体" w:cs="宋体"/>
          <w:b/>
          <w:bCs/>
          <w:color w:val="auto"/>
          <w:spacing w:val="4"/>
          <w:sz w:val="43"/>
          <w:szCs w:val="43"/>
          <w:highlight w:val="none"/>
        </w:rPr>
      </w:pPr>
    </w:p>
    <w:p w14:paraId="75EA2A59">
      <w:pPr>
        <w:spacing w:before="87" w:line="223" w:lineRule="auto"/>
        <w:ind w:left="3108"/>
        <w:rPr>
          <w:rFonts w:ascii="宋体" w:hAnsi="宋体" w:eastAsia="宋体" w:cs="宋体"/>
          <w:b/>
          <w:bCs/>
          <w:color w:val="auto"/>
          <w:spacing w:val="4"/>
          <w:sz w:val="43"/>
          <w:szCs w:val="43"/>
          <w:highlight w:val="none"/>
        </w:rPr>
      </w:pPr>
    </w:p>
    <w:p w14:paraId="15CEAF8D">
      <w:pPr>
        <w:spacing w:before="87" w:line="223" w:lineRule="auto"/>
        <w:ind w:left="3108"/>
        <w:rPr>
          <w:rFonts w:ascii="宋体" w:hAnsi="宋体" w:eastAsia="宋体" w:cs="宋体"/>
          <w:b/>
          <w:bCs/>
          <w:color w:val="auto"/>
          <w:spacing w:val="4"/>
          <w:sz w:val="43"/>
          <w:szCs w:val="43"/>
          <w:highlight w:val="none"/>
        </w:rPr>
      </w:pPr>
    </w:p>
    <w:p w14:paraId="568B06E9">
      <w:pPr>
        <w:spacing w:before="87" w:line="223" w:lineRule="auto"/>
        <w:ind w:left="3108"/>
        <w:rPr>
          <w:rFonts w:ascii="宋体" w:hAnsi="宋体" w:eastAsia="宋体" w:cs="宋体"/>
          <w:b/>
          <w:bCs/>
          <w:color w:val="auto"/>
          <w:spacing w:val="4"/>
          <w:sz w:val="43"/>
          <w:szCs w:val="43"/>
          <w:highlight w:val="none"/>
        </w:rPr>
      </w:pPr>
    </w:p>
    <w:p w14:paraId="13D58E25">
      <w:pPr>
        <w:spacing w:before="87" w:line="223" w:lineRule="auto"/>
        <w:ind w:left="3108"/>
        <w:outlineLvl w:val="0"/>
        <w:rPr>
          <w:rFonts w:ascii="宋体" w:hAnsi="宋体" w:eastAsia="宋体" w:cs="宋体"/>
          <w:color w:val="auto"/>
          <w:sz w:val="43"/>
          <w:szCs w:val="43"/>
          <w:highlight w:val="none"/>
        </w:rPr>
      </w:pPr>
      <w:bookmarkStart w:id="375" w:name="_Toc395"/>
      <w:r>
        <w:rPr>
          <w:rFonts w:ascii="宋体" w:hAnsi="宋体" w:eastAsia="宋体" w:cs="宋体"/>
          <w:b/>
          <w:bCs/>
          <w:color w:val="auto"/>
          <w:spacing w:val="4"/>
          <w:sz w:val="43"/>
          <w:szCs w:val="43"/>
          <w:highlight w:val="none"/>
        </w:rPr>
        <w:t>第五章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工程量清单</w:t>
      </w:r>
      <w:bookmarkEnd w:id="375"/>
    </w:p>
    <w:p w14:paraId="4F0A8210">
      <w:pPr>
        <w:keepNext w:val="0"/>
        <w:keepLines w:val="0"/>
        <w:pageBreakBefore w:val="0"/>
        <w:kinsoku w:val="0"/>
        <w:overflowPunct/>
        <w:topLinePunct w:val="0"/>
        <w:autoSpaceDE w:val="0"/>
        <w:autoSpaceDN w:val="0"/>
        <w:bidi w:val="0"/>
        <w:adjustRightInd w:val="0"/>
        <w:snapToGrid w:val="0"/>
        <w:spacing w:before="251" w:line="360" w:lineRule="auto"/>
        <w:ind w:left="28"/>
        <w:textAlignment w:val="baseline"/>
        <w:outlineLvl w:val="1"/>
        <w:rPr>
          <w:rFonts w:ascii="宋体" w:hAnsi="宋体" w:eastAsia="宋体" w:cs="宋体"/>
          <w:color w:val="auto"/>
          <w:sz w:val="31"/>
          <w:szCs w:val="31"/>
          <w:highlight w:val="none"/>
        </w:rPr>
      </w:pPr>
      <w:bookmarkStart w:id="376" w:name="_Toc32430"/>
      <w:r>
        <w:rPr>
          <w:rFonts w:ascii="宋体" w:hAnsi="宋体" w:eastAsia="宋体" w:cs="宋体"/>
          <w:b/>
          <w:bCs/>
          <w:color w:val="auto"/>
          <w:spacing w:val="2"/>
          <w:sz w:val="31"/>
          <w:szCs w:val="31"/>
          <w:highlight w:val="none"/>
        </w:rPr>
        <w:t>1.工程量清单说明</w:t>
      </w:r>
      <w:bookmarkEnd w:id="376"/>
    </w:p>
    <w:p w14:paraId="4FC83F19">
      <w:pPr>
        <w:keepNext w:val="0"/>
        <w:keepLines w:val="0"/>
        <w:pageBreakBefore w:val="0"/>
        <w:kinsoku w:val="0"/>
        <w:overflowPunct/>
        <w:topLinePunct w:val="0"/>
        <w:autoSpaceDE w:val="0"/>
        <w:autoSpaceDN w:val="0"/>
        <w:bidi w:val="0"/>
        <w:adjustRightInd w:val="0"/>
        <w:snapToGrid w:val="0"/>
        <w:spacing w:before="124" w:line="360" w:lineRule="auto"/>
        <w:ind w:left="2" w:right="72" w:firstLine="434"/>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 xml:space="preserve">1.1 </w:t>
      </w:r>
      <w:r>
        <w:rPr>
          <w:rFonts w:ascii="宋体" w:hAnsi="宋体" w:eastAsia="宋体" w:cs="宋体"/>
          <w:color w:val="auto"/>
          <w:spacing w:val="-2"/>
          <w:sz w:val="24"/>
          <w:szCs w:val="24"/>
          <w:highlight w:val="none"/>
        </w:rPr>
        <w:t>本工程量清单应与招标文件中的投标人须知、通用合同条款、专用合同条款、技术标准和要</w:t>
      </w:r>
      <w:r>
        <w:rPr>
          <w:rFonts w:ascii="宋体" w:hAnsi="宋体" w:eastAsia="宋体" w:cs="宋体"/>
          <w:color w:val="auto"/>
          <w:spacing w:val="-6"/>
          <w:sz w:val="24"/>
          <w:szCs w:val="24"/>
          <w:highlight w:val="none"/>
        </w:rPr>
        <w:t>求（合同技术条款）、图纸等一起阅读和理</w:t>
      </w:r>
      <w:r>
        <w:rPr>
          <w:rFonts w:ascii="宋体" w:hAnsi="宋体" w:eastAsia="宋体" w:cs="宋体"/>
          <w:color w:val="auto"/>
          <w:spacing w:val="-7"/>
          <w:sz w:val="24"/>
          <w:szCs w:val="24"/>
          <w:highlight w:val="none"/>
        </w:rPr>
        <w:t>解。</w:t>
      </w:r>
    </w:p>
    <w:p w14:paraId="46966D01">
      <w:pPr>
        <w:keepNext w:val="0"/>
        <w:keepLines w:val="0"/>
        <w:pageBreakBefore w:val="0"/>
        <w:kinsoku w:val="0"/>
        <w:overflowPunct/>
        <w:topLinePunct w:val="0"/>
        <w:autoSpaceDE w:val="0"/>
        <w:autoSpaceDN w:val="0"/>
        <w:bidi w:val="0"/>
        <w:adjustRightInd w:val="0"/>
        <w:snapToGrid w:val="0"/>
        <w:spacing w:before="158" w:line="360" w:lineRule="auto"/>
        <w:ind w:right="72" w:firstLine="437"/>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 xml:space="preserve">1.2 </w:t>
      </w:r>
      <w:r>
        <w:rPr>
          <w:rFonts w:ascii="宋体" w:hAnsi="宋体" w:eastAsia="宋体" w:cs="宋体"/>
          <w:color w:val="auto"/>
          <w:spacing w:val="-2"/>
          <w:sz w:val="24"/>
          <w:szCs w:val="24"/>
          <w:highlight w:val="none"/>
        </w:rPr>
        <w:t>工程量清单仅是投标人投标报价的共同基础。除另有约定外，工程量清单中的工程量是根据</w:t>
      </w:r>
      <w:r>
        <w:rPr>
          <w:rFonts w:ascii="宋体" w:hAnsi="宋体" w:eastAsia="宋体" w:cs="宋体"/>
          <w:color w:val="auto"/>
          <w:spacing w:val="1"/>
          <w:sz w:val="24"/>
          <w:szCs w:val="24"/>
          <w:highlight w:val="none"/>
        </w:rPr>
        <w:t>招标设计图纸按现行工程量清单计价规范和计量规则计算的用于投标报价的估算工</w:t>
      </w:r>
      <w:r>
        <w:rPr>
          <w:rFonts w:ascii="宋体" w:hAnsi="宋体" w:eastAsia="宋体" w:cs="宋体"/>
          <w:color w:val="auto"/>
          <w:sz w:val="24"/>
          <w:szCs w:val="24"/>
          <w:highlight w:val="none"/>
        </w:rPr>
        <w:t>程量，不作为最</w:t>
      </w:r>
      <w:r>
        <w:rPr>
          <w:rFonts w:ascii="宋体" w:hAnsi="宋体" w:eastAsia="宋体" w:cs="宋体"/>
          <w:color w:val="auto"/>
          <w:spacing w:val="-4"/>
          <w:sz w:val="24"/>
          <w:szCs w:val="24"/>
          <w:highlight w:val="none"/>
        </w:rPr>
        <w:t>终结算工程量。最终结算工程量是承包人实际完成并符合技术标准和要求（合同技术条款）、现行工</w:t>
      </w:r>
      <w:r>
        <w:rPr>
          <w:rFonts w:ascii="宋体" w:hAnsi="宋体" w:eastAsia="宋体" w:cs="宋体"/>
          <w:color w:val="auto"/>
          <w:spacing w:val="-1"/>
          <w:sz w:val="24"/>
          <w:szCs w:val="24"/>
          <w:highlight w:val="none"/>
        </w:rPr>
        <w:t>程量清单计价规范和计量规则等规定，按施工图纸计算的有效工程量。</w:t>
      </w:r>
    </w:p>
    <w:p w14:paraId="4AFDCCD2">
      <w:pPr>
        <w:keepNext w:val="0"/>
        <w:keepLines w:val="0"/>
        <w:pageBreakBefore w:val="0"/>
        <w:kinsoku w:val="0"/>
        <w:overflowPunct/>
        <w:topLinePunct w:val="0"/>
        <w:autoSpaceDE w:val="0"/>
        <w:autoSpaceDN w:val="0"/>
        <w:bidi w:val="0"/>
        <w:adjustRightInd w:val="0"/>
        <w:snapToGrid w:val="0"/>
        <w:spacing w:before="159" w:line="360" w:lineRule="auto"/>
        <w:ind w:left="4" w:right="72" w:firstLine="433"/>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 xml:space="preserve">1.3 </w:t>
      </w:r>
      <w:r>
        <w:rPr>
          <w:rFonts w:ascii="宋体" w:hAnsi="宋体" w:eastAsia="宋体" w:cs="宋体"/>
          <w:color w:val="auto"/>
          <w:spacing w:val="-2"/>
          <w:sz w:val="24"/>
          <w:szCs w:val="24"/>
          <w:highlight w:val="none"/>
        </w:rPr>
        <w:t>工程量清单中各项目的工作内容和要求应符合相关技术标准和要求（合同技术条款）以及现行工程量清单计价规范的规定。</w:t>
      </w:r>
    </w:p>
    <w:p w14:paraId="094EFF20">
      <w:pPr>
        <w:keepNext w:val="0"/>
        <w:keepLines w:val="0"/>
        <w:pageBreakBefore w:val="0"/>
        <w:kinsoku w:val="0"/>
        <w:overflowPunct/>
        <w:topLinePunct w:val="0"/>
        <w:autoSpaceDE w:val="0"/>
        <w:autoSpaceDN w:val="0"/>
        <w:bidi w:val="0"/>
        <w:adjustRightInd w:val="0"/>
        <w:snapToGrid w:val="0"/>
        <w:spacing w:before="158" w:line="360" w:lineRule="auto"/>
        <w:jc w:val="right"/>
        <w:textAlignment w:val="baseline"/>
        <w:rPr>
          <w:rFonts w:ascii="宋体" w:hAnsi="宋体" w:eastAsia="宋体" w:cs="宋体"/>
          <w:color w:val="auto"/>
          <w:spacing w:val="-5"/>
          <w:sz w:val="24"/>
          <w:szCs w:val="24"/>
          <w:highlight w:val="none"/>
        </w:rPr>
      </w:pPr>
      <w:r>
        <w:rPr>
          <w:rFonts w:ascii="Times New Roman" w:hAnsi="Times New Roman" w:eastAsia="Times New Roman" w:cs="Times New Roman"/>
          <w:color w:val="auto"/>
          <w:spacing w:val="-5"/>
          <w:sz w:val="24"/>
          <w:szCs w:val="24"/>
          <w:highlight w:val="none"/>
        </w:rPr>
        <w:t xml:space="preserve">1.4 </w:t>
      </w:r>
      <w:r>
        <w:rPr>
          <w:rFonts w:ascii="宋体" w:hAnsi="宋体" w:eastAsia="宋体" w:cs="宋体"/>
          <w:color w:val="auto"/>
          <w:spacing w:val="-5"/>
          <w:sz w:val="24"/>
          <w:szCs w:val="24"/>
          <w:highlight w:val="none"/>
        </w:rPr>
        <w:t>工程量清单中各项目的工作内容和要求应符合相关技术标准和要求（合同技术</w:t>
      </w:r>
    </w:p>
    <w:p w14:paraId="750F414B">
      <w:pPr>
        <w:keepNext w:val="0"/>
        <w:keepLines w:val="0"/>
        <w:pageBreakBefore w:val="0"/>
        <w:kinsoku w:val="0"/>
        <w:overflowPunct/>
        <w:topLinePunct w:val="0"/>
        <w:autoSpaceDE w:val="0"/>
        <w:autoSpaceDN w:val="0"/>
        <w:bidi w:val="0"/>
        <w:adjustRightInd w:val="0"/>
        <w:snapToGrid w:val="0"/>
        <w:spacing w:before="158"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条款）的规定。</w:t>
      </w:r>
    </w:p>
    <w:p w14:paraId="2BB8EA78">
      <w:pPr>
        <w:keepNext w:val="0"/>
        <w:keepLines w:val="0"/>
        <w:pageBreakBefore w:val="0"/>
        <w:kinsoku w:val="0"/>
        <w:overflowPunct/>
        <w:topLinePunct w:val="0"/>
        <w:autoSpaceDE w:val="0"/>
        <w:autoSpaceDN w:val="0"/>
        <w:bidi w:val="0"/>
        <w:adjustRightInd w:val="0"/>
        <w:snapToGrid w:val="0"/>
        <w:spacing w:before="157" w:line="360" w:lineRule="auto"/>
        <w:ind w:left="437"/>
        <w:textAlignment w:val="baseline"/>
        <w:outlineLvl w:val="9"/>
        <w:rPr>
          <w:rFonts w:ascii="宋体" w:hAnsi="宋体" w:eastAsia="宋体" w:cs="宋体"/>
          <w:color w:val="auto"/>
          <w:sz w:val="24"/>
          <w:szCs w:val="24"/>
          <w:highlight w:val="none"/>
        </w:rPr>
      </w:pPr>
      <w:bookmarkStart w:id="377" w:name="_Toc3160"/>
      <w:bookmarkStart w:id="378" w:name="_Toc26344"/>
      <w:r>
        <w:rPr>
          <w:rFonts w:ascii="Times New Roman" w:hAnsi="Times New Roman" w:eastAsia="Times New Roman" w:cs="Times New Roman"/>
          <w:color w:val="auto"/>
          <w:spacing w:val="-1"/>
          <w:sz w:val="24"/>
          <w:szCs w:val="24"/>
          <w:highlight w:val="none"/>
        </w:rPr>
        <w:t xml:space="preserve">1.5 </w:t>
      </w:r>
      <w:r>
        <w:rPr>
          <w:rFonts w:ascii="宋体" w:hAnsi="宋体" w:eastAsia="宋体" w:cs="宋体"/>
          <w:color w:val="auto"/>
          <w:spacing w:val="-1"/>
          <w:sz w:val="24"/>
          <w:szCs w:val="24"/>
          <w:highlight w:val="none"/>
        </w:rPr>
        <w:t>工程价款的支付遵循第四章合同条款的相关约定。</w:t>
      </w:r>
      <w:bookmarkEnd w:id="377"/>
      <w:bookmarkEnd w:id="378"/>
    </w:p>
    <w:p w14:paraId="729FB4E9">
      <w:pPr>
        <w:keepNext w:val="0"/>
        <w:keepLines w:val="0"/>
        <w:pageBreakBefore w:val="0"/>
        <w:kinsoku w:val="0"/>
        <w:overflowPunct/>
        <w:topLinePunct w:val="0"/>
        <w:autoSpaceDE w:val="0"/>
        <w:autoSpaceDN w:val="0"/>
        <w:bidi w:val="0"/>
        <w:adjustRightInd w:val="0"/>
        <w:snapToGrid w:val="0"/>
        <w:spacing w:before="296" w:line="360" w:lineRule="auto"/>
        <w:ind w:left="8"/>
        <w:textAlignment w:val="baseline"/>
        <w:outlineLvl w:val="1"/>
        <w:rPr>
          <w:rFonts w:ascii="宋体" w:hAnsi="宋体" w:eastAsia="宋体" w:cs="宋体"/>
          <w:color w:val="auto"/>
          <w:sz w:val="31"/>
          <w:szCs w:val="31"/>
          <w:highlight w:val="none"/>
        </w:rPr>
      </w:pPr>
      <w:bookmarkStart w:id="379" w:name="bookmark274"/>
      <w:bookmarkEnd w:id="379"/>
      <w:bookmarkStart w:id="380" w:name="_Toc16671"/>
      <w:r>
        <w:rPr>
          <w:rFonts w:ascii="宋体" w:hAnsi="宋体" w:eastAsia="宋体" w:cs="宋体"/>
          <w:b/>
          <w:bCs/>
          <w:color w:val="auto"/>
          <w:spacing w:val="4"/>
          <w:sz w:val="31"/>
          <w:szCs w:val="31"/>
          <w:highlight w:val="none"/>
        </w:rPr>
        <w:t>2.投标报价说明</w:t>
      </w:r>
      <w:bookmarkEnd w:id="380"/>
    </w:p>
    <w:p w14:paraId="30FF254C">
      <w:pPr>
        <w:keepNext w:val="0"/>
        <w:keepLines w:val="0"/>
        <w:pageBreakBefore w:val="0"/>
        <w:kinsoku w:val="0"/>
        <w:overflowPunct/>
        <w:topLinePunct w:val="0"/>
        <w:autoSpaceDE w:val="0"/>
        <w:autoSpaceDN w:val="0"/>
        <w:bidi w:val="0"/>
        <w:adjustRightInd w:val="0"/>
        <w:snapToGrid w:val="0"/>
        <w:spacing w:before="158" w:line="360" w:lineRule="auto"/>
        <w:ind w:right="72" w:firstLine="437"/>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2.1 工程量清单报价表组成见招标人发布的工程量清单。</w:t>
      </w:r>
    </w:p>
    <w:p w14:paraId="144FF480">
      <w:pPr>
        <w:keepNext w:val="0"/>
        <w:keepLines w:val="0"/>
        <w:pageBreakBefore w:val="0"/>
        <w:kinsoku w:val="0"/>
        <w:overflowPunct/>
        <w:topLinePunct w:val="0"/>
        <w:autoSpaceDE w:val="0"/>
        <w:autoSpaceDN w:val="0"/>
        <w:bidi w:val="0"/>
        <w:adjustRightInd w:val="0"/>
        <w:snapToGrid w:val="0"/>
        <w:spacing w:before="158" w:line="360" w:lineRule="auto"/>
        <w:ind w:right="72" w:firstLine="437"/>
        <w:textAlignment w:val="baseline"/>
        <w:rPr>
          <w:rFonts w:ascii="Arial"/>
          <w:color w:val="auto"/>
          <w:sz w:val="24"/>
          <w:szCs w:val="24"/>
          <w:highlight w:val="none"/>
        </w:rPr>
      </w:pPr>
      <w:r>
        <w:rPr>
          <w:rFonts w:ascii="宋体" w:hAnsi="宋体" w:eastAsia="宋体" w:cs="宋体"/>
          <w:color w:val="auto"/>
          <w:sz w:val="24"/>
          <w:szCs w:val="24"/>
          <w:highlight w:val="none"/>
        </w:rPr>
        <w:t>2.2  工程量清单报价表填写规定</w:t>
      </w:r>
    </w:p>
    <w:p w14:paraId="3B215D51">
      <w:pPr>
        <w:keepNext w:val="0"/>
        <w:keepLines w:val="0"/>
        <w:pageBreakBefore w:val="0"/>
        <w:kinsoku w:val="0"/>
        <w:overflowPunct/>
        <w:topLinePunct w:val="0"/>
        <w:autoSpaceDE w:val="0"/>
        <w:autoSpaceDN w:val="0"/>
        <w:bidi w:val="0"/>
        <w:adjustRightInd w:val="0"/>
        <w:snapToGrid w:val="0"/>
        <w:spacing w:before="102" w:line="360" w:lineRule="auto"/>
        <w:ind w:left="11"/>
        <w:textAlignment w:val="baseline"/>
        <w:outlineLvl w:val="1"/>
        <w:rPr>
          <w:rFonts w:ascii="宋体" w:hAnsi="宋体" w:eastAsia="宋体" w:cs="宋体"/>
          <w:color w:val="auto"/>
          <w:sz w:val="31"/>
          <w:szCs w:val="31"/>
          <w:highlight w:val="none"/>
        </w:rPr>
      </w:pPr>
      <w:bookmarkStart w:id="381" w:name="bookmark275"/>
      <w:bookmarkEnd w:id="381"/>
      <w:bookmarkStart w:id="382" w:name="_Toc22062"/>
      <w:r>
        <w:rPr>
          <w:rFonts w:ascii="宋体" w:hAnsi="宋体" w:eastAsia="宋体" w:cs="宋体"/>
          <w:b/>
          <w:bCs/>
          <w:color w:val="auto"/>
          <w:spacing w:val="3"/>
          <w:sz w:val="31"/>
          <w:szCs w:val="31"/>
          <w:highlight w:val="none"/>
        </w:rPr>
        <w:t>3.其他说明</w:t>
      </w:r>
      <w:bookmarkEnd w:id="382"/>
    </w:p>
    <w:p w14:paraId="5A809D9F">
      <w:pPr>
        <w:keepNext w:val="0"/>
        <w:keepLines w:val="0"/>
        <w:pageBreakBefore w:val="0"/>
        <w:kinsoku w:val="0"/>
        <w:overflowPunct/>
        <w:topLinePunct w:val="0"/>
        <w:autoSpaceDE w:val="0"/>
        <w:autoSpaceDN w:val="0"/>
        <w:bidi w:val="0"/>
        <w:adjustRightInd w:val="0"/>
        <w:snapToGrid w:val="0"/>
        <w:spacing w:before="128" w:line="360" w:lineRule="auto"/>
        <w:ind w:left="421"/>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1"/>
          <w:sz w:val="24"/>
          <w:szCs w:val="24"/>
          <w:highlight w:val="none"/>
        </w:rPr>
        <w:t xml:space="preserve">3.1 </w:t>
      </w:r>
      <w:r>
        <w:rPr>
          <w:rFonts w:ascii="宋体" w:hAnsi="宋体" w:eastAsia="宋体" w:cs="宋体"/>
          <w:color w:val="auto"/>
          <w:spacing w:val="-1"/>
          <w:sz w:val="24"/>
          <w:szCs w:val="24"/>
          <w:highlight w:val="none"/>
        </w:rPr>
        <w:t>广域网考勤产生的相关费用，由中标人承担，含在投标总报价中，不单独计列。</w:t>
      </w:r>
    </w:p>
    <w:p w14:paraId="534894BD">
      <w:pPr>
        <w:keepNext w:val="0"/>
        <w:keepLines w:val="0"/>
        <w:pageBreakBefore w:val="0"/>
        <w:kinsoku w:val="0"/>
        <w:overflowPunct/>
        <w:topLinePunct w:val="0"/>
        <w:autoSpaceDE w:val="0"/>
        <w:autoSpaceDN w:val="0"/>
        <w:bidi w:val="0"/>
        <w:adjustRightInd w:val="0"/>
        <w:snapToGrid w:val="0"/>
        <w:spacing w:before="158" w:line="360" w:lineRule="auto"/>
        <w:ind w:left="3" w:right="72" w:firstLine="417"/>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1"/>
          <w:sz w:val="24"/>
          <w:szCs w:val="24"/>
          <w:highlight w:val="none"/>
        </w:rPr>
        <w:t xml:space="preserve">3.2 </w:t>
      </w:r>
      <w:r>
        <w:rPr>
          <w:rFonts w:ascii="宋体" w:hAnsi="宋体" w:eastAsia="宋体" w:cs="宋体"/>
          <w:color w:val="auto"/>
          <w:spacing w:val="-1"/>
          <w:sz w:val="24"/>
          <w:szCs w:val="24"/>
          <w:highlight w:val="none"/>
        </w:rPr>
        <w:t>招标代理服务费、工程量清单和控</w:t>
      </w:r>
      <w:r>
        <w:rPr>
          <w:rFonts w:ascii="宋体" w:hAnsi="宋体" w:eastAsia="宋体" w:cs="宋体"/>
          <w:color w:val="auto"/>
          <w:spacing w:val="-2"/>
          <w:sz w:val="24"/>
          <w:szCs w:val="24"/>
          <w:highlight w:val="none"/>
        </w:rPr>
        <w:t>制价编制费约定由中标人支付的，该部分费用应当包含在</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投标报价的单价、合价与总价中，投标人无需单独报价。</w:t>
      </w:r>
    </w:p>
    <w:p w14:paraId="4FCDDFC5">
      <w:pPr>
        <w:keepNext w:val="0"/>
        <w:keepLines w:val="0"/>
        <w:pageBreakBefore w:val="0"/>
        <w:kinsoku w:val="0"/>
        <w:overflowPunct/>
        <w:topLinePunct w:val="0"/>
        <w:autoSpaceDE w:val="0"/>
        <w:autoSpaceDN w:val="0"/>
        <w:bidi w:val="0"/>
        <w:adjustRightInd w:val="0"/>
        <w:snapToGrid w:val="0"/>
        <w:spacing w:before="294" w:line="360" w:lineRule="auto"/>
        <w:ind w:left="3"/>
        <w:textAlignment w:val="baseline"/>
        <w:outlineLvl w:val="1"/>
        <w:rPr>
          <w:rFonts w:ascii="宋体" w:hAnsi="宋体" w:eastAsia="宋体" w:cs="宋体"/>
          <w:color w:val="auto"/>
          <w:sz w:val="31"/>
          <w:szCs w:val="31"/>
          <w:highlight w:val="none"/>
        </w:rPr>
      </w:pPr>
      <w:bookmarkStart w:id="383" w:name="bookmark276"/>
      <w:bookmarkEnd w:id="383"/>
      <w:bookmarkStart w:id="384" w:name="_Toc9225"/>
      <w:r>
        <w:rPr>
          <w:rFonts w:ascii="宋体" w:hAnsi="宋体" w:eastAsia="宋体" w:cs="宋体"/>
          <w:b/>
          <w:bCs/>
          <w:color w:val="auto"/>
          <w:spacing w:val="5"/>
          <w:sz w:val="31"/>
          <w:szCs w:val="31"/>
          <w:highlight w:val="none"/>
        </w:rPr>
        <w:t>4.工程量清单</w:t>
      </w:r>
      <w:bookmarkEnd w:id="384"/>
    </w:p>
    <w:p w14:paraId="731BBA8C">
      <w:pPr>
        <w:keepNext w:val="0"/>
        <w:keepLines w:val="0"/>
        <w:pageBreakBefore w:val="0"/>
        <w:widowControl w:val="0"/>
        <w:suppressLineNumbers w:val="0"/>
        <w:kinsoku w:val="0"/>
        <w:wordWrap w:val="0"/>
        <w:overflowPunct/>
        <w:topLinePunct w:val="0"/>
        <w:autoSpaceDE w:val="0"/>
        <w:autoSpaceDN w:val="0"/>
        <w:bidi w:val="0"/>
        <w:adjustRightInd w:val="0"/>
        <w:snapToGrid w:val="0"/>
        <w:spacing w:before="0" w:beforeAutospacing="0" w:after="0" w:afterAutospacing="0" w:line="360" w:lineRule="auto"/>
        <w:ind w:right="0" w:firstLine="281" w:firstLineChars="100"/>
        <w:jc w:val="both"/>
        <w:textAlignment w:val="baseline"/>
        <w:rPr>
          <w:rFonts w:ascii="宋体" w:hAnsi="宋体" w:eastAsia="宋体" w:cs="宋体"/>
          <w:b/>
          <w:bCs/>
          <w:color w:val="auto"/>
          <w:spacing w:val="-2"/>
          <w:sz w:val="43"/>
          <w:szCs w:val="43"/>
          <w:highlight w:val="none"/>
        </w:rPr>
      </w:pPr>
      <w:r>
        <w:rPr>
          <w:rFonts w:hint="eastAsia" w:ascii="Times New Roman" w:hAnsi="Times New Roman" w:eastAsia="宋体" w:cs="宋体"/>
          <w:b/>
          <w:bCs w:val="0"/>
          <w:snapToGrid w:val="0"/>
          <w:color w:val="auto"/>
          <w:kern w:val="2"/>
          <w:sz w:val="28"/>
          <w:szCs w:val="28"/>
          <w:highlight w:val="none"/>
          <w:lang w:val="en-US" w:eastAsia="zh-CN" w:bidi="ar"/>
        </w:rPr>
        <w:t>工程量清单格式和内容以招标人提供的工程量清单为准，请投标人自行登录系统下载本项目附件。</w:t>
      </w:r>
      <w:bookmarkStart w:id="385" w:name="bookmark277"/>
      <w:bookmarkEnd w:id="385"/>
    </w:p>
    <w:p w14:paraId="4B7BBC0D">
      <w:pPr>
        <w:rPr>
          <w:rFonts w:ascii="宋体" w:hAnsi="宋体" w:eastAsia="宋体" w:cs="宋体"/>
          <w:b/>
          <w:bCs/>
          <w:color w:val="auto"/>
          <w:spacing w:val="-2"/>
          <w:sz w:val="43"/>
          <w:szCs w:val="43"/>
          <w:highlight w:val="none"/>
        </w:rPr>
      </w:pPr>
      <w:bookmarkStart w:id="386" w:name="_Toc27858"/>
      <w:r>
        <w:rPr>
          <w:rFonts w:ascii="宋体" w:hAnsi="宋体" w:eastAsia="宋体" w:cs="宋体"/>
          <w:b/>
          <w:bCs/>
          <w:color w:val="auto"/>
          <w:spacing w:val="-2"/>
          <w:sz w:val="43"/>
          <w:szCs w:val="43"/>
          <w:highlight w:val="none"/>
        </w:rPr>
        <w:br w:type="page"/>
      </w:r>
    </w:p>
    <w:p w14:paraId="32AC257B">
      <w:pPr>
        <w:spacing w:before="87" w:line="223" w:lineRule="auto"/>
        <w:ind w:left="2297"/>
        <w:outlineLvl w:val="0"/>
        <w:rPr>
          <w:rFonts w:ascii="宋体" w:hAnsi="宋体" w:eastAsia="宋体" w:cs="宋体"/>
          <w:color w:val="auto"/>
          <w:sz w:val="43"/>
          <w:szCs w:val="43"/>
          <w:highlight w:val="none"/>
        </w:rPr>
      </w:pPr>
      <w:r>
        <w:rPr>
          <w:rFonts w:ascii="宋体" w:hAnsi="宋体" w:eastAsia="宋体" w:cs="宋体"/>
          <w:b/>
          <w:bCs/>
          <w:color w:val="auto"/>
          <w:spacing w:val="-2"/>
          <w:sz w:val="43"/>
          <w:szCs w:val="43"/>
          <w:highlight w:val="none"/>
        </w:rPr>
        <w:t>第六章</w:t>
      </w:r>
      <w:r>
        <w:rPr>
          <w:rFonts w:ascii="宋体" w:hAnsi="宋体" w:eastAsia="宋体" w:cs="宋体"/>
          <w:color w:val="auto"/>
          <w:spacing w:val="70"/>
          <w:sz w:val="43"/>
          <w:szCs w:val="43"/>
          <w:highlight w:val="none"/>
        </w:rPr>
        <w:t xml:space="preserve"> </w:t>
      </w:r>
      <w:r>
        <w:rPr>
          <w:rFonts w:ascii="宋体" w:hAnsi="宋体" w:eastAsia="宋体" w:cs="宋体"/>
          <w:b/>
          <w:bCs/>
          <w:color w:val="auto"/>
          <w:spacing w:val="-2"/>
          <w:sz w:val="43"/>
          <w:szCs w:val="43"/>
          <w:highlight w:val="none"/>
        </w:rPr>
        <w:t>图纸（招标图纸）</w:t>
      </w:r>
      <w:bookmarkEnd w:id="386"/>
    </w:p>
    <w:p w14:paraId="31006D53">
      <w:pPr>
        <w:spacing w:before="63" w:line="226" w:lineRule="auto"/>
        <w:ind w:left="3677"/>
        <w:rPr>
          <w:rFonts w:ascii="宋体" w:hAnsi="宋体" w:eastAsia="宋体" w:cs="宋体"/>
          <w:color w:val="auto"/>
          <w:sz w:val="31"/>
          <w:szCs w:val="31"/>
          <w:highlight w:val="none"/>
        </w:rPr>
      </w:pPr>
      <w:bookmarkStart w:id="387" w:name="bookmark278"/>
      <w:bookmarkEnd w:id="387"/>
      <w:r>
        <w:rPr>
          <w:rFonts w:ascii="宋体" w:hAnsi="宋体" w:eastAsia="宋体" w:cs="宋体"/>
          <w:b/>
          <w:bCs/>
          <w:color w:val="auto"/>
          <w:sz w:val="31"/>
          <w:szCs w:val="31"/>
          <w:highlight w:val="none"/>
        </w:rPr>
        <w:t>1.</w:t>
      </w:r>
      <w:r>
        <w:rPr>
          <w:rFonts w:ascii="宋体" w:hAnsi="宋体" w:eastAsia="宋体" w:cs="宋体"/>
          <w:color w:val="auto"/>
          <w:spacing w:val="23"/>
          <w:sz w:val="31"/>
          <w:szCs w:val="31"/>
          <w:highlight w:val="none"/>
        </w:rPr>
        <w:t xml:space="preserve"> </w:t>
      </w:r>
      <w:r>
        <w:rPr>
          <w:rFonts w:ascii="宋体" w:hAnsi="宋体" w:eastAsia="宋体" w:cs="宋体"/>
          <w:b/>
          <w:bCs/>
          <w:color w:val="auto"/>
          <w:sz w:val="31"/>
          <w:szCs w:val="31"/>
          <w:highlight w:val="none"/>
        </w:rPr>
        <w:t>招标图纸目录</w:t>
      </w:r>
    </w:p>
    <w:p w14:paraId="508350E2">
      <w:pPr>
        <w:spacing w:before="6"/>
        <w:rPr>
          <w:color w:val="auto"/>
          <w:highlight w:val="none"/>
        </w:rPr>
      </w:pPr>
    </w:p>
    <w:p w14:paraId="6E36CF54">
      <w:pPr>
        <w:spacing w:before="6"/>
        <w:rPr>
          <w:color w:val="auto"/>
          <w:highlight w:val="none"/>
        </w:rPr>
      </w:pPr>
    </w:p>
    <w:tbl>
      <w:tblPr>
        <w:tblStyle w:val="29"/>
        <w:tblW w:w="9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9"/>
        <w:gridCol w:w="1545"/>
        <w:gridCol w:w="1547"/>
        <w:gridCol w:w="1548"/>
        <w:gridCol w:w="1547"/>
        <w:gridCol w:w="1447"/>
      </w:tblGrid>
      <w:tr w14:paraId="0D037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429" w:type="dxa"/>
            <w:vAlign w:val="top"/>
          </w:tcPr>
          <w:p w14:paraId="5BE5972A">
            <w:pPr>
              <w:pStyle w:val="30"/>
              <w:spacing w:before="279" w:line="222" w:lineRule="auto"/>
              <w:ind w:left="508"/>
              <w:rPr>
                <w:color w:val="auto"/>
                <w:highlight w:val="none"/>
              </w:rPr>
            </w:pPr>
            <w:r>
              <w:rPr>
                <w:color w:val="auto"/>
                <w:spacing w:val="-2"/>
                <w:highlight w:val="none"/>
              </w:rPr>
              <w:t>序号</w:t>
            </w:r>
          </w:p>
        </w:tc>
        <w:tc>
          <w:tcPr>
            <w:tcW w:w="1545" w:type="dxa"/>
            <w:vAlign w:val="top"/>
          </w:tcPr>
          <w:p w14:paraId="0B038C82">
            <w:pPr>
              <w:pStyle w:val="30"/>
              <w:spacing w:before="279" w:line="222" w:lineRule="auto"/>
              <w:ind w:left="586"/>
              <w:rPr>
                <w:color w:val="auto"/>
                <w:highlight w:val="none"/>
              </w:rPr>
            </w:pPr>
            <w:r>
              <w:rPr>
                <w:color w:val="auto"/>
                <w:spacing w:val="-7"/>
                <w:highlight w:val="none"/>
              </w:rPr>
              <w:t>图名</w:t>
            </w:r>
          </w:p>
        </w:tc>
        <w:tc>
          <w:tcPr>
            <w:tcW w:w="1547" w:type="dxa"/>
            <w:vAlign w:val="top"/>
          </w:tcPr>
          <w:p w14:paraId="0A3821F6">
            <w:pPr>
              <w:pStyle w:val="30"/>
              <w:spacing w:before="279" w:line="222" w:lineRule="auto"/>
              <w:ind w:left="590"/>
              <w:rPr>
                <w:color w:val="auto"/>
                <w:highlight w:val="none"/>
              </w:rPr>
            </w:pPr>
            <w:r>
              <w:rPr>
                <w:color w:val="auto"/>
                <w:spacing w:val="-7"/>
                <w:highlight w:val="none"/>
              </w:rPr>
              <w:t>图号</w:t>
            </w:r>
          </w:p>
        </w:tc>
        <w:tc>
          <w:tcPr>
            <w:tcW w:w="1548" w:type="dxa"/>
            <w:vAlign w:val="top"/>
          </w:tcPr>
          <w:p w14:paraId="1CB09586">
            <w:pPr>
              <w:pStyle w:val="30"/>
              <w:spacing w:before="279" w:line="220" w:lineRule="auto"/>
              <w:ind w:left="571"/>
              <w:rPr>
                <w:color w:val="auto"/>
                <w:highlight w:val="none"/>
              </w:rPr>
            </w:pPr>
            <w:r>
              <w:rPr>
                <w:color w:val="auto"/>
                <w:spacing w:val="-2"/>
                <w:highlight w:val="none"/>
              </w:rPr>
              <w:t>版本</w:t>
            </w:r>
          </w:p>
        </w:tc>
        <w:tc>
          <w:tcPr>
            <w:tcW w:w="1547" w:type="dxa"/>
            <w:vAlign w:val="top"/>
          </w:tcPr>
          <w:p w14:paraId="4231E775">
            <w:pPr>
              <w:pStyle w:val="30"/>
              <w:spacing w:before="279" w:line="221" w:lineRule="auto"/>
              <w:ind w:left="378"/>
              <w:rPr>
                <w:color w:val="auto"/>
                <w:highlight w:val="none"/>
              </w:rPr>
            </w:pPr>
            <w:r>
              <w:rPr>
                <w:color w:val="auto"/>
                <w:spacing w:val="-6"/>
                <w:highlight w:val="none"/>
              </w:rPr>
              <w:t>出图日期</w:t>
            </w:r>
          </w:p>
        </w:tc>
        <w:tc>
          <w:tcPr>
            <w:tcW w:w="1447" w:type="dxa"/>
            <w:vAlign w:val="top"/>
          </w:tcPr>
          <w:p w14:paraId="3B089BFC">
            <w:pPr>
              <w:pStyle w:val="30"/>
              <w:spacing w:before="279" w:line="222" w:lineRule="auto"/>
              <w:ind w:left="520"/>
              <w:rPr>
                <w:color w:val="auto"/>
                <w:highlight w:val="none"/>
              </w:rPr>
            </w:pPr>
            <w:r>
              <w:rPr>
                <w:color w:val="auto"/>
                <w:spacing w:val="-3"/>
                <w:highlight w:val="none"/>
              </w:rPr>
              <w:t>备注</w:t>
            </w:r>
          </w:p>
        </w:tc>
      </w:tr>
      <w:tr w14:paraId="45EAE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429" w:type="dxa"/>
            <w:vAlign w:val="top"/>
          </w:tcPr>
          <w:p w14:paraId="2D988E0C">
            <w:pPr>
              <w:rPr>
                <w:rFonts w:ascii="Arial"/>
                <w:color w:val="auto"/>
                <w:sz w:val="21"/>
                <w:highlight w:val="none"/>
              </w:rPr>
            </w:pPr>
          </w:p>
        </w:tc>
        <w:tc>
          <w:tcPr>
            <w:tcW w:w="1545" w:type="dxa"/>
            <w:vAlign w:val="top"/>
          </w:tcPr>
          <w:p w14:paraId="4E0CF3C2">
            <w:pPr>
              <w:rPr>
                <w:rFonts w:ascii="Arial"/>
                <w:color w:val="auto"/>
                <w:sz w:val="21"/>
                <w:highlight w:val="none"/>
              </w:rPr>
            </w:pPr>
          </w:p>
        </w:tc>
        <w:tc>
          <w:tcPr>
            <w:tcW w:w="1547" w:type="dxa"/>
            <w:vAlign w:val="top"/>
          </w:tcPr>
          <w:p w14:paraId="464325F7">
            <w:pPr>
              <w:rPr>
                <w:rFonts w:ascii="Arial"/>
                <w:color w:val="auto"/>
                <w:sz w:val="21"/>
                <w:highlight w:val="none"/>
              </w:rPr>
            </w:pPr>
          </w:p>
        </w:tc>
        <w:tc>
          <w:tcPr>
            <w:tcW w:w="1548" w:type="dxa"/>
            <w:vAlign w:val="top"/>
          </w:tcPr>
          <w:p w14:paraId="1B00CC52">
            <w:pPr>
              <w:rPr>
                <w:rFonts w:ascii="Arial"/>
                <w:color w:val="auto"/>
                <w:sz w:val="21"/>
                <w:highlight w:val="none"/>
              </w:rPr>
            </w:pPr>
          </w:p>
        </w:tc>
        <w:tc>
          <w:tcPr>
            <w:tcW w:w="1547" w:type="dxa"/>
            <w:vAlign w:val="top"/>
          </w:tcPr>
          <w:p w14:paraId="165D3D68">
            <w:pPr>
              <w:rPr>
                <w:rFonts w:ascii="Arial"/>
                <w:color w:val="auto"/>
                <w:sz w:val="21"/>
                <w:highlight w:val="none"/>
              </w:rPr>
            </w:pPr>
          </w:p>
        </w:tc>
        <w:tc>
          <w:tcPr>
            <w:tcW w:w="1447" w:type="dxa"/>
            <w:vAlign w:val="top"/>
          </w:tcPr>
          <w:p w14:paraId="24C79FC8">
            <w:pPr>
              <w:rPr>
                <w:rFonts w:ascii="Arial"/>
                <w:color w:val="auto"/>
                <w:sz w:val="21"/>
                <w:highlight w:val="none"/>
              </w:rPr>
            </w:pPr>
          </w:p>
        </w:tc>
      </w:tr>
      <w:tr w14:paraId="78E09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1ECF4841">
            <w:pPr>
              <w:rPr>
                <w:rFonts w:ascii="Arial"/>
                <w:color w:val="auto"/>
                <w:sz w:val="21"/>
                <w:highlight w:val="none"/>
              </w:rPr>
            </w:pPr>
          </w:p>
        </w:tc>
        <w:tc>
          <w:tcPr>
            <w:tcW w:w="1545" w:type="dxa"/>
            <w:vAlign w:val="top"/>
          </w:tcPr>
          <w:p w14:paraId="1667A2A4">
            <w:pPr>
              <w:rPr>
                <w:rFonts w:ascii="Arial"/>
                <w:color w:val="auto"/>
                <w:sz w:val="21"/>
                <w:highlight w:val="none"/>
              </w:rPr>
            </w:pPr>
          </w:p>
        </w:tc>
        <w:tc>
          <w:tcPr>
            <w:tcW w:w="1547" w:type="dxa"/>
            <w:vAlign w:val="top"/>
          </w:tcPr>
          <w:p w14:paraId="7184DE35">
            <w:pPr>
              <w:rPr>
                <w:rFonts w:ascii="Arial"/>
                <w:color w:val="auto"/>
                <w:sz w:val="21"/>
                <w:highlight w:val="none"/>
              </w:rPr>
            </w:pPr>
          </w:p>
        </w:tc>
        <w:tc>
          <w:tcPr>
            <w:tcW w:w="1548" w:type="dxa"/>
            <w:vAlign w:val="top"/>
          </w:tcPr>
          <w:p w14:paraId="12C80255">
            <w:pPr>
              <w:rPr>
                <w:rFonts w:ascii="Arial"/>
                <w:color w:val="auto"/>
                <w:sz w:val="21"/>
                <w:highlight w:val="none"/>
              </w:rPr>
            </w:pPr>
          </w:p>
        </w:tc>
        <w:tc>
          <w:tcPr>
            <w:tcW w:w="1547" w:type="dxa"/>
            <w:vAlign w:val="top"/>
          </w:tcPr>
          <w:p w14:paraId="17AAEBB8">
            <w:pPr>
              <w:rPr>
                <w:rFonts w:ascii="Arial"/>
                <w:color w:val="auto"/>
                <w:sz w:val="21"/>
                <w:highlight w:val="none"/>
              </w:rPr>
            </w:pPr>
          </w:p>
        </w:tc>
        <w:tc>
          <w:tcPr>
            <w:tcW w:w="1447" w:type="dxa"/>
            <w:vAlign w:val="top"/>
          </w:tcPr>
          <w:p w14:paraId="76C2EC8D">
            <w:pPr>
              <w:rPr>
                <w:rFonts w:ascii="Arial"/>
                <w:color w:val="auto"/>
                <w:sz w:val="21"/>
                <w:highlight w:val="none"/>
              </w:rPr>
            </w:pPr>
          </w:p>
        </w:tc>
      </w:tr>
      <w:tr w14:paraId="57B54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20DCA31F">
            <w:pPr>
              <w:rPr>
                <w:rFonts w:ascii="Arial"/>
                <w:color w:val="auto"/>
                <w:sz w:val="21"/>
                <w:highlight w:val="none"/>
              </w:rPr>
            </w:pPr>
          </w:p>
        </w:tc>
        <w:tc>
          <w:tcPr>
            <w:tcW w:w="1545" w:type="dxa"/>
            <w:vAlign w:val="top"/>
          </w:tcPr>
          <w:p w14:paraId="1D45A795">
            <w:pPr>
              <w:rPr>
                <w:rFonts w:ascii="Arial"/>
                <w:color w:val="auto"/>
                <w:sz w:val="21"/>
                <w:highlight w:val="none"/>
              </w:rPr>
            </w:pPr>
          </w:p>
        </w:tc>
        <w:tc>
          <w:tcPr>
            <w:tcW w:w="1547" w:type="dxa"/>
            <w:vAlign w:val="top"/>
          </w:tcPr>
          <w:p w14:paraId="6F269AE0">
            <w:pPr>
              <w:rPr>
                <w:rFonts w:ascii="Arial"/>
                <w:color w:val="auto"/>
                <w:sz w:val="21"/>
                <w:highlight w:val="none"/>
              </w:rPr>
            </w:pPr>
          </w:p>
        </w:tc>
        <w:tc>
          <w:tcPr>
            <w:tcW w:w="1548" w:type="dxa"/>
            <w:vAlign w:val="top"/>
          </w:tcPr>
          <w:p w14:paraId="10C4777D">
            <w:pPr>
              <w:rPr>
                <w:rFonts w:ascii="Arial"/>
                <w:color w:val="auto"/>
                <w:sz w:val="21"/>
                <w:highlight w:val="none"/>
              </w:rPr>
            </w:pPr>
          </w:p>
        </w:tc>
        <w:tc>
          <w:tcPr>
            <w:tcW w:w="1547" w:type="dxa"/>
            <w:vAlign w:val="top"/>
          </w:tcPr>
          <w:p w14:paraId="1EC17F9A">
            <w:pPr>
              <w:rPr>
                <w:rFonts w:ascii="Arial"/>
                <w:color w:val="auto"/>
                <w:sz w:val="21"/>
                <w:highlight w:val="none"/>
              </w:rPr>
            </w:pPr>
          </w:p>
        </w:tc>
        <w:tc>
          <w:tcPr>
            <w:tcW w:w="1447" w:type="dxa"/>
            <w:vAlign w:val="top"/>
          </w:tcPr>
          <w:p w14:paraId="2D64B233">
            <w:pPr>
              <w:rPr>
                <w:rFonts w:ascii="Arial"/>
                <w:color w:val="auto"/>
                <w:sz w:val="21"/>
                <w:highlight w:val="none"/>
              </w:rPr>
            </w:pPr>
          </w:p>
        </w:tc>
      </w:tr>
      <w:tr w14:paraId="6AE73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429" w:type="dxa"/>
            <w:vAlign w:val="top"/>
          </w:tcPr>
          <w:p w14:paraId="08F395D7">
            <w:pPr>
              <w:rPr>
                <w:rFonts w:ascii="Arial"/>
                <w:color w:val="auto"/>
                <w:sz w:val="21"/>
                <w:highlight w:val="none"/>
              </w:rPr>
            </w:pPr>
          </w:p>
        </w:tc>
        <w:tc>
          <w:tcPr>
            <w:tcW w:w="1545" w:type="dxa"/>
            <w:vAlign w:val="top"/>
          </w:tcPr>
          <w:p w14:paraId="54DA5092">
            <w:pPr>
              <w:rPr>
                <w:rFonts w:ascii="Arial"/>
                <w:color w:val="auto"/>
                <w:sz w:val="21"/>
                <w:highlight w:val="none"/>
              </w:rPr>
            </w:pPr>
          </w:p>
        </w:tc>
        <w:tc>
          <w:tcPr>
            <w:tcW w:w="1547" w:type="dxa"/>
            <w:vAlign w:val="top"/>
          </w:tcPr>
          <w:p w14:paraId="519DE5AC">
            <w:pPr>
              <w:rPr>
                <w:rFonts w:ascii="Arial"/>
                <w:color w:val="auto"/>
                <w:sz w:val="21"/>
                <w:highlight w:val="none"/>
              </w:rPr>
            </w:pPr>
          </w:p>
        </w:tc>
        <w:tc>
          <w:tcPr>
            <w:tcW w:w="1548" w:type="dxa"/>
            <w:vAlign w:val="top"/>
          </w:tcPr>
          <w:p w14:paraId="3080CC9B">
            <w:pPr>
              <w:rPr>
                <w:rFonts w:ascii="Arial"/>
                <w:color w:val="auto"/>
                <w:sz w:val="21"/>
                <w:highlight w:val="none"/>
              </w:rPr>
            </w:pPr>
          </w:p>
        </w:tc>
        <w:tc>
          <w:tcPr>
            <w:tcW w:w="1547" w:type="dxa"/>
            <w:vAlign w:val="top"/>
          </w:tcPr>
          <w:p w14:paraId="0C0D2B30">
            <w:pPr>
              <w:rPr>
                <w:rFonts w:ascii="Arial"/>
                <w:color w:val="auto"/>
                <w:sz w:val="21"/>
                <w:highlight w:val="none"/>
              </w:rPr>
            </w:pPr>
          </w:p>
        </w:tc>
        <w:tc>
          <w:tcPr>
            <w:tcW w:w="1447" w:type="dxa"/>
            <w:vAlign w:val="top"/>
          </w:tcPr>
          <w:p w14:paraId="09884F8A">
            <w:pPr>
              <w:rPr>
                <w:rFonts w:ascii="Arial"/>
                <w:color w:val="auto"/>
                <w:sz w:val="21"/>
                <w:highlight w:val="none"/>
              </w:rPr>
            </w:pPr>
          </w:p>
        </w:tc>
      </w:tr>
      <w:tr w14:paraId="1C4C8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282CD397">
            <w:pPr>
              <w:rPr>
                <w:rFonts w:ascii="Arial"/>
                <w:color w:val="auto"/>
                <w:sz w:val="21"/>
                <w:highlight w:val="none"/>
              </w:rPr>
            </w:pPr>
          </w:p>
        </w:tc>
        <w:tc>
          <w:tcPr>
            <w:tcW w:w="1545" w:type="dxa"/>
            <w:vAlign w:val="top"/>
          </w:tcPr>
          <w:p w14:paraId="2825B1CE">
            <w:pPr>
              <w:rPr>
                <w:rFonts w:ascii="Arial"/>
                <w:color w:val="auto"/>
                <w:sz w:val="21"/>
                <w:highlight w:val="none"/>
              </w:rPr>
            </w:pPr>
          </w:p>
        </w:tc>
        <w:tc>
          <w:tcPr>
            <w:tcW w:w="1547" w:type="dxa"/>
            <w:vAlign w:val="top"/>
          </w:tcPr>
          <w:p w14:paraId="01F8545E">
            <w:pPr>
              <w:rPr>
                <w:rFonts w:ascii="Arial"/>
                <w:color w:val="auto"/>
                <w:sz w:val="21"/>
                <w:highlight w:val="none"/>
              </w:rPr>
            </w:pPr>
          </w:p>
        </w:tc>
        <w:tc>
          <w:tcPr>
            <w:tcW w:w="1548" w:type="dxa"/>
            <w:vAlign w:val="top"/>
          </w:tcPr>
          <w:p w14:paraId="5AB85040">
            <w:pPr>
              <w:rPr>
                <w:rFonts w:ascii="Arial"/>
                <w:color w:val="auto"/>
                <w:sz w:val="21"/>
                <w:highlight w:val="none"/>
              </w:rPr>
            </w:pPr>
          </w:p>
        </w:tc>
        <w:tc>
          <w:tcPr>
            <w:tcW w:w="1547" w:type="dxa"/>
            <w:vAlign w:val="top"/>
          </w:tcPr>
          <w:p w14:paraId="6C3266CD">
            <w:pPr>
              <w:rPr>
                <w:rFonts w:ascii="Arial"/>
                <w:color w:val="auto"/>
                <w:sz w:val="21"/>
                <w:highlight w:val="none"/>
              </w:rPr>
            </w:pPr>
          </w:p>
        </w:tc>
        <w:tc>
          <w:tcPr>
            <w:tcW w:w="1447" w:type="dxa"/>
            <w:vAlign w:val="top"/>
          </w:tcPr>
          <w:p w14:paraId="24C7907C">
            <w:pPr>
              <w:rPr>
                <w:rFonts w:ascii="Arial"/>
                <w:color w:val="auto"/>
                <w:sz w:val="21"/>
                <w:highlight w:val="none"/>
              </w:rPr>
            </w:pPr>
          </w:p>
        </w:tc>
      </w:tr>
      <w:tr w14:paraId="68B15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146EED7D">
            <w:pPr>
              <w:rPr>
                <w:rFonts w:ascii="Arial"/>
                <w:color w:val="auto"/>
                <w:sz w:val="21"/>
                <w:highlight w:val="none"/>
              </w:rPr>
            </w:pPr>
          </w:p>
        </w:tc>
        <w:tc>
          <w:tcPr>
            <w:tcW w:w="1545" w:type="dxa"/>
            <w:vAlign w:val="top"/>
          </w:tcPr>
          <w:p w14:paraId="177E83B2">
            <w:pPr>
              <w:rPr>
                <w:rFonts w:ascii="Arial"/>
                <w:color w:val="auto"/>
                <w:sz w:val="21"/>
                <w:highlight w:val="none"/>
              </w:rPr>
            </w:pPr>
          </w:p>
        </w:tc>
        <w:tc>
          <w:tcPr>
            <w:tcW w:w="1547" w:type="dxa"/>
            <w:vAlign w:val="top"/>
          </w:tcPr>
          <w:p w14:paraId="4E5E7CA6">
            <w:pPr>
              <w:rPr>
                <w:rFonts w:ascii="Arial"/>
                <w:color w:val="auto"/>
                <w:sz w:val="21"/>
                <w:highlight w:val="none"/>
              </w:rPr>
            </w:pPr>
          </w:p>
        </w:tc>
        <w:tc>
          <w:tcPr>
            <w:tcW w:w="1548" w:type="dxa"/>
            <w:vAlign w:val="top"/>
          </w:tcPr>
          <w:p w14:paraId="0DADA727">
            <w:pPr>
              <w:rPr>
                <w:rFonts w:ascii="Arial"/>
                <w:color w:val="auto"/>
                <w:sz w:val="21"/>
                <w:highlight w:val="none"/>
              </w:rPr>
            </w:pPr>
          </w:p>
        </w:tc>
        <w:tc>
          <w:tcPr>
            <w:tcW w:w="1547" w:type="dxa"/>
            <w:vAlign w:val="top"/>
          </w:tcPr>
          <w:p w14:paraId="0D3C5C7F">
            <w:pPr>
              <w:rPr>
                <w:rFonts w:ascii="Arial"/>
                <w:color w:val="auto"/>
                <w:sz w:val="21"/>
                <w:highlight w:val="none"/>
              </w:rPr>
            </w:pPr>
          </w:p>
        </w:tc>
        <w:tc>
          <w:tcPr>
            <w:tcW w:w="1447" w:type="dxa"/>
            <w:vAlign w:val="top"/>
          </w:tcPr>
          <w:p w14:paraId="4455F6CD">
            <w:pPr>
              <w:rPr>
                <w:rFonts w:ascii="Arial"/>
                <w:color w:val="auto"/>
                <w:sz w:val="21"/>
                <w:highlight w:val="none"/>
              </w:rPr>
            </w:pPr>
          </w:p>
        </w:tc>
      </w:tr>
      <w:tr w14:paraId="15606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429" w:type="dxa"/>
            <w:vAlign w:val="top"/>
          </w:tcPr>
          <w:p w14:paraId="7BFB1E5F">
            <w:pPr>
              <w:rPr>
                <w:rFonts w:ascii="Arial"/>
                <w:color w:val="auto"/>
                <w:sz w:val="21"/>
                <w:highlight w:val="none"/>
              </w:rPr>
            </w:pPr>
          </w:p>
        </w:tc>
        <w:tc>
          <w:tcPr>
            <w:tcW w:w="1545" w:type="dxa"/>
            <w:vAlign w:val="top"/>
          </w:tcPr>
          <w:p w14:paraId="58C56F57">
            <w:pPr>
              <w:rPr>
                <w:rFonts w:ascii="Arial"/>
                <w:color w:val="auto"/>
                <w:sz w:val="21"/>
                <w:highlight w:val="none"/>
              </w:rPr>
            </w:pPr>
          </w:p>
        </w:tc>
        <w:tc>
          <w:tcPr>
            <w:tcW w:w="1547" w:type="dxa"/>
            <w:vAlign w:val="top"/>
          </w:tcPr>
          <w:p w14:paraId="317AF686">
            <w:pPr>
              <w:rPr>
                <w:rFonts w:ascii="Arial"/>
                <w:color w:val="auto"/>
                <w:sz w:val="21"/>
                <w:highlight w:val="none"/>
              </w:rPr>
            </w:pPr>
          </w:p>
        </w:tc>
        <w:tc>
          <w:tcPr>
            <w:tcW w:w="1548" w:type="dxa"/>
            <w:vAlign w:val="top"/>
          </w:tcPr>
          <w:p w14:paraId="28284EAF">
            <w:pPr>
              <w:rPr>
                <w:rFonts w:ascii="Arial"/>
                <w:color w:val="auto"/>
                <w:sz w:val="21"/>
                <w:highlight w:val="none"/>
              </w:rPr>
            </w:pPr>
          </w:p>
        </w:tc>
        <w:tc>
          <w:tcPr>
            <w:tcW w:w="1547" w:type="dxa"/>
            <w:vAlign w:val="top"/>
          </w:tcPr>
          <w:p w14:paraId="6BA56D26">
            <w:pPr>
              <w:rPr>
                <w:rFonts w:ascii="Arial"/>
                <w:color w:val="auto"/>
                <w:sz w:val="21"/>
                <w:highlight w:val="none"/>
              </w:rPr>
            </w:pPr>
          </w:p>
        </w:tc>
        <w:tc>
          <w:tcPr>
            <w:tcW w:w="1447" w:type="dxa"/>
            <w:vAlign w:val="top"/>
          </w:tcPr>
          <w:p w14:paraId="01DB3068">
            <w:pPr>
              <w:rPr>
                <w:rFonts w:ascii="Arial"/>
                <w:color w:val="auto"/>
                <w:sz w:val="21"/>
                <w:highlight w:val="none"/>
              </w:rPr>
            </w:pPr>
          </w:p>
        </w:tc>
      </w:tr>
      <w:tr w14:paraId="4B59D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0D526434">
            <w:pPr>
              <w:rPr>
                <w:rFonts w:ascii="Arial"/>
                <w:color w:val="auto"/>
                <w:sz w:val="21"/>
                <w:highlight w:val="none"/>
              </w:rPr>
            </w:pPr>
          </w:p>
        </w:tc>
        <w:tc>
          <w:tcPr>
            <w:tcW w:w="1545" w:type="dxa"/>
            <w:vAlign w:val="top"/>
          </w:tcPr>
          <w:p w14:paraId="64590709">
            <w:pPr>
              <w:rPr>
                <w:rFonts w:ascii="Arial"/>
                <w:color w:val="auto"/>
                <w:sz w:val="21"/>
                <w:highlight w:val="none"/>
              </w:rPr>
            </w:pPr>
          </w:p>
        </w:tc>
        <w:tc>
          <w:tcPr>
            <w:tcW w:w="1547" w:type="dxa"/>
            <w:vAlign w:val="top"/>
          </w:tcPr>
          <w:p w14:paraId="374EE6C3">
            <w:pPr>
              <w:rPr>
                <w:rFonts w:ascii="Arial"/>
                <w:color w:val="auto"/>
                <w:sz w:val="21"/>
                <w:highlight w:val="none"/>
              </w:rPr>
            </w:pPr>
          </w:p>
        </w:tc>
        <w:tc>
          <w:tcPr>
            <w:tcW w:w="1548" w:type="dxa"/>
            <w:vAlign w:val="top"/>
          </w:tcPr>
          <w:p w14:paraId="2D5B5FDD">
            <w:pPr>
              <w:rPr>
                <w:rFonts w:ascii="Arial"/>
                <w:color w:val="auto"/>
                <w:sz w:val="21"/>
                <w:highlight w:val="none"/>
              </w:rPr>
            </w:pPr>
          </w:p>
        </w:tc>
        <w:tc>
          <w:tcPr>
            <w:tcW w:w="1547" w:type="dxa"/>
            <w:vAlign w:val="top"/>
          </w:tcPr>
          <w:p w14:paraId="35B2D9B9">
            <w:pPr>
              <w:rPr>
                <w:rFonts w:ascii="Arial"/>
                <w:color w:val="auto"/>
                <w:sz w:val="21"/>
                <w:highlight w:val="none"/>
              </w:rPr>
            </w:pPr>
          </w:p>
        </w:tc>
        <w:tc>
          <w:tcPr>
            <w:tcW w:w="1447" w:type="dxa"/>
            <w:vAlign w:val="top"/>
          </w:tcPr>
          <w:p w14:paraId="73B526A2">
            <w:pPr>
              <w:rPr>
                <w:rFonts w:ascii="Arial"/>
                <w:color w:val="auto"/>
                <w:sz w:val="21"/>
                <w:highlight w:val="none"/>
              </w:rPr>
            </w:pPr>
          </w:p>
        </w:tc>
      </w:tr>
      <w:tr w14:paraId="005C1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5B3C5DA8">
            <w:pPr>
              <w:rPr>
                <w:rFonts w:ascii="Arial"/>
                <w:color w:val="auto"/>
                <w:sz w:val="21"/>
                <w:highlight w:val="none"/>
              </w:rPr>
            </w:pPr>
          </w:p>
        </w:tc>
        <w:tc>
          <w:tcPr>
            <w:tcW w:w="1545" w:type="dxa"/>
            <w:vAlign w:val="top"/>
          </w:tcPr>
          <w:p w14:paraId="09D19166">
            <w:pPr>
              <w:rPr>
                <w:rFonts w:ascii="Arial"/>
                <w:color w:val="auto"/>
                <w:sz w:val="21"/>
                <w:highlight w:val="none"/>
              </w:rPr>
            </w:pPr>
          </w:p>
        </w:tc>
        <w:tc>
          <w:tcPr>
            <w:tcW w:w="1547" w:type="dxa"/>
            <w:vAlign w:val="top"/>
          </w:tcPr>
          <w:p w14:paraId="713D8A85">
            <w:pPr>
              <w:rPr>
                <w:rFonts w:ascii="Arial"/>
                <w:color w:val="auto"/>
                <w:sz w:val="21"/>
                <w:highlight w:val="none"/>
              </w:rPr>
            </w:pPr>
          </w:p>
        </w:tc>
        <w:tc>
          <w:tcPr>
            <w:tcW w:w="1548" w:type="dxa"/>
            <w:vAlign w:val="top"/>
          </w:tcPr>
          <w:p w14:paraId="69F2359D">
            <w:pPr>
              <w:rPr>
                <w:rFonts w:ascii="Arial"/>
                <w:color w:val="auto"/>
                <w:sz w:val="21"/>
                <w:highlight w:val="none"/>
              </w:rPr>
            </w:pPr>
          </w:p>
        </w:tc>
        <w:tc>
          <w:tcPr>
            <w:tcW w:w="1547" w:type="dxa"/>
            <w:vAlign w:val="top"/>
          </w:tcPr>
          <w:p w14:paraId="43E6D580">
            <w:pPr>
              <w:rPr>
                <w:rFonts w:ascii="Arial"/>
                <w:color w:val="auto"/>
                <w:sz w:val="21"/>
                <w:highlight w:val="none"/>
              </w:rPr>
            </w:pPr>
          </w:p>
        </w:tc>
        <w:tc>
          <w:tcPr>
            <w:tcW w:w="1447" w:type="dxa"/>
            <w:vAlign w:val="top"/>
          </w:tcPr>
          <w:p w14:paraId="1C2AED98">
            <w:pPr>
              <w:rPr>
                <w:rFonts w:ascii="Arial"/>
                <w:color w:val="auto"/>
                <w:sz w:val="21"/>
                <w:highlight w:val="none"/>
              </w:rPr>
            </w:pPr>
          </w:p>
        </w:tc>
      </w:tr>
      <w:tr w14:paraId="5F8E4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429" w:type="dxa"/>
            <w:vAlign w:val="top"/>
          </w:tcPr>
          <w:p w14:paraId="0928E458">
            <w:pPr>
              <w:rPr>
                <w:rFonts w:ascii="Arial"/>
                <w:color w:val="auto"/>
                <w:sz w:val="21"/>
                <w:highlight w:val="none"/>
              </w:rPr>
            </w:pPr>
          </w:p>
        </w:tc>
        <w:tc>
          <w:tcPr>
            <w:tcW w:w="1545" w:type="dxa"/>
            <w:vAlign w:val="top"/>
          </w:tcPr>
          <w:p w14:paraId="2C621264">
            <w:pPr>
              <w:rPr>
                <w:rFonts w:ascii="Arial"/>
                <w:color w:val="auto"/>
                <w:sz w:val="21"/>
                <w:highlight w:val="none"/>
              </w:rPr>
            </w:pPr>
          </w:p>
        </w:tc>
        <w:tc>
          <w:tcPr>
            <w:tcW w:w="1547" w:type="dxa"/>
            <w:vAlign w:val="top"/>
          </w:tcPr>
          <w:p w14:paraId="036D2C7E">
            <w:pPr>
              <w:rPr>
                <w:rFonts w:ascii="Arial"/>
                <w:color w:val="auto"/>
                <w:sz w:val="21"/>
                <w:highlight w:val="none"/>
              </w:rPr>
            </w:pPr>
          </w:p>
        </w:tc>
        <w:tc>
          <w:tcPr>
            <w:tcW w:w="1548" w:type="dxa"/>
            <w:vAlign w:val="top"/>
          </w:tcPr>
          <w:p w14:paraId="6F3B3AA0">
            <w:pPr>
              <w:rPr>
                <w:rFonts w:ascii="Arial"/>
                <w:color w:val="auto"/>
                <w:sz w:val="21"/>
                <w:highlight w:val="none"/>
              </w:rPr>
            </w:pPr>
          </w:p>
        </w:tc>
        <w:tc>
          <w:tcPr>
            <w:tcW w:w="1547" w:type="dxa"/>
            <w:vAlign w:val="top"/>
          </w:tcPr>
          <w:p w14:paraId="243F94D7">
            <w:pPr>
              <w:rPr>
                <w:rFonts w:ascii="Arial"/>
                <w:color w:val="auto"/>
                <w:sz w:val="21"/>
                <w:highlight w:val="none"/>
              </w:rPr>
            </w:pPr>
          </w:p>
        </w:tc>
        <w:tc>
          <w:tcPr>
            <w:tcW w:w="1447" w:type="dxa"/>
            <w:vAlign w:val="top"/>
          </w:tcPr>
          <w:p w14:paraId="54B4881F">
            <w:pPr>
              <w:rPr>
                <w:rFonts w:ascii="Arial"/>
                <w:color w:val="auto"/>
                <w:sz w:val="21"/>
                <w:highlight w:val="none"/>
              </w:rPr>
            </w:pPr>
          </w:p>
        </w:tc>
      </w:tr>
      <w:tr w14:paraId="00DA7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2DCD0ABD">
            <w:pPr>
              <w:rPr>
                <w:rFonts w:ascii="Arial"/>
                <w:color w:val="auto"/>
                <w:sz w:val="21"/>
                <w:highlight w:val="none"/>
              </w:rPr>
            </w:pPr>
          </w:p>
        </w:tc>
        <w:tc>
          <w:tcPr>
            <w:tcW w:w="1545" w:type="dxa"/>
            <w:vAlign w:val="top"/>
          </w:tcPr>
          <w:p w14:paraId="4B8FA59C">
            <w:pPr>
              <w:rPr>
                <w:rFonts w:ascii="Arial"/>
                <w:color w:val="auto"/>
                <w:sz w:val="21"/>
                <w:highlight w:val="none"/>
              </w:rPr>
            </w:pPr>
          </w:p>
        </w:tc>
        <w:tc>
          <w:tcPr>
            <w:tcW w:w="1547" w:type="dxa"/>
            <w:vAlign w:val="top"/>
          </w:tcPr>
          <w:p w14:paraId="43C7D110">
            <w:pPr>
              <w:rPr>
                <w:rFonts w:ascii="Arial"/>
                <w:color w:val="auto"/>
                <w:sz w:val="21"/>
                <w:highlight w:val="none"/>
              </w:rPr>
            </w:pPr>
          </w:p>
        </w:tc>
        <w:tc>
          <w:tcPr>
            <w:tcW w:w="1548" w:type="dxa"/>
            <w:vAlign w:val="top"/>
          </w:tcPr>
          <w:p w14:paraId="637FD54F">
            <w:pPr>
              <w:rPr>
                <w:rFonts w:ascii="Arial"/>
                <w:color w:val="auto"/>
                <w:sz w:val="21"/>
                <w:highlight w:val="none"/>
              </w:rPr>
            </w:pPr>
          </w:p>
        </w:tc>
        <w:tc>
          <w:tcPr>
            <w:tcW w:w="1547" w:type="dxa"/>
            <w:vAlign w:val="top"/>
          </w:tcPr>
          <w:p w14:paraId="39A7D621">
            <w:pPr>
              <w:rPr>
                <w:rFonts w:ascii="Arial"/>
                <w:color w:val="auto"/>
                <w:sz w:val="21"/>
                <w:highlight w:val="none"/>
              </w:rPr>
            </w:pPr>
          </w:p>
        </w:tc>
        <w:tc>
          <w:tcPr>
            <w:tcW w:w="1447" w:type="dxa"/>
            <w:vAlign w:val="top"/>
          </w:tcPr>
          <w:p w14:paraId="6F04257F">
            <w:pPr>
              <w:rPr>
                <w:rFonts w:ascii="Arial"/>
                <w:color w:val="auto"/>
                <w:sz w:val="21"/>
                <w:highlight w:val="none"/>
              </w:rPr>
            </w:pPr>
          </w:p>
        </w:tc>
      </w:tr>
      <w:tr w14:paraId="1AEA7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1DFF2D56">
            <w:pPr>
              <w:rPr>
                <w:rFonts w:ascii="Arial"/>
                <w:color w:val="auto"/>
                <w:sz w:val="21"/>
                <w:highlight w:val="none"/>
              </w:rPr>
            </w:pPr>
          </w:p>
        </w:tc>
        <w:tc>
          <w:tcPr>
            <w:tcW w:w="1545" w:type="dxa"/>
            <w:vAlign w:val="top"/>
          </w:tcPr>
          <w:p w14:paraId="0B53F0ED">
            <w:pPr>
              <w:rPr>
                <w:rFonts w:ascii="Arial"/>
                <w:color w:val="auto"/>
                <w:sz w:val="21"/>
                <w:highlight w:val="none"/>
              </w:rPr>
            </w:pPr>
          </w:p>
        </w:tc>
        <w:tc>
          <w:tcPr>
            <w:tcW w:w="1547" w:type="dxa"/>
            <w:vAlign w:val="top"/>
          </w:tcPr>
          <w:p w14:paraId="6E2EDCDC">
            <w:pPr>
              <w:rPr>
                <w:rFonts w:ascii="Arial"/>
                <w:color w:val="auto"/>
                <w:sz w:val="21"/>
                <w:highlight w:val="none"/>
              </w:rPr>
            </w:pPr>
          </w:p>
        </w:tc>
        <w:tc>
          <w:tcPr>
            <w:tcW w:w="1548" w:type="dxa"/>
            <w:vAlign w:val="top"/>
          </w:tcPr>
          <w:p w14:paraId="6B5087C0">
            <w:pPr>
              <w:rPr>
                <w:rFonts w:ascii="Arial"/>
                <w:color w:val="auto"/>
                <w:sz w:val="21"/>
                <w:highlight w:val="none"/>
              </w:rPr>
            </w:pPr>
          </w:p>
        </w:tc>
        <w:tc>
          <w:tcPr>
            <w:tcW w:w="1547" w:type="dxa"/>
            <w:vAlign w:val="top"/>
          </w:tcPr>
          <w:p w14:paraId="22EAC6F5">
            <w:pPr>
              <w:rPr>
                <w:rFonts w:ascii="Arial"/>
                <w:color w:val="auto"/>
                <w:sz w:val="21"/>
                <w:highlight w:val="none"/>
              </w:rPr>
            </w:pPr>
          </w:p>
        </w:tc>
        <w:tc>
          <w:tcPr>
            <w:tcW w:w="1447" w:type="dxa"/>
            <w:vAlign w:val="top"/>
          </w:tcPr>
          <w:p w14:paraId="3FBDA027">
            <w:pPr>
              <w:rPr>
                <w:rFonts w:ascii="Arial"/>
                <w:color w:val="auto"/>
                <w:sz w:val="21"/>
                <w:highlight w:val="none"/>
              </w:rPr>
            </w:pPr>
          </w:p>
        </w:tc>
      </w:tr>
      <w:tr w14:paraId="4D2F1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429" w:type="dxa"/>
            <w:vAlign w:val="top"/>
          </w:tcPr>
          <w:p w14:paraId="544F1782">
            <w:pPr>
              <w:rPr>
                <w:rFonts w:ascii="Arial"/>
                <w:color w:val="auto"/>
                <w:sz w:val="21"/>
                <w:highlight w:val="none"/>
              </w:rPr>
            </w:pPr>
          </w:p>
        </w:tc>
        <w:tc>
          <w:tcPr>
            <w:tcW w:w="1545" w:type="dxa"/>
            <w:vAlign w:val="top"/>
          </w:tcPr>
          <w:p w14:paraId="6B2F9796">
            <w:pPr>
              <w:rPr>
                <w:rFonts w:ascii="Arial"/>
                <w:color w:val="auto"/>
                <w:sz w:val="21"/>
                <w:highlight w:val="none"/>
              </w:rPr>
            </w:pPr>
          </w:p>
        </w:tc>
        <w:tc>
          <w:tcPr>
            <w:tcW w:w="1547" w:type="dxa"/>
            <w:vAlign w:val="top"/>
          </w:tcPr>
          <w:p w14:paraId="57A25704">
            <w:pPr>
              <w:rPr>
                <w:rFonts w:ascii="Arial"/>
                <w:color w:val="auto"/>
                <w:sz w:val="21"/>
                <w:highlight w:val="none"/>
              </w:rPr>
            </w:pPr>
          </w:p>
        </w:tc>
        <w:tc>
          <w:tcPr>
            <w:tcW w:w="1548" w:type="dxa"/>
            <w:vAlign w:val="top"/>
          </w:tcPr>
          <w:p w14:paraId="3DA3E945">
            <w:pPr>
              <w:rPr>
                <w:rFonts w:ascii="Arial"/>
                <w:color w:val="auto"/>
                <w:sz w:val="21"/>
                <w:highlight w:val="none"/>
              </w:rPr>
            </w:pPr>
          </w:p>
        </w:tc>
        <w:tc>
          <w:tcPr>
            <w:tcW w:w="1547" w:type="dxa"/>
            <w:vAlign w:val="top"/>
          </w:tcPr>
          <w:p w14:paraId="743E7C58">
            <w:pPr>
              <w:rPr>
                <w:rFonts w:ascii="Arial"/>
                <w:color w:val="auto"/>
                <w:sz w:val="21"/>
                <w:highlight w:val="none"/>
              </w:rPr>
            </w:pPr>
          </w:p>
        </w:tc>
        <w:tc>
          <w:tcPr>
            <w:tcW w:w="1447" w:type="dxa"/>
            <w:vAlign w:val="top"/>
          </w:tcPr>
          <w:p w14:paraId="716F6698">
            <w:pPr>
              <w:rPr>
                <w:rFonts w:ascii="Arial"/>
                <w:color w:val="auto"/>
                <w:sz w:val="21"/>
                <w:highlight w:val="none"/>
              </w:rPr>
            </w:pPr>
          </w:p>
        </w:tc>
      </w:tr>
      <w:tr w14:paraId="2B521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0FBF024D">
            <w:pPr>
              <w:rPr>
                <w:rFonts w:ascii="Arial"/>
                <w:color w:val="auto"/>
                <w:sz w:val="21"/>
                <w:highlight w:val="none"/>
              </w:rPr>
            </w:pPr>
          </w:p>
        </w:tc>
        <w:tc>
          <w:tcPr>
            <w:tcW w:w="1545" w:type="dxa"/>
            <w:vAlign w:val="top"/>
          </w:tcPr>
          <w:p w14:paraId="092EB6AD">
            <w:pPr>
              <w:rPr>
                <w:rFonts w:ascii="Arial"/>
                <w:color w:val="auto"/>
                <w:sz w:val="21"/>
                <w:highlight w:val="none"/>
              </w:rPr>
            </w:pPr>
          </w:p>
        </w:tc>
        <w:tc>
          <w:tcPr>
            <w:tcW w:w="1547" w:type="dxa"/>
            <w:vAlign w:val="top"/>
          </w:tcPr>
          <w:p w14:paraId="17B9F227">
            <w:pPr>
              <w:rPr>
                <w:rFonts w:ascii="Arial"/>
                <w:color w:val="auto"/>
                <w:sz w:val="21"/>
                <w:highlight w:val="none"/>
              </w:rPr>
            </w:pPr>
          </w:p>
        </w:tc>
        <w:tc>
          <w:tcPr>
            <w:tcW w:w="1548" w:type="dxa"/>
            <w:vAlign w:val="top"/>
          </w:tcPr>
          <w:p w14:paraId="289DAC6E">
            <w:pPr>
              <w:rPr>
                <w:rFonts w:ascii="Arial"/>
                <w:color w:val="auto"/>
                <w:sz w:val="21"/>
                <w:highlight w:val="none"/>
              </w:rPr>
            </w:pPr>
          </w:p>
        </w:tc>
        <w:tc>
          <w:tcPr>
            <w:tcW w:w="1547" w:type="dxa"/>
            <w:vAlign w:val="top"/>
          </w:tcPr>
          <w:p w14:paraId="08A207BC">
            <w:pPr>
              <w:rPr>
                <w:rFonts w:ascii="Arial"/>
                <w:color w:val="auto"/>
                <w:sz w:val="21"/>
                <w:highlight w:val="none"/>
              </w:rPr>
            </w:pPr>
          </w:p>
        </w:tc>
        <w:tc>
          <w:tcPr>
            <w:tcW w:w="1447" w:type="dxa"/>
            <w:vAlign w:val="top"/>
          </w:tcPr>
          <w:p w14:paraId="0FE881F2">
            <w:pPr>
              <w:rPr>
                <w:rFonts w:ascii="Arial"/>
                <w:color w:val="auto"/>
                <w:sz w:val="21"/>
                <w:highlight w:val="none"/>
              </w:rPr>
            </w:pPr>
          </w:p>
        </w:tc>
      </w:tr>
      <w:tr w14:paraId="26B92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429" w:type="dxa"/>
            <w:vAlign w:val="top"/>
          </w:tcPr>
          <w:p w14:paraId="1989EC5A">
            <w:pPr>
              <w:rPr>
                <w:rFonts w:ascii="Arial"/>
                <w:color w:val="auto"/>
                <w:sz w:val="21"/>
                <w:highlight w:val="none"/>
              </w:rPr>
            </w:pPr>
          </w:p>
        </w:tc>
        <w:tc>
          <w:tcPr>
            <w:tcW w:w="1545" w:type="dxa"/>
            <w:vAlign w:val="top"/>
          </w:tcPr>
          <w:p w14:paraId="5A79C0E7">
            <w:pPr>
              <w:rPr>
                <w:rFonts w:ascii="Arial"/>
                <w:color w:val="auto"/>
                <w:sz w:val="21"/>
                <w:highlight w:val="none"/>
              </w:rPr>
            </w:pPr>
          </w:p>
        </w:tc>
        <w:tc>
          <w:tcPr>
            <w:tcW w:w="1547" w:type="dxa"/>
            <w:vAlign w:val="top"/>
          </w:tcPr>
          <w:p w14:paraId="44C1F227">
            <w:pPr>
              <w:rPr>
                <w:rFonts w:ascii="Arial"/>
                <w:color w:val="auto"/>
                <w:sz w:val="21"/>
                <w:highlight w:val="none"/>
              </w:rPr>
            </w:pPr>
          </w:p>
        </w:tc>
        <w:tc>
          <w:tcPr>
            <w:tcW w:w="1548" w:type="dxa"/>
            <w:vAlign w:val="top"/>
          </w:tcPr>
          <w:p w14:paraId="5783C95B">
            <w:pPr>
              <w:rPr>
                <w:rFonts w:ascii="Arial"/>
                <w:color w:val="auto"/>
                <w:sz w:val="21"/>
                <w:highlight w:val="none"/>
              </w:rPr>
            </w:pPr>
          </w:p>
        </w:tc>
        <w:tc>
          <w:tcPr>
            <w:tcW w:w="1547" w:type="dxa"/>
            <w:vAlign w:val="top"/>
          </w:tcPr>
          <w:p w14:paraId="55A1F568">
            <w:pPr>
              <w:rPr>
                <w:rFonts w:ascii="Arial"/>
                <w:color w:val="auto"/>
                <w:sz w:val="21"/>
                <w:highlight w:val="none"/>
              </w:rPr>
            </w:pPr>
          </w:p>
        </w:tc>
        <w:tc>
          <w:tcPr>
            <w:tcW w:w="1447" w:type="dxa"/>
            <w:vAlign w:val="top"/>
          </w:tcPr>
          <w:p w14:paraId="2B835924">
            <w:pPr>
              <w:rPr>
                <w:rFonts w:ascii="Arial"/>
                <w:color w:val="auto"/>
                <w:sz w:val="21"/>
                <w:highlight w:val="none"/>
              </w:rPr>
            </w:pPr>
          </w:p>
        </w:tc>
      </w:tr>
    </w:tbl>
    <w:p w14:paraId="0FCC37C1">
      <w:pPr>
        <w:rPr>
          <w:rFonts w:ascii="Arial"/>
          <w:color w:val="auto"/>
          <w:sz w:val="21"/>
          <w:highlight w:val="none"/>
        </w:rPr>
      </w:pPr>
    </w:p>
    <w:p w14:paraId="673EF40C">
      <w:pPr>
        <w:spacing w:line="274" w:lineRule="auto"/>
        <w:rPr>
          <w:rFonts w:ascii="Arial"/>
          <w:color w:val="auto"/>
          <w:sz w:val="21"/>
          <w:highlight w:val="none"/>
        </w:rPr>
      </w:pPr>
    </w:p>
    <w:p w14:paraId="6B8267D2">
      <w:pPr>
        <w:pStyle w:val="6"/>
        <w:outlineLvl w:val="9"/>
        <w:rPr>
          <w:color w:val="auto"/>
          <w:highlight w:val="none"/>
        </w:rPr>
      </w:pPr>
    </w:p>
    <w:p w14:paraId="6691444F">
      <w:pPr>
        <w:spacing w:before="101" w:line="226" w:lineRule="auto"/>
        <w:ind w:left="3943"/>
        <w:rPr>
          <w:rFonts w:ascii="宋体" w:hAnsi="宋体" w:eastAsia="宋体" w:cs="宋体"/>
          <w:color w:val="auto"/>
          <w:sz w:val="31"/>
          <w:szCs w:val="31"/>
          <w:highlight w:val="none"/>
        </w:rPr>
      </w:pPr>
      <w:bookmarkStart w:id="388" w:name="bookmark279"/>
      <w:bookmarkEnd w:id="388"/>
      <w:r>
        <w:rPr>
          <w:rFonts w:ascii="宋体" w:hAnsi="宋体" w:eastAsia="宋体" w:cs="宋体"/>
          <w:b/>
          <w:bCs/>
          <w:color w:val="auto"/>
          <w:spacing w:val="-8"/>
          <w:sz w:val="31"/>
          <w:szCs w:val="31"/>
          <w:highlight w:val="none"/>
        </w:rPr>
        <w:t>2.</w:t>
      </w:r>
      <w:r>
        <w:rPr>
          <w:rFonts w:ascii="宋体" w:hAnsi="宋体" w:eastAsia="宋体" w:cs="宋体"/>
          <w:color w:val="auto"/>
          <w:spacing w:val="53"/>
          <w:sz w:val="31"/>
          <w:szCs w:val="31"/>
          <w:highlight w:val="none"/>
        </w:rPr>
        <w:t xml:space="preserve"> </w:t>
      </w:r>
      <w:r>
        <w:rPr>
          <w:rFonts w:ascii="宋体" w:hAnsi="宋体" w:eastAsia="宋体" w:cs="宋体"/>
          <w:b/>
          <w:bCs/>
          <w:color w:val="auto"/>
          <w:spacing w:val="-8"/>
          <w:sz w:val="31"/>
          <w:szCs w:val="31"/>
          <w:highlight w:val="none"/>
        </w:rPr>
        <w:t>图纸</w:t>
      </w:r>
    </w:p>
    <w:p w14:paraId="50BFC712">
      <w:pPr>
        <w:spacing w:before="290" w:line="220" w:lineRule="auto"/>
        <w:ind w:left="125"/>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招标图纸在电子交易系统下载。</w:t>
      </w:r>
    </w:p>
    <w:p w14:paraId="02E49775">
      <w:pPr>
        <w:spacing w:before="281" w:line="223" w:lineRule="auto"/>
        <w:ind w:left="2676"/>
        <w:rPr>
          <w:rFonts w:ascii="宋体" w:hAnsi="宋体" w:eastAsia="宋体" w:cs="宋体"/>
          <w:b/>
          <w:bCs/>
          <w:color w:val="auto"/>
          <w:spacing w:val="4"/>
          <w:sz w:val="43"/>
          <w:szCs w:val="43"/>
          <w:highlight w:val="none"/>
        </w:rPr>
      </w:pPr>
      <w:bookmarkStart w:id="389" w:name="bookmark281"/>
      <w:bookmarkEnd w:id="389"/>
      <w:bookmarkStart w:id="390" w:name="bookmark280"/>
      <w:bookmarkEnd w:id="390"/>
      <w:bookmarkStart w:id="391" w:name="bookmark282"/>
      <w:bookmarkEnd w:id="391"/>
    </w:p>
    <w:p w14:paraId="67CE5109">
      <w:pPr>
        <w:spacing w:before="281" w:line="223" w:lineRule="auto"/>
        <w:ind w:left="2676"/>
        <w:rPr>
          <w:rFonts w:ascii="宋体" w:hAnsi="宋体" w:eastAsia="宋体" w:cs="宋体"/>
          <w:b/>
          <w:bCs/>
          <w:color w:val="auto"/>
          <w:spacing w:val="4"/>
          <w:sz w:val="43"/>
          <w:szCs w:val="43"/>
          <w:highlight w:val="none"/>
        </w:rPr>
      </w:pPr>
    </w:p>
    <w:p w14:paraId="3E038E0A">
      <w:pPr>
        <w:spacing w:before="281" w:line="223" w:lineRule="auto"/>
        <w:ind w:left="2676"/>
        <w:rPr>
          <w:rFonts w:ascii="宋体" w:hAnsi="宋体" w:eastAsia="宋体" w:cs="宋体"/>
          <w:b/>
          <w:bCs/>
          <w:color w:val="auto"/>
          <w:spacing w:val="4"/>
          <w:sz w:val="43"/>
          <w:szCs w:val="43"/>
          <w:highlight w:val="none"/>
        </w:rPr>
      </w:pPr>
    </w:p>
    <w:p w14:paraId="1BB49A26">
      <w:pPr>
        <w:spacing w:before="281" w:line="223" w:lineRule="auto"/>
        <w:ind w:left="2676"/>
        <w:rPr>
          <w:rFonts w:ascii="宋体" w:hAnsi="宋体" w:eastAsia="宋体" w:cs="宋体"/>
          <w:b/>
          <w:bCs/>
          <w:color w:val="auto"/>
          <w:spacing w:val="4"/>
          <w:sz w:val="43"/>
          <w:szCs w:val="43"/>
          <w:highlight w:val="none"/>
        </w:rPr>
      </w:pPr>
    </w:p>
    <w:p w14:paraId="071A217E">
      <w:pPr>
        <w:spacing w:before="281" w:line="223" w:lineRule="auto"/>
        <w:ind w:left="2676"/>
        <w:rPr>
          <w:rFonts w:ascii="宋体" w:hAnsi="宋体" w:eastAsia="宋体" w:cs="宋体"/>
          <w:b/>
          <w:bCs/>
          <w:color w:val="auto"/>
          <w:spacing w:val="4"/>
          <w:sz w:val="43"/>
          <w:szCs w:val="43"/>
          <w:highlight w:val="none"/>
        </w:rPr>
      </w:pPr>
    </w:p>
    <w:p w14:paraId="4ABB7D6B">
      <w:pPr>
        <w:spacing w:before="281" w:line="223" w:lineRule="auto"/>
        <w:ind w:left="2676"/>
        <w:rPr>
          <w:rFonts w:ascii="宋体" w:hAnsi="宋体" w:eastAsia="宋体" w:cs="宋体"/>
          <w:b/>
          <w:bCs/>
          <w:color w:val="auto"/>
          <w:spacing w:val="4"/>
          <w:sz w:val="43"/>
          <w:szCs w:val="43"/>
          <w:highlight w:val="none"/>
        </w:rPr>
      </w:pPr>
    </w:p>
    <w:p w14:paraId="77ADD581">
      <w:pPr>
        <w:spacing w:before="281" w:line="223" w:lineRule="auto"/>
        <w:ind w:left="2676"/>
        <w:rPr>
          <w:rFonts w:ascii="宋体" w:hAnsi="宋体" w:eastAsia="宋体" w:cs="宋体"/>
          <w:b/>
          <w:bCs/>
          <w:color w:val="auto"/>
          <w:spacing w:val="4"/>
          <w:sz w:val="43"/>
          <w:szCs w:val="43"/>
          <w:highlight w:val="none"/>
        </w:rPr>
      </w:pPr>
    </w:p>
    <w:p w14:paraId="542FF500">
      <w:pPr>
        <w:spacing w:before="281" w:line="223" w:lineRule="auto"/>
        <w:ind w:left="2676"/>
        <w:rPr>
          <w:rFonts w:ascii="宋体" w:hAnsi="宋体" w:eastAsia="宋体" w:cs="宋体"/>
          <w:b/>
          <w:bCs/>
          <w:color w:val="auto"/>
          <w:spacing w:val="4"/>
          <w:sz w:val="43"/>
          <w:szCs w:val="43"/>
          <w:highlight w:val="none"/>
        </w:rPr>
      </w:pPr>
    </w:p>
    <w:p w14:paraId="5397F94B">
      <w:pPr>
        <w:spacing w:before="281" w:line="223" w:lineRule="auto"/>
        <w:ind w:left="2676"/>
        <w:rPr>
          <w:rFonts w:ascii="宋体" w:hAnsi="宋体" w:eastAsia="宋体" w:cs="宋体"/>
          <w:b/>
          <w:bCs/>
          <w:color w:val="auto"/>
          <w:spacing w:val="4"/>
          <w:sz w:val="43"/>
          <w:szCs w:val="43"/>
          <w:highlight w:val="none"/>
        </w:rPr>
      </w:pPr>
    </w:p>
    <w:p w14:paraId="66F36163">
      <w:pPr>
        <w:spacing w:before="281" w:line="223" w:lineRule="auto"/>
        <w:ind w:left="2676"/>
        <w:rPr>
          <w:rFonts w:ascii="宋体" w:hAnsi="宋体" w:eastAsia="宋体" w:cs="宋体"/>
          <w:b/>
          <w:bCs/>
          <w:color w:val="auto"/>
          <w:spacing w:val="4"/>
          <w:sz w:val="43"/>
          <w:szCs w:val="43"/>
          <w:highlight w:val="none"/>
        </w:rPr>
      </w:pPr>
    </w:p>
    <w:p w14:paraId="662199FA">
      <w:pPr>
        <w:rPr>
          <w:rFonts w:ascii="宋体" w:hAnsi="宋体" w:eastAsia="宋体" w:cs="宋体"/>
          <w:b/>
          <w:bCs/>
          <w:color w:val="auto"/>
          <w:spacing w:val="4"/>
          <w:sz w:val="43"/>
          <w:szCs w:val="43"/>
          <w:highlight w:val="none"/>
        </w:rPr>
      </w:pPr>
      <w:bookmarkStart w:id="392" w:name="_Toc12058"/>
      <w:r>
        <w:rPr>
          <w:rFonts w:ascii="宋体" w:hAnsi="宋体" w:eastAsia="宋体" w:cs="宋体"/>
          <w:b/>
          <w:bCs/>
          <w:color w:val="auto"/>
          <w:spacing w:val="4"/>
          <w:sz w:val="43"/>
          <w:szCs w:val="43"/>
          <w:highlight w:val="none"/>
        </w:rPr>
        <w:br w:type="page"/>
      </w:r>
    </w:p>
    <w:p w14:paraId="1AE8ACB9">
      <w:pPr>
        <w:spacing w:before="281" w:line="223" w:lineRule="auto"/>
        <w:jc w:val="center"/>
        <w:outlineLvl w:val="0"/>
        <w:rPr>
          <w:rFonts w:ascii="Arial"/>
          <w:color w:val="auto"/>
          <w:sz w:val="21"/>
          <w:highlight w:val="none"/>
        </w:rPr>
      </w:pPr>
      <w:r>
        <w:rPr>
          <w:rFonts w:ascii="宋体" w:hAnsi="宋体" w:eastAsia="宋体" w:cs="宋体"/>
          <w:b/>
          <w:bCs/>
          <w:color w:val="auto"/>
          <w:spacing w:val="4"/>
          <w:sz w:val="43"/>
          <w:szCs w:val="43"/>
          <w:highlight w:val="none"/>
        </w:rPr>
        <w:t>第七章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技术标准和要求</w:t>
      </w:r>
      <w:bookmarkEnd w:id="392"/>
    </w:p>
    <w:p w14:paraId="6765286D">
      <w:pPr>
        <w:spacing w:before="324" w:line="225" w:lineRule="auto"/>
        <w:ind w:left="3344"/>
        <w:outlineLvl w:val="1"/>
        <w:rPr>
          <w:rFonts w:ascii="Arial"/>
          <w:color w:val="auto"/>
          <w:sz w:val="21"/>
          <w:highlight w:val="none"/>
        </w:rPr>
      </w:pPr>
      <w:bookmarkStart w:id="393" w:name="_Toc1358"/>
      <w:bookmarkStart w:id="394" w:name="_Toc14149"/>
      <w:r>
        <w:rPr>
          <w:rFonts w:ascii="宋体" w:hAnsi="宋体" w:eastAsia="宋体" w:cs="宋体"/>
          <w:b/>
          <w:bCs/>
          <w:color w:val="auto"/>
          <w:spacing w:val="3"/>
          <w:sz w:val="31"/>
          <w:szCs w:val="31"/>
          <w:highlight w:val="none"/>
        </w:rPr>
        <w:t>第一节</w:t>
      </w:r>
      <w:r>
        <w:rPr>
          <w:rFonts w:ascii="宋体" w:hAnsi="宋体" w:eastAsia="宋体" w:cs="宋体"/>
          <w:color w:val="auto"/>
          <w:spacing w:val="27"/>
          <w:sz w:val="31"/>
          <w:szCs w:val="31"/>
          <w:highlight w:val="none"/>
        </w:rPr>
        <w:t xml:space="preserve"> </w:t>
      </w:r>
      <w:r>
        <w:rPr>
          <w:rFonts w:ascii="宋体" w:hAnsi="宋体" w:eastAsia="宋体" w:cs="宋体"/>
          <w:b/>
          <w:bCs/>
          <w:color w:val="auto"/>
          <w:spacing w:val="3"/>
          <w:sz w:val="31"/>
          <w:szCs w:val="31"/>
          <w:highlight w:val="none"/>
        </w:rPr>
        <w:t>一般要求</w:t>
      </w:r>
      <w:bookmarkEnd w:id="393"/>
      <w:bookmarkEnd w:id="394"/>
    </w:p>
    <w:p w14:paraId="64C26A5F">
      <w:pPr>
        <w:spacing w:line="249" w:lineRule="auto"/>
        <w:rPr>
          <w:rFonts w:ascii="Arial"/>
          <w:color w:val="auto"/>
          <w:sz w:val="21"/>
          <w:highlight w:val="none"/>
        </w:rPr>
      </w:pPr>
    </w:p>
    <w:p w14:paraId="20A7CC82">
      <w:pPr>
        <w:spacing w:before="101" w:line="225" w:lineRule="auto"/>
        <w:ind w:left="38"/>
        <w:outlineLvl w:val="9"/>
        <w:rPr>
          <w:rFonts w:ascii="宋体" w:hAnsi="宋体" w:eastAsia="宋体" w:cs="宋体"/>
          <w:color w:val="auto"/>
          <w:sz w:val="31"/>
          <w:szCs w:val="31"/>
          <w:highlight w:val="none"/>
        </w:rPr>
      </w:pPr>
      <w:bookmarkStart w:id="395" w:name="_Toc14010"/>
      <w:bookmarkStart w:id="396" w:name="_Toc4245"/>
      <w:r>
        <w:rPr>
          <w:rFonts w:ascii="宋体" w:hAnsi="宋体" w:eastAsia="宋体" w:cs="宋体"/>
          <w:b/>
          <w:bCs/>
          <w:color w:val="auto"/>
          <w:sz w:val="31"/>
          <w:szCs w:val="31"/>
          <w:highlight w:val="none"/>
        </w:rPr>
        <w:t>1.工程说明</w:t>
      </w:r>
      <w:bookmarkEnd w:id="395"/>
      <w:bookmarkEnd w:id="396"/>
    </w:p>
    <w:p w14:paraId="0287BF1E">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0"/>
          <w:sz w:val="24"/>
          <w:szCs w:val="20"/>
          <w:highlight w:val="none"/>
          <w:lang w:eastAsia="zh-CN"/>
        </w:rPr>
      </w:pPr>
      <w:bookmarkStart w:id="397" w:name="bookmark283"/>
      <w:bookmarkEnd w:id="397"/>
      <w:bookmarkStart w:id="398" w:name="_Toc15657"/>
      <w:bookmarkStart w:id="399" w:name="_Toc28000"/>
      <w:r>
        <w:rPr>
          <w:rFonts w:hint="eastAsia" w:ascii="Times New Roman" w:hAnsi="Times New Roman" w:eastAsia="宋体" w:cs="Times New Roman"/>
          <w:snapToGrid/>
          <w:color w:val="auto"/>
          <w:kern w:val="0"/>
          <w:sz w:val="24"/>
          <w:szCs w:val="20"/>
          <w:highlight w:val="none"/>
          <w:lang w:val="en-US" w:eastAsia="zh-CN"/>
        </w:rPr>
        <w:t>本项目建设内容包括农田基础设施建设、农田地力提升工程，其中农田基础设施建设主要包括田块整治工程、灌溉与排水工程、田间道路工程等。农田地力提升工程主要为土壤培肥工程和障碍土层消除工程。</w:t>
      </w:r>
    </w:p>
    <w:p w14:paraId="35B7DC24">
      <w:pPr>
        <w:numPr>
          <w:ilvl w:val="0"/>
          <w:numId w:val="4"/>
        </w:numPr>
        <w:spacing w:before="164" w:line="225" w:lineRule="auto"/>
        <w:ind w:left="18"/>
        <w:outlineLvl w:val="9"/>
        <w:rPr>
          <w:rFonts w:ascii="宋体" w:hAnsi="宋体" w:eastAsia="宋体" w:cs="宋体"/>
          <w:b/>
          <w:bCs/>
          <w:color w:val="auto"/>
          <w:spacing w:val="5"/>
          <w:sz w:val="31"/>
          <w:szCs w:val="31"/>
          <w:highlight w:val="none"/>
        </w:rPr>
      </w:pPr>
      <w:r>
        <w:rPr>
          <w:rFonts w:ascii="宋体" w:hAnsi="宋体" w:eastAsia="宋体" w:cs="宋体"/>
          <w:b/>
          <w:bCs/>
          <w:color w:val="auto"/>
          <w:spacing w:val="5"/>
          <w:sz w:val="31"/>
          <w:szCs w:val="31"/>
          <w:highlight w:val="none"/>
        </w:rPr>
        <w:t>工程项目及其工作内容</w:t>
      </w:r>
      <w:bookmarkEnd w:id="398"/>
      <w:bookmarkEnd w:id="399"/>
      <w:bookmarkStart w:id="400" w:name="bookmark284"/>
      <w:bookmarkEnd w:id="400"/>
      <w:bookmarkStart w:id="401" w:name="_Toc16739"/>
      <w:bookmarkStart w:id="402" w:name="_Toc21876"/>
    </w:p>
    <w:p w14:paraId="61EFF913">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（1）农田基础设施建设工程</w:t>
      </w:r>
    </w:p>
    <w:p w14:paraId="27BDB598">
      <w:pPr>
        <w:widowControl w:val="0"/>
        <w:kinsoku/>
        <w:autoSpaceDE/>
        <w:autoSpaceDN/>
        <w:adjustRightInd/>
        <w:snapToGrid/>
        <w:spacing w:line="360" w:lineRule="auto"/>
        <w:ind w:firstLine="720" w:firstLineChars="300"/>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1）田块整治工程：田块整治1960亩，共平整土方25.05万m³，表土剥离与回覆7.71万m³，田埂修筑0.797万m³，</w:t>
      </w:r>
    </w:p>
    <w:p w14:paraId="525E1BF8">
      <w:pPr>
        <w:widowControl w:val="0"/>
        <w:kinsoku/>
        <w:autoSpaceDE/>
        <w:autoSpaceDN/>
        <w:adjustRightInd/>
        <w:snapToGrid/>
        <w:spacing w:line="360" w:lineRule="auto"/>
        <w:ind w:firstLine="720" w:firstLineChars="300"/>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2）灌溉与排水工程：项目区新建清淤整治塘堰（坝）7座，疏浚开挖土渠4.315km，疏浚开挖土沟2.786km，0.4×0.4m矩形渠310m，0.6×0.6m矩形渠1720m，0.8×0.8m矩形渠940m，渠道放水口200座，配套过路涵39座，过路涵砼路面破除恢复2处，Φ400×6m涵闸1座，Φ800×6m涵闸1座，下田涵58座，公示牌1座。</w:t>
      </w:r>
    </w:p>
    <w:p w14:paraId="1D364C4A">
      <w:pPr>
        <w:widowControl w:val="0"/>
        <w:kinsoku/>
        <w:autoSpaceDE/>
        <w:autoSpaceDN/>
        <w:adjustRightInd/>
        <w:snapToGrid/>
        <w:spacing w:line="360" w:lineRule="auto"/>
        <w:ind w:firstLine="720" w:firstLineChars="300"/>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3）田间道路工程：项目区新建土路6.069km，砂石路4.452km。</w:t>
      </w:r>
    </w:p>
    <w:p w14:paraId="786E55BA">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（2）农田地力提升工程</w:t>
      </w:r>
    </w:p>
    <w:p w14:paraId="670144DA">
      <w:pPr>
        <w:widowControl w:val="0"/>
        <w:kinsoku/>
        <w:autoSpaceDE/>
        <w:autoSpaceDN/>
        <w:adjustRightInd/>
        <w:snapToGrid/>
        <w:spacing w:line="360" w:lineRule="auto"/>
        <w:ind w:firstLine="720" w:firstLineChars="300"/>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1）土壤培肥工程</w:t>
      </w:r>
    </w:p>
    <w:p w14:paraId="20C75909">
      <w:pPr>
        <w:widowControl w:val="0"/>
        <w:kinsoku/>
        <w:autoSpaceDE/>
        <w:autoSpaceDN/>
        <w:adjustRightInd/>
        <w:snapToGrid/>
        <w:spacing w:line="360" w:lineRule="auto"/>
        <w:ind w:firstLine="720" w:firstLineChars="300"/>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施用商品有机肥料（每亩100kg）1960亩，有机肥施肥总量196t。</w:t>
      </w:r>
    </w:p>
    <w:p w14:paraId="0DFD1CF2">
      <w:pPr>
        <w:widowControl w:val="0"/>
        <w:kinsoku/>
        <w:autoSpaceDE/>
        <w:autoSpaceDN/>
        <w:adjustRightInd/>
        <w:snapToGrid/>
        <w:spacing w:line="360" w:lineRule="auto"/>
        <w:ind w:firstLine="720" w:firstLineChars="300"/>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2）障碍土层消除工程</w:t>
      </w:r>
    </w:p>
    <w:p w14:paraId="0182BB29">
      <w:pPr>
        <w:widowControl w:val="0"/>
        <w:kinsoku/>
        <w:autoSpaceDE/>
        <w:autoSpaceDN/>
        <w:adjustRightInd/>
        <w:snapToGrid/>
        <w:spacing w:line="360" w:lineRule="auto"/>
        <w:ind w:firstLine="720" w:firstLineChars="300"/>
        <w:jc w:val="both"/>
        <w:textAlignment w:val="auto"/>
        <w:rPr>
          <w:rFonts w:hint="eastAsia" w:ascii="Times New Roman" w:hAnsi="Times New Roman" w:eastAsia="宋体" w:cs="Times New Roman"/>
          <w:snapToGrid/>
          <w:color w:val="auto"/>
          <w:kern w:val="0"/>
          <w:sz w:val="24"/>
          <w:szCs w:val="20"/>
          <w:highlight w:val="none"/>
          <w:lang w:eastAsia="zh-CN"/>
        </w:rPr>
      </w:pPr>
      <w:r>
        <w:rPr>
          <w:rFonts w:hint="eastAsia" w:ascii="Times New Roman" w:hAnsi="Times New Roman" w:eastAsia="宋体" w:cs="Times New Roman"/>
          <w:snapToGrid/>
          <w:color w:val="auto"/>
          <w:kern w:val="0"/>
          <w:sz w:val="24"/>
          <w:szCs w:val="20"/>
          <w:highlight w:val="none"/>
          <w:lang w:val="en-US" w:eastAsia="zh-CN"/>
        </w:rPr>
        <w:t>土地深耕深翻、旋翻（深翻25cm）1960亩，</w:t>
      </w:r>
    </w:p>
    <w:p w14:paraId="2D321FF8">
      <w:pPr>
        <w:spacing w:before="295" w:line="226" w:lineRule="auto"/>
        <w:outlineLvl w:val="9"/>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3.发包人其他要求</w:t>
      </w:r>
      <w:bookmarkEnd w:id="401"/>
      <w:bookmarkEnd w:id="402"/>
    </w:p>
    <w:p w14:paraId="723EAEF7">
      <w:pPr>
        <w:ind w:firstLine="500" w:firstLineChars="200"/>
        <w:rPr>
          <w:rFonts w:hint="eastAsia" w:ascii="宋体" w:hAnsi="宋体" w:eastAsia="宋体" w:cs="宋体"/>
          <w:b w:val="0"/>
          <w:bCs w:val="0"/>
          <w:color w:val="auto"/>
          <w:spacing w:val="5"/>
          <w:sz w:val="24"/>
          <w:szCs w:val="24"/>
          <w:highlight w:val="none"/>
          <w:lang w:val="en-US" w:eastAsia="zh-CN"/>
        </w:rPr>
      </w:pPr>
      <w:bookmarkStart w:id="403" w:name="bookmark285"/>
      <w:bookmarkEnd w:id="403"/>
      <w:bookmarkStart w:id="404" w:name="_Toc21931"/>
      <w:r>
        <w:rPr>
          <w:rFonts w:hint="eastAsia" w:ascii="宋体" w:hAnsi="宋体" w:eastAsia="宋体" w:cs="宋体"/>
          <w:b w:val="0"/>
          <w:bCs w:val="0"/>
          <w:color w:val="auto"/>
          <w:spacing w:val="5"/>
          <w:sz w:val="24"/>
          <w:szCs w:val="24"/>
          <w:highlight w:val="none"/>
          <w:lang w:val="en-US" w:eastAsia="zh-CN"/>
        </w:rPr>
        <w:t>无</w:t>
      </w:r>
    </w:p>
    <w:p w14:paraId="495C5D6C">
      <w:pPr>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br w:type="page"/>
      </w:r>
    </w:p>
    <w:p w14:paraId="29D40B1A">
      <w:pPr>
        <w:ind w:firstLine="2909" w:firstLineChars="90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第二节</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技术条款</w:t>
      </w:r>
      <w:bookmarkEnd w:id="404"/>
    </w:p>
    <w:p w14:paraId="3A4E2FCF">
      <w:pPr>
        <w:rPr>
          <w:color w:val="auto"/>
          <w:highlight w:val="none"/>
        </w:rPr>
      </w:pPr>
    </w:p>
    <w:p w14:paraId="07EC2F79">
      <w:pPr>
        <w:spacing w:line="244" w:lineRule="auto"/>
        <w:jc w:val="center"/>
        <w:rPr>
          <w:rFonts w:hint="default" w:ascii="Arial" w:eastAsia="宋体"/>
          <w:color w:val="auto"/>
          <w:sz w:val="21"/>
          <w:highlight w:val="none"/>
          <w:lang w:val="en-US" w:eastAsia="zh-CN"/>
        </w:rPr>
      </w:pPr>
      <w:r>
        <w:rPr>
          <w:rFonts w:hint="eastAsia" w:ascii="宋体" w:hAnsi="宋体" w:eastAsia="宋体" w:cs="宋体"/>
          <w:b/>
          <w:bCs/>
          <w:color w:val="auto"/>
          <w:spacing w:val="5"/>
          <w:sz w:val="24"/>
          <w:szCs w:val="24"/>
          <w:highlight w:val="none"/>
          <w:lang w:val="en-US" w:eastAsia="zh-CN"/>
        </w:rPr>
        <w:t>无</w:t>
      </w:r>
    </w:p>
    <w:p w14:paraId="600AA232">
      <w:pPr>
        <w:spacing w:before="139" w:line="223" w:lineRule="auto"/>
        <w:ind w:left="2085"/>
        <w:outlineLvl w:val="0"/>
        <w:rPr>
          <w:rFonts w:ascii="宋体" w:hAnsi="宋体" w:eastAsia="宋体" w:cs="宋体"/>
          <w:b/>
          <w:bCs/>
          <w:color w:val="auto"/>
          <w:spacing w:val="4"/>
          <w:sz w:val="43"/>
          <w:szCs w:val="43"/>
          <w:highlight w:val="none"/>
        </w:rPr>
      </w:pPr>
      <w:bookmarkStart w:id="405" w:name="bookmark286"/>
      <w:bookmarkEnd w:id="405"/>
    </w:p>
    <w:p w14:paraId="3609ABED">
      <w:pPr>
        <w:rPr>
          <w:rFonts w:ascii="宋体" w:hAnsi="宋体" w:eastAsia="宋体" w:cs="宋体"/>
          <w:b/>
          <w:bCs/>
          <w:color w:val="auto"/>
          <w:spacing w:val="4"/>
          <w:sz w:val="43"/>
          <w:szCs w:val="43"/>
          <w:highlight w:val="none"/>
        </w:rPr>
      </w:pPr>
      <w:bookmarkStart w:id="406" w:name="_Toc749"/>
      <w:r>
        <w:rPr>
          <w:rFonts w:ascii="宋体" w:hAnsi="宋体" w:eastAsia="宋体" w:cs="宋体"/>
          <w:b/>
          <w:bCs/>
          <w:color w:val="auto"/>
          <w:spacing w:val="4"/>
          <w:sz w:val="43"/>
          <w:szCs w:val="43"/>
          <w:highlight w:val="none"/>
        </w:rPr>
        <w:br w:type="page"/>
      </w:r>
    </w:p>
    <w:p w14:paraId="295493ED">
      <w:pPr>
        <w:spacing w:before="139" w:line="223" w:lineRule="auto"/>
        <w:ind w:left="2085"/>
        <w:outlineLvl w:val="0"/>
        <w:rPr>
          <w:rFonts w:ascii="宋体" w:hAnsi="宋体" w:eastAsia="宋体" w:cs="宋体"/>
          <w:color w:val="auto"/>
          <w:sz w:val="43"/>
          <w:szCs w:val="43"/>
          <w:highlight w:val="none"/>
        </w:rPr>
      </w:pPr>
      <w:r>
        <w:rPr>
          <w:rFonts w:ascii="宋体" w:hAnsi="宋体" w:eastAsia="宋体" w:cs="宋体"/>
          <w:b/>
          <w:bCs/>
          <w:color w:val="auto"/>
          <w:spacing w:val="4"/>
          <w:sz w:val="43"/>
          <w:szCs w:val="43"/>
          <w:highlight w:val="none"/>
        </w:rPr>
        <w:t>第八章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投标文件格式</w:t>
      </w:r>
      <w:bookmarkEnd w:id="406"/>
    </w:p>
    <w:p w14:paraId="31EF61F5">
      <w:pPr>
        <w:spacing w:line="275" w:lineRule="auto"/>
        <w:rPr>
          <w:rFonts w:hint="eastAsia" w:ascii="Arial" w:eastAsia="宋体"/>
          <w:color w:val="auto"/>
          <w:sz w:val="21"/>
          <w:highlight w:val="none"/>
          <w:lang w:eastAsia="zh-CN"/>
        </w:rPr>
      </w:pPr>
    </w:p>
    <w:p w14:paraId="52932292">
      <w:pPr>
        <w:spacing w:line="276" w:lineRule="auto"/>
        <w:rPr>
          <w:rFonts w:ascii="Arial"/>
          <w:color w:val="auto"/>
          <w:sz w:val="21"/>
          <w:highlight w:val="none"/>
        </w:rPr>
      </w:pPr>
    </w:p>
    <w:p w14:paraId="7EF5CCB7">
      <w:pPr>
        <w:tabs>
          <w:tab w:val="left" w:pos="2188"/>
        </w:tabs>
        <w:spacing w:before="91" w:line="221" w:lineRule="auto"/>
        <w:ind w:left="924"/>
        <w:outlineLvl w:val="9"/>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bookmarkStart w:id="407" w:name="_Toc836"/>
      <w:r>
        <w:rPr>
          <w:rFonts w:ascii="宋体" w:hAnsi="宋体" w:eastAsia="宋体" w:cs="宋体"/>
          <w:b/>
          <w:bCs/>
          <w:color w:val="auto"/>
          <w:spacing w:val="15"/>
          <w:sz w:val="28"/>
          <w:szCs w:val="28"/>
          <w:highlight w:val="none"/>
        </w:rPr>
        <w:t>（项</w:t>
      </w:r>
      <w:r>
        <w:rPr>
          <w:rFonts w:ascii="宋体" w:hAnsi="宋体" w:eastAsia="宋体" w:cs="宋体"/>
          <w:color w:val="auto"/>
          <w:spacing w:val="-35"/>
          <w:sz w:val="28"/>
          <w:szCs w:val="28"/>
          <w:highlight w:val="none"/>
        </w:rPr>
        <w:t xml:space="preserve"> </w:t>
      </w:r>
      <w:r>
        <w:rPr>
          <w:rFonts w:ascii="宋体" w:hAnsi="宋体" w:eastAsia="宋体" w:cs="宋体"/>
          <w:b/>
          <w:bCs/>
          <w:color w:val="auto"/>
          <w:spacing w:val="15"/>
          <w:sz w:val="28"/>
          <w:szCs w:val="28"/>
          <w:highlight w:val="none"/>
        </w:rPr>
        <w:t>目名称</w:t>
      </w:r>
      <w:r>
        <w:rPr>
          <w:rFonts w:ascii="宋体" w:hAnsi="宋体" w:eastAsia="宋体" w:cs="宋体"/>
          <w:color w:val="auto"/>
          <w:spacing w:val="-59"/>
          <w:sz w:val="28"/>
          <w:szCs w:val="28"/>
          <w:highlight w:val="none"/>
        </w:rPr>
        <w:t xml:space="preserve"> </w:t>
      </w:r>
      <w:r>
        <w:rPr>
          <w:rFonts w:ascii="宋体" w:hAnsi="宋体" w:eastAsia="宋体" w:cs="宋体"/>
          <w:b/>
          <w:bCs/>
          <w:color w:val="auto"/>
          <w:spacing w:val="15"/>
          <w:sz w:val="28"/>
          <w:szCs w:val="28"/>
          <w:highlight w:val="none"/>
        </w:rPr>
        <w:t>）</w:t>
      </w:r>
      <w:r>
        <w:rPr>
          <w:rFonts w:ascii="宋体" w:hAnsi="宋体" w:eastAsia="宋体" w:cs="宋体"/>
          <w:color w:val="auto"/>
          <w:spacing w:val="-97"/>
          <w:sz w:val="28"/>
          <w:szCs w:val="28"/>
          <w:highlight w:val="none"/>
        </w:rPr>
        <w:t xml:space="preserve"> </w:t>
      </w:r>
      <w:r>
        <w:rPr>
          <w:rFonts w:ascii="宋体" w:hAnsi="宋体" w:eastAsia="宋体" w:cs="宋体"/>
          <w:color w:val="auto"/>
          <w:spacing w:val="4"/>
          <w:sz w:val="28"/>
          <w:szCs w:val="28"/>
          <w:highlight w:val="none"/>
          <w:u w:val="single" w:color="auto"/>
        </w:rPr>
        <w:t xml:space="preserve">     </w:t>
      </w:r>
      <w:r>
        <w:rPr>
          <w:rFonts w:ascii="宋体" w:hAnsi="宋体" w:eastAsia="宋体" w:cs="宋体"/>
          <w:color w:val="auto"/>
          <w:spacing w:val="-125"/>
          <w:sz w:val="28"/>
          <w:szCs w:val="28"/>
          <w:highlight w:val="none"/>
        </w:rPr>
        <w:t xml:space="preserve"> </w:t>
      </w:r>
      <w:r>
        <w:rPr>
          <w:rFonts w:ascii="宋体" w:hAnsi="宋体" w:eastAsia="宋体" w:cs="宋体"/>
          <w:b/>
          <w:bCs/>
          <w:color w:val="auto"/>
          <w:spacing w:val="15"/>
          <w:sz w:val="28"/>
          <w:szCs w:val="28"/>
          <w:highlight w:val="none"/>
        </w:rPr>
        <w:t>标段施工招标项</w:t>
      </w:r>
      <w:r>
        <w:rPr>
          <w:rFonts w:ascii="宋体" w:hAnsi="宋体" w:eastAsia="宋体" w:cs="宋体"/>
          <w:color w:val="auto"/>
          <w:spacing w:val="-35"/>
          <w:sz w:val="28"/>
          <w:szCs w:val="28"/>
          <w:highlight w:val="none"/>
        </w:rPr>
        <w:t xml:space="preserve"> </w:t>
      </w:r>
      <w:r>
        <w:rPr>
          <w:rFonts w:ascii="宋体" w:hAnsi="宋体" w:eastAsia="宋体" w:cs="宋体"/>
          <w:b/>
          <w:bCs/>
          <w:color w:val="auto"/>
          <w:spacing w:val="15"/>
          <w:sz w:val="28"/>
          <w:szCs w:val="28"/>
          <w:highlight w:val="none"/>
        </w:rPr>
        <w:t>目</w:t>
      </w:r>
      <w:bookmarkEnd w:id="407"/>
    </w:p>
    <w:p w14:paraId="2D5B5132">
      <w:pPr>
        <w:spacing w:line="251" w:lineRule="auto"/>
        <w:rPr>
          <w:rFonts w:ascii="Arial"/>
          <w:color w:val="auto"/>
          <w:sz w:val="21"/>
          <w:highlight w:val="none"/>
        </w:rPr>
      </w:pPr>
    </w:p>
    <w:p w14:paraId="26FD8134">
      <w:pPr>
        <w:spacing w:line="251" w:lineRule="auto"/>
        <w:rPr>
          <w:rFonts w:ascii="Arial"/>
          <w:color w:val="auto"/>
          <w:sz w:val="21"/>
          <w:highlight w:val="none"/>
        </w:rPr>
      </w:pPr>
    </w:p>
    <w:p w14:paraId="579A80A6">
      <w:pPr>
        <w:spacing w:line="251" w:lineRule="auto"/>
        <w:rPr>
          <w:rFonts w:ascii="Arial"/>
          <w:color w:val="auto"/>
          <w:sz w:val="21"/>
          <w:highlight w:val="none"/>
        </w:rPr>
      </w:pPr>
    </w:p>
    <w:p w14:paraId="572DD0E1">
      <w:pPr>
        <w:spacing w:line="252" w:lineRule="auto"/>
        <w:rPr>
          <w:rFonts w:ascii="Arial"/>
          <w:color w:val="auto"/>
          <w:sz w:val="21"/>
          <w:highlight w:val="none"/>
        </w:rPr>
      </w:pPr>
    </w:p>
    <w:p w14:paraId="2842042E">
      <w:pPr>
        <w:spacing w:before="139" w:line="486" w:lineRule="auto"/>
        <w:ind w:right="2792"/>
        <w:jc w:val="center"/>
        <w:rPr>
          <w:rFonts w:ascii="宋体" w:hAnsi="宋体" w:eastAsia="宋体" w:cs="宋体"/>
          <w:color w:val="auto"/>
          <w:sz w:val="43"/>
          <w:szCs w:val="43"/>
          <w:highlight w:val="none"/>
        </w:rPr>
      </w:pPr>
      <w:r>
        <w:rPr>
          <w:rFonts w:hint="eastAsia" w:ascii="宋体" w:hAnsi="宋体" w:eastAsia="宋体" w:cs="宋体"/>
          <w:b/>
          <w:bCs/>
          <w:color w:val="auto"/>
          <w:spacing w:val="-15"/>
          <w:sz w:val="43"/>
          <w:szCs w:val="43"/>
          <w:highlight w:val="none"/>
          <w:lang w:val="en-US" w:eastAsia="zh-CN"/>
        </w:rPr>
        <w:t xml:space="preserve">             </w:t>
      </w:r>
      <w:r>
        <w:rPr>
          <w:rFonts w:ascii="宋体" w:hAnsi="宋体" w:eastAsia="宋体" w:cs="宋体"/>
          <w:b/>
          <w:bCs/>
          <w:color w:val="auto"/>
          <w:spacing w:val="-15"/>
          <w:sz w:val="43"/>
          <w:szCs w:val="43"/>
          <w:highlight w:val="none"/>
        </w:rPr>
        <w:t>投</w:t>
      </w:r>
      <w:r>
        <w:rPr>
          <w:rFonts w:ascii="宋体" w:hAnsi="宋体" w:eastAsia="宋体" w:cs="宋体"/>
          <w:color w:val="auto"/>
          <w:spacing w:val="130"/>
          <w:sz w:val="43"/>
          <w:szCs w:val="43"/>
          <w:highlight w:val="none"/>
        </w:rPr>
        <w:t xml:space="preserve"> </w:t>
      </w:r>
      <w:r>
        <w:rPr>
          <w:rFonts w:ascii="宋体" w:hAnsi="宋体" w:eastAsia="宋体" w:cs="宋体"/>
          <w:b/>
          <w:bCs/>
          <w:color w:val="auto"/>
          <w:spacing w:val="-15"/>
          <w:sz w:val="43"/>
          <w:szCs w:val="43"/>
          <w:highlight w:val="none"/>
        </w:rPr>
        <w:t>标</w:t>
      </w:r>
      <w:r>
        <w:rPr>
          <w:rFonts w:ascii="宋体" w:hAnsi="宋体" w:eastAsia="宋体" w:cs="宋体"/>
          <w:color w:val="auto"/>
          <w:spacing w:val="130"/>
          <w:sz w:val="43"/>
          <w:szCs w:val="43"/>
          <w:highlight w:val="none"/>
        </w:rPr>
        <w:t xml:space="preserve"> </w:t>
      </w:r>
      <w:r>
        <w:rPr>
          <w:rFonts w:ascii="宋体" w:hAnsi="宋体" w:eastAsia="宋体" w:cs="宋体"/>
          <w:b/>
          <w:bCs/>
          <w:color w:val="auto"/>
          <w:spacing w:val="-15"/>
          <w:sz w:val="43"/>
          <w:szCs w:val="43"/>
          <w:highlight w:val="none"/>
        </w:rPr>
        <w:t>文</w:t>
      </w:r>
      <w:r>
        <w:rPr>
          <w:rFonts w:ascii="宋体" w:hAnsi="宋体" w:eastAsia="宋体" w:cs="宋体"/>
          <w:color w:val="auto"/>
          <w:spacing w:val="122"/>
          <w:sz w:val="43"/>
          <w:szCs w:val="43"/>
          <w:highlight w:val="none"/>
        </w:rPr>
        <w:t xml:space="preserve"> </w:t>
      </w:r>
      <w:r>
        <w:rPr>
          <w:rFonts w:ascii="宋体" w:hAnsi="宋体" w:eastAsia="宋体" w:cs="宋体"/>
          <w:b/>
          <w:bCs/>
          <w:color w:val="auto"/>
          <w:spacing w:val="-15"/>
          <w:sz w:val="43"/>
          <w:szCs w:val="43"/>
          <w:highlight w:val="none"/>
        </w:rPr>
        <w:t>件</w:t>
      </w:r>
    </w:p>
    <w:p w14:paraId="46C95DA6">
      <w:pPr>
        <w:spacing w:before="139" w:line="486" w:lineRule="auto"/>
        <w:ind w:right="2792"/>
        <w:jc w:val="center"/>
        <w:rPr>
          <w:rFonts w:ascii="宋体" w:hAnsi="宋体" w:eastAsia="宋体" w:cs="宋体"/>
          <w:color w:val="auto"/>
          <w:sz w:val="31"/>
          <w:szCs w:val="31"/>
          <w:highlight w:val="none"/>
        </w:rPr>
      </w:pPr>
      <w:r>
        <w:rPr>
          <w:rFonts w:hint="eastAsia" w:ascii="宋体" w:hAnsi="宋体" w:eastAsia="宋体" w:cs="宋体"/>
          <w:b/>
          <w:bCs/>
          <w:color w:val="auto"/>
          <w:spacing w:val="22"/>
          <w:sz w:val="31"/>
          <w:szCs w:val="31"/>
          <w:highlight w:val="none"/>
          <w:lang w:val="en-US" w:eastAsia="zh-CN"/>
        </w:rPr>
        <w:t xml:space="preserve">             </w:t>
      </w:r>
      <w:r>
        <w:rPr>
          <w:rFonts w:ascii="宋体" w:hAnsi="宋体" w:eastAsia="宋体" w:cs="宋体"/>
          <w:b/>
          <w:bCs/>
          <w:color w:val="auto"/>
          <w:spacing w:val="22"/>
          <w:sz w:val="31"/>
          <w:szCs w:val="31"/>
          <w:highlight w:val="none"/>
        </w:rPr>
        <w:t>招标项目编号：</w:t>
      </w:r>
    </w:p>
    <w:p w14:paraId="0873B1C6">
      <w:pPr>
        <w:spacing w:line="244" w:lineRule="auto"/>
        <w:rPr>
          <w:rFonts w:ascii="Arial"/>
          <w:color w:val="auto"/>
          <w:sz w:val="21"/>
          <w:highlight w:val="none"/>
        </w:rPr>
      </w:pPr>
    </w:p>
    <w:p w14:paraId="796E87A7">
      <w:pPr>
        <w:spacing w:line="244" w:lineRule="auto"/>
        <w:rPr>
          <w:rFonts w:ascii="Arial"/>
          <w:color w:val="auto"/>
          <w:sz w:val="21"/>
          <w:highlight w:val="none"/>
        </w:rPr>
      </w:pPr>
    </w:p>
    <w:p w14:paraId="2DC2F94A">
      <w:pPr>
        <w:spacing w:line="244" w:lineRule="auto"/>
        <w:rPr>
          <w:rFonts w:ascii="Arial"/>
          <w:color w:val="auto"/>
          <w:sz w:val="21"/>
          <w:highlight w:val="none"/>
        </w:rPr>
      </w:pPr>
    </w:p>
    <w:p w14:paraId="2F89F20A">
      <w:pPr>
        <w:spacing w:line="244" w:lineRule="auto"/>
        <w:rPr>
          <w:rFonts w:ascii="Arial"/>
          <w:color w:val="auto"/>
          <w:sz w:val="21"/>
          <w:highlight w:val="none"/>
        </w:rPr>
      </w:pPr>
    </w:p>
    <w:p w14:paraId="208CE024">
      <w:pPr>
        <w:spacing w:line="245" w:lineRule="auto"/>
        <w:rPr>
          <w:rFonts w:ascii="Arial"/>
          <w:color w:val="auto"/>
          <w:sz w:val="21"/>
          <w:highlight w:val="none"/>
        </w:rPr>
      </w:pPr>
    </w:p>
    <w:p w14:paraId="601EB112">
      <w:pPr>
        <w:spacing w:line="245" w:lineRule="auto"/>
        <w:rPr>
          <w:rFonts w:ascii="Arial"/>
          <w:color w:val="auto"/>
          <w:sz w:val="21"/>
          <w:highlight w:val="none"/>
        </w:rPr>
      </w:pPr>
    </w:p>
    <w:p w14:paraId="4075322E">
      <w:pPr>
        <w:spacing w:line="245" w:lineRule="auto"/>
        <w:rPr>
          <w:rFonts w:ascii="Arial"/>
          <w:color w:val="auto"/>
          <w:sz w:val="21"/>
          <w:highlight w:val="none"/>
        </w:rPr>
      </w:pPr>
    </w:p>
    <w:p w14:paraId="4E5446C3">
      <w:pPr>
        <w:spacing w:line="245" w:lineRule="auto"/>
        <w:rPr>
          <w:rFonts w:ascii="Arial"/>
          <w:color w:val="auto"/>
          <w:sz w:val="21"/>
          <w:highlight w:val="none"/>
        </w:rPr>
      </w:pPr>
    </w:p>
    <w:p w14:paraId="23DC8318">
      <w:pPr>
        <w:spacing w:line="245" w:lineRule="auto"/>
        <w:rPr>
          <w:rFonts w:ascii="Arial"/>
          <w:color w:val="auto"/>
          <w:sz w:val="21"/>
          <w:highlight w:val="none"/>
        </w:rPr>
      </w:pPr>
    </w:p>
    <w:p w14:paraId="677C0EB9">
      <w:pPr>
        <w:spacing w:line="245" w:lineRule="auto"/>
        <w:rPr>
          <w:rFonts w:ascii="Arial"/>
          <w:color w:val="auto"/>
          <w:sz w:val="21"/>
          <w:highlight w:val="none"/>
        </w:rPr>
      </w:pPr>
    </w:p>
    <w:p w14:paraId="63627A48">
      <w:pPr>
        <w:spacing w:line="245" w:lineRule="auto"/>
        <w:rPr>
          <w:rFonts w:ascii="Arial"/>
          <w:color w:val="auto"/>
          <w:sz w:val="21"/>
          <w:highlight w:val="none"/>
        </w:rPr>
      </w:pPr>
    </w:p>
    <w:p w14:paraId="5D1F2C18">
      <w:pPr>
        <w:spacing w:line="245" w:lineRule="auto"/>
        <w:rPr>
          <w:rFonts w:ascii="Arial"/>
          <w:color w:val="auto"/>
          <w:sz w:val="21"/>
          <w:highlight w:val="none"/>
        </w:rPr>
      </w:pPr>
    </w:p>
    <w:p w14:paraId="175C0CF2">
      <w:pPr>
        <w:spacing w:line="245" w:lineRule="auto"/>
        <w:rPr>
          <w:rFonts w:ascii="Arial"/>
          <w:color w:val="auto"/>
          <w:sz w:val="21"/>
          <w:highlight w:val="none"/>
        </w:rPr>
      </w:pPr>
    </w:p>
    <w:p w14:paraId="5F63136E">
      <w:pPr>
        <w:spacing w:line="245" w:lineRule="auto"/>
        <w:rPr>
          <w:rFonts w:ascii="Arial"/>
          <w:color w:val="auto"/>
          <w:sz w:val="21"/>
          <w:highlight w:val="none"/>
        </w:rPr>
      </w:pPr>
    </w:p>
    <w:p w14:paraId="2B2CF07C">
      <w:pPr>
        <w:spacing w:line="245" w:lineRule="auto"/>
        <w:rPr>
          <w:rFonts w:ascii="Arial"/>
          <w:color w:val="auto"/>
          <w:sz w:val="21"/>
          <w:highlight w:val="none"/>
        </w:rPr>
      </w:pPr>
    </w:p>
    <w:p w14:paraId="4ABF3CFC">
      <w:pPr>
        <w:spacing w:line="245" w:lineRule="auto"/>
        <w:rPr>
          <w:rFonts w:ascii="Arial"/>
          <w:color w:val="auto"/>
          <w:sz w:val="21"/>
          <w:highlight w:val="none"/>
        </w:rPr>
      </w:pPr>
    </w:p>
    <w:p w14:paraId="58C5730B">
      <w:pPr>
        <w:spacing w:line="245" w:lineRule="auto"/>
        <w:rPr>
          <w:rFonts w:ascii="Arial"/>
          <w:color w:val="auto"/>
          <w:sz w:val="21"/>
          <w:highlight w:val="none"/>
        </w:rPr>
      </w:pPr>
    </w:p>
    <w:p w14:paraId="79978677">
      <w:pPr>
        <w:spacing w:line="245" w:lineRule="auto"/>
        <w:rPr>
          <w:rFonts w:ascii="Arial"/>
          <w:color w:val="auto"/>
          <w:sz w:val="21"/>
          <w:highlight w:val="none"/>
        </w:rPr>
      </w:pPr>
    </w:p>
    <w:p w14:paraId="3334F965">
      <w:pPr>
        <w:spacing w:line="245" w:lineRule="auto"/>
        <w:rPr>
          <w:rFonts w:ascii="Arial"/>
          <w:color w:val="auto"/>
          <w:sz w:val="21"/>
          <w:highlight w:val="none"/>
        </w:rPr>
      </w:pPr>
    </w:p>
    <w:p w14:paraId="24BC5EAA">
      <w:pPr>
        <w:spacing w:line="245" w:lineRule="auto"/>
        <w:rPr>
          <w:rFonts w:ascii="Arial"/>
          <w:color w:val="auto"/>
          <w:sz w:val="21"/>
          <w:highlight w:val="none"/>
        </w:rPr>
      </w:pPr>
    </w:p>
    <w:p w14:paraId="3EE54DB9">
      <w:pPr>
        <w:spacing w:line="245" w:lineRule="auto"/>
        <w:rPr>
          <w:rFonts w:ascii="Arial"/>
          <w:color w:val="auto"/>
          <w:sz w:val="21"/>
          <w:highlight w:val="none"/>
        </w:rPr>
      </w:pPr>
    </w:p>
    <w:p w14:paraId="6583C9C1">
      <w:pPr>
        <w:spacing w:line="245" w:lineRule="auto"/>
        <w:rPr>
          <w:rFonts w:ascii="Arial"/>
          <w:color w:val="auto"/>
          <w:sz w:val="21"/>
          <w:highlight w:val="none"/>
        </w:rPr>
      </w:pPr>
    </w:p>
    <w:p w14:paraId="14A38723">
      <w:pPr>
        <w:spacing w:line="245" w:lineRule="auto"/>
        <w:rPr>
          <w:rFonts w:ascii="Arial"/>
          <w:color w:val="auto"/>
          <w:sz w:val="21"/>
          <w:highlight w:val="none"/>
        </w:rPr>
      </w:pPr>
    </w:p>
    <w:p w14:paraId="49A15960">
      <w:pPr>
        <w:spacing w:line="245" w:lineRule="auto"/>
        <w:rPr>
          <w:rFonts w:ascii="Arial"/>
          <w:color w:val="auto"/>
          <w:sz w:val="21"/>
          <w:highlight w:val="none"/>
        </w:rPr>
      </w:pPr>
    </w:p>
    <w:p w14:paraId="01D593BD">
      <w:pPr>
        <w:spacing w:line="245" w:lineRule="auto"/>
        <w:rPr>
          <w:rFonts w:ascii="Arial"/>
          <w:color w:val="auto"/>
          <w:sz w:val="28"/>
          <w:szCs w:val="28"/>
          <w:highlight w:val="none"/>
        </w:rPr>
      </w:pPr>
    </w:p>
    <w:p w14:paraId="2A7781A4">
      <w:pPr>
        <w:spacing w:before="101" w:line="356" w:lineRule="auto"/>
        <w:ind w:left="553" w:firstLine="2"/>
        <w:rPr>
          <w:rFonts w:ascii="宋体" w:hAnsi="宋体" w:eastAsia="宋体" w:cs="宋体"/>
          <w:color w:val="auto"/>
          <w:spacing w:val="1"/>
          <w:sz w:val="28"/>
          <w:szCs w:val="28"/>
          <w:highlight w:val="none"/>
        </w:rPr>
      </w:pPr>
      <w:r>
        <w:rPr>
          <w:rFonts w:ascii="宋体" w:hAnsi="宋体" w:eastAsia="宋体" w:cs="宋体"/>
          <w:b/>
          <w:bCs/>
          <w:color w:val="auto"/>
          <w:spacing w:val="4"/>
          <w:sz w:val="28"/>
          <w:szCs w:val="28"/>
          <w:highlight w:val="none"/>
        </w:rPr>
        <w:t>投</w:t>
      </w:r>
      <w:r>
        <w:rPr>
          <w:rFonts w:ascii="宋体" w:hAnsi="宋体" w:eastAsia="宋体" w:cs="宋体"/>
          <w:color w:val="auto"/>
          <w:spacing w:val="102"/>
          <w:sz w:val="28"/>
          <w:szCs w:val="28"/>
          <w:highlight w:val="none"/>
        </w:rPr>
        <w:t xml:space="preserve"> </w:t>
      </w:r>
      <w:r>
        <w:rPr>
          <w:rFonts w:ascii="宋体" w:hAnsi="宋体" w:eastAsia="宋体" w:cs="宋体"/>
          <w:b/>
          <w:bCs/>
          <w:color w:val="auto"/>
          <w:spacing w:val="4"/>
          <w:sz w:val="28"/>
          <w:szCs w:val="28"/>
          <w:highlight w:val="none"/>
        </w:rPr>
        <w:t>标</w:t>
      </w:r>
      <w:r>
        <w:rPr>
          <w:rFonts w:ascii="宋体" w:hAnsi="宋体" w:eastAsia="宋体" w:cs="宋体"/>
          <w:color w:val="auto"/>
          <w:spacing w:val="102"/>
          <w:sz w:val="28"/>
          <w:szCs w:val="28"/>
          <w:highlight w:val="none"/>
        </w:rPr>
        <w:t xml:space="preserve"> </w:t>
      </w:r>
      <w:r>
        <w:rPr>
          <w:rFonts w:ascii="宋体" w:hAnsi="宋体" w:eastAsia="宋体" w:cs="宋体"/>
          <w:b/>
          <w:bCs/>
          <w:color w:val="auto"/>
          <w:spacing w:val="4"/>
          <w:sz w:val="28"/>
          <w:szCs w:val="28"/>
          <w:highlight w:val="none"/>
        </w:rPr>
        <w:t>人</w:t>
      </w:r>
      <w:r>
        <w:rPr>
          <w:rFonts w:ascii="宋体" w:hAnsi="宋体" w:eastAsia="宋体" w:cs="宋体"/>
          <w:b/>
          <w:bCs/>
          <w:color w:val="auto"/>
          <w:spacing w:val="-20"/>
          <w:sz w:val="28"/>
          <w:szCs w:val="28"/>
          <w:highlight w:val="none"/>
        </w:rPr>
        <w:t>：</w:t>
      </w:r>
      <w:r>
        <w:rPr>
          <w:rFonts w:ascii="宋体" w:hAnsi="宋体" w:eastAsia="宋体" w:cs="宋体"/>
          <w:color w:val="auto"/>
          <w:spacing w:val="-69"/>
          <w:sz w:val="28"/>
          <w:szCs w:val="28"/>
          <w:highlight w:val="none"/>
        </w:rPr>
        <w:t xml:space="preserve"> </w:t>
      </w:r>
      <w:r>
        <w:rPr>
          <w:rFonts w:ascii="宋体" w:hAnsi="宋体" w:eastAsia="宋体" w:cs="宋体"/>
          <w:color w:val="auto"/>
          <w:spacing w:val="6"/>
          <w:sz w:val="28"/>
          <w:szCs w:val="28"/>
          <w:highlight w:val="none"/>
          <w:u w:val="single" w:color="auto"/>
        </w:rPr>
        <w:t xml:space="preserve">                  </w:t>
      </w:r>
      <w:r>
        <w:rPr>
          <w:rFonts w:ascii="宋体" w:hAnsi="宋体" w:eastAsia="宋体" w:cs="宋体"/>
          <w:color w:val="auto"/>
          <w:spacing w:val="5"/>
          <w:sz w:val="28"/>
          <w:szCs w:val="28"/>
          <w:highlight w:val="none"/>
          <w:u w:val="single" w:color="auto"/>
        </w:rPr>
        <w:t xml:space="preserve">      </w:t>
      </w:r>
      <w:r>
        <w:rPr>
          <w:rFonts w:ascii="宋体" w:hAnsi="宋体" w:eastAsia="宋体" w:cs="宋体"/>
          <w:b/>
          <w:bCs/>
          <w:color w:val="auto"/>
          <w:spacing w:val="-20"/>
          <w:sz w:val="28"/>
          <w:szCs w:val="28"/>
          <w:highlight w:val="none"/>
        </w:rPr>
        <w:t>（</w:t>
      </w:r>
      <w:r>
        <w:rPr>
          <w:rFonts w:ascii="宋体" w:hAnsi="宋体" w:eastAsia="宋体" w:cs="宋体"/>
          <w:b/>
          <w:bCs/>
          <w:color w:val="auto"/>
          <w:spacing w:val="4"/>
          <w:sz w:val="28"/>
          <w:szCs w:val="28"/>
          <w:highlight w:val="none"/>
        </w:rPr>
        <w:t>盖单位章）</w:t>
      </w:r>
      <w:r>
        <w:rPr>
          <w:rFonts w:ascii="宋体" w:hAnsi="宋体" w:eastAsia="宋体" w:cs="宋体"/>
          <w:color w:val="auto"/>
          <w:spacing w:val="1"/>
          <w:sz w:val="28"/>
          <w:szCs w:val="28"/>
          <w:highlight w:val="none"/>
        </w:rPr>
        <w:t xml:space="preserve"> </w:t>
      </w:r>
    </w:p>
    <w:p w14:paraId="3BDD02B1">
      <w:pPr>
        <w:spacing w:before="101" w:line="356" w:lineRule="auto"/>
        <w:ind w:left="553" w:firstLine="2"/>
        <w:rPr>
          <w:rFonts w:ascii="宋体" w:hAnsi="宋体" w:eastAsia="宋体" w:cs="宋体"/>
          <w:color w:val="auto"/>
          <w:sz w:val="28"/>
          <w:szCs w:val="28"/>
          <w:highlight w:val="none"/>
        </w:rPr>
      </w:pPr>
      <w:r>
        <w:rPr>
          <w:rFonts w:ascii="宋体" w:hAnsi="宋体" w:eastAsia="宋体" w:cs="宋体"/>
          <w:b/>
          <w:bCs/>
          <w:color w:val="auto"/>
          <w:spacing w:val="33"/>
          <w:sz w:val="28"/>
          <w:szCs w:val="28"/>
          <w:highlight w:val="none"/>
        </w:rPr>
        <w:t>法定代表人或其委托代理人</w:t>
      </w:r>
      <w:r>
        <w:rPr>
          <w:rFonts w:ascii="宋体" w:hAnsi="宋体" w:eastAsia="宋体" w:cs="宋体"/>
          <w:color w:val="auto"/>
          <w:spacing w:val="-72"/>
          <w:sz w:val="28"/>
          <w:szCs w:val="28"/>
          <w:highlight w:val="none"/>
        </w:rPr>
        <w:t xml:space="preserve"> </w:t>
      </w:r>
      <w:r>
        <w:rPr>
          <w:rFonts w:ascii="宋体" w:hAnsi="宋体" w:eastAsia="宋体" w:cs="宋体"/>
          <w:b/>
          <w:bCs/>
          <w:color w:val="auto"/>
          <w:spacing w:val="-40"/>
          <w:sz w:val="28"/>
          <w:szCs w:val="28"/>
          <w:highlight w:val="none"/>
        </w:rPr>
        <w:t>：</w:t>
      </w:r>
      <w:r>
        <w:rPr>
          <w:rFonts w:ascii="宋体" w:hAnsi="宋体" w:eastAsia="宋体" w:cs="宋体"/>
          <w:color w:val="auto"/>
          <w:spacing w:val="-103"/>
          <w:sz w:val="28"/>
          <w:szCs w:val="28"/>
          <w:highlight w:val="none"/>
        </w:rPr>
        <w:t xml:space="preserve"> </w:t>
      </w:r>
      <w:r>
        <w:rPr>
          <w:rFonts w:ascii="宋体" w:hAnsi="宋体" w:eastAsia="宋体" w:cs="宋体"/>
          <w:color w:val="auto"/>
          <w:spacing w:val="6"/>
          <w:sz w:val="28"/>
          <w:szCs w:val="28"/>
          <w:highlight w:val="none"/>
          <w:u w:val="single" w:color="auto"/>
        </w:rPr>
        <w:t xml:space="preserve">  </w:t>
      </w:r>
      <w:r>
        <w:rPr>
          <w:rFonts w:hint="eastAsia" w:ascii="宋体" w:hAnsi="宋体" w:eastAsia="宋体" w:cs="宋体"/>
          <w:color w:val="auto"/>
          <w:spacing w:val="6"/>
          <w:sz w:val="28"/>
          <w:szCs w:val="28"/>
          <w:highlight w:val="none"/>
          <w:u w:val="single" w:color="auto"/>
          <w:lang w:val="en-US" w:eastAsia="zh-CN"/>
        </w:rPr>
        <w:t xml:space="preserve">    </w:t>
      </w:r>
      <w:r>
        <w:rPr>
          <w:rFonts w:ascii="宋体" w:hAnsi="宋体" w:eastAsia="宋体" w:cs="宋体"/>
          <w:color w:val="auto"/>
          <w:spacing w:val="6"/>
          <w:sz w:val="28"/>
          <w:szCs w:val="28"/>
          <w:highlight w:val="none"/>
          <w:u w:val="single" w:color="auto"/>
        </w:rPr>
        <w:t xml:space="preserve"> </w:t>
      </w:r>
      <w:r>
        <w:rPr>
          <w:rFonts w:ascii="宋体" w:hAnsi="宋体" w:eastAsia="宋体" w:cs="宋体"/>
          <w:b/>
          <w:bCs/>
          <w:color w:val="auto"/>
          <w:spacing w:val="-40"/>
          <w:sz w:val="28"/>
          <w:szCs w:val="28"/>
          <w:highlight w:val="none"/>
        </w:rPr>
        <w:t>（</w:t>
      </w:r>
      <w:r>
        <w:rPr>
          <w:rFonts w:ascii="宋体" w:hAnsi="宋体" w:eastAsia="宋体" w:cs="宋体"/>
          <w:b/>
          <w:bCs/>
          <w:color w:val="auto"/>
          <w:spacing w:val="33"/>
          <w:sz w:val="28"/>
          <w:szCs w:val="28"/>
          <w:highlight w:val="none"/>
        </w:rPr>
        <w:t>签字或盖章）</w:t>
      </w:r>
    </w:p>
    <w:p w14:paraId="30B0CEA0">
      <w:pPr>
        <w:spacing w:line="358" w:lineRule="auto"/>
        <w:rPr>
          <w:rFonts w:ascii="Arial"/>
          <w:color w:val="auto"/>
          <w:sz w:val="28"/>
          <w:szCs w:val="28"/>
          <w:highlight w:val="none"/>
        </w:rPr>
      </w:pPr>
    </w:p>
    <w:p w14:paraId="44FEF5DD">
      <w:pPr>
        <w:tabs>
          <w:tab w:val="left" w:pos="3587"/>
        </w:tabs>
        <w:spacing w:before="100" w:line="225" w:lineRule="auto"/>
        <w:ind w:left="2583"/>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140"/>
          <w:sz w:val="28"/>
          <w:szCs w:val="28"/>
          <w:highlight w:val="none"/>
        </w:rPr>
        <w:t xml:space="preserve"> </w:t>
      </w:r>
      <w:r>
        <w:rPr>
          <w:rFonts w:ascii="宋体" w:hAnsi="宋体" w:eastAsia="宋体" w:cs="宋体"/>
          <w:b/>
          <w:bCs/>
          <w:color w:val="auto"/>
          <w:spacing w:val="-9"/>
          <w:sz w:val="28"/>
          <w:szCs w:val="28"/>
          <w:highlight w:val="none"/>
        </w:rPr>
        <w:t>年</w:t>
      </w:r>
      <w:r>
        <w:rPr>
          <w:rFonts w:ascii="宋体" w:hAnsi="宋体" w:eastAsia="宋体" w:cs="宋体"/>
          <w:color w:val="auto"/>
          <w:spacing w:val="-115"/>
          <w:sz w:val="28"/>
          <w:szCs w:val="28"/>
          <w:highlight w:val="none"/>
        </w:rPr>
        <w:t xml:space="preserve"> </w:t>
      </w:r>
      <w:r>
        <w:rPr>
          <w:rFonts w:ascii="宋体" w:hAnsi="宋体" w:eastAsia="宋体" w:cs="宋体"/>
          <w:color w:val="auto"/>
          <w:spacing w:val="12"/>
          <w:sz w:val="28"/>
          <w:szCs w:val="28"/>
          <w:highlight w:val="none"/>
          <w:u w:val="single" w:color="auto"/>
        </w:rPr>
        <w:t xml:space="preserve">      </w:t>
      </w:r>
      <w:r>
        <w:rPr>
          <w:rFonts w:ascii="宋体" w:hAnsi="宋体" w:eastAsia="宋体" w:cs="宋体"/>
          <w:color w:val="auto"/>
          <w:spacing w:val="-133"/>
          <w:sz w:val="28"/>
          <w:szCs w:val="28"/>
          <w:highlight w:val="none"/>
        </w:rPr>
        <w:t xml:space="preserve"> </w:t>
      </w:r>
      <w:r>
        <w:rPr>
          <w:rFonts w:ascii="宋体" w:hAnsi="宋体" w:eastAsia="宋体" w:cs="宋体"/>
          <w:b/>
          <w:bCs/>
          <w:color w:val="auto"/>
          <w:spacing w:val="-9"/>
          <w:sz w:val="28"/>
          <w:szCs w:val="28"/>
          <w:highlight w:val="none"/>
        </w:rPr>
        <w:t>月</w:t>
      </w:r>
      <w:r>
        <w:rPr>
          <w:rFonts w:ascii="宋体" w:hAnsi="宋体" w:eastAsia="宋体" w:cs="宋体"/>
          <w:color w:val="auto"/>
          <w:spacing w:val="-114"/>
          <w:sz w:val="28"/>
          <w:szCs w:val="28"/>
          <w:highlight w:val="none"/>
        </w:rPr>
        <w:t xml:space="preserve"> </w:t>
      </w:r>
      <w:r>
        <w:rPr>
          <w:rFonts w:ascii="宋体" w:hAnsi="宋体" w:eastAsia="宋体" w:cs="宋体"/>
          <w:color w:val="auto"/>
          <w:spacing w:val="6"/>
          <w:sz w:val="28"/>
          <w:szCs w:val="28"/>
          <w:highlight w:val="none"/>
          <w:u w:val="single" w:color="auto"/>
        </w:rPr>
        <w:t xml:space="preserve">     </w:t>
      </w:r>
      <w:r>
        <w:rPr>
          <w:rFonts w:ascii="宋体" w:hAnsi="宋体" w:eastAsia="宋体" w:cs="宋体"/>
          <w:color w:val="auto"/>
          <w:spacing w:val="-86"/>
          <w:sz w:val="28"/>
          <w:szCs w:val="28"/>
          <w:highlight w:val="none"/>
        </w:rPr>
        <w:t xml:space="preserve"> </w:t>
      </w:r>
      <w:r>
        <w:rPr>
          <w:rFonts w:ascii="宋体" w:hAnsi="宋体" w:eastAsia="宋体" w:cs="宋体"/>
          <w:b/>
          <w:bCs/>
          <w:color w:val="auto"/>
          <w:spacing w:val="-9"/>
          <w:sz w:val="28"/>
          <w:szCs w:val="28"/>
          <w:highlight w:val="none"/>
        </w:rPr>
        <w:t>日</w:t>
      </w:r>
    </w:p>
    <w:p w14:paraId="1CA11097">
      <w:pPr>
        <w:rPr>
          <w:rFonts w:ascii="宋体" w:hAnsi="宋体" w:eastAsia="宋体" w:cs="宋体"/>
          <w:b/>
          <w:bCs/>
          <w:color w:val="auto"/>
          <w:spacing w:val="-17"/>
          <w:sz w:val="31"/>
          <w:szCs w:val="31"/>
          <w:highlight w:val="none"/>
        </w:rPr>
      </w:pPr>
      <w:bookmarkStart w:id="408" w:name="bookmark287"/>
      <w:bookmarkEnd w:id="408"/>
      <w:r>
        <w:rPr>
          <w:rFonts w:ascii="宋体" w:hAnsi="宋体" w:eastAsia="宋体" w:cs="宋体"/>
          <w:b/>
          <w:bCs/>
          <w:color w:val="auto"/>
          <w:spacing w:val="-17"/>
          <w:sz w:val="31"/>
          <w:szCs w:val="31"/>
          <w:highlight w:val="none"/>
        </w:rPr>
        <w:br w:type="page"/>
      </w:r>
    </w:p>
    <w:p w14:paraId="372D1423">
      <w:pPr>
        <w:spacing w:before="155" w:line="227" w:lineRule="auto"/>
        <w:ind w:left="4199"/>
        <w:rPr>
          <w:rFonts w:ascii="宋体" w:hAnsi="宋体" w:eastAsia="宋体" w:cs="宋体"/>
          <w:color w:val="auto"/>
          <w:sz w:val="31"/>
          <w:szCs w:val="31"/>
          <w:highlight w:val="none"/>
        </w:rPr>
      </w:pPr>
      <w:r>
        <w:rPr>
          <w:rFonts w:ascii="宋体" w:hAnsi="宋体" w:eastAsia="宋体" w:cs="宋体"/>
          <w:b/>
          <w:bCs/>
          <w:color w:val="auto"/>
          <w:spacing w:val="-17"/>
          <w:sz w:val="31"/>
          <w:szCs w:val="31"/>
          <w:highlight w:val="none"/>
        </w:rPr>
        <w:t>目录</w:t>
      </w:r>
    </w:p>
    <w:p w14:paraId="5D4CE006">
      <w:pPr>
        <w:spacing w:line="327" w:lineRule="auto"/>
        <w:rPr>
          <w:rFonts w:ascii="Arial"/>
          <w:color w:val="auto"/>
          <w:sz w:val="21"/>
          <w:highlight w:val="none"/>
        </w:rPr>
      </w:pPr>
    </w:p>
    <w:p w14:paraId="0E2C1B4E">
      <w:pPr>
        <w:spacing w:line="327" w:lineRule="auto"/>
        <w:rPr>
          <w:rFonts w:ascii="Arial"/>
          <w:color w:val="auto"/>
          <w:sz w:val="21"/>
          <w:highlight w:val="none"/>
        </w:rPr>
      </w:pPr>
    </w:p>
    <w:p w14:paraId="55EFC0A3">
      <w:pPr>
        <w:spacing w:before="68" w:line="220" w:lineRule="auto"/>
        <w:ind w:left="6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一、投标函及投标函附录</w:t>
      </w:r>
    </w:p>
    <w:p w14:paraId="71390621">
      <w:pPr>
        <w:spacing w:before="188" w:line="221" w:lineRule="auto"/>
        <w:ind w:left="6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二、法定代表人身份证明（适用于无委托代理人的情况）</w:t>
      </w:r>
    </w:p>
    <w:p w14:paraId="5AC8F8B5">
      <w:pPr>
        <w:spacing w:before="188" w:line="220" w:lineRule="auto"/>
        <w:ind w:left="6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二、授权委托书（适用于有委托代理人的情况）</w:t>
      </w:r>
    </w:p>
    <w:p w14:paraId="29E23755">
      <w:pPr>
        <w:spacing w:before="191" w:line="220" w:lineRule="auto"/>
        <w:ind w:left="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三、联合体协议书</w:t>
      </w:r>
    </w:p>
    <w:p w14:paraId="1E298AAC">
      <w:pPr>
        <w:spacing w:before="189" w:line="221" w:lineRule="auto"/>
        <w:ind w:left="8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四、投标保证金</w:t>
      </w:r>
    </w:p>
    <w:p w14:paraId="3EC68B7D">
      <w:pPr>
        <w:spacing w:before="187" w:line="219" w:lineRule="auto"/>
        <w:ind w:left="6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五、已标价工程量清单</w:t>
      </w:r>
    </w:p>
    <w:p w14:paraId="786A2FB4">
      <w:pPr>
        <w:spacing w:before="193" w:line="222" w:lineRule="auto"/>
        <w:ind w:left="6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六、施工组织设计</w:t>
      </w:r>
    </w:p>
    <w:p w14:paraId="1D9981B9">
      <w:pPr>
        <w:spacing w:before="187" w:line="220" w:lineRule="auto"/>
        <w:ind w:left="6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七、项目管理机构</w:t>
      </w:r>
    </w:p>
    <w:p w14:paraId="5EB5956E">
      <w:pPr>
        <w:spacing w:before="189" w:line="220" w:lineRule="auto"/>
        <w:ind w:left="6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八、拟分包项目情况表</w:t>
      </w:r>
    </w:p>
    <w:p w14:paraId="4F187288">
      <w:pPr>
        <w:spacing w:before="191" w:line="221" w:lineRule="auto"/>
        <w:ind w:left="6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九、资格审查资料</w:t>
      </w:r>
    </w:p>
    <w:p w14:paraId="481E6B8B">
      <w:pPr>
        <w:spacing w:before="187" w:line="221" w:lineRule="auto"/>
        <w:ind w:left="6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十、农民工工资支付保障承诺</w:t>
      </w:r>
    </w:p>
    <w:p w14:paraId="4B89FD82">
      <w:pPr>
        <w:spacing w:before="189" w:line="220" w:lineRule="auto"/>
        <w:ind w:left="62"/>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十、其他材料</w:t>
      </w:r>
    </w:p>
    <w:p w14:paraId="362ABBC8">
      <w:pPr>
        <w:pStyle w:val="6"/>
        <w:outlineLvl w:val="9"/>
        <w:rPr>
          <w:rFonts w:ascii="宋体" w:hAnsi="宋体" w:eastAsia="宋体" w:cs="宋体"/>
          <w:color w:val="auto"/>
          <w:spacing w:val="-1"/>
          <w:sz w:val="21"/>
          <w:szCs w:val="21"/>
          <w:highlight w:val="none"/>
        </w:rPr>
      </w:pPr>
    </w:p>
    <w:p w14:paraId="2A7AE987">
      <w:pPr>
        <w:rPr>
          <w:rFonts w:ascii="宋体" w:hAnsi="宋体" w:eastAsia="宋体" w:cs="宋体"/>
          <w:color w:val="auto"/>
          <w:spacing w:val="-1"/>
          <w:sz w:val="21"/>
          <w:szCs w:val="21"/>
          <w:highlight w:val="none"/>
        </w:rPr>
      </w:pPr>
    </w:p>
    <w:p w14:paraId="5EF74EB0">
      <w:pPr>
        <w:pStyle w:val="6"/>
        <w:outlineLvl w:val="9"/>
        <w:rPr>
          <w:rFonts w:ascii="宋体" w:hAnsi="宋体" w:eastAsia="宋体" w:cs="宋体"/>
          <w:color w:val="auto"/>
          <w:spacing w:val="-1"/>
          <w:sz w:val="21"/>
          <w:szCs w:val="21"/>
          <w:highlight w:val="none"/>
        </w:rPr>
      </w:pPr>
    </w:p>
    <w:p w14:paraId="683E24D5">
      <w:pPr>
        <w:rPr>
          <w:rFonts w:ascii="宋体" w:hAnsi="宋体" w:eastAsia="宋体" w:cs="宋体"/>
          <w:color w:val="auto"/>
          <w:spacing w:val="-1"/>
          <w:sz w:val="21"/>
          <w:szCs w:val="21"/>
          <w:highlight w:val="none"/>
        </w:rPr>
      </w:pPr>
    </w:p>
    <w:p w14:paraId="6B9BD2DE">
      <w:pPr>
        <w:pStyle w:val="6"/>
        <w:outlineLvl w:val="9"/>
        <w:rPr>
          <w:rFonts w:ascii="宋体" w:hAnsi="宋体" w:eastAsia="宋体" w:cs="宋体"/>
          <w:color w:val="auto"/>
          <w:spacing w:val="-1"/>
          <w:sz w:val="21"/>
          <w:szCs w:val="21"/>
          <w:highlight w:val="none"/>
        </w:rPr>
      </w:pPr>
    </w:p>
    <w:p w14:paraId="728EF017">
      <w:pPr>
        <w:rPr>
          <w:rFonts w:ascii="宋体" w:hAnsi="宋体" w:eastAsia="宋体" w:cs="宋体"/>
          <w:color w:val="auto"/>
          <w:spacing w:val="-1"/>
          <w:sz w:val="21"/>
          <w:szCs w:val="21"/>
          <w:highlight w:val="none"/>
        </w:rPr>
      </w:pPr>
    </w:p>
    <w:p w14:paraId="1E0397F7">
      <w:pPr>
        <w:pStyle w:val="6"/>
        <w:outlineLvl w:val="9"/>
        <w:rPr>
          <w:rFonts w:ascii="宋体" w:hAnsi="宋体" w:eastAsia="宋体" w:cs="宋体"/>
          <w:color w:val="auto"/>
          <w:spacing w:val="-1"/>
          <w:sz w:val="21"/>
          <w:szCs w:val="21"/>
          <w:highlight w:val="none"/>
        </w:rPr>
      </w:pPr>
    </w:p>
    <w:p w14:paraId="0782A991">
      <w:pPr>
        <w:rPr>
          <w:rFonts w:ascii="宋体" w:hAnsi="宋体" w:eastAsia="宋体" w:cs="宋体"/>
          <w:color w:val="auto"/>
          <w:spacing w:val="-1"/>
          <w:sz w:val="21"/>
          <w:szCs w:val="21"/>
          <w:highlight w:val="none"/>
        </w:rPr>
      </w:pPr>
    </w:p>
    <w:p w14:paraId="110F744B">
      <w:pPr>
        <w:pStyle w:val="6"/>
        <w:outlineLvl w:val="9"/>
        <w:rPr>
          <w:rFonts w:ascii="宋体" w:hAnsi="宋体" w:eastAsia="宋体" w:cs="宋体"/>
          <w:color w:val="auto"/>
          <w:spacing w:val="-1"/>
          <w:sz w:val="21"/>
          <w:szCs w:val="21"/>
          <w:highlight w:val="none"/>
        </w:rPr>
      </w:pPr>
    </w:p>
    <w:p w14:paraId="7ECEB18E">
      <w:pPr>
        <w:pStyle w:val="6"/>
        <w:outlineLvl w:val="9"/>
        <w:rPr>
          <w:rFonts w:ascii="宋体" w:hAnsi="宋体" w:eastAsia="宋体" w:cs="宋体"/>
          <w:color w:val="auto"/>
          <w:spacing w:val="-1"/>
          <w:sz w:val="21"/>
          <w:szCs w:val="21"/>
          <w:highlight w:val="none"/>
        </w:rPr>
      </w:pPr>
    </w:p>
    <w:p w14:paraId="2D477EEF">
      <w:pPr>
        <w:rPr>
          <w:rFonts w:ascii="宋体" w:hAnsi="宋体" w:eastAsia="宋体" w:cs="宋体"/>
          <w:color w:val="auto"/>
          <w:spacing w:val="-1"/>
          <w:sz w:val="21"/>
          <w:szCs w:val="21"/>
          <w:highlight w:val="none"/>
        </w:rPr>
      </w:pPr>
    </w:p>
    <w:p w14:paraId="1FE1651E">
      <w:pPr>
        <w:spacing w:before="294" w:line="224" w:lineRule="auto"/>
        <w:rPr>
          <w:rFonts w:ascii="宋体" w:hAnsi="宋体" w:eastAsia="宋体" w:cs="宋体"/>
          <w:b/>
          <w:bCs/>
          <w:color w:val="auto"/>
          <w:spacing w:val="5"/>
          <w:sz w:val="31"/>
          <w:szCs w:val="31"/>
          <w:highlight w:val="none"/>
        </w:rPr>
      </w:pPr>
      <w:bookmarkStart w:id="409" w:name="bookmark288"/>
      <w:bookmarkEnd w:id="409"/>
    </w:p>
    <w:p w14:paraId="59CBF07F">
      <w:pPr>
        <w:rPr>
          <w:rFonts w:ascii="宋体" w:hAnsi="宋体" w:eastAsia="宋体" w:cs="宋体"/>
          <w:b/>
          <w:bCs/>
          <w:color w:val="auto"/>
          <w:spacing w:val="6"/>
          <w:sz w:val="31"/>
          <w:szCs w:val="31"/>
          <w:highlight w:val="none"/>
        </w:rPr>
      </w:pPr>
      <w:bookmarkStart w:id="410" w:name="_Toc16364"/>
      <w:r>
        <w:rPr>
          <w:rFonts w:ascii="宋体" w:hAnsi="宋体" w:eastAsia="宋体" w:cs="宋体"/>
          <w:b/>
          <w:bCs/>
          <w:color w:val="auto"/>
          <w:spacing w:val="6"/>
          <w:sz w:val="31"/>
          <w:szCs w:val="31"/>
          <w:highlight w:val="none"/>
        </w:rPr>
        <w:br w:type="page"/>
      </w:r>
    </w:p>
    <w:p w14:paraId="4FE9AECB">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jc w:val="center"/>
        <w:textAlignment w:val="baseline"/>
        <w:outlineLvl w:val="2"/>
        <w:rPr>
          <w:rFonts w:ascii="宋体" w:hAnsi="宋体" w:eastAsia="宋体" w:cs="宋体"/>
          <w:b/>
          <w:bCs/>
          <w:color w:val="auto"/>
          <w:spacing w:val="6"/>
          <w:sz w:val="31"/>
          <w:szCs w:val="31"/>
          <w:highlight w:val="none"/>
        </w:rPr>
      </w:pPr>
      <w:r>
        <w:rPr>
          <w:rFonts w:ascii="宋体" w:hAnsi="宋体" w:eastAsia="宋体" w:cs="宋体"/>
          <w:b/>
          <w:bCs/>
          <w:color w:val="auto"/>
          <w:spacing w:val="6"/>
          <w:sz w:val="31"/>
          <w:szCs w:val="31"/>
          <w:highlight w:val="none"/>
        </w:rPr>
        <w:t>一、投标函及投标函附录</w:t>
      </w:r>
      <w:bookmarkEnd w:id="410"/>
    </w:p>
    <w:p w14:paraId="229A805E">
      <w:pPr>
        <w:spacing w:line="247" w:lineRule="auto"/>
        <w:rPr>
          <w:rFonts w:ascii="Arial"/>
          <w:color w:val="auto"/>
          <w:sz w:val="21"/>
          <w:highlight w:val="none"/>
        </w:rPr>
      </w:pPr>
    </w:p>
    <w:p w14:paraId="77FA196D">
      <w:pPr>
        <w:spacing w:line="248" w:lineRule="auto"/>
        <w:rPr>
          <w:rFonts w:ascii="Arial"/>
          <w:color w:val="auto"/>
          <w:sz w:val="21"/>
          <w:highlight w:val="none"/>
        </w:rPr>
      </w:pPr>
    </w:p>
    <w:p w14:paraId="35875A8A">
      <w:pPr>
        <w:spacing w:before="91" w:line="221" w:lineRule="auto"/>
        <w:ind w:left="155"/>
        <w:jc w:val="center"/>
        <w:outlineLvl w:val="9"/>
        <w:rPr>
          <w:rFonts w:ascii="宋体" w:hAnsi="宋体" w:eastAsia="宋体" w:cs="宋体"/>
          <w:color w:val="auto"/>
          <w:sz w:val="28"/>
          <w:szCs w:val="28"/>
          <w:highlight w:val="none"/>
        </w:rPr>
      </w:pPr>
      <w:bookmarkStart w:id="411" w:name="_Toc7093"/>
      <w:r>
        <w:rPr>
          <w:rFonts w:ascii="宋体" w:hAnsi="宋体" w:eastAsia="宋体" w:cs="宋体"/>
          <w:b/>
          <w:bCs/>
          <w:color w:val="auto"/>
          <w:spacing w:val="-8"/>
          <w:sz w:val="28"/>
          <w:szCs w:val="28"/>
          <w:highlight w:val="none"/>
        </w:rPr>
        <w:t>（一）投标函</w:t>
      </w:r>
      <w:bookmarkEnd w:id="411"/>
    </w:p>
    <w:p w14:paraId="6AADB08C">
      <w:pPr>
        <w:spacing w:line="465" w:lineRule="auto"/>
        <w:rPr>
          <w:rFonts w:ascii="Arial"/>
          <w:color w:val="auto"/>
          <w:sz w:val="21"/>
          <w:highlight w:val="none"/>
        </w:rPr>
      </w:pPr>
    </w:p>
    <w:p w14:paraId="1BEA390D">
      <w:pPr>
        <w:keepNext w:val="0"/>
        <w:keepLines w:val="0"/>
        <w:pageBreakBefore w:val="0"/>
        <w:widowControl/>
        <w:tabs>
          <w:tab w:val="left" w:pos="2520"/>
        </w:tabs>
        <w:kinsoku w:val="0"/>
        <w:wordWrap/>
        <w:overflowPunct/>
        <w:topLinePunct w:val="0"/>
        <w:autoSpaceDE w:val="0"/>
        <w:autoSpaceDN w:val="0"/>
        <w:bidi w:val="0"/>
        <w:adjustRightInd w:val="0"/>
        <w:snapToGrid w:val="0"/>
        <w:spacing w:before="68" w:line="360" w:lineRule="auto"/>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3"/>
          <w:sz w:val="21"/>
          <w:szCs w:val="21"/>
          <w:highlight w:val="none"/>
        </w:rPr>
        <w:t>（招标人名称</w:t>
      </w:r>
      <w:r>
        <w:rPr>
          <w:rFonts w:ascii="宋体" w:hAnsi="宋体" w:eastAsia="宋体" w:cs="宋体"/>
          <w:color w:val="auto"/>
          <w:spacing w:val="-20"/>
          <w:sz w:val="21"/>
          <w:szCs w:val="21"/>
          <w:highlight w:val="none"/>
        </w:rPr>
        <w:t>）：</w:t>
      </w:r>
    </w:p>
    <w:p w14:paraId="43D1A0E9">
      <w:pPr>
        <w:keepNext w:val="0"/>
        <w:keepLines w:val="0"/>
        <w:pageBreakBefore w:val="0"/>
        <w:widowControl/>
        <w:kinsoku w:val="0"/>
        <w:wordWrap/>
        <w:overflowPunct/>
        <w:topLinePunct w:val="0"/>
        <w:autoSpaceDE w:val="0"/>
        <w:autoSpaceDN w:val="0"/>
        <w:bidi w:val="0"/>
        <w:adjustRightInd w:val="0"/>
        <w:snapToGrid w:val="0"/>
        <w:spacing w:before="160" w:line="360" w:lineRule="auto"/>
        <w:ind w:left="8" w:right="2" w:firstLine="435"/>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1．我方已仔细研究了</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（项目名称）</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0"/>
          <w:sz w:val="21"/>
          <w:szCs w:val="21"/>
          <w:highlight w:val="none"/>
        </w:rPr>
        <w:t xml:space="preserve"> </w:t>
      </w:r>
      <w:r>
        <w:rPr>
          <w:rFonts w:ascii="宋体" w:hAnsi="宋体" w:eastAsia="宋体" w:cs="宋体"/>
          <w:color w:val="auto"/>
          <w:spacing w:val="-2"/>
          <w:sz w:val="21"/>
          <w:szCs w:val="21"/>
          <w:highlight w:val="none"/>
        </w:rPr>
        <w:t>标段施工招标文件的全部内容，愿意以</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人民币（大写）</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88"/>
          <w:sz w:val="21"/>
          <w:szCs w:val="21"/>
          <w:highlight w:val="none"/>
        </w:rPr>
        <w:t xml:space="preserve"> </w:t>
      </w:r>
      <w:r>
        <w:rPr>
          <w:rFonts w:ascii="宋体" w:hAnsi="宋体" w:eastAsia="宋体" w:cs="宋体"/>
          <w:color w:val="auto"/>
          <w:spacing w:val="5"/>
          <w:sz w:val="21"/>
          <w:szCs w:val="21"/>
          <w:highlight w:val="none"/>
        </w:rPr>
        <w:t>元(¥</w:t>
      </w:r>
      <w:r>
        <w:rPr>
          <w:rFonts w:ascii="宋体" w:hAnsi="宋体" w:eastAsia="宋体" w:cs="宋体"/>
          <w:color w:val="auto"/>
          <w:spacing w:val="-105"/>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68"/>
          <w:sz w:val="21"/>
          <w:szCs w:val="21"/>
          <w:highlight w:val="none"/>
        </w:rPr>
        <w:t xml:space="preserve"> </w:t>
      </w:r>
      <w:r>
        <w:rPr>
          <w:rFonts w:ascii="宋体" w:hAnsi="宋体" w:eastAsia="宋体" w:cs="宋体"/>
          <w:color w:val="auto"/>
          <w:spacing w:val="5"/>
          <w:sz w:val="21"/>
          <w:szCs w:val="21"/>
          <w:highlight w:val="none"/>
        </w:rPr>
        <w:t>)的投标总报价，工期</w:t>
      </w:r>
      <w:r>
        <w:rPr>
          <w:rFonts w:ascii="宋体" w:hAnsi="宋体" w:eastAsia="宋体" w:cs="宋体"/>
          <w:color w:val="auto"/>
          <w:spacing w:val="-105"/>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49"/>
          <w:sz w:val="21"/>
          <w:szCs w:val="21"/>
          <w:highlight w:val="none"/>
        </w:rPr>
        <w:t xml:space="preserve"> </w:t>
      </w:r>
      <w:r>
        <w:rPr>
          <w:rFonts w:ascii="宋体" w:hAnsi="宋体" w:eastAsia="宋体" w:cs="宋体"/>
          <w:color w:val="auto"/>
          <w:spacing w:val="5"/>
          <w:sz w:val="21"/>
          <w:szCs w:val="21"/>
          <w:highlight w:val="none"/>
        </w:rPr>
        <w:t>日历天，按合同约</w:t>
      </w:r>
      <w:r>
        <w:rPr>
          <w:rFonts w:ascii="宋体" w:hAnsi="宋体" w:eastAsia="宋体" w:cs="宋体"/>
          <w:color w:val="auto"/>
          <w:sz w:val="21"/>
          <w:szCs w:val="21"/>
          <w:highlight w:val="none"/>
        </w:rPr>
        <w:t xml:space="preserve"> </w:t>
      </w:r>
      <w:r>
        <w:rPr>
          <w:rFonts w:ascii="宋体" w:hAnsi="宋体" w:eastAsia="宋体" w:cs="宋体"/>
          <w:color w:val="auto"/>
          <w:spacing w:val="-7"/>
          <w:sz w:val="21"/>
          <w:szCs w:val="21"/>
          <w:highlight w:val="none"/>
        </w:rPr>
        <w:t>定实施和完成承包工程，修补工程中的任何缺陷，工程质量达到</w:t>
      </w:r>
      <w:r>
        <w:rPr>
          <w:rFonts w:ascii="宋体" w:hAnsi="宋体" w:eastAsia="宋体" w:cs="宋体"/>
          <w:color w:val="auto"/>
          <w:spacing w:val="-105"/>
          <w:sz w:val="21"/>
          <w:szCs w:val="21"/>
          <w:highlight w:val="none"/>
        </w:rPr>
        <w:t xml:space="preserve"> </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7"/>
          <w:sz w:val="21"/>
          <w:szCs w:val="21"/>
          <w:highlight w:val="none"/>
        </w:rPr>
        <w:t>，安全目标</w:t>
      </w:r>
      <w:r>
        <w:rPr>
          <w:rFonts w:ascii="宋体" w:hAnsi="宋体" w:eastAsia="宋体" w:cs="宋体"/>
          <w:color w:val="auto"/>
          <w:spacing w:val="-51"/>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81"/>
          <w:sz w:val="21"/>
          <w:szCs w:val="21"/>
          <w:highlight w:val="none"/>
        </w:rPr>
        <w:t xml:space="preserve"> </w:t>
      </w:r>
      <w:r>
        <w:rPr>
          <w:rFonts w:ascii="宋体" w:hAnsi="宋体" w:eastAsia="宋体" w:cs="宋体"/>
          <w:color w:val="auto"/>
          <w:spacing w:val="-51"/>
          <w:sz w:val="21"/>
          <w:szCs w:val="21"/>
          <w:highlight w:val="none"/>
        </w:rPr>
        <w:t>，</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环保目标：</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 xml:space="preserve"> 。</w:t>
      </w:r>
    </w:p>
    <w:p w14:paraId="1773877E">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30"/>
        <w:textAlignment w:val="baseline"/>
        <w:outlineLvl w:val="9"/>
        <w:rPr>
          <w:rFonts w:ascii="宋体" w:hAnsi="宋体" w:eastAsia="宋体" w:cs="宋体"/>
          <w:color w:val="auto"/>
          <w:sz w:val="21"/>
          <w:szCs w:val="21"/>
          <w:highlight w:val="none"/>
        </w:rPr>
      </w:pPr>
      <w:bookmarkStart w:id="412" w:name="_Toc4033"/>
      <w:r>
        <w:rPr>
          <w:rFonts w:ascii="宋体" w:hAnsi="宋体" w:eastAsia="宋体" w:cs="宋体"/>
          <w:color w:val="auto"/>
          <w:spacing w:val="-1"/>
          <w:sz w:val="21"/>
          <w:szCs w:val="21"/>
          <w:highlight w:val="none"/>
        </w:rPr>
        <w:t>2. 我方的投标文件包括下列内容：</w:t>
      </w:r>
      <w:bookmarkEnd w:id="412"/>
    </w:p>
    <w:p w14:paraId="76565319">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（l）投标函及投标函附录；</w:t>
      </w:r>
    </w:p>
    <w:p w14:paraId="0E041664">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（2）法定代表人身份证明或授权委托书；</w:t>
      </w:r>
    </w:p>
    <w:p w14:paraId="1B6FFBC0">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（3）联合体协议书；</w:t>
      </w:r>
    </w:p>
    <w:p w14:paraId="7946650B">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（4）投标保证金；</w:t>
      </w:r>
    </w:p>
    <w:p w14:paraId="093CBDDA">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（5）已标价的工程量清单；</w:t>
      </w:r>
    </w:p>
    <w:p w14:paraId="4C3AAA26">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（6）施工组织设计；</w:t>
      </w:r>
    </w:p>
    <w:p w14:paraId="73DC6A84">
      <w:pPr>
        <w:keepNext w:val="0"/>
        <w:keepLines w:val="0"/>
        <w:pageBreakBefore w:val="0"/>
        <w:widowControl/>
        <w:kinsoku w:val="0"/>
        <w:wordWrap/>
        <w:overflowPunct/>
        <w:topLinePunct w:val="0"/>
        <w:autoSpaceDE w:val="0"/>
        <w:autoSpaceDN w:val="0"/>
        <w:bidi w:val="0"/>
        <w:adjustRightInd w:val="0"/>
        <w:snapToGrid w:val="0"/>
        <w:spacing w:before="155"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（7）项目管理机构；</w:t>
      </w:r>
    </w:p>
    <w:p w14:paraId="052EADBD">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（8）拟分包项目情况表；</w:t>
      </w:r>
    </w:p>
    <w:p w14:paraId="1A82C596">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（9）资格审查资料；</w:t>
      </w:r>
    </w:p>
    <w:p w14:paraId="65B28675">
      <w:pPr>
        <w:keepNext w:val="0"/>
        <w:keepLines w:val="0"/>
        <w:pageBreakBefore w:val="0"/>
        <w:widowControl/>
        <w:kinsoku w:val="0"/>
        <w:wordWrap/>
        <w:overflowPunct/>
        <w:topLinePunct w:val="0"/>
        <w:autoSpaceDE w:val="0"/>
        <w:autoSpaceDN w:val="0"/>
        <w:bidi w:val="0"/>
        <w:adjustRightInd w:val="0"/>
        <w:snapToGrid w:val="0"/>
        <w:spacing w:before="160"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（10）其他资料；</w:t>
      </w:r>
    </w:p>
    <w:p w14:paraId="55923B1E">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16"/>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投标文件的上述组成部分如存在内容不一致的，以投</w:t>
      </w:r>
      <w:r>
        <w:rPr>
          <w:rFonts w:ascii="宋体" w:hAnsi="宋体" w:eastAsia="宋体" w:cs="宋体"/>
          <w:color w:val="auto"/>
          <w:spacing w:val="-1"/>
          <w:sz w:val="21"/>
          <w:szCs w:val="21"/>
          <w:highlight w:val="none"/>
        </w:rPr>
        <w:t>标函为准。</w:t>
      </w:r>
    </w:p>
    <w:p w14:paraId="4B6F2334">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32"/>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3．我方承诺在投标有效期内不修改、撤销投标文件。</w:t>
      </w:r>
    </w:p>
    <w:p w14:paraId="494C1FD8">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27"/>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4．如我方中标，我方承诺：</w:t>
      </w:r>
    </w:p>
    <w:p w14:paraId="5259C15F">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（1）在收到中标通知书后，在中标通知书规定的</w:t>
      </w:r>
      <w:r>
        <w:rPr>
          <w:rFonts w:ascii="宋体" w:hAnsi="宋体" w:eastAsia="宋体" w:cs="宋体"/>
          <w:color w:val="auto"/>
          <w:spacing w:val="-1"/>
          <w:sz w:val="21"/>
          <w:szCs w:val="21"/>
          <w:highlight w:val="none"/>
        </w:rPr>
        <w:t>期限内与你方签订合同；</w:t>
      </w:r>
    </w:p>
    <w:p w14:paraId="79E22CB9">
      <w:pPr>
        <w:keepNext w:val="0"/>
        <w:keepLines w:val="0"/>
        <w:pageBreakBefore w:val="0"/>
        <w:widowControl/>
        <w:kinsoku w:val="0"/>
        <w:wordWrap/>
        <w:overflowPunct/>
        <w:topLinePunct w:val="0"/>
        <w:autoSpaceDE w:val="0"/>
        <w:autoSpaceDN w:val="0"/>
        <w:bidi w:val="0"/>
        <w:adjustRightInd w:val="0"/>
        <w:snapToGrid w:val="0"/>
        <w:spacing w:before="160"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（2）在签订合同时不向你方提出附加条件；</w:t>
      </w:r>
    </w:p>
    <w:p w14:paraId="5FA5B057">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（3）按照招标文件要求提交履约保证金；</w:t>
      </w:r>
    </w:p>
    <w:p w14:paraId="262A76BA">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（4）在合同约定的期限内完成合同规定的全部义务。</w:t>
      </w:r>
    </w:p>
    <w:p w14:paraId="3C5C60A8">
      <w:pPr>
        <w:keepNext w:val="0"/>
        <w:keepLines w:val="0"/>
        <w:pageBreakBefore w:val="0"/>
        <w:widowControl/>
        <w:kinsoku w:val="0"/>
        <w:wordWrap/>
        <w:overflowPunct/>
        <w:topLinePunct w:val="0"/>
        <w:autoSpaceDE w:val="0"/>
        <w:autoSpaceDN w:val="0"/>
        <w:bidi w:val="0"/>
        <w:adjustRightInd w:val="0"/>
        <w:snapToGrid w:val="0"/>
        <w:spacing w:before="159" w:line="360" w:lineRule="auto"/>
        <w:ind w:left="9" w:firstLine="423"/>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5．我方在此声明，所递交的投标文件及有关资料内容完整、真实和准确，且不存在第二章“投</w:t>
      </w:r>
      <w:r>
        <w:rPr>
          <w:rFonts w:ascii="宋体" w:hAnsi="宋体" w:eastAsia="宋体" w:cs="宋体"/>
          <w:color w:val="auto"/>
          <w:spacing w:val="11"/>
          <w:sz w:val="21"/>
          <w:szCs w:val="21"/>
          <w:highlight w:val="none"/>
        </w:rPr>
        <w:t xml:space="preserve"> </w:t>
      </w:r>
      <w:r>
        <w:rPr>
          <w:rFonts w:ascii="宋体" w:hAnsi="宋体" w:eastAsia="宋体" w:cs="宋体"/>
          <w:color w:val="auto"/>
          <w:spacing w:val="-2"/>
          <w:sz w:val="21"/>
          <w:szCs w:val="21"/>
          <w:highlight w:val="none"/>
        </w:rPr>
        <w:t>标人须知”第</w:t>
      </w:r>
      <w:r>
        <w:rPr>
          <w:rFonts w:ascii="宋体" w:hAnsi="宋体" w:eastAsia="宋体" w:cs="宋体"/>
          <w:color w:val="auto"/>
          <w:spacing w:val="-19"/>
          <w:sz w:val="21"/>
          <w:szCs w:val="21"/>
          <w:highlight w:val="none"/>
        </w:rPr>
        <w:t xml:space="preserve"> </w:t>
      </w:r>
      <w:r>
        <w:rPr>
          <w:rFonts w:ascii="宋体" w:hAnsi="宋体" w:eastAsia="宋体" w:cs="宋体"/>
          <w:color w:val="auto"/>
          <w:spacing w:val="-2"/>
          <w:sz w:val="21"/>
          <w:szCs w:val="21"/>
          <w:highlight w:val="none"/>
        </w:rPr>
        <w:t>1.4.3</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项规定和投标人诚信承诺书的任何一种情形。</w:t>
      </w:r>
    </w:p>
    <w:p w14:paraId="394EF5B4">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w:t>
      </w:r>
      <w:r>
        <w:rPr>
          <w:rFonts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u w:val="single"/>
          <w:lang w:val="en-US" w:eastAsia="zh-CN"/>
        </w:rPr>
        <w:t xml:space="preserve">          </w:t>
      </w:r>
      <w:r>
        <w:rPr>
          <w:rFonts w:ascii="宋体" w:hAnsi="宋体" w:eastAsia="宋体" w:cs="宋体"/>
          <w:color w:val="auto"/>
          <w:spacing w:val="-2"/>
          <w:sz w:val="21"/>
          <w:szCs w:val="21"/>
          <w:highlight w:val="none"/>
          <w:u w:val="single"/>
        </w:rPr>
        <w:t xml:space="preserve">    </w:t>
      </w:r>
      <w:r>
        <w:rPr>
          <w:rFonts w:ascii="宋体" w:hAnsi="宋体" w:eastAsia="宋体" w:cs="宋体"/>
          <w:color w:val="auto"/>
          <w:spacing w:val="-2"/>
          <w:sz w:val="21"/>
          <w:szCs w:val="21"/>
          <w:highlight w:val="none"/>
        </w:rPr>
        <w:t>（其他</w:t>
      </w:r>
      <w:r>
        <w:rPr>
          <w:rFonts w:hint="eastAsia" w:ascii="宋体" w:hAnsi="宋体" w:eastAsia="宋体" w:cs="宋体"/>
          <w:color w:val="auto"/>
          <w:spacing w:val="-2"/>
          <w:sz w:val="21"/>
          <w:szCs w:val="21"/>
          <w:highlight w:val="none"/>
          <w:lang w:val="en-US" w:eastAsia="zh-CN"/>
        </w:rPr>
        <w:t>补</w:t>
      </w:r>
      <w:r>
        <w:rPr>
          <w:rFonts w:ascii="宋体" w:hAnsi="宋体" w:eastAsia="宋体" w:cs="宋体"/>
          <w:color w:val="auto"/>
          <w:spacing w:val="-2"/>
          <w:sz w:val="21"/>
          <w:szCs w:val="21"/>
          <w:highlight w:val="none"/>
        </w:rPr>
        <w:t xml:space="preserve">充说明）。 </w:t>
      </w:r>
    </w:p>
    <w:p w14:paraId="4C562EEA">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outlineLvl w:val="9"/>
        <w:rPr>
          <w:rFonts w:ascii="宋体" w:hAnsi="宋体" w:eastAsia="宋体" w:cs="宋体"/>
          <w:color w:val="auto"/>
          <w:spacing w:val="-2"/>
          <w:sz w:val="21"/>
          <w:szCs w:val="21"/>
          <w:highlight w:val="none"/>
        </w:rPr>
      </w:pPr>
      <w:bookmarkStart w:id="413" w:name="_Toc10099"/>
      <w:r>
        <w:rPr>
          <w:rFonts w:ascii="宋体" w:hAnsi="宋体" w:eastAsia="宋体" w:cs="宋体"/>
          <w:color w:val="auto"/>
          <w:spacing w:val="-2"/>
          <w:sz w:val="21"/>
          <w:szCs w:val="21"/>
          <w:highlight w:val="none"/>
        </w:rPr>
        <w:t>附件：投标人诚信承诺书</w:t>
      </w:r>
      <w:bookmarkEnd w:id="413"/>
    </w:p>
    <w:p w14:paraId="1E63E735">
      <w:pPr>
        <w:spacing w:before="158" w:line="289" w:lineRule="auto"/>
        <w:ind w:left="443" w:right="2488" w:hanging="14"/>
        <w:rPr>
          <w:color w:val="auto"/>
          <w:highlight w:val="none"/>
        </w:rPr>
      </w:pPr>
    </w:p>
    <w:p w14:paraId="4EB1200D">
      <w:pPr>
        <w:spacing w:before="158" w:line="383" w:lineRule="auto"/>
        <w:ind w:left="2159" w:right="669" w:firstLine="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投 标</w:t>
      </w:r>
      <w:r>
        <w:rPr>
          <w:rFonts w:ascii="宋体" w:hAnsi="宋体" w:eastAsia="宋体" w:cs="宋体"/>
          <w:color w:val="auto"/>
          <w:spacing w:val="8"/>
          <w:sz w:val="21"/>
          <w:szCs w:val="21"/>
          <w:highlight w:val="none"/>
        </w:rPr>
        <w:t xml:space="preserve"> </w:t>
      </w:r>
      <w:r>
        <w:rPr>
          <w:rFonts w:ascii="宋体" w:hAnsi="宋体" w:eastAsia="宋体" w:cs="宋体"/>
          <w:color w:val="auto"/>
          <w:spacing w:val="-3"/>
          <w:sz w:val="21"/>
          <w:szCs w:val="21"/>
          <w:highlight w:val="none"/>
        </w:rPr>
        <w:t>人</w:t>
      </w:r>
      <w:r>
        <w:rPr>
          <w:rFonts w:ascii="宋体" w:hAnsi="宋体" w:eastAsia="宋体" w:cs="宋体"/>
          <w:color w:val="auto"/>
          <w:spacing w:val="-2"/>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3"/>
          <w:sz w:val="21"/>
          <w:szCs w:val="21"/>
          <w:highlight w:val="none"/>
        </w:rPr>
        <w:t>盖单位章）</w:t>
      </w:r>
      <w:r>
        <w:rPr>
          <w:rFonts w:ascii="宋体" w:hAnsi="宋体" w:eastAsia="宋体" w:cs="宋体"/>
          <w:color w:val="auto"/>
          <w:spacing w:val="5"/>
          <w:sz w:val="21"/>
          <w:szCs w:val="21"/>
          <w:highlight w:val="none"/>
        </w:rPr>
        <w:t xml:space="preserve"> </w:t>
      </w:r>
      <w:r>
        <w:rPr>
          <w:rFonts w:ascii="宋体" w:hAnsi="宋体" w:eastAsia="宋体" w:cs="宋体"/>
          <w:color w:val="auto"/>
          <w:sz w:val="21"/>
          <w:szCs w:val="21"/>
          <w:highlight w:val="none"/>
        </w:rPr>
        <w:t>法定代表人或其委托代理人</w:t>
      </w:r>
      <w:r>
        <w:rPr>
          <w:rFonts w:ascii="宋体" w:hAnsi="宋体" w:eastAsia="宋体" w:cs="宋体"/>
          <w:color w:val="auto"/>
          <w:spacing w:val="-10"/>
          <w:sz w:val="21"/>
          <w:szCs w:val="21"/>
          <w:highlight w:val="none"/>
        </w:rPr>
        <w:t>：</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10"/>
          <w:sz w:val="21"/>
          <w:szCs w:val="21"/>
          <w:highlight w:val="none"/>
        </w:rPr>
        <w:t>（</w:t>
      </w:r>
      <w:r>
        <w:rPr>
          <w:rFonts w:ascii="宋体" w:hAnsi="宋体" w:eastAsia="宋体" w:cs="宋体"/>
          <w:color w:val="auto"/>
          <w:sz w:val="21"/>
          <w:szCs w:val="21"/>
          <w:highlight w:val="none"/>
        </w:rPr>
        <w:t xml:space="preserve">签字） </w:t>
      </w:r>
      <w:r>
        <w:rPr>
          <w:rFonts w:ascii="宋体" w:hAnsi="宋体" w:eastAsia="宋体" w:cs="宋体"/>
          <w:color w:val="auto"/>
          <w:spacing w:val="-2"/>
          <w:sz w:val="21"/>
          <w:szCs w:val="21"/>
          <w:highlight w:val="none"/>
        </w:rPr>
        <w:t>地</w:t>
      </w:r>
      <w:r>
        <w:rPr>
          <w:rFonts w:ascii="宋体" w:hAnsi="宋体" w:eastAsia="宋体" w:cs="宋体"/>
          <w:color w:val="auto"/>
          <w:spacing w:val="2"/>
          <w:sz w:val="21"/>
          <w:szCs w:val="21"/>
          <w:highlight w:val="none"/>
        </w:rPr>
        <w:t xml:space="preserve">    </w:t>
      </w:r>
      <w:r>
        <w:rPr>
          <w:rFonts w:ascii="宋体" w:hAnsi="宋体" w:eastAsia="宋体" w:cs="宋体"/>
          <w:color w:val="auto"/>
          <w:spacing w:val="-2"/>
          <w:sz w:val="21"/>
          <w:szCs w:val="21"/>
          <w:highlight w:val="none"/>
        </w:rPr>
        <w:t>址：</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1"/>
          <w:sz w:val="21"/>
          <w:szCs w:val="21"/>
          <w:highlight w:val="none"/>
        </w:rPr>
        <w:t xml:space="preserve"> </w:t>
      </w:r>
      <w:r>
        <w:rPr>
          <w:rFonts w:ascii="宋体" w:hAnsi="宋体" w:eastAsia="宋体" w:cs="宋体"/>
          <w:color w:val="auto"/>
          <w:spacing w:val="-2"/>
          <w:sz w:val="21"/>
          <w:szCs w:val="21"/>
          <w:highlight w:val="none"/>
        </w:rPr>
        <w:t>网</w:t>
      </w:r>
      <w:r>
        <w:rPr>
          <w:rFonts w:ascii="宋体" w:hAnsi="宋体" w:eastAsia="宋体" w:cs="宋体"/>
          <w:color w:val="auto"/>
          <w:spacing w:val="2"/>
          <w:sz w:val="21"/>
          <w:szCs w:val="21"/>
          <w:highlight w:val="none"/>
        </w:rPr>
        <w:t xml:space="preserve">    </w:t>
      </w:r>
      <w:r>
        <w:rPr>
          <w:rFonts w:ascii="宋体" w:hAnsi="宋体" w:eastAsia="宋体" w:cs="宋体"/>
          <w:color w:val="auto"/>
          <w:spacing w:val="-2"/>
          <w:sz w:val="21"/>
          <w:szCs w:val="21"/>
          <w:highlight w:val="none"/>
        </w:rPr>
        <w:t>址：</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1"/>
          <w:sz w:val="21"/>
          <w:szCs w:val="21"/>
          <w:highlight w:val="none"/>
        </w:rPr>
        <w:t xml:space="preserve"> </w:t>
      </w:r>
      <w:r>
        <w:rPr>
          <w:rFonts w:ascii="宋体" w:hAnsi="宋体" w:eastAsia="宋体" w:cs="宋体"/>
          <w:color w:val="auto"/>
          <w:spacing w:val="-2"/>
          <w:sz w:val="21"/>
          <w:szCs w:val="21"/>
          <w:highlight w:val="none"/>
        </w:rPr>
        <w:t>电</w:t>
      </w:r>
      <w:r>
        <w:rPr>
          <w:rFonts w:ascii="宋体" w:hAnsi="宋体" w:eastAsia="宋体" w:cs="宋体"/>
          <w:color w:val="auto"/>
          <w:spacing w:val="2"/>
          <w:sz w:val="21"/>
          <w:szCs w:val="21"/>
          <w:highlight w:val="none"/>
        </w:rPr>
        <w:t xml:space="preserve">    </w:t>
      </w:r>
      <w:r>
        <w:rPr>
          <w:rFonts w:ascii="宋体" w:hAnsi="宋体" w:eastAsia="宋体" w:cs="宋体"/>
          <w:color w:val="auto"/>
          <w:spacing w:val="-2"/>
          <w:sz w:val="21"/>
          <w:szCs w:val="21"/>
          <w:highlight w:val="none"/>
        </w:rPr>
        <w:t>话：</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传</w:t>
      </w:r>
      <w:r>
        <w:rPr>
          <w:rFonts w:ascii="宋体" w:hAnsi="宋体" w:eastAsia="宋体" w:cs="宋体"/>
          <w:color w:val="auto"/>
          <w:spacing w:val="2"/>
          <w:sz w:val="21"/>
          <w:szCs w:val="21"/>
          <w:highlight w:val="none"/>
        </w:rPr>
        <w:t xml:space="preserve">    </w:t>
      </w:r>
      <w:r>
        <w:rPr>
          <w:rFonts w:ascii="宋体" w:hAnsi="宋体" w:eastAsia="宋体" w:cs="宋体"/>
          <w:color w:val="auto"/>
          <w:spacing w:val="-2"/>
          <w:sz w:val="21"/>
          <w:szCs w:val="21"/>
          <w:highlight w:val="none"/>
        </w:rPr>
        <w:t>真：</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 xml:space="preserve"> </w:t>
      </w:r>
      <w:r>
        <w:rPr>
          <w:rFonts w:ascii="宋体" w:hAnsi="宋体" w:eastAsia="宋体" w:cs="宋体"/>
          <w:color w:val="auto"/>
          <w:spacing w:val="-2"/>
          <w:sz w:val="21"/>
          <w:szCs w:val="21"/>
          <w:highlight w:val="none"/>
        </w:rPr>
        <w:t>邮政编码：</w:t>
      </w:r>
      <w:r>
        <w:rPr>
          <w:rFonts w:ascii="宋体" w:hAnsi="宋体" w:eastAsia="宋体" w:cs="宋体"/>
          <w:color w:val="auto"/>
          <w:sz w:val="21"/>
          <w:szCs w:val="21"/>
          <w:highlight w:val="none"/>
          <w:u w:val="single" w:color="auto"/>
        </w:rPr>
        <w:t xml:space="preserve">                                              </w:t>
      </w:r>
    </w:p>
    <w:p w14:paraId="6F420498">
      <w:pPr>
        <w:spacing w:line="257" w:lineRule="auto"/>
        <w:rPr>
          <w:rFonts w:ascii="Arial"/>
          <w:color w:val="auto"/>
          <w:sz w:val="21"/>
          <w:highlight w:val="none"/>
        </w:rPr>
      </w:pPr>
    </w:p>
    <w:p w14:paraId="75374553">
      <w:pPr>
        <w:tabs>
          <w:tab w:val="left" w:pos="6812"/>
        </w:tabs>
        <w:spacing w:before="68" w:line="221" w:lineRule="auto"/>
        <w:ind w:left="618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5"/>
          <w:sz w:val="21"/>
          <w:szCs w:val="21"/>
          <w:highlight w:val="none"/>
        </w:rPr>
        <w:t xml:space="preserve"> </w:t>
      </w:r>
      <w:r>
        <w:rPr>
          <w:rFonts w:ascii="宋体" w:hAnsi="宋体" w:eastAsia="宋体" w:cs="宋体"/>
          <w:color w:val="auto"/>
          <w:spacing w:val="-22"/>
          <w:sz w:val="21"/>
          <w:szCs w:val="21"/>
          <w:highlight w:val="none"/>
        </w:rPr>
        <w:t>年</w:t>
      </w:r>
      <w:r>
        <w:rPr>
          <w:rFonts w:ascii="宋体" w:hAnsi="宋体" w:eastAsia="宋体" w:cs="宋体"/>
          <w:color w:val="auto"/>
          <w:spacing w:val="21"/>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2"/>
          <w:sz w:val="21"/>
          <w:szCs w:val="21"/>
          <w:highlight w:val="none"/>
        </w:rPr>
        <w:t>月</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6"/>
          <w:sz w:val="21"/>
          <w:szCs w:val="21"/>
          <w:highlight w:val="none"/>
        </w:rPr>
        <w:t xml:space="preserve"> </w:t>
      </w:r>
      <w:r>
        <w:rPr>
          <w:rFonts w:ascii="宋体" w:hAnsi="宋体" w:eastAsia="宋体" w:cs="宋体"/>
          <w:color w:val="auto"/>
          <w:spacing w:val="-22"/>
          <w:sz w:val="21"/>
          <w:szCs w:val="21"/>
          <w:highlight w:val="none"/>
        </w:rPr>
        <w:t>日</w:t>
      </w:r>
    </w:p>
    <w:p w14:paraId="5502ADE1">
      <w:pPr>
        <w:spacing w:before="56" w:line="219" w:lineRule="auto"/>
        <w:ind w:left="107"/>
        <w:rPr>
          <w:rFonts w:ascii="宋体" w:hAnsi="宋体" w:eastAsia="宋体" w:cs="宋体"/>
          <w:b/>
          <w:bCs/>
          <w:color w:val="auto"/>
          <w:spacing w:val="-6"/>
          <w:sz w:val="28"/>
          <w:szCs w:val="28"/>
          <w:highlight w:val="none"/>
        </w:rPr>
      </w:pPr>
    </w:p>
    <w:p w14:paraId="2A0E7747">
      <w:pPr>
        <w:spacing w:before="56" w:line="219" w:lineRule="auto"/>
        <w:ind w:left="107"/>
        <w:rPr>
          <w:rFonts w:ascii="宋体" w:hAnsi="宋体" w:eastAsia="宋体" w:cs="宋体"/>
          <w:b/>
          <w:bCs/>
          <w:color w:val="auto"/>
          <w:spacing w:val="-6"/>
          <w:sz w:val="28"/>
          <w:szCs w:val="28"/>
          <w:highlight w:val="none"/>
        </w:rPr>
      </w:pPr>
    </w:p>
    <w:p w14:paraId="6F35C512">
      <w:pPr>
        <w:spacing w:before="56" w:line="219" w:lineRule="auto"/>
        <w:ind w:left="107"/>
        <w:rPr>
          <w:rFonts w:ascii="宋体" w:hAnsi="宋体" w:eastAsia="宋体" w:cs="宋体"/>
          <w:b/>
          <w:bCs/>
          <w:color w:val="auto"/>
          <w:spacing w:val="-6"/>
          <w:sz w:val="28"/>
          <w:szCs w:val="28"/>
          <w:highlight w:val="none"/>
        </w:rPr>
      </w:pPr>
    </w:p>
    <w:p w14:paraId="1A662389">
      <w:pPr>
        <w:spacing w:before="56" w:line="219" w:lineRule="auto"/>
        <w:ind w:left="107"/>
        <w:rPr>
          <w:rFonts w:ascii="宋体" w:hAnsi="宋体" w:eastAsia="宋体" w:cs="宋体"/>
          <w:b/>
          <w:bCs/>
          <w:color w:val="auto"/>
          <w:spacing w:val="-6"/>
          <w:sz w:val="28"/>
          <w:szCs w:val="28"/>
          <w:highlight w:val="none"/>
        </w:rPr>
      </w:pPr>
    </w:p>
    <w:p w14:paraId="6F4D9663">
      <w:pPr>
        <w:spacing w:before="56" w:line="219" w:lineRule="auto"/>
        <w:ind w:left="107"/>
        <w:rPr>
          <w:rFonts w:ascii="宋体" w:hAnsi="宋体" w:eastAsia="宋体" w:cs="宋体"/>
          <w:b/>
          <w:bCs/>
          <w:color w:val="auto"/>
          <w:spacing w:val="-6"/>
          <w:sz w:val="28"/>
          <w:szCs w:val="28"/>
          <w:highlight w:val="none"/>
        </w:rPr>
      </w:pPr>
    </w:p>
    <w:p w14:paraId="2AFCD012">
      <w:pPr>
        <w:spacing w:before="56" w:line="219" w:lineRule="auto"/>
        <w:ind w:left="107"/>
        <w:rPr>
          <w:rFonts w:ascii="宋体" w:hAnsi="宋体" w:eastAsia="宋体" w:cs="宋体"/>
          <w:b/>
          <w:bCs/>
          <w:color w:val="auto"/>
          <w:spacing w:val="-6"/>
          <w:sz w:val="28"/>
          <w:szCs w:val="28"/>
          <w:highlight w:val="none"/>
        </w:rPr>
      </w:pPr>
    </w:p>
    <w:p w14:paraId="781147E7">
      <w:pPr>
        <w:spacing w:before="56" w:line="219" w:lineRule="auto"/>
        <w:ind w:left="107"/>
        <w:rPr>
          <w:rFonts w:ascii="宋体" w:hAnsi="宋体" w:eastAsia="宋体" w:cs="宋体"/>
          <w:b/>
          <w:bCs/>
          <w:color w:val="auto"/>
          <w:spacing w:val="-6"/>
          <w:sz w:val="28"/>
          <w:szCs w:val="28"/>
          <w:highlight w:val="none"/>
        </w:rPr>
      </w:pPr>
    </w:p>
    <w:p w14:paraId="16324936">
      <w:pPr>
        <w:pStyle w:val="6"/>
        <w:outlineLvl w:val="9"/>
        <w:rPr>
          <w:rFonts w:ascii="宋体" w:hAnsi="宋体" w:eastAsia="宋体" w:cs="宋体"/>
          <w:b/>
          <w:bCs/>
          <w:color w:val="auto"/>
          <w:spacing w:val="-6"/>
          <w:sz w:val="28"/>
          <w:szCs w:val="28"/>
          <w:highlight w:val="none"/>
        </w:rPr>
      </w:pPr>
    </w:p>
    <w:p w14:paraId="7BD5877D">
      <w:pPr>
        <w:rPr>
          <w:rFonts w:ascii="宋体" w:hAnsi="宋体" w:eastAsia="宋体" w:cs="宋体"/>
          <w:b/>
          <w:bCs/>
          <w:color w:val="auto"/>
          <w:spacing w:val="-6"/>
          <w:sz w:val="28"/>
          <w:szCs w:val="28"/>
          <w:highlight w:val="none"/>
        </w:rPr>
      </w:pPr>
    </w:p>
    <w:p w14:paraId="45281E7E">
      <w:pPr>
        <w:pStyle w:val="6"/>
        <w:outlineLvl w:val="9"/>
        <w:rPr>
          <w:rFonts w:ascii="宋体" w:hAnsi="宋体" w:eastAsia="宋体" w:cs="宋体"/>
          <w:b/>
          <w:bCs/>
          <w:color w:val="auto"/>
          <w:spacing w:val="-6"/>
          <w:sz w:val="28"/>
          <w:szCs w:val="28"/>
          <w:highlight w:val="none"/>
        </w:rPr>
      </w:pPr>
    </w:p>
    <w:p w14:paraId="211DD1D8">
      <w:pPr>
        <w:rPr>
          <w:rFonts w:ascii="宋体" w:hAnsi="宋体" w:eastAsia="宋体" w:cs="宋体"/>
          <w:b/>
          <w:bCs/>
          <w:color w:val="auto"/>
          <w:spacing w:val="-6"/>
          <w:sz w:val="28"/>
          <w:szCs w:val="28"/>
          <w:highlight w:val="none"/>
        </w:rPr>
      </w:pPr>
    </w:p>
    <w:p w14:paraId="72BBFACE">
      <w:pPr>
        <w:pStyle w:val="6"/>
        <w:outlineLvl w:val="9"/>
        <w:rPr>
          <w:rFonts w:ascii="宋体" w:hAnsi="宋体" w:eastAsia="宋体" w:cs="宋体"/>
          <w:b/>
          <w:bCs/>
          <w:color w:val="auto"/>
          <w:spacing w:val="-6"/>
          <w:sz w:val="28"/>
          <w:szCs w:val="28"/>
          <w:highlight w:val="none"/>
        </w:rPr>
      </w:pPr>
    </w:p>
    <w:p w14:paraId="0835CBBA">
      <w:pPr>
        <w:rPr>
          <w:color w:val="auto"/>
          <w:highlight w:val="none"/>
        </w:rPr>
      </w:pPr>
    </w:p>
    <w:p w14:paraId="781ECB9A">
      <w:pPr>
        <w:spacing w:before="56" w:line="219" w:lineRule="auto"/>
        <w:ind w:left="107"/>
        <w:jc w:val="center"/>
        <w:outlineLvl w:val="9"/>
        <w:rPr>
          <w:rFonts w:ascii="宋体" w:hAnsi="宋体" w:eastAsia="宋体" w:cs="宋体"/>
          <w:color w:val="auto"/>
          <w:sz w:val="28"/>
          <w:szCs w:val="28"/>
          <w:highlight w:val="none"/>
        </w:rPr>
      </w:pPr>
      <w:bookmarkStart w:id="414" w:name="_Toc11723"/>
      <w:r>
        <w:rPr>
          <w:rFonts w:ascii="宋体" w:hAnsi="宋体" w:eastAsia="宋体" w:cs="宋体"/>
          <w:b/>
          <w:bCs/>
          <w:color w:val="auto"/>
          <w:spacing w:val="-6"/>
          <w:sz w:val="28"/>
          <w:szCs w:val="28"/>
          <w:highlight w:val="none"/>
        </w:rPr>
        <w:t>（二）投标函附录</w:t>
      </w:r>
      <w:bookmarkEnd w:id="414"/>
    </w:p>
    <w:p w14:paraId="7DC86ADB">
      <w:pPr>
        <w:spacing w:before="14"/>
        <w:rPr>
          <w:color w:val="auto"/>
          <w:highlight w:val="none"/>
        </w:rPr>
      </w:pPr>
    </w:p>
    <w:p w14:paraId="69232C3C">
      <w:pPr>
        <w:spacing w:before="14"/>
        <w:rPr>
          <w:color w:val="auto"/>
          <w:highlight w:val="none"/>
        </w:rPr>
      </w:pPr>
    </w:p>
    <w:tbl>
      <w:tblPr>
        <w:tblStyle w:val="29"/>
        <w:tblW w:w="89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2339"/>
        <w:gridCol w:w="1706"/>
        <w:gridCol w:w="2072"/>
        <w:gridCol w:w="1711"/>
      </w:tblGrid>
      <w:tr w14:paraId="425B3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44" w:type="dxa"/>
            <w:vAlign w:val="top"/>
          </w:tcPr>
          <w:p w14:paraId="10612950">
            <w:pPr>
              <w:pStyle w:val="30"/>
              <w:spacing w:before="120" w:line="222" w:lineRule="auto"/>
              <w:ind w:left="364"/>
              <w:rPr>
                <w:color w:val="auto"/>
                <w:highlight w:val="none"/>
              </w:rPr>
            </w:pPr>
            <w:r>
              <w:rPr>
                <w:color w:val="auto"/>
                <w:spacing w:val="-2"/>
                <w:highlight w:val="none"/>
              </w:rPr>
              <w:t>序号</w:t>
            </w:r>
          </w:p>
        </w:tc>
        <w:tc>
          <w:tcPr>
            <w:tcW w:w="2339" w:type="dxa"/>
            <w:vAlign w:val="top"/>
          </w:tcPr>
          <w:p w14:paraId="040236C0">
            <w:pPr>
              <w:pStyle w:val="30"/>
              <w:spacing w:before="120" w:line="221" w:lineRule="auto"/>
              <w:ind w:left="752"/>
              <w:rPr>
                <w:color w:val="auto"/>
                <w:highlight w:val="none"/>
              </w:rPr>
            </w:pPr>
            <w:r>
              <w:rPr>
                <w:color w:val="auto"/>
                <w:spacing w:val="-2"/>
                <w:highlight w:val="none"/>
              </w:rPr>
              <w:t>条款名称</w:t>
            </w:r>
          </w:p>
        </w:tc>
        <w:tc>
          <w:tcPr>
            <w:tcW w:w="1706" w:type="dxa"/>
            <w:vAlign w:val="top"/>
          </w:tcPr>
          <w:p w14:paraId="68C0DF1E">
            <w:pPr>
              <w:pStyle w:val="30"/>
              <w:spacing w:before="120" w:line="221" w:lineRule="auto"/>
              <w:ind w:left="330"/>
              <w:rPr>
                <w:color w:val="auto"/>
                <w:highlight w:val="none"/>
              </w:rPr>
            </w:pPr>
            <w:r>
              <w:rPr>
                <w:color w:val="auto"/>
                <w:spacing w:val="-2"/>
                <w:highlight w:val="none"/>
              </w:rPr>
              <w:t>合同条款号</w:t>
            </w:r>
          </w:p>
        </w:tc>
        <w:tc>
          <w:tcPr>
            <w:tcW w:w="2072" w:type="dxa"/>
            <w:vAlign w:val="top"/>
          </w:tcPr>
          <w:p w14:paraId="2B8B11B5">
            <w:pPr>
              <w:pStyle w:val="30"/>
              <w:spacing w:before="120" w:line="221" w:lineRule="auto"/>
              <w:ind w:left="625"/>
              <w:rPr>
                <w:color w:val="auto"/>
                <w:highlight w:val="none"/>
              </w:rPr>
            </w:pPr>
            <w:r>
              <w:rPr>
                <w:color w:val="auto"/>
                <w:spacing w:val="-3"/>
                <w:highlight w:val="none"/>
              </w:rPr>
              <w:t>约定内容</w:t>
            </w:r>
          </w:p>
        </w:tc>
        <w:tc>
          <w:tcPr>
            <w:tcW w:w="1711" w:type="dxa"/>
            <w:vAlign w:val="top"/>
          </w:tcPr>
          <w:p w14:paraId="4CBC94E2">
            <w:pPr>
              <w:pStyle w:val="30"/>
              <w:spacing w:before="120" w:line="222" w:lineRule="auto"/>
              <w:ind w:left="651"/>
              <w:rPr>
                <w:color w:val="auto"/>
                <w:highlight w:val="none"/>
              </w:rPr>
            </w:pPr>
            <w:r>
              <w:rPr>
                <w:color w:val="auto"/>
                <w:spacing w:val="-3"/>
                <w:highlight w:val="none"/>
              </w:rPr>
              <w:t>备注</w:t>
            </w:r>
          </w:p>
        </w:tc>
      </w:tr>
      <w:tr w14:paraId="53553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2588CFDB">
            <w:pPr>
              <w:pStyle w:val="30"/>
              <w:spacing w:before="150" w:line="183" w:lineRule="auto"/>
              <w:ind w:left="537"/>
              <w:rPr>
                <w:color w:val="auto"/>
                <w:highlight w:val="none"/>
              </w:rPr>
            </w:pPr>
            <w:r>
              <w:rPr>
                <w:color w:val="auto"/>
                <w:highlight w:val="none"/>
              </w:rPr>
              <w:t>1</w:t>
            </w:r>
          </w:p>
        </w:tc>
        <w:tc>
          <w:tcPr>
            <w:tcW w:w="2339" w:type="dxa"/>
            <w:vAlign w:val="top"/>
          </w:tcPr>
          <w:p w14:paraId="1E97060D">
            <w:pPr>
              <w:pStyle w:val="30"/>
              <w:spacing w:before="116" w:line="221" w:lineRule="auto"/>
              <w:ind w:left="753"/>
              <w:rPr>
                <w:color w:val="auto"/>
                <w:highlight w:val="none"/>
              </w:rPr>
            </w:pPr>
            <w:r>
              <w:rPr>
                <w:color w:val="auto"/>
                <w:spacing w:val="-3"/>
                <w:highlight w:val="none"/>
              </w:rPr>
              <w:t>项目经理</w:t>
            </w:r>
          </w:p>
        </w:tc>
        <w:tc>
          <w:tcPr>
            <w:tcW w:w="1706" w:type="dxa"/>
            <w:vAlign w:val="top"/>
          </w:tcPr>
          <w:p w14:paraId="473F2BE5">
            <w:pPr>
              <w:pStyle w:val="30"/>
              <w:spacing w:before="150" w:line="183" w:lineRule="auto"/>
              <w:ind w:left="503"/>
              <w:rPr>
                <w:color w:val="auto"/>
                <w:highlight w:val="none"/>
              </w:rPr>
            </w:pPr>
            <w:r>
              <w:rPr>
                <w:color w:val="auto"/>
                <w:highlight w:val="none"/>
              </w:rPr>
              <w:fldChar w:fldCharType="begin"/>
            </w:r>
            <w:r>
              <w:rPr>
                <w:color w:val="auto"/>
                <w:highlight w:val="none"/>
              </w:rPr>
              <w:instrText xml:space="preserve"> HYPERLINK "1.1.2.4" </w:instrText>
            </w:r>
            <w:r>
              <w:rPr>
                <w:color w:val="auto"/>
                <w:highlight w:val="none"/>
              </w:rPr>
              <w:fldChar w:fldCharType="separate"/>
            </w:r>
            <w:r>
              <w:rPr>
                <w:color w:val="auto"/>
                <w:spacing w:val="-3"/>
                <w:highlight w:val="none"/>
              </w:rPr>
              <w:t>1.1.2.4</w:t>
            </w:r>
            <w:r>
              <w:rPr>
                <w:color w:val="auto"/>
                <w:spacing w:val="-3"/>
                <w:highlight w:val="none"/>
              </w:rPr>
              <w:fldChar w:fldCharType="end"/>
            </w:r>
          </w:p>
        </w:tc>
        <w:tc>
          <w:tcPr>
            <w:tcW w:w="2072" w:type="dxa"/>
            <w:vAlign w:val="top"/>
          </w:tcPr>
          <w:p w14:paraId="2B55CC61">
            <w:pPr>
              <w:pStyle w:val="30"/>
              <w:spacing w:before="115" w:line="221" w:lineRule="auto"/>
              <w:ind w:left="111"/>
              <w:rPr>
                <w:color w:val="auto"/>
                <w:highlight w:val="none"/>
              </w:rPr>
            </w:pPr>
            <w:r>
              <w:rPr>
                <w:color w:val="auto"/>
                <w:spacing w:val="-3"/>
                <w:highlight w:val="none"/>
              </w:rPr>
              <w:t>姓名：</w:t>
            </w:r>
            <w:r>
              <w:rPr>
                <w:color w:val="auto"/>
                <w:highlight w:val="none"/>
                <w:u w:val="single" w:color="auto"/>
              </w:rPr>
              <w:t xml:space="preserve">      </w:t>
            </w:r>
          </w:p>
        </w:tc>
        <w:tc>
          <w:tcPr>
            <w:tcW w:w="1711" w:type="dxa"/>
            <w:vAlign w:val="top"/>
          </w:tcPr>
          <w:p w14:paraId="0594B48D">
            <w:pPr>
              <w:rPr>
                <w:rFonts w:ascii="Arial"/>
                <w:color w:val="auto"/>
                <w:sz w:val="21"/>
                <w:highlight w:val="none"/>
              </w:rPr>
            </w:pPr>
          </w:p>
        </w:tc>
      </w:tr>
      <w:tr w14:paraId="6E29B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44" w:type="dxa"/>
            <w:vAlign w:val="top"/>
          </w:tcPr>
          <w:p w14:paraId="3AAABB1B">
            <w:pPr>
              <w:pStyle w:val="30"/>
              <w:spacing w:before="151" w:line="182" w:lineRule="auto"/>
              <w:ind w:left="524"/>
              <w:rPr>
                <w:color w:val="auto"/>
                <w:highlight w:val="none"/>
              </w:rPr>
            </w:pPr>
            <w:r>
              <w:rPr>
                <w:color w:val="auto"/>
                <w:highlight w:val="none"/>
              </w:rPr>
              <w:t>2</w:t>
            </w:r>
          </w:p>
        </w:tc>
        <w:tc>
          <w:tcPr>
            <w:tcW w:w="2339" w:type="dxa"/>
            <w:vAlign w:val="top"/>
          </w:tcPr>
          <w:p w14:paraId="3404D600">
            <w:pPr>
              <w:pStyle w:val="30"/>
              <w:spacing w:before="116" w:line="221" w:lineRule="auto"/>
              <w:ind w:left="964"/>
              <w:rPr>
                <w:color w:val="auto"/>
                <w:highlight w:val="none"/>
              </w:rPr>
            </w:pPr>
            <w:r>
              <w:rPr>
                <w:color w:val="auto"/>
                <w:spacing w:val="-3"/>
                <w:highlight w:val="none"/>
              </w:rPr>
              <w:t>工期</w:t>
            </w:r>
          </w:p>
        </w:tc>
        <w:tc>
          <w:tcPr>
            <w:tcW w:w="1706" w:type="dxa"/>
            <w:vAlign w:val="top"/>
          </w:tcPr>
          <w:p w14:paraId="4883FB3C">
            <w:pPr>
              <w:pStyle w:val="30"/>
              <w:spacing w:before="150" w:line="183" w:lineRule="auto"/>
              <w:ind w:left="503"/>
              <w:rPr>
                <w:color w:val="auto"/>
                <w:highlight w:val="none"/>
              </w:rPr>
            </w:pPr>
            <w:r>
              <w:rPr>
                <w:color w:val="auto"/>
                <w:highlight w:val="none"/>
              </w:rPr>
              <w:fldChar w:fldCharType="begin"/>
            </w:r>
            <w:r>
              <w:rPr>
                <w:color w:val="auto"/>
                <w:highlight w:val="none"/>
              </w:rPr>
              <w:instrText xml:space="preserve"> HYPERLINK "1.1.4.3" </w:instrText>
            </w:r>
            <w:r>
              <w:rPr>
                <w:color w:val="auto"/>
                <w:highlight w:val="none"/>
              </w:rPr>
              <w:fldChar w:fldCharType="separate"/>
            </w:r>
            <w:r>
              <w:rPr>
                <w:color w:val="auto"/>
                <w:spacing w:val="-3"/>
                <w:highlight w:val="none"/>
              </w:rPr>
              <w:t>1.1.4.3</w:t>
            </w:r>
            <w:r>
              <w:rPr>
                <w:color w:val="auto"/>
                <w:spacing w:val="-3"/>
                <w:highlight w:val="none"/>
              </w:rPr>
              <w:fldChar w:fldCharType="end"/>
            </w:r>
          </w:p>
        </w:tc>
        <w:tc>
          <w:tcPr>
            <w:tcW w:w="2072" w:type="dxa"/>
            <w:vAlign w:val="top"/>
          </w:tcPr>
          <w:p w14:paraId="12075A79">
            <w:pPr>
              <w:rPr>
                <w:rFonts w:ascii="Arial"/>
                <w:color w:val="auto"/>
                <w:sz w:val="21"/>
                <w:highlight w:val="none"/>
              </w:rPr>
            </w:pPr>
            <w:r>
              <w:rPr>
                <w:color w:val="auto"/>
                <w:highlight w:val="none"/>
              </w:rPr>
              <w:pict>
                <v:shape id="_x0000_s1041" o:spid="_x0000_s1041" style="position:absolute;left:0pt;margin-left:36.9pt;margin-top:16.55pt;height:0.6pt;width:31.6pt;mso-position-horizontal-relative:page;mso-position-vertical-relative:page;z-index:251663360;mso-width-relative:page;mso-height-relative:page;" fillcolor="#000000" filled="t" stroked="f" coordsize="632,12" path="m0,11l631,11,631,0,0,0,0,11xe">
                  <v:path/>
                  <v:fill on="t" focussize="0,0"/>
                  <v:stroke on="f"/>
                  <v:imagedata o:title=""/>
                  <o:lock v:ext="edit"/>
                </v:shape>
              </w:pict>
            </w:r>
          </w:p>
        </w:tc>
        <w:tc>
          <w:tcPr>
            <w:tcW w:w="1711" w:type="dxa"/>
            <w:vAlign w:val="top"/>
          </w:tcPr>
          <w:p w14:paraId="0A24C1D3">
            <w:pPr>
              <w:rPr>
                <w:rFonts w:ascii="Arial"/>
                <w:color w:val="auto"/>
                <w:sz w:val="21"/>
                <w:highlight w:val="none"/>
              </w:rPr>
            </w:pPr>
          </w:p>
        </w:tc>
      </w:tr>
      <w:tr w14:paraId="16EDC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144" w:type="dxa"/>
            <w:vAlign w:val="top"/>
          </w:tcPr>
          <w:p w14:paraId="6AABFEF3">
            <w:pPr>
              <w:pStyle w:val="30"/>
              <w:spacing w:before="229" w:line="182" w:lineRule="auto"/>
              <w:ind w:left="525"/>
              <w:rPr>
                <w:color w:val="auto"/>
                <w:highlight w:val="none"/>
              </w:rPr>
            </w:pPr>
            <w:r>
              <w:rPr>
                <w:color w:val="auto"/>
                <w:highlight w:val="none"/>
              </w:rPr>
              <w:t>3</w:t>
            </w:r>
          </w:p>
        </w:tc>
        <w:tc>
          <w:tcPr>
            <w:tcW w:w="2339" w:type="dxa"/>
            <w:vAlign w:val="top"/>
          </w:tcPr>
          <w:p w14:paraId="48D51695">
            <w:pPr>
              <w:pStyle w:val="30"/>
              <w:spacing w:before="193" w:line="221" w:lineRule="auto"/>
              <w:ind w:left="644"/>
              <w:rPr>
                <w:color w:val="auto"/>
                <w:highlight w:val="none"/>
              </w:rPr>
            </w:pPr>
            <w:r>
              <w:rPr>
                <w:color w:val="auto"/>
                <w:spacing w:val="-1"/>
                <w:highlight w:val="none"/>
              </w:rPr>
              <w:t>缺陷责任期</w:t>
            </w:r>
          </w:p>
        </w:tc>
        <w:tc>
          <w:tcPr>
            <w:tcW w:w="1706" w:type="dxa"/>
            <w:vAlign w:val="top"/>
          </w:tcPr>
          <w:p w14:paraId="5110C6F8">
            <w:pPr>
              <w:pStyle w:val="30"/>
              <w:spacing w:before="228" w:line="183" w:lineRule="auto"/>
              <w:ind w:left="503"/>
              <w:rPr>
                <w:color w:val="auto"/>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color w:val="auto"/>
                <w:spacing w:val="-3"/>
                <w:highlight w:val="none"/>
              </w:rPr>
              <w:t>1.1.4.5</w:t>
            </w:r>
            <w:r>
              <w:rPr>
                <w:color w:val="auto"/>
                <w:spacing w:val="-3"/>
                <w:highlight w:val="none"/>
              </w:rPr>
              <w:fldChar w:fldCharType="end"/>
            </w:r>
          </w:p>
        </w:tc>
        <w:tc>
          <w:tcPr>
            <w:tcW w:w="2072" w:type="dxa"/>
            <w:vAlign w:val="top"/>
          </w:tcPr>
          <w:p w14:paraId="4A025EED">
            <w:pPr>
              <w:rPr>
                <w:rFonts w:ascii="Arial"/>
                <w:color w:val="auto"/>
                <w:sz w:val="21"/>
                <w:highlight w:val="none"/>
              </w:rPr>
            </w:pPr>
            <w:r>
              <w:rPr>
                <w:color w:val="auto"/>
                <w:highlight w:val="none"/>
              </w:rPr>
              <w:pict>
                <v:shape id="_x0000_s1042" o:spid="_x0000_s1042" style="position:absolute;left:0pt;margin-left:35.7pt;margin-top:20.45pt;height:0.6pt;width:31.6pt;mso-position-horizontal-relative:page;mso-position-vertical-relative:page;z-index:251661312;mso-width-relative:page;mso-height-relative:page;" fillcolor="#000000" filled="t" stroked="f" coordsize="632,12" path="m0,11l631,11,631,0,0,0,0,11xe">
                  <v:path/>
                  <v:fill on="t" focussize="0,0"/>
                  <v:stroke on="f"/>
                  <v:imagedata o:title=""/>
                  <o:lock v:ext="edit"/>
                </v:shape>
              </w:pict>
            </w:r>
          </w:p>
        </w:tc>
        <w:tc>
          <w:tcPr>
            <w:tcW w:w="1711" w:type="dxa"/>
            <w:vAlign w:val="top"/>
          </w:tcPr>
          <w:p w14:paraId="0AE2380B">
            <w:pPr>
              <w:rPr>
                <w:rFonts w:ascii="Arial"/>
                <w:color w:val="auto"/>
                <w:sz w:val="21"/>
                <w:highlight w:val="none"/>
              </w:rPr>
            </w:pPr>
          </w:p>
        </w:tc>
      </w:tr>
      <w:tr w14:paraId="4ED84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04C8C3F0">
            <w:pPr>
              <w:pStyle w:val="30"/>
              <w:spacing w:before="153" w:line="182" w:lineRule="auto"/>
              <w:ind w:left="520"/>
              <w:rPr>
                <w:color w:val="auto"/>
                <w:highlight w:val="none"/>
              </w:rPr>
            </w:pPr>
            <w:r>
              <w:rPr>
                <w:color w:val="auto"/>
                <w:highlight w:val="none"/>
              </w:rPr>
              <w:t>4</w:t>
            </w:r>
          </w:p>
        </w:tc>
        <w:tc>
          <w:tcPr>
            <w:tcW w:w="2339" w:type="dxa"/>
            <w:vAlign w:val="top"/>
          </w:tcPr>
          <w:p w14:paraId="385495F6">
            <w:pPr>
              <w:pStyle w:val="30"/>
              <w:spacing w:before="118" w:line="221" w:lineRule="auto"/>
              <w:ind w:left="964"/>
              <w:rPr>
                <w:color w:val="auto"/>
                <w:highlight w:val="none"/>
              </w:rPr>
            </w:pPr>
            <w:r>
              <w:rPr>
                <w:color w:val="auto"/>
                <w:spacing w:val="-3"/>
                <w:highlight w:val="none"/>
              </w:rPr>
              <w:t>分包</w:t>
            </w:r>
          </w:p>
        </w:tc>
        <w:tc>
          <w:tcPr>
            <w:tcW w:w="1706" w:type="dxa"/>
            <w:vAlign w:val="top"/>
          </w:tcPr>
          <w:p w14:paraId="2A8866AB">
            <w:pPr>
              <w:pStyle w:val="30"/>
              <w:spacing w:before="153" w:line="182" w:lineRule="auto"/>
              <w:ind w:left="698"/>
              <w:rPr>
                <w:color w:val="auto"/>
                <w:highlight w:val="none"/>
              </w:rPr>
            </w:pPr>
            <w:r>
              <w:rPr>
                <w:color w:val="auto"/>
                <w:spacing w:val="-2"/>
                <w:highlight w:val="none"/>
              </w:rPr>
              <w:t>4.3</w:t>
            </w:r>
          </w:p>
        </w:tc>
        <w:tc>
          <w:tcPr>
            <w:tcW w:w="2072" w:type="dxa"/>
            <w:vAlign w:val="top"/>
          </w:tcPr>
          <w:p w14:paraId="17439E55">
            <w:pPr>
              <w:rPr>
                <w:rFonts w:ascii="Arial"/>
                <w:color w:val="auto"/>
                <w:sz w:val="21"/>
                <w:highlight w:val="none"/>
              </w:rPr>
            </w:pPr>
            <w:r>
              <w:rPr>
                <w:color w:val="auto"/>
                <w:highlight w:val="none"/>
              </w:rPr>
              <w:pict>
                <v:shape id="_x0000_s1043" o:spid="_x0000_s1043" style="position:absolute;left:0pt;margin-left:35.7pt;margin-top:16.65pt;height:0.6pt;width:31.6pt;mso-position-horizontal-relative:page;mso-position-vertical-relative:page;z-index:251662336;mso-width-relative:page;mso-height-relative:page;" fillcolor="#000000" filled="t" stroked="f" coordsize="632,12" path="m0,11l631,11,631,0,0,0,0,11xe">
                  <v:path/>
                  <v:fill on="t" focussize="0,0"/>
                  <v:stroke on="f"/>
                  <v:imagedata o:title=""/>
                  <o:lock v:ext="edit"/>
                </v:shape>
              </w:pict>
            </w:r>
          </w:p>
        </w:tc>
        <w:tc>
          <w:tcPr>
            <w:tcW w:w="1711" w:type="dxa"/>
            <w:vAlign w:val="top"/>
          </w:tcPr>
          <w:p w14:paraId="085AFBBF">
            <w:pPr>
              <w:rPr>
                <w:rFonts w:ascii="Arial"/>
                <w:color w:val="auto"/>
                <w:sz w:val="21"/>
                <w:highlight w:val="none"/>
              </w:rPr>
            </w:pPr>
          </w:p>
        </w:tc>
      </w:tr>
      <w:tr w14:paraId="51155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44" w:type="dxa"/>
            <w:vAlign w:val="top"/>
          </w:tcPr>
          <w:p w14:paraId="7A82CF2A">
            <w:pPr>
              <w:pStyle w:val="30"/>
              <w:spacing w:before="119" w:line="332" w:lineRule="exact"/>
              <w:ind w:left="378"/>
              <w:rPr>
                <w:color w:val="auto"/>
                <w:highlight w:val="none"/>
              </w:rPr>
            </w:pPr>
            <w:r>
              <w:rPr>
                <w:color w:val="auto"/>
                <w:spacing w:val="-5"/>
                <w:position w:val="2"/>
                <w:highlight w:val="none"/>
              </w:rPr>
              <w:t>……</w:t>
            </w:r>
          </w:p>
        </w:tc>
        <w:tc>
          <w:tcPr>
            <w:tcW w:w="2339" w:type="dxa"/>
            <w:vAlign w:val="top"/>
          </w:tcPr>
          <w:p w14:paraId="0DD0506F">
            <w:pPr>
              <w:pStyle w:val="30"/>
              <w:spacing w:before="119" w:line="332" w:lineRule="exact"/>
              <w:ind w:left="974"/>
              <w:rPr>
                <w:color w:val="auto"/>
                <w:highlight w:val="none"/>
              </w:rPr>
            </w:pPr>
            <w:r>
              <w:rPr>
                <w:color w:val="auto"/>
                <w:spacing w:val="-5"/>
                <w:position w:val="2"/>
                <w:highlight w:val="none"/>
              </w:rPr>
              <w:t>……</w:t>
            </w:r>
          </w:p>
        </w:tc>
        <w:tc>
          <w:tcPr>
            <w:tcW w:w="1706" w:type="dxa"/>
            <w:vAlign w:val="top"/>
          </w:tcPr>
          <w:p w14:paraId="113EBA83">
            <w:pPr>
              <w:pStyle w:val="30"/>
              <w:spacing w:before="119" w:line="332" w:lineRule="exact"/>
              <w:ind w:left="659"/>
              <w:rPr>
                <w:color w:val="auto"/>
                <w:highlight w:val="none"/>
              </w:rPr>
            </w:pPr>
            <w:r>
              <w:rPr>
                <w:color w:val="auto"/>
                <w:spacing w:val="-5"/>
                <w:position w:val="2"/>
                <w:highlight w:val="none"/>
              </w:rPr>
              <w:t>……</w:t>
            </w:r>
          </w:p>
        </w:tc>
        <w:tc>
          <w:tcPr>
            <w:tcW w:w="2072" w:type="dxa"/>
            <w:vAlign w:val="top"/>
          </w:tcPr>
          <w:p w14:paraId="452C2CD6">
            <w:pPr>
              <w:pStyle w:val="30"/>
              <w:spacing w:before="119" w:line="332" w:lineRule="exact"/>
              <w:ind w:left="842"/>
              <w:rPr>
                <w:color w:val="auto"/>
                <w:highlight w:val="none"/>
              </w:rPr>
            </w:pPr>
            <w:r>
              <w:rPr>
                <w:color w:val="auto"/>
                <w:spacing w:val="-5"/>
                <w:position w:val="2"/>
                <w:highlight w:val="none"/>
              </w:rPr>
              <w:t>……</w:t>
            </w:r>
          </w:p>
        </w:tc>
        <w:tc>
          <w:tcPr>
            <w:tcW w:w="1711" w:type="dxa"/>
            <w:vAlign w:val="top"/>
          </w:tcPr>
          <w:p w14:paraId="0FD396C4">
            <w:pPr>
              <w:rPr>
                <w:rFonts w:ascii="Arial"/>
                <w:color w:val="auto"/>
                <w:sz w:val="21"/>
                <w:highlight w:val="none"/>
              </w:rPr>
            </w:pPr>
          </w:p>
        </w:tc>
      </w:tr>
      <w:tr w14:paraId="1B6FB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24784B35">
            <w:pPr>
              <w:rPr>
                <w:rFonts w:ascii="Arial"/>
                <w:color w:val="auto"/>
                <w:sz w:val="21"/>
                <w:highlight w:val="none"/>
              </w:rPr>
            </w:pPr>
          </w:p>
        </w:tc>
        <w:tc>
          <w:tcPr>
            <w:tcW w:w="2339" w:type="dxa"/>
            <w:vAlign w:val="top"/>
          </w:tcPr>
          <w:p w14:paraId="3ED0434E">
            <w:pPr>
              <w:rPr>
                <w:rFonts w:ascii="Arial"/>
                <w:color w:val="auto"/>
                <w:sz w:val="21"/>
                <w:highlight w:val="none"/>
              </w:rPr>
            </w:pPr>
          </w:p>
        </w:tc>
        <w:tc>
          <w:tcPr>
            <w:tcW w:w="1706" w:type="dxa"/>
            <w:vAlign w:val="top"/>
          </w:tcPr>
          <w:p w14:paraId="5FC34495">
            <w:pPr>
              <w:rPr>
                <w:rFonts w:ascii="Arial"/>
                <w:color w:val="auto"/>
                <w:sz w:val="21"/>
                <w:highlight w:val="none"/>
              </w:rPr>
            </w:pPr>
          </w:p>
        </w:tc>
        <w:tc>
          <w:tcPr>
            <w:tcW w:w="2072" w:type="dxa"/>
            <w:vAlign w:val="top"/>
          </w:tcPr>
          <w:p w14:paraId="422A5D2F">
            <w:pPr>
              <w:rPr>
                <w:rFonts w:ascii="Arial"/>
                <w:color w:val="auto"/>
                <w:sz w:val="21"/>
                <w:highlight w:val="none"/>
              </w:rPr>
            </w:pPr>
          </w:p>
        </w:tc>
        <w:tc>
          <w:tcPr>
            <w:tcW w:w="1711" w:type="dxa"/>
            <w:vAlign w:val="top"/>
          </w:tcPr>
          <w:p w14:paraId="2D402938">
            <w:pPr>
              <w:rPr>
                <w:rFonts w:ascii="Arial"/>
                <w:color w:val="auto"/>
                <w:sz w:val="21"/>
                <w:highlight w:val="none"/>
              </w:rPr>
            </w:pPr>
          </w:p>
        </w:tc>
      </w:tr>
      <w:tr w14:paraId="467B4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44" w:type="dxa"/>
            <w:vAlign w:val="top"/>
          </w:tcPr>
          <w:p w14:paraId="54715529">
            <w:pPr>
              <w:rPr>
                <w:rFonts w:ascii="Arial"/>
                <w:color w:val="auto"/>
                <w:sz w:val="21"/>
                <w:highlight w:val="none"/>
              </w:rPr>
            </w:pPr>
          </w:p>
        </w:tc>
        <w:tc>
          <w:tcPr>
            <w:tcW w:w="2339" w:type="dxa"/>
            <w:vAlign w:val="top"/>
          </w:tcPr>
          <w:p w14:paraId="10F8F44A">
            <w:pPr>
              <w:rPr>
                <w:rFonts w:ascii="Arial"/>
                <w:color w:val="auto"/>
                <w:sz w:val="21"/>
                <w:highlight w:val="none"/>
              </w:rPr>
            </w:pPr>
          </w:p>
        </w:tc>
        <w:tc>
          <w:tcPr>
            <w:tcW w:w="1706" w:type="dxa"/>
            <w:vAlign w:val="top"/>
          </w:tcPr>
          <w:p w14:paraId="3FFDA1C2">
            <w:pPr>
              <w:rPr>
                <w:rFonts w:ascii="Arial"/>
                <w:color w:val="auto"/>
                <w:sz w:val="21"/>
                <w:highlight w:val="none"/>
              </w:rPr>
            </w:pPr>
          </w:p>
        </w:tc>
        <w:tc>
          <w:tcPr>
            <w:tcW w:w="2072" w:type="dxa"/>
            <w:vAlign w:val="top"/>
          </w:tcPr>
          <w:p w14:paraId="43248D07">
            <w:pPr>
              <w:rPr>
                <w:rFonts w:ascii="Arial"/>
                <w:color w:val="auto"/>
                <w:sz w:val="21"/>
                <w:highlight w:val="none"/>
              </w:rPr>
            </w:pPr>
          </w:p>
        </w:tc>
        <w:tc>
          <w:tcPr>
            <w:tcW w:w="1711" w:type="dxa"/>
            <w:vAlign w:val="top"/>
          </w:tcPr>
          <w:p w14:paraId="3D5C610C">
            <w:pPr>
              <w:rPr>
                <w:rFonts w:ascii="Arial"/>
                <w:color w:val="auto"/>
                <w:sz w:val="21"/>
                <w:highlight w:val="none"/>
              </w:rPr>
            </w:pPr>
          </w:p>
        </w:tc>
      </w:tr>
      <w:tr w14:paraId="165D1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7D2CF829">
            <w:pPr>
              <w:rPr>
                <w:rFonts w:ascii="Arial"/>
                <w:color w:val="auto"/>
                <w:sz w:val="21"/>
                <w:highlight w:val="none"/>
              </w:rPr>
            </w:pPr>
          </w:p>
        </w:tc>
        <w:tc>
          <w:tcPr>
            <w:tcW w:w="2339" w:type="dxa"/>
            <w:vAlign w:val="top"/>
          </w:tcPr>
          <w:p w14:paraId="56BB7D8E">
            <w:pPr>
              <w:rPr>
                <w:rFonts w:ascii="Arial"/>
                <w:color w:val="auto"/>
                <w:sz w:val="21"/>
                <w:highlight w:val="none"/>
              </w:rPr>
            </w:pPr>
          </w:p>
        </w:tc>
        <w:tc>
          <w:tcPr>
            <w:tcW w:w="1706" w:type="dxa"/>
            <w:vAlign w:val="top"/>
          </w:tcPr>
          <w:p w14:paraId="46221137">
            <w:pPr>
              <w:rPr>
                <w:rFonts w:ascii="Arial"/>
                <w:color w:val="auto"/>
                <w:sz w:val="21"/>
                <w:highlight w:val="none"/>
              </w:rPr>
            </w:pPr>
          </w:p>
        </w:tc>
        <w:tc>
          <w:tcPr>
            <w:tcW w:w="2072" w:type="dxa"/>
            <w:vAlign w:val="top"/>
          </w:tcPr>
          <w:p w14:paraId="4DB92385">
            <w:pPr>
              <w:rPr>
                <w:rFonts w:ascii="Arial"/>
                <w:color w:val="auto"/>
                <w:sz w:val="21"/>
                <w:highlight w:val="none"/>
              </w:rPr>
            </w:pPr>
          </w:p>
        </w:tc>
        <w:tc>
          <w:tcPr>
            <w:tcW w:w="1711" w:type="dxa"/>
            <w:vAlign w:val="top"/>
          </w:tcPr>
          <w:p w14:paraId="5F060D8D">
            <w:pPr>
              <w:rPr>
                <w:rFonts w:ascii="Arial"/>
                <w:color w:val="auto"/>
                <w:sz w:val="21"/>
                <w:highlight w:val="none"/>
              </w:rPr>
            </w:pPr>
          </w:p>
        </w:tc>
      </w:tr>
      <w:tr w14:paraId="40B61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3B6CBF2A">
            <w:pPr>
              <w:rPr>
                <w:rFonts w:ascii="Arial"/>
                <w:color w:val="auto"/>
                <w:sz w:val="21"/>
                <w:highlight w:val="none"/>
              </w:rPr>
            </w:pPr>
          </w:p>
        </w:tc>
        <w:tc>
          <w:tcPr>
            <w:tcW w:w="2339" w:type="dxa"/>
            <w:vAlign w:val="top"/>
          </w:tcPr>
          <w:p w14:paraId="03A0BF70">
            <w:pPr>
              <w:rPr>
                <w:rFonts w:ascii="Arial"/>
                <w:color w:val="auto"/>
                <w:sz w:val="21"/>
                <w:highlight w:val="none"/>
              </w:rPr>
            </w:pPr>
          </w:p>
        </w:tc>
        <w:tc>
          <w:tcPr>
            <w:tcW w:w="1706" w:type="dxa"/>
            <w:vAlign w:val="top"/>
          </w:tcPr>
          <w:p w14:paraId="012BAD32">
            <w:pPr>
              <w:rPr>
                <w:rFonts w:ascii="Arial"/>
                <w:color w:val="auto"/>
                <w:sz w:val="21"/>
                <w:highlight w:val="none"/>
              </w:rPr>
            </w:pPr>
          </w:p>
        </w:tc>
        <w:tc>
          <w:tcPr>
            <w:tcW w:w="2072" w:type="dxa"/>
            <w:vAlign w:val="top"/>
          </w:tcPr>
          <w:p w14:paraId="375A772B">
            <w:pPr>
              <w:rPr>
                <w:rFonts w:ascii="Arial"/>
                <w:color w:val="auto"/>
                <w:sz w:val="21"/>
                <w:highlight w:val="none"/>
              </w:rPr>
            </w:pPr>
          </w:p>
        </w:tc>
        <w:tc>
          <w:tcPr>
            <w:tcW w:w="1711" w:type="dxa"/>
            <w:vAlign w:val="top"/>
          </w:tcPr>
          <w:p w14:paraId="2E6E6CBA">
            <w:pPr>
              <w:rPr>
                <w:rFonts w:ascii="Arial"/>
                <w:color w:val="auto"/>
                <w:sz w:val="21"/>
                <w:highlight w:val="none"/>
              </w:rPr>
            </w:pPr>
          </w:p>
        </w:tc>
      </w:tr>
      <w:tr w14:paraId="714E0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40526F95">
            <w:pPr>
              <w:rPr>
                <w:rFonts w:ascii="Arial"/>
                <w:color w:val="auto"/>
                <w:sz w:val="21"/>
                <w:highlight w:val="none"/>
              </w:rPr>
            </w:pPr>
          </w:p>
        </w:tc>
        <w:tc>
          <w:tcPr>
            <w:tcW w:w="2339" w:type="dxa"/>
            <w:vAlign w:val="top"/>
          </w:tcPr>
          <w:p w14:paraId="514C2E9A">
            <w:pPr>
              <w:rPr>
                <w:rFonts w:ascii="Arial"/>
                <w:color w:val="auto"/>
                <w:sz w:val="21"/>
                <w:highlight w:val="none"/>
              </w:rPr>
            </w:pPr>
          </w:p>
        </w:tc>
        <w:tc>
          <w:tcPr>
            <w:tcW w:w="1706" w:type="dxa"/>
            <w:vAlign w:val="top"/>
          </w:tcPr>
          <w:p w14:paraId="6C8A7426">
            <w:pPr>
              <w:rPr>
                <w:rFonts w:ascii="Arial"/>
                <w:color w:val="auto"/>
                <w:sz w:val="21"/>
                <w:highlight w:val="none"/>
              </w:rPr>
            </w:pPr>
          </w:p>
        </w:tc>
        <w:tc>
          <w:tcPr>
            <w:tcW w:w="2072" w:type="dxa"/>
            <w:vAlign w:val="top"/>
          </w:tcPr>
          <w:p w14:paraId="1E8646E7">
            <w:pPr>
              <w:rPr>
                <w:rFonts w:ascii="Arial"/>
                <w:color w:val="auto"/>
                <w:sz w:val="21"/>
                <w:highlight w:val="none"/>
              </w:rPr>
            </w:pPr>
          </w:p>
        </w:tc>
        <w:tc>
          <w:tcPr>
            <w:tcW w:w="1711" w:type="dxa"/>
            <w:vAlign w:val="top"/>
          </w:tcPr>
          <w:p w14:paraId="35D26BCB">
            <w:pPr>
              <w:rPr>
                <w:rFonts w:ascii="Arial"/>
                <w:color w:val="auto"/>
                <w:sz w:val="21"/>
                <w:highlight w:val="none"/>
              </w:rPr>
            </w:pPr>
          </w:p>
        </w:tc>
      </w:tr>
      <w:tr w14:paraId="06D3F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144" w:type="dxa"/>
            <w:vAlign w:val="top"/>
          </w:tcPr>
          <w:p w14:paraId="588534A3">
            <w:pPr>
              <w:rPr>
                <w:rFonts w:ascii="Arial"/>
                <w:color w:val="auto"/>
                <w:sz w:val="21"/>
                <w:highlight w:val="none"/>
              </w:rPr>
            </w:pPr>
          </w:p>
        </w:tc>
        <w:tc>
          <w:tcPr>
            <w:tcW w:w="2339" w:type="dxa"/>
            <w:vAlign w:val="top"/>
          </w:tcPr>
          <w:p w14:paraId="63098B16">
            <w:pPr>
              <w:rPr>
                <w:rFonts w:ascii="Arial"/>
                <w:color w:val="auto"/>
                <w:sz w:val="21"/>
                <w:highlight w:val="none"/>
              </w:rPr>
            </w:pPr>
          </w:p>
        </w:tc>
        <w:tc>
          <w:tcPr>
            <w:tcW w:w="1706" w:type="dxa"/>
            <w:vAlign w:val="top"/>
          </w:tcPr>
          <w:p w14:paraId="3A6AD5E0">
            <w:pPr>
              <w:rPr>
                <w:rFonts w:ascii="Arial"/>
                <w:color w:val="auto"/>
                <w:sz w:val="21"/>
                <w:highlight w:val="none"/>
              </w:rPr>
            </w:pPr>
          </w:p>
        </w:tc>
        <w:tc>
          <w:tcPr>
            <w:tcW w:w="2072" w:type="dxa"/>
            <w:vAlign w:val="top"/>
          </w:tcPr>
          <w:p w14:paraId="10728ADC">
            <w:pPr>
              <w:rPr>
                <w:rFonts w:ascii="Arial"/>
                <w:color w:val="auto"/>
                <w:sz w:val="21"/>
                <w:highlight w:val="none"/>
              </w:rPr>
            </w:pPr>
          </w:p>
        </w:tc>
        <w:tc>
          <w:tcPr>
            <w:tcW w:w="1711" w:type="dxa"/>
            <w:vAlign w:val="top"/>
          </w:tcPr>
          <w:p w14:paraId="5EB66AED">
            <w:pPr>
              <w:rPr>
                <w:rFonts w:ascii="Arial"/>
                <w:color w:val="auto"/>
                <w:sz w:val="21"/>
                <w:highlight w:val="none"/>
              </w:rPr>
            </w:pPr>
          </w:p>
        </w:tc>
      </w:tr>
    </w:tbl>
    <w:p w14:paraId="7EA2CE09">
      <w:pPr>
        <w:spacing w:line="306" w:lineRule="auto"/>
        <w:rPr>
          <w:rFonts w:ascii="Arial"/>
          <w:color w:val="auto"/>
          <w:sz w:val="21"/>
          <w:highlight w:val="none"/>
        </w:rPr>
      </w:pPr>
    </w:p>
    <w:p w14:paraId="0C8AA98C">
      <w:pPr>
        <w:spacing w:line="307" w:lineRule="auto"/>
        <w:rPr>
          <w:rFonts w:ascii="Arial"/>
          <w:color w:val="auto"/>
          <w:sz w:val="21"/>
          <w:highlight w:val="none"/>
        </w:rPr>
      </w:pPr>
    </w:p>
    <w:p w14:paraId="775A1FFD">
      <w:pPr>
        <w:spacing w:before="68" w:line="220" w:lineRule="auto"/>
        <w:ind w:left="248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 标</w:t>
      </w:r>
      <w:r>
        <w:rPr>
          <w:rFonts w:ascii="宋体" w:hAnsi="宋体" w:eastAsia="宋体" w:cs="宋体"/>
          <w:color w:val="auto"/>
          <w:spacing w:val="10"/>
          <w:sz w:val="21"/>
          <w:szCs w:val="21"/>
          <w:highlight w:val="none"/>
        </w:rPr>
        <w:t xml:space="preserve"> </w:t>
      </w:r>
      <w:r>
        <w:rPr>
          <w:rFonts w:ascii="宋体" w:hAnsi="宋体" w:eastAsia="宋体" w:cs="宋体"/>
          <w:color w:val="auto"/>
          <w:spacing w:val="-1"/>
          <w:sz w:val="21"/>
          <w:szCs w:val="21"/>
          <w:highlight w:val="none"/>
        </w:rPr>
        <w:t>人</w:t>
      </w:r>
      <w:r>
        <w:rPr>
          <w:rFonts w:ascii="宋体" w:hAnsi="宋体" w:eastAsia="宋体" w:cs="宋体"/>
          <w:color w:val="auto"/>
          <w:spacing w:val="-4"/>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rPr>
        <w:t>（</w:t>
      </w:r>
      <w:r>
        <w:rPr>
          <w:rFonts w:ascii="宋体" w:hAnsi="宋体" w:eastAsia="宋体" w:cs="宋体"/>
          <w:color w:val="auto"/>
          <w:spacing w:val="-1"/>
          <w:sz w:val="21"/>
          <w:szCs w:val="21"/>
          <w:highlight w:val="none"/>
        </w:rPr>
        <w:t>盖单位章）</w:t>
      </w:r>
    </w:p>
    <w:p w14:paraId="4CD348F6">
      <w:pPr>
        <w:tabs>
          <w:tab w:val="left" w:pos="6082"/>
        </w:tabs>
        <w:spacing w:before="189" w:line="250" w:lineRule="auto"/>
        <w:ind w:left="5450" w:right="636" w:hanging="2969"/>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11"/>
          <w:sz w:val="21"/>
          <w:szCs w:val="21"/>
          <w:highlight w:val="none"/>
        </w:rPr>
        <w:t>：</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11"/>
          <w:sz w:val="21"/>
          <w:szCs w:val="21"/>
          <w:highlight w:val="none"/>
        </w:rPr>
        <w:t>（</w:t>
      </w:r>
      <w:r>
        <w:rPr>
          <w:rFonts w:ascii="宋体" w:hAnsi="宋体" w:eastAsia="宋体" w:cs="宋体"/>
          <w:color w:val="auto"/>
          <w:sz w:val="21"/>
          <w:szCs w:val="21"/>
          <w:highlight w:val="none"/>
        </w:rPr>
        <w:t xml:space="preserve">签字） </w:t>
      </w:r>
    </w:p>
    <w:p w14:paraId="025EFA6A">
      <w:pPr>
        <w:tabs>
          <w:tab w:val="left" w:pos="6082"/>
        </w:tabs>
        <w:spacing w:before="189" w:line="250" w:lineRule="auto"/>
        <w:ind w:left="5450" w:right="636" w:hanging="2969"/>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88"/>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6"/>
          <w:sz w:val="21"/>
          <w:szCs w:val="21"/>
          <w:highlight w:val="none"/>
        </w:rPr>
        <w:t xml:space="preserve"> </w:t>
      </w:r>
      <w:r>
        <w:rPr>
          <w:rFonts w:ascii="宋体" w:hAnsi="宋体" w:eastAsia="宋体" w:cs="宋体"/>
          <w:color w:val="auto"/>
          <w:spacing w:val="-7"/>
          <w:sz w:val="21"/>
          <w:szCs w:val="21"/>
          <w:highlight w:val="none"/>
        </w:rPr>
        <w:t>日</w:t>
      </w:r>
    </w:p>
    <w:p w14:paraId="79578891">
      <w:pPr>
        <w:spacing w:before="55" w:line="219" w:lineRule="auto"/>
        <w:ind w:left="431"/>
        <w:rPr>
          <w:rFonts w:ascii="宋体" w:hAnsi="宋体" w:eastAsia="宋体" w:cs="宋体"/>
          <w:color w:val="auto"/>
          <w:spacing w:val="-1"/>
          <w:sz w:val="28"/>
          <w:szCs w:val="28"/>
          <w:highlight w:val="none"/>
        </w:rPr>
      </w:pPr>
    </w:p>
    <w:p w14:paraId="5AF63469">
      <w:pPr>
        <w:spacing w:before="55" w:line="219" w:lineRule="auto"/>
        <w:ind w:left="431"/>
        <w:rPr>
          <w:rFonts w:ascii="宋体" w:hAnsi="宋体" w:eastAsia="宋体" w:cs="宋体"/>
          <w:color w:val="auto"/>
          <w:spacing w:val="-1"/>
          <w:sz w:val="28"/>
          <w:szCs w:val="28"/>
          <w:highlight w:val="none"/>
        </w:rPr>
      </w:pPr>
    </w:p>
    <w:p w14:paraId="138ECD0F">
      <w:pPr>
        <w:spacing w:before="55" w:line="219" w:lineRule="auto"/>
        <w:ind w:left="431"/>
        <w:rPr>
          <w:rFonts w:ascii="宋体" w:hAnsi="宋体" w:eastAsia="宋体" w:cs="宋体"/>
          <w:color w:val="auto"/>
          <w:spacing w:val="-1"/>
          <w:sz w:val="28"/>
          <w:szCs w:val="28"/>
          <w:highlight w:val="none"/>
        </w:rPr>
      </w:pPr>
    </w:p>
    <w:p w14:paraId="46A42461">
      <w:pPr>
        <w:spacing w:before="55" w:line="219" w:lineRule="auto"/>
        <w:ind w:left="431"/>
        <w:rPr>
          <w:rFonts w:ascii="宋体" w:hAnsi="宋体" w:eastAsia="宋体" w:cs="宋体"/>
          <w:color w:val="auto"/>
          <w:spacing w:val="-1"/>
          <w:sz w:val="28"/>
          <w:szCs w:val="28"/>
          <w:highlight w:val="none"/>
        </w:rPr>
      </w:pPr>
    </w:p>
    <w:p w14:paraId="5A78AC57">
      <w:pPr>
        <w:pStyle w:val="6"/>
        <w:outlineLvl w:val="9"/>
        <w:rPr>
          <w:color w:val="auto"/>
          <w:highlight w:val="none"/>
        </w:rPr>
      </w:pPr>
    </w:p>
    <w:p w14:paraId="4E5843C4">
      <w:pPr>
        <w:spacing w:before="55" w:line="219" w:lineRule="auto"/>
        <w:ind w:left="431"/>
        <w:rPr>
          <w:rFonts w:ascii="宋体" w:hAnsi="宋体" w:eastAsia="宋体" w:cs="宋体"/>
          <w:color w:val="auto"/>
          <w:spacing w:val="-1"/>
          <w:sz w:val="28"/>
          <w:szCs w:val="28"/>
          <w:highlight w:val="none"/>
        </w:rPr>
      </w:pPr>
    </w:p>
    <w:p w14:paraId="2F3C9F1B">
      <w:pPr>
        <w:spacing w:before="55" w:line="219" w:lineRule="auto"/>
        <w:ind w:left="431"/>
        <w:rPr>
          <w:rFonts w:ascii="宋体" w:hAnsi="宋体" w:eastAsia="宋体" w:cs="宋体"/>
          <w:color w:val="auto"/>
          <w:spacing w:val="-1"/>
          <w:sz w:val="28"/>
          <w:szCs w:val="28"/>
          <w:highlight w:val="none"/>
        </w:rPr>
      </w:pPr>
    </w:p>
    <w:p w14:paraId="74D1BDB7">
      <w:pPr>
        <w:spacing w:before="55" w:line="219" w:lineRule="auto"/>
        <w:ind w:left="431"/>
        <w:rPr>
          <w:rFonts w:ascii="宋体" w:hAnsi="宋体" w:eastAsia="宋体" w:cs="宋体"/>
          <w:color w:val="auto"/>
          <w:spacing w:val="-1"/>
          <w:sz w:val="28"/>
          <w:szCs w:val="28"/>
          <w:highlight w:val="none"/>
        </w:rPr>
      </w:pPr>
    </w:p>
    <w:p w14:paraId="7E10538C">
      <w:pPr>
        <w:spacing w:before="55" w:line="219" w:lineRule="auto"/>
        <w:ind w:left="431"/>
        <w:rPr>
          <w:rFonts w:ascii="宋体" w:hAnsi="宋体" w:eastAsia="宋体" w:cs="宋体"/>
          <w:color w:val="auto"/>
          <w:spacing w:val="-1"/>
          <w:sz w:val="28"/>
          <w:szCs w:val="28"/>
          <w:highlight w:val="none"/>
        </w:rPr>
      </w:pPr>
    </w:p>
    <w:p w14:paraId="49CC41E9">
      <w:pPr>
        <w:spacing w:before="55" w:line="219" w:lineRule="auto"/>
        <w:rPr>
          <w:rFonts w:ascii="宋体" w:hAnsi="宋体" w:eastAsia="宋体" w:cs="宋体"/>
          <w:color w:val="auto"/>
          <w:spacing w:val="-1"/>
          <w:sz w:val="28"/>
          <w:szCs w:val="28"/>
          <w:highlight w:val="none"/>
        </w:rPr>
      </w:pPr>
    </w:p>
    <w:p w14:paraId="2C06B3BA">
      <w:pPr>
        <w:spacing w:before="55" w:line="219" w:lineRule="auto"/>
        <w:ind w:left="431"/>
        <w:outlineLvl w:val="9"/>
        <w:rPr>
          <w:rFonts w:hint="default" w:ascii="宋体" w:hAnsi="宋体" w:eastAsia="宋体" w:cs="宋体"/>
          <w:color w:val="auto"/>
          <w:sz w:val="28"/>
          <w:szCs w:val="28"/>
          <w:highlight w:val="none"/>
          <w:lang w:val="en-US" w:eastAsia="zh-CN"/>
        </w:rPr>
      </w:pPr>
      <w:bookmarkStart w:id="415" w:name="_Toc30629"/>
      <w:r>
        <w:rPr>
          <w:rFonts w:ascii="宋体" w:hAnsi="宋体" w:eastAsia="宋体" w:cs="宋体"/>
          <w:color w:val="auto"/>
          <w:spacing w:val="-1"/>
          <w:sz w:val="28"/>
          <w:szCs w:val="28"/>
          <w:highlight w:val="none"/>
        </w:rPr>
        <w:t>（三）价格折算量化因素及标准响应一览表</w:t>
      </w:r>
      <w:r>
        <w:rPr>
          <w:rFonts w:hint="eastAsia" w:ascii="宋体" w:hAnsi="宋体" w:eastAsia="宋体" w:cs="宋体"/>
          <w:b/>
          <w:bCs/>
          <w:color w:val="auto"/>
          <w:spacing w:val="-1"/>
          <w:sz w:val="28"/>
          <w:szCs w:val="28"/>
          <w:highlight w:val="none"/>
          <w:lang w:eastAsia="zh-CN"/>
        </w:rPr>
        <w:t>（</w:t>
      </w:r>
      <w:r>
        <w:rPr>
          <w:rFonts w:hint="eastAsia" w:ascii="宋体" w:hAnsi="宋体" w:eastAsia="宋体" w:cs="宋体"/>
          <w:b/>
          <w:bCs/>
          <w:color w:val="auto"/>
          <w:spacing w:val="-1"/>
          <w:sz w:val="28"/>
          <w:szCs w:val="28"/>
          <w:highlight w:val="none"/>
          <w:lang w:val="en-US" w:eastAsia="zh-CN"/>
        </w:rPr>
        <w:t>本项目不采用）</w:t>
      </w:r>
      <w:bookmarkEnd w:id="415"/>
    </w:p>
    <w:p w14:paraId="1E84601B">
      <w:pPr>
        <w:spacing w:before="76"/>
        <w:rPr>
          <w:color w:val="auto"/>
          <w:highlight w:val="none"/>
        </w:rPr>
      </w:pPr>
    </w:p>
    <w:tbl>
      <w:tblPr>
        <w:tblStyle w:val="29"/>
        <w:tblW w:w="8972"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2339"/>
        <w:gridCol w:w="1706"/>
        <w:gridCol w:w="2072"/>
        <w:gridCol w:w="1711"/>
      </w:tblGrid>
      <w:tr w14:paraId="53CC9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144" w:type="dxa"/>
            <w:vAlign w:val="top"/>
          </w:tcPr>
          <w:p w14:paraId="5399E342">
            <w:pPr>
              <w:pStyle w:val="30"/>
              <w:spacing w:before="238" w:line="222" w:lineRule="auto"/>
              <w:ind w:left="367"/>
              <w:rPr>
                <w:color w:val="auto"/>
                <w:highlight w:val="none"/>
              </w:rPr>
            </w:pPr>
            <w:r>
              <w:rPr>
                <w:color w:val="auto"/>
                <w:spacing w:val="-2"/>
                <w:highlight w:val="none"/>
              </w:rPr>
              <w:t>序号</w:t>
            </w:r>
          </w:p>
        </w:tc>
        <w:tc>
          <w:tcPr>
            <w:tcW w:w="2339" w:type="dxa"/>
            <w:vAlign w:val="top"/>
          </w:tcPr>
          <w:p w14:paraId="66783E51">
            <w:pPr>
              <w:pStyle w:val="30"/>
              <w:spacing w:before="48" w:line="320" w:lineRule="auto"/>
              <w:ind w:left="752" w:right="747"/>
              <w:rPr>
                <w:color w:val="auto"/>
                <w:highlight w:val="none"/>
              </w:rPr>
            </w:pPr>
            <w:r>
              <w:rPr>
                <w:color w:val="auto"/>
                <w:spacing w:val="-2"/>
                <w:highlight w:val="none"/>
              </w:rPr>
              <w:t>价格折算</w:t>
            </w:r>
            <w:r>
              <w:rPr>
                <w:color w:val="auto"/>
                <w:highlight w:val="none"/>
              </w:rPr>
              <w:t xml:space="preserve"> </w:t>
            </w:r>
            <w:r>
              <w:rPr>
                <w:color w:val="auto"/>
                <w:spacing w:val="-2"/>
                <w:highlight w:val="none"/>
              </w:rPr>
              <w:t>量化因素</w:t>
            </w:r>
          </w:p>
        </w:tc>
        <w:tc>
          <w:tcPr>
            <w:tcW w:w="1706" w:type="dxa"/>
            <w:vAlign w:val="top"/>
          </w:tcPr>
          <w:p w14:paraId="25CA4923">
            <w:pPr>
              <w:pStyle w:val="30"/>
              <w:spacing w:before="49" w:line="320" w:lineRule="auto"/>
              <w:ind w:left="437" w:right="429"/>
              <w:rPr>
                <w:color w:val="auto"/>
                <w:highlight w:val="none"/>
              </w:rPr>
            </w:pPr>
            <w:r>
              <w:rPr>
                <w:color w:val="auto"/>
                <w:spacing w:val="-2"/>
                <w:highlight w:val="none"/>
              </w:rPr>
              <w:t>价格折算</w:t>
            </w:r>
            <w:r>
              <w:rPr>
                <w:color w:val="auto"/>
                <w:highlight w:val="none"/>
              </w:rPr>
              <w:t xml:space="preserve"> </w:t>
            </w:r>
            <w:r>
              <w:rPr>
                <w:color w:val="auto"/>
                <w:spacing w:val="-2"/>
                <w:highlight w:val="none"/>
              </w:rPr>
              <w:t>量化标准</w:t>
            </w:r>
          </w:p>
        </w:tc>
        <w:tc>
          <w:tcPr>
            <w:tcW w:w="2072" w:type="dxa"/>
            <w:vAlign w:val="top"/>
          </w:tcPr>
          <w:p w14:paraId="6B63BE96">
            <w:pPr>
              <w:pStyle w:val="30"/>
              <w:spacing w:before="238" w:line="221" w:lineRule="auto"/>
              <w:ind w:left="306"/>
              <w:rPr>
                <w:color w:val="auto"/>
                <w:highlight w:val="none"/>
              </w:rPr>
            </w:pPr>
            <w:r>
              <w:rPr>
                <w:color w:val="auto"/>
                <w:spacing w:val="-2"/>
                <w:highlight w:val="none"/>
              </w:rPr>
              <w:t>投标人响应情况</w:t>
            </w:r>
          </w:p>
        </w:tc>
        <w:tc>
          <w:tcPr>
            <w:tcW w:w="1711" w:type="dxa"/>
            <w:vAlign w:val="top"/>
          </w:tcPr>
          <w:p w14:paraId="547C81BF">
            <w:pPr>
              <w:pStyle w:val="30"/>
              <w:spacing w:before="48" w:line="320" w:lineRule="auto"/>
              <w:ind w:left="232" w:right="220" w:firstLine="104"/>
              <w:rPr>
                <w:color w:val="auto"/>
                <w:highlight w:val="none"/>
              </w:rPr>
            </w:pPr>
            <w:r>
              <w:rPr>
                <w:color w:val="auto"/>
                <w:spacing w:val="-2"/>
                <w:highlight w:val="none"/>
              </w:rPr>
              <w:t>投标人价格</w:t>
            </w:r>
            <w:r>
              <w:rPr>
                <w:color w:val="auto"/>
                <w:highlight w:val="none"/>
              </w:rPr>
              <w:t xml:space="preserve">  </w:t>
            </w:r>
            <w:r>
              <w:rPr>
                <w:color w:val="auto"/>
                <w:spacing w:val="-2"/>
                <w:highlight w:val="none"/>
              </w:rPr>
              <w:t>折算计算结果</w:t>
            </w:r>
          </w:p>
        </w:tc>
      </w:tr>
      <w:tr w14:paraId="4E0A5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16B2AC94">
            <w:pPr>
              <w:pStyle w:val="30"/>
              <w:spacing w:before="151" w:line="183" w:lineRule="auto"/>
              <w:ind w:left="539"/>
              <w:rPr>
                <w:color w:val="auto"/>
                <w:highlight w:val="none"/>
              </w:rPr>
            </w:pPr>
            <w:r>
              <w:rPr>
                <w:color w:val="auto"/>
                <w:highlight w:val="none"/>
              </w:rPr>
              <w:t>1</w:t>
            </w:r>
          </w:p>
        </w:tc>
        <w:tc>
          <w:tcPr>
            <w:tcW w:w="2339" w:type="dxa"/>
            <w:vAlign w:val="top"/>
          </w:tcPr>
          <w:p w14:paraId="1B53818D">
            <w:pPr>
              <w:pStyle w:val="30"/>
              <w:spacing w:before="116" w:line="221" w:lineRule="auto"/>
              <w:ind w:left="133"/>
              <w:rPr>
                <w:color w:val="auto"/>
                <w:highlight w:val="none"/>
              </w:rPr>
            </w:pPr>
            <w:r>
              <w:rPr>
                <w:color w:val="auto"/>
                <w:spacing w:val="-8"/>
                <w:highlight w:val="none"/>
              </w:rPr>
              <w:t>□</w:t>
            </w:r>
            <w:r>
              <w:rPr>
                <w:color w:val="auto"/>
                <w:spacing w:val="12"/>
                <w:highlight w:val="none"/>
              </w:rPr>
              <w:t xml:space="preserve"> </w:t>
            </w:r>
            <w:r>
              <w:rPr>
                <w:color w:val="auto"/>
                <w:spacing w:val="-8"/>
                <w:highlight w:val="none"/>
              </w:rPr>
              <w:t>付款条件</w:t>
            </w:r>
          </w:p>
        </w:tc>
        <w:tc>
          <w:tcPr>
            <w:tcW w:w="1706" w:type="dxa"/>
            <w:vAlign w:val="top"/>
          </w:tcPr>
          <w:p w14:paraId="51F9B708">
            <w:pPr>
              <w:rPr>
                <w:rFonts w:ascii="Arial"/>
                <w:color w:val="auto"/>
                <w:sz w:val="21"/>
                <w:highlight w:val="none"/>
              </w:rPr>
            </w:pPr>
          </w:p>
        </w:tc>
        <w:tc>
          <w:tcPr>
            <w:tcW w:w="2072" w:type="dxa"/>
            <w:vAlign w:val="top"/>
          </w:tcPr>
          <w:p w14:paraId="0E25B6D9">
            <w:pPr>
              <w:pStyle w:val="30"/>
              <w:tabs>
                <w:tab w:val="left" w:pos="1055"/>
              </w:tabs>
              <w:spacing w:before="116" w:line="241" w:lineRule="auto"/>
              <w:ind w:left="526"/>
              <w:rPr>
                <w:color w:val="auto"/>
                <w:highlight w:val="none"/>
              </w:rPr>
            </w:pPr>
            <w:r>
              <w:rPr>
                <w:color w:val="auto"/>
                <w:highlight w:val="none"/>
                <w:u w:val="single" w:color="auto"/>
              </w:rPr>
              <w:tab/>
            </w:r>
            <w:r>
              <w:rPr>
                <w:b/>
                <w:bCs/>
                <w:color w:val="auto"/>
                <w:spacing w:val="-3"/>
                <w:highlight w:val="none"/>
              </w:rPr>
              <w:t>%</w:t>
            </w:r>
          </w:p>
        </w:tc>
        <w:tc>
          <w:tcPr>
            <w:tcW w:w="1711" w:type="dxa"/>
            <w:vAlign w:val="top"/>
          </w:tcPr>
          <w:p w14:paraId="3B7202FA">
            <w:pPr>
              <w:pStyle w:val="30"/>
              <w:tabs>
                <w:tab w:val="left" w:pos="635"/>
              </w:tabs>
              <w:spacing w:before="117" w:line="221" w:lineRule="auto"/>
              <w:ind w:left="107"/>
              <w:rPr>
                <w:color w:val="auto"/>
                <w:highlight w:val="none"/>
              </w:rPr>
            </w:pPr>
            <w:r>
              <w:rPr>
                <w:color w:val="auto"/>
                <w:highlight w:val="none"/>
                <w:u w:val="single" w:color="auto"/>
              </w:rPr>
              <w:tab/>
            </w:r>
            <w:r>
              <w:rPr>
                <w:color w:val="auto"/>
                <w:spacing w:val="-92"/>
                <w:highlight w:val="none"/>
              </w:rPr>
              <w:t xml:space="preserve"> </w:t>
            </w:r>
            <w:r>
              <w:rPr>
                <w:b/>
                <w:bCs/>
                <w:color w:val="auto"/>
                <w:spacing w:val="-6"/>
                <w:highlight w:val="none"/>
              </w:rPr>
              <w:t>元（调减）</w:t>
            </w:r>
          </w:p>
        </w:tc>
      </w:tr>
      <w:tr w14:paraId="052A9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5F26804F">
            <w:pPr>
              <w:pStyle w:val="30"/>
              <w:spacing w:before="152" w:line="182" w:lineRule="auto"/>
              <w:ind w:left="526"/>
              <w:rPr>
                <w:color w:val="auto"/>
                <w:highlight w:val="none"/>
              </w:rPr>
            </w:pPr>
            <w:r>
              <w:rPr>
                <w:color w:val="auto"/>
                <w:highlight w:val="none"/>
              </w:rPr>
              <w:t>2</w:t>
            </w:r>
          </w:p>
        </w:tc>
        <w:tc>
          <w:tcPr>
            <w:tcW w:w="2339" w:type="dxa"/>
            <w:vAlign w:val="top"/>
          </w:tcPr>
          <w:p w14:paraId="7BA8ABE1">
            <w:pPr>
              <w:pStyle w:val="30"/>
              <w:spacing w:before="117" w:line="221" w:lineRule="auto"/>
              <w:ind w:left="133"/>
              <w:rPr>
                <w:color w:val="auto"/>
                <w:highlight w:val="none"/>
              </w:rPr>
            </w:pPr>
            <w:r>
              <w:rPr>
                <w:color w:val="auto"/>
                <w:spacing w:val="-12"/>
                <w:highlight w:val="none"/>
              </w:rPr>
              <w:t>□</w:t>
            </w:r>
            <w:r>
              <w:rPr>
                <w:color w:val="auto"/>
                <w:spacing w:val="12"/>
                <w:highlight w:val="none"/>
              </w:rPr>
              <w:t xml:space="preserve"> </w:t>
            </w:r>
            <w:r>
              <w:rPr>
                <w:color w:val="auto"/>
                <w:spacing w:val="-12"/>
                <w:highlight w:val="none"/>
              </w:rPr>
              <w:t>工期</w:t>
            </w:r>
          </w:p>
        </w:tc>
        <w:tc>
          <w:tcPr>
            <w:tcW w:w="1706" w:type="dxa"/>
            <w:vAlign w:val="top"/>
          </w:tcPr>
          <w:p w14:paraId="605C3291">
            <w:pPr>
              <w:rPr>
                <w:rFonts w:ascii="Arial"/>
                <w:color w:val="auto"/>
                <w:sz w:val="21"/>
                <w:highlight w:val="none"/>
              </w:rPr>
            </w:pPr>
          </w:p>
        </w:tc>
        <w:tc>
          <w:tcPr>
            <w:tcW w:w="2072" w:type="dxa"/>
            <w:vAlign w:val="top"/>
          </w:tcPr>
          <w:p w14:paraId="7795E3E7">
            <w:pPr>
              <w:pStyle w:val="30"/>
              <w:tabs>
                <w:tab w:val="left" w:pos="1156"/>
              </w:tabs>
              <w:spacing w:before="117" w:line="221" w:lineRule="auto"/>
              <w:ind w:left="526"/>
              <w:rPr>
                <w:color w:val="auto"/>
                <w:highlight w:val="none"/>
              </w:rPr>
            </w:pPr>
            <w:r>
              <w:rPr>
                <w:color w:val="auto"/>
                <w:highlight w:val="none"/>
                <w:u w:val="single" w:color="auto"/>
              </w:rPr>
              <w:tab/>
            </w:r>
            <w:r>
              <w:rPr>
                <w:color w:val="auto"/>
                <w:spacing w:val="-60"/>
                <w:highlight w:val="none"/>
              </w:rPr>
              <w:t xml:space="preserve"> </w:t>
            </w:r>
            <w:r>
              <w:rPr>
                <w:b/>
                <w:bCs/>
                <w:color w:val="auto"/>
                <w:spacing w:val="-12"/>
                <w:highlight w:val="none"/>
              </w:rPr>
              <w:t>日历天</w:t>
            </w:r>
          </w:p>
        </w:tc>
        <w:tc>
          <w:tcPr>
            <w:tcW w:w="1711" w:type="dxa"/>
            <w:vAlign w:val="top"/>
          </w:tcPr>
          <w:p w14:paraId="1D6E42CB">
            <w:pPr>
              <w:pStyle w:val="30"/>
              <w:tabs>
                <w:tab w:val="left" w:pos="635"/>
              </w:tabs>
              <w:spacing w:before="117" w:line="221" w:lineRule="auto"/>
              <w:ind w:left="107"/>
              <w:rPr>
                <w:color w:val="auto"/>
                <w:highlight w:val="none"/>
              </w:rPr>
            </w:pPr>
            <w:r>
              <w:rPr>
                <w:color w:val="auto"/>
                <w:highlight w:val="none"/>
                <w:u w:val="single" w:color="auto"/>
              </w:rPr>
              <w:tab/>
            </w:r>
            <w:r>
              <w:rPr>
                <w:color w:val="auto"/>
                <w:spacing w:val="-92"/>
                <w:highlight w:val="none"/>
              </w:rPr>
              <w:t xml:space="preserve"> </w:t>
            </w:r>
            <w:r>
              <w:rPr>
                <w:b/>
                <w:bCs/>
                <w:color w:val="auto"/>
                <w:spacing w:val="-6"/>
                <w:highlight w:val="none"/>
              </w:rPr>
              <w:t>元（调减）</w:t>
            </w:r>
          </w:p>
        </w:tc>
      </w:tr>
      <w:tr w14:paraId="79931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144" w:type="dxa"/>
            <w:vAlign w:val="top"/>
          </w:tcPr>
          <w:p w14:paraId="5C271D45">
            <w:pPr>
              <w:pStyle w:val="30"/>
              <w:spacing w:before="230" w:line="182" w:lineRule="auto"/>
              <w:ind w:left="528"/>
              <w:rPr>
                <w:color w:val="auto"/>
                <w:highlight w:val="none"/>
              </w:rPr>
            </w:pPr>
            <w:r>
              <w:rPr>
                <w:color w:val="auto"/>
                <w:highlight w:val="none"/>
              </w:rPr>
              <w:t>3</w:t>
            </w:r>
          </w:p>
        </w:tc>
        <w:tc>
          <w:tcPr>
            <w:tcW w:w="2339" w:type="dxa"/>
            <w:vAlign w:val="top"/>
          </w:tcPr>
          <w:p w14:paraId="48335AEE">
            <w:pPr>
              <w:pStyle w:val="30"/>
              <w:spacing w:before="194" w:line="220" w:lineRule="auto"/>
              <w:ind w:left="133"/>
              <w:rPr>
                <w:color w:val="auto"/>
                <w:highlight w:val="none"/>
              </w:rPr>
            </w:pPr>
            <w:r>
              <w:rPr>
                <w:color w:val="auto"/>
                <w:spacing w:val="-8"/>
                <w:highlight w:val="none"/>
              </w:rPr>
              <w:t>□</w:t>
            </w:r>
            <w:r>
              <w:rPr>
                <w:color w:val="auto"/>
                <w:spacing w:val="12"/>
                <w:highlight w:val="none"/>
              </w:rPr>
              <w:t xml:space="preserve"> </w:t>
            </w:r>
            <w:r>
              <w:rPr>
                <w:color w:val="auto"/>
                <w:spacing w:val="-8"/>
                <w:highlight w:val="none"/>
              </w:rPr>
              <w:t>企业信誉</w:t>
            </w:r>
          </w:p>
        </w:tc>
        <w:tc>
          <w:tcPr>
            <w:tcW w:w="1706" w:type="dxa"/>
            <w:vAlign w:val="top"/>
          </w:tcPr>
          <w:p w14:paraId="586B4C5A">
            <w:pPr>
              <w:rPr>
                <w:rFonts w:ascii="Arial"/>
                <w:color w:val="auto"/>
                <w:sz w:val="21"/>
                <w:highlight w:val="none"/>
              </w:rPr>
            </w:pPr>
          </w:p>
        </w:tc>
        <w:tc>
          <w:tcPr>
            <w:tcW w:w="2072" w:type="dxa"/>
            <w:vAlign w:val="top"/>
          </w:tcPr>
          <w:p w14:paraId="1353FCFD">
            <w:pPr>
              <w:pStyle w:val="30"/>
              <w:tabs>
                <w:tab w:val="left" w:pos="1240"/>
              </w:tabs>
              <w:spacing w:before="194" w:line="221" w:lineRule="auto"/>
              <w:ind w:left="713"/>
              <w:rPr>
                <w:color w:val="auto"/>
                <w:highlight w:val="none"/>
              </w:rPr>
            </w:pPr>
            <w:r>
              <w:rPr>
                <w:color w:val="auto"/>
                <w:highlight w:val="none"/>
                <w:u w:val="single" w:color="auto"/>
              </w:rPr>
              <w:tab/>
            </w:r>
            <w:r>
              <w:rPr>
                <w:color w:val="auto"/>
                <w:spacing w:val="-91"/>
                <w:highlight w:val="none"/>
              </w:rPr>
              <w:t xml:space="preserve"> </w:t>
            </w:r>
            <w:r>
              <w:rPr>
                <w:b/>
                <w:bCs/>
                <w:color w:val="auto"/>
                <w:spacing w:val="-3"/>
                <w:highlight w:val="none"/>
              </w:rPr>
              <w:t>次</w:t>
            </w:r>
          </w:p>
        </w:tc>
        <w:tc>
          <w:tcPr>
            <w:tcW w:w="1711" w:type="dxa"/>
            <w:vAlign w:val="top"/>
          </w:tcPr>
          <w:p w14:paraId="0461D802">
            <w:pPr>
              <w:pStyle w:val="30"/>
              <w:tabs>
                <w:tab w:val="left" w:pos="635"/>
              </w:tabs>
              <w:spacing w:before="195" w:line="221" w:lineRule="auto"/>
              <w:ind w:left="107"/>
              <w:rPr>
                <w:color w:val="auto"/>
                <w:highlight w:val="none"/>
              </w:rPr>
            </w:pPr>
            <w:r>
              <w:rPr>
                <w:color w:val="auto"/>
                <w:highlight w:val="none"/>
                <w:u w:val="single" w:color="auto"/>
              </w:rPr>
              <w:tab/>
            </w:r>
            <w:r>
              <w:rPr>
                <w:color w:val="auto"/>
                <w:spacing w:val="-92"/>
                <w:highlight w:val="none"/>
              </w:rPr>
              <w:t xml:space="preserve"> </w:t>
            </w:r>
            <w:r>
              <w:rPr>
                <w:b/>
                <w:bCs/>
                <w:color w:val="auto"/>
                <w:spacing w:val="-6"/>
                <w:highlight w:val="none"/>
              </w:rPr>
              <w:t>元（调增）</w:t>
            </w:r>
          </w:p>
        </w:tc>
      </w:tr>
      <w:tr w14:paraId="111C3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1B079FAA">
            <w:pPr>
              <w:pStyle w:val="30"/>
              <w:spacing w:before="154" w:line="182" w:lineRule="auto"/>
              <w:ind w:left="523"/>
              <w:rPr>
                <w:color w:val="auto"/>
                <w:highlight w:val="none"/>
              </w:rPr>
            </w:pPr>
            <w:r>
              <w:rPr>
                <w:color w:val="auto"/>
                <w:highlight w:val="none"/>
              </w:rPr>
              <w:t>4</w:t>
            </w:r>
          </w:p>
        </w:tc>
        <w:tc>
          <w:tcPr>
            <w:tcW w:w="2339" w:type="dxa"/>
            <w:vAlign w:val="top"/>
          </w:tcPr>
          <w:p w14:paraId="6EB09332">
            <w:pPr>
              <w:pStyle w:val="30"/>
              <w:spacing w:before="29" w:line="225" w:lineRule="auto"/>
              <w:ind w:left="129" w:right="233" w:firstLine="4"/>
              <w:rPr>
                <w:rFonts w:hint="eastAsia" w:eastAsia="宋体"/>
                <w:color w:val="auto"/>
                <w:highlight w:val="none"/>
                <w:lang w:eastAsia="zh-CN"/>
              </w:rPr>
            </w:pPr>
            <w:r>
              <w:rPr>
                <w:color w:val="auto"/>
                <w:spacing w:val="-3"/>
                <w:highlight w:val="none"/>
              </w:rPr>
              <w:t>□ 执行政府采购政策</w:t>
            </w:r>
            <w:r>
              <w:rPr>
                <w:color w:val="auto"/>
                <w:spacing w:val="1"/>
                <w:highlight w:val="none"/>
              </w:rPr>
              <w:t xml:space="preserve"> </w:t>
            </w:r>
            <w:r>
              <w:rPr>
                <w:color w:val="auto"/>
                <w:spacing w:val="-5"/>
                <w:highlight w:val="none"/>
              </w:rPr>
              <w:t>的价格</w:t>
            </w:r>
            <w:r>
              <w:rPr>
                <w:rFonts w:hint="eastAsia"/>
                <w:color w:val="auto"/>
                <w:spacing w:val="-5"/>
                <w:highlight w:val="none"/>
                <w:lang w:eastAsia="zh-CN"/>
              </w:rPr>
              <w:t>支付</w:t>
            </w:r>
          </w:p>
        </w:tc>
        <w:tc>
          <w:tcPr>
            <w:tcW w:w="1706" w:type="dxa"/>
            <w:vAlign w:val="top"/>
          </w:tcPr>
          <w:p w14:paraId="04B5BEB5">
            <w:pPr>
              <w:rPr>
                <w:rFonts w:ascii="Arial"/>
                <w:color w:val="auto"/>
                <w:sz w:val="21"/>
                <w:highlight w:val="none"/>
              </w:rPr>
            </w:pPr>
          </w:p>
        </w:tc>
        <w:tc>
          <w:tcPr>
            <w:tcW w:w="2072" w:type="dxa"/>
            <w:vAlign w:val="top"/>
          </w:tcPr>
          <w:p w14:paraId="11050CE7">
            <w:pPr>
              <w:pStyle w:val="30"/>
              <w:tabs>
                <w:tab w:val="left" w:pos="1243"/>
              </w:tabs>
              <w:spacing w:before="118" w:line="241" w:lineRule="auto"/>
              <w:ind w:left="713"/>
              <w:rPr>
                <w:color w:val="auto"/>
                <w:highlight w:val="none"/>
              </w:rPr>
            </w:pPr>
            <w:r>
              <w:rPr>
                <w:color w:val="auto"/>
                <w:highlight w:val="none"/>
                <w:u w:val="single" w:color="auto"/>
              </w:rPr>
              <w:tab/>
            </w:r>
            <w:r>
              <w:rPr>
                <w:b/>
                <w:bCs/>
                <w:color w:val="auto"/>
                <w:spacing w:val="-3"/>
                <w:highlight w:val="none"/>
              </w:rPr>
              <w:t>%</w:t>
            </w:r>
          </w:p>
        </w:tc>
        <w:tc>
          <w:tcPr>
            <w:tcW w:w="1711" w:type="dxa"/>
            <w:vAlign w:val="top"/>
          </w:tcPr>
          <w:p w14:paraId="48E2B1A7">
            <w:pPr>
              <w:pStyle w:val="30"/>
              <w:tabs>
                <w:tab w:val="left" w:pos="635"/>
              </w:tabs>
              <w:spacing w:before="119" w:line="221" w:lineRule="auto"/>
              <w:ind w:left="107"/>
              <w:rPr>
                <w:color w:val="auto"/>
                <w:highlight w:val="none"/>
              </w:rPr>
            </w:pPr>
            <w:r>
              <w:rPr>
                <w:color w:val="auto"/>
                <w:highlight w:val="none"/>
                <w:u w:val="single" w:color="auto"/>
              </w:rPr>
              <w:tab/>
            </w:r>
            <w:r>
              <w:rPr>
                <w:color w:val="auto"/>
                <w:spacing w:val="-92"/>
                <w:highlight w:val="none"/>
              </w:rPr>
              <w:t xml:space="preserve"> </w:t>
            </w:r>
            <w:r>
              <w:rPr>
                <w:b/>
                <w:bCs/>
                <w:color w:val="auto"/>
                <w:spacing w:val="-6"/>
                <w:highlight w:val="none"/>
              </w:rPr>
              <w:t>元（调减）</w:t>
            </w:r>
          </w:p>
        </w:tc>
      </w:tr>
      <w:tr w14:paraId="0C840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44" w:type="dxa"/>
            <w:vAlign w:val="top"/>
          </w:tcPr>
          <w:p w14:paraId="4F3A027C">
            <w:pPr>
              <w:pStyle w:val="30"/>
              <w:spacing w:before="119" w:line="333" w:lineRule="exact"/>
              <w:ind w:left="381"/>
              <w:rPr>
                <w:color w:val="auto"/>
                <w:highlight w:val="none"/>
              </w:rPr>
            </w:pPr>
            <w:r>
              <w:rPr>
                <w:color w:val="auto"/>
                <w:spacing w:val="-5"/>
                <w:position w:val="2"/>
                <w:highlight w:val="none"/>
              </w:rPr>
              <w:t>……</w:t>
            </w:r>
          </w:p>
        </w:tc>
        <w:tc>
          <w:tcPr>
            <w:tcW w:w="2339" w:type="dxa"/>
            <w:vAlign w:val="top"/>
          </w:tcPr>
          <w:p w14:paraId="4CF4CB84">
            <w:pPr>
              <w:pStyle w:val="30"/>
              <w:spacing w:before="119" w:line="333" w:lineRule="exact"/>
              <w:ind w:left="977"/>
              <w:rPr>
                <w:color w:val="auto"/>
                <w:highlight w:val="none"/>
              </w:rPr>
            </w:pPr>
            <w:r>
              <w:rPr>
                <w:color w:val="auto"/>
                <w:spacing w:val="-5"/>
                <w:position w:val="2"/>
                <w:highlight w:val="none"/>
              </w:rPr>
              <w:t>……</w:t>
            </w:r>
          </w:p>
        </w:tc>
        <w:tc>
          <w:tcPr>
            <w:tcW w:w="1706" w:type="dxa"/>
            <w:vAlign w:val="top"/>
          </w:tcPr>
          <w:p w14:paraId="46A65E7D">
            <w:pPr>
              <w:rPr>
                <w:rFonts w:ascii="Arial"/>
                <w:color w:val="auto"/>
                <w:sz w:val="21"/>
                <w:highlight w:val="none"/>
              </w:rPr>
            </w:pPr>
          </w:p>
        </w:tc>
        <w:tc>
          <w:tcPr>
            <w:tcW w:w="2072" w:type="dxa"/>
            <w:vAlign w:val="top"/>
          </w:tcPr>
          <w:p w14:paraId="28BE9819">
            <w:pPr>
              <w:pStyle w:val="30"/>
              <w:spacing w:before="119" w:line="333" w:lineRule="exact"/>
              <w:ind w:left="842"/>
              <w:rPr>
                <w:color w:val="auto"/>
                <w:highlight w:val="none"/>
              </w:rPr>
            </w:pPr>
            <w:r>
              <w:rPr>
                <w:color w:val="auto"/>
                <w:spacing w:val="-5"/>
                <w:position w:val="2"/>
                <w:highlight w:val="none"/>
              </w:rPr>
              <w:t>……</w:t>
            </w:r>
          </w:p>
        </w:tc>
        <w:tc>
          <w:tcPr>
            <w:tcW w:w="1711" w:type="dxa"/>
            <w:vAlign w:val="top"/>
          </w:tcPr>
          <w:p w14:paraId="391B76FF">
            <w:pPr>
              <w:pStyle w:val="30"/>
              <w:spacing w:before="119" w:line="333" w:lineRule="exact"/>
              <w:ind w:left="549"/>
              <w:rPr>
                <w:color w:val="auto"/>
                <w:highlight w:val="none"/>
              </w:rPr>
            </w:pPr>
            <w:r>
              <w:rPr>
                <w:color w:val="auto"/>
                <w:spacing w:val="-5"/>
                <w:position w:val="2"/>
                <w:highlight w:val="none"/>
              </w:rPr>
              <w:t>……</w:t>
            </w:r>
          </w:p>
        </w:tc>
      </w:tr>
      <w:tr w14:paraId="11A86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61" w:type="dxa"/>
            <w:gridSpan w:val="4"/>
            <w:vAlign w:val="top"/>
          </w:tcPr>
          <w:p w14:paraId="4191DF49">
            <w:pPr>
              <w:pStyle w:val="30"/>
              <w:spacing w:before="119" w:line="219" w:lineRule="auto"/>
              <w:ind w:left="2795"/>
              <w:rPr>
                <w:color w:val="auto"/>
                <w:highlight w:val="none"/>
              </w:rPr>
            </w:pPr>
            <w:r>
              <w:rPr>
                <w:b/>
                <w:bCs/>
                <w:color w:val="auto"/>
                <w:spacing w:val="-3"/>
                <w:highlight w:val="none"/>
              </w:rPr>
              <w:t>价格累计折算结果</w:t>
            </w:r>
          </w:p>
        </w:tc>
        <w:tc>
          <w:tcPr>
            <w:tcW w:w="1711" w:type="dxa"/>
            <w:vAlign w:val="top"/>
          </w:tcPr>
          <w:p w14:paraId="1736E434">
            <w:pPr>
              <w:rPr>
                <w:rFonts w:ascii="Arial"/>
                <w:color w:val="auto"/>
                <w:sz w:val="21"/>
                <w:highlight w:val="none"/>
              </w:rPr>
            </w:pPr>
          </w:p>
        </w:tc>
      </w:tr>
      <w:tr w14:paraId="3799B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261" w:type="dxa"/>
            <w:gridSpan w:val="4"/>
            <w:vAlign w:val="top"/>
          </w:tcPr>
          <w:p w14:paraId="7F129817">
            <w:pPr>
              <w:pStyle w:val="30"/>
              <w:spacing w:before="120" w:line="219" w:lineRule="auto"/>
              <w:ind w:left="3008"/>
              <w:rPr>
                <w:color w:val="auto"/>
                <w:highlight w:val="none"/>
              </w:rPr>
            </w:pPr>
            <w:r>
              <w:rPr>
                <w:b/>
                <w:bCs/>
                <w:color w:val="auto"/>
                <w:spacing w:val="-3"/>
                <w:highlight w:val="none"/>
              </w:rPr>
              <w:t>投标人评标价</w:t>
            </w:r>
          </w:p>
        </w:tc>
        <w:tc>
          <w:tcPr>
            <w:tcW w:w="1711" w:type="dxa"/>
            <w:vAlign w:val="top"/>
          </w:tcPr>
          <w:p w14:paraId="3E91ACCB">
            <w:pPr>
              <w:rPr>
                <w:rFonts w:ascii="Arial"/>
                <w:color w:val="auto"/>
                <w:sz w:val="21"/>
                <w:highlight w:val="none"/>
              </w:rPr>
            </w:pPr>
          </w:p>
        </w:tc>
      </w:tr>
    </w:tbl>
    <w:p w14:paraId="38CA16BC">
      <w:pPr>
        <w:spacing w:line="325" w:lineRule="auto"/>
        <w:rPr>
          <w:rFonts w:ascii="Arial"/>
          <w:color w:val="auto"/>
          <w:sz w:val="21"/>
          <w:highlight w:val="none"/>
        </w:rPr>
      </w:pPr>
    </w:p>
    <w:p w14:paraId="6BA1D2D1">
      <w:pPr>
        <w:spacing w:before="68" w:line="229" w:lineRule="auto"/>
        <w:ind w:left="6272" w:right="30" w:hanging="1188"/>
        <w:rPr>
          <w:rFonts w:ascii="宋体" w:hAnsi="宋体" w:eastAsia="宋体" w:cs="宋体"/>
          <w:color w:val="auto"/>
          <w:sz w:val="21"/>
          <w:szCs w:val="21"/>
          <w:highlight w:val="none"/>
        </w:rPr>
      </w:pPr>
      <w:r>
        <w:rPr>
          <w:rFonts w:ascii="宋体" w:hAnsi="宋体" w:eastAsia="宋体" w:cs="宋体"/>
          <w:color w:val="auto"/>
          <w:sz w:val="21"/>
          <w:szCs w:val="21"/>
          <w:highlight w:val="none"/>
        </w:rPr>
        <w:t>投 标</w:t>
      </w:r>
      <w:r>
        <w:rPr>
          <w:rFonts w:ascii="宋体" w:hAnsi="宋体" w:eastAsia="宋体" w:cs="宋体"/>
          <w:color w:val="auto"/>
          <w:spacing w:val="9"/>
          <w:sz w:val="21"/>
          <w:szCs w:val="21"/>
          <w:highlight w:val="none"/>
        </w:rPr>
        <w:t xml:space="preserve"> </w:t>
      </w:r>
      <w:r>
        <w:rPr>
          <w:rFonts w:ascii="宋体" w:hAnsi="宋体" w:eastAsia="宋体" w:cs="宋体"/>
          <w:color w:val="auto"/>
          <w:sz w:val="21"/>
          <w:szCs w:val="21"/>
          <w:highlight w:val="none"/>
        </w:rPr>
        <w:t>人</w:t>
      </w:r>
      <w:r>
        <w:rPr>
          <w:rFonts w:ascii="宋体" w:hAnsi="宋体" w:eastAsia="宋体" w:cs="宋体"/>
          <w:color w:val="auto"/>
          <w:spacing w:val="-17"/>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7"/>
          <w:sz w:val="21"/>
          <w:szCs w:val="21"/>
          <w:highlight w:val="none"/>
        </w:rPr>
        <w:t>（</w:t>
      </w:r>
      <w:r>
        <w:rPr>
          <w:rFonts w:ascii="宋体" w:hAnsi="宋体" w:eastAsia="宋体" w:cs="宋体"/>
          <w:color w:val="auto"/>
          <w:sz w:val="21"/>
          <w:szCs w:val="21"/>
          <w:highlight w:val="none"/>
        </w:rPr>
        <w:t xml:space="preserve">盖单位章） </w:t>
      </w:r>
    </w:p>
    <w:p w14:paraId="01C2D3B6">
      <w:pPr>
        <w:spacing w:before="68" w:line="229" w:lineRule="auto"/>
        <w:ind w:left="6272" w:right="30" w:hanging="1188"/>
        <w:outlineLvl w:val="9"/>
        <w:rPr>
          <w:rFonts w:ascii="宋体" w:hAnsi="宋体" w:eastAsia="宋体" w:cs="宋体"/>
          <w:color w:val="auto"/>
          <w:sz w:val="21"/>
          <w:szCs w:val="21"/>
          <w:highlight w:val="none"/>
        </w:rPr>
      </w:pPr>
      <w:bookmarkStart w:id="416" w:name="_Toc29666"/>
      <w:r>
        <w:rPr>
          <w:rFonts w:ascii="宋体" w:hAnsi="宋体" w:eastAsia="宋体" w:cs="宋体"/>
          <w:color w:val="auto"/>
          <w:spacing w:val="-20"/>
          <w:sz w:val="21"/>
          <w:szCs w:val="21"/>
          <w:highlight w:val="none"/>
        </w:rPr>
        <w:t>日</w:t>
      </w:r>
      <w:r>
        <w:rPr>
          <w:rFonts w:ascii="宋体" w:hAnsi="宋体" w:eastAsia="宋体" w:cs="宋体"/>
          <w:color w:val="auto"/>
          <w:spacing w:val="12"/>
          <w:sz w:val="21"/>
          <w:szCs w:val="21"/>
          <w:highlight w:val="none"/>
        </w:rPr>
        <w:t xml:space="preserve"> </w:t>
      </w:r>
      <w:r>
        <w:rPr>
          <w:rFonts w:ascii="宋体" w:hAnsi="宋体" w:eastAsia="宋体" w:cs="宋体"/>
          <w:color w:val="auto"/>
          <w:spacing w:val="-20"/>
          <w:sz w:val="21"/>
          <w:szCs w:val="21"/>
          <w:highlight w:val="none"/>
        </w:rPr>
        <w:t>期</w:t>
      </w:r>
      <w:r>
        <w:rPr>
          <w:rFonts w:hint="eastAsia" w:ascii="宋体" w:hAnsi="宋体" w:eastAsia="宋体" w:cs="宋体"/>
          <w:color w:val="auto"/>
          <w:spacing w:val="-20"/>
          <w:sz w:val="21"/>
          <w:szCs w:val="21"/>
          <w:highlight w:val="none"/>
          <w:lang w:val="en-US" w:eastAsia="zh-CN"/>
        </w:rPr>
        <w:t xml:space="preserve"> </w:t>
      </w:r>
      <w:r>
        <w:rPr>
          <w:rFonts w:ascii="宋体" w:hAnsi="宋体" w:eastAsia="宋体" w:cs="宋体"/>
          <w:color w:val="auto"/>
          <w:spacing w:val="-20"/>
          <w:sz w:val="21"/>
          <w:szCs w:val="21"/>
          <w:highlight w:val="none"/>
        </w:rPr>
        <w:t>：</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0"/>
          <w:sz w:val="21"/>
          <w:szCs w:val="21"/>
          <w:highlight w:val="none"/>
        </w:rPr>
        <w:t>年</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20"/>
          <w:sz w:val="21"/>
          <w:szCs w:val="21"/>
          <w:highlight w:val="none"/>
        </w:rPr>
        <w:t>月</w:t>
      </w:r>
      <w:r>
        <w:rPr>
          <w:rFonts w:ascii="宋体" w:hAnsi="宋体" w:eastAsia="宋体" w:cs="宋体"/>
          <w:color w:val="auto"/>
          <w:spacing w:val="34"/>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20"/>
          <w:sz w:val="21"/>
          <w:szCs w:val="21"/>
          <w:highlight w:val="none"/>
        </w:rPr>
        <w:t>日</w:t>
      </w:r>
      <w:bookmarkEnd w:id="416"/>
    </w:p>
    <w:p w14:paraId="134F9AC3">
      <w:pPr>
        <w:spacing w:line="258" w:lineRule="auto"/>
        <w:rPr>
          <w:rFonts w:ascii="Arial"/>
          <w:color w:val="auto"/>
          <w:sz w:val="21"/>
          <w:highlight w:val="none"/>
        </w:rPr>
      </w:pPr>
    </w:p>
    <w:p w14:paraId="73E6C19B">
      <w:pPr>
        <w:spacing w:line="259" w:lineRule="auto"/>
        <w:rPr>
          <w:rFonts w:ascii="Arial"/>
          <w:color w:val="auto"/>
          <w:sz w:val="21"/>
          <w:highlight w:val="none"/>
        </w:rPr>
      </w:pPr>
    </w:p>
    <w:p w14:paraId="7B611C9F">
      <w:pPr>
        <w:spacing w:line="259" w:lineRule="auto"/>
        <w:rPr>
          <w:rFonts w:ascii="Arial"/>
          <w:color w:val="auto"/>
          <w:sz w:val="21"/>
          <w:highlight w:val="none"/>
        </w:rPr>
      </w:pPr>
    </w:p>
    <w:p w14:paraId="26E24026">
      <w:pPr>
        <w:spacing w:line="259" w:lineRule="auto"/>
        <w:rPr>
          <w:rFonts w:ascii="Arial"/>
          <w:color w:val="auto"/>
          <w:sz w:val="21"/>
          <w:highlight w:val="none"/>
        </w:rPr>
      </w:pPr>
    </w:p>
    <w:p w14:paraId="400BCD46">
      <w:pPr>
        <w:keepNext w:val="0"/>
        <w:keepLines w:val="0"/>
        <w:pageBreakBefore w:val="0"/>
        <w:widowControl/>
        <w:kinsoku w:val="0"/>
        <w:wordWrap/>
        <w:overflowPunct/>
        <w:topLinePunct w:val="0"/>
        <w:autoSpaceDE w:val="0"/>
        <w:autoSpaceDN w:val="0"/>
        <w:bidi w:val="0"/>
        <w:adjustRightInd w:val="0"/>
        <w:snapToGrid w:val="0"/>
        <w:spacing w:before="68" w:line="360" w:lineRule="auto"/>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注：1.本表仅适用于评标办法选用经评审的最低投标价法的招标项目。</w:t>
      </w:r>
    </w:p>
    <w:p w14:paraId="3FBB8269">
      <w:pPr>
        <w:keepNext w:val="0"/>
        <w:keepLines w:val="0"/>
        <w:pageBreakBefore w:val="0"/>
        <w:widowControl/>
        <w:kinsoku w:val="0"/>
        <w:wordWrap/>
        <w:overflowPunct/>
        <w:topLinePunct w:val="0"/>
        <w:autoSpaceDE w:val="0"/>
        <w:autoSpaceDN w:val="0"/>
        <w:bidi w:val="0"/>
        <w:adjustRightInd w:val="0"/>
        <w:snapToGrid w:val="0"/>
        <w:spacing w:before="25" w:line="360" w:lineRule="auto"/>
        <w:ind w:right="66" w:firstLine="425"/>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2.本表由投标人根据招标文件规定的价格折算量化因素及标准自行填报并计算</w:t>
      </w:r>
      <w:r>
        <w:rPr>
          <w:rFonts w:ascii="宋体" w:hAnsi="宋体" w:eastAsia="宋体" w:cs="宋体"/>
          <w:color w:val="auto"/>
          <w:spacing w:val="-1"/>
          <w:sz w:val="21"/>
          <w:szCs w:val="21"/>
          <w:highlight w:val="none"/>
        </w:rPr>
        <w:t>出评标价，评标</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委员会将对其计算结果的准确性进行复核。</w:t>
      </w:r>
    </w:p>
    <w:p w14:paraId="23DAF0AD">
      <w:pPr>
        <w:keepNext w:val="0"/>
        <w:keepLines w:val="0"/>
        <w:pageBreakBefore w:val="0"/>
        <w:widowControl/>
        <w:kinsoku w:val="0"/>
        <w:wordWrap/>
        <w:overflowPunct/>
        <w:topLinePunct w:val="0"/>
        <w:autoSpaceDE w:val="0"/>
        <w:autoSpaceDN w:val="0"/>
        <w:bidi w:val="0"/>
        <w:adjustRightInd w:val="0"/>
        <w:snapToGrid w:val="0"/>
        <w:spacing w:before="23" w:line="360" w:lineRule="auto"/>
        <w:ind w:left="1" w:right="66" w:firstLine="423"/>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3.本表格式仅供参考，招标人可以结合电子交易系统投标文件制作工具自行设</w:t>
      </w:r>
      <w:r>
        <w:rPr>
          <w:rFonts w:ascii="宋体" w:hAnsi="宋体" w:eastAsia="宋体" w:cs="宋体"/>
          <w:color w:val="auto"/>
          <w:spacing w:val="-1"/>
          <w:sz w:val="21"/>
          <w:szCs w:val="21"/>
          <w:highlight w:val="none"/>
        </w:rPr>
        <w:t>计表格格式，以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便提高价格折算的工作效率和准确性。</w:t>
      </w:r>
    </w:p>
    <w:p w14:paraId="57D097A5">
      <w:pPr>
        <w:keepNext w:val="0"/>
        <w:keepLines w:val="0"/>
        <w:pageBreakBefore w:val="0"/>
        <w:widowControl/>
        <w:kinsoku w:val="0"/>
        <w:wordWrap/>
        <w:overflowPunct/>
        <w:topLinePunct w:val="0"/>
        <w:autoSpaceDE w:val="0"/>
        <w:autoSpaceDN w:val="0"/>
        <w:bidi w:val="0"/>
        <w:adjustRightInd w:val="0"/>
        <w:snapToGrid w:val="0"/>
        <w:spacing w:before="25" w:line="360" w:lineRule="auto"/>
        <w:ind w:left="1" w:firstLine="418"/>
        <w:textAlignment w:val="baseline"/>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4.投标人应基于诚信原则如实响应，如明知不符合调减标准</w:t>
      </w:r>
      <w:r>
        <w:rPr>
          <w:rFonts w:ascii="宋体" w:hAnsi="宋体" w:eastAsia="宋体" w:cs="宋体"/>
          <w:color w:val="auto"/>
          <w:spacing w:val="-4"/>
          <w:sz w:val="21"/>
          <w:szCs w:val="21"/>
          <w:highlight w:val="none"/>
        </w:rPr>
        <w:t>而调减或者明知应当调增而不调增，</w:t>
      </w:r>
      <w:r>
        <w:rPr>
          <w:rFonts w:ascii="宋体" w:hAnsi="宋体" w:eastAsia="宋体" w:cs="宋体"/>
          <w:color w:val="auto"/>
          <w:spacing w:val="-1"/>
          <w:sz w:val="21"/>
          <w:szCs w:val="21"/>
          <w:highlight w:val="none"/>
        </w:rPr>
        <w:t>均视为弄虚作假，将按照附件《投标人诚信承诺书》规定的原则进行处理。</w:t>
      </w:r>
    </w:p>
    <w:p w14:paraId="0706DC9C">
      <w:pPr>
        <w:spacing w:before="59" w:line="219" w:lineRule="auto"/>
        <w:ind w:left="27"/>
        <w:rPr>
          <w:rFonts w:ascii="宋体" w:hAnsi="宋体" w:eastAsia="宋体" w:cs="宋体"/>
          <w:b/>
          <w:bCs/>
          <w:color w:val="auto"/>
          <w:spacing w:val="-26"/>
          <w:sz w:val="30"/>
          <w:szCs w:val="30"/>
          <w:highlight w:val="none"/>
        </w:rPr>
      </w:pPr>
    </w:p>
    <w:p w14:paraId="09DCE887">
      <w:pPr>
        <w:spacing w:before="59" w:line="219" w:lineRule="auto"/>
        <w:ind w:left="27"/>
        <w:rPr>
          <w:rFonts w:ascii="宋体" w:hAnsi="宋体" w:eastAsia="宋体" w:cs="宋体"/>
          <w:b/>
          <w:bCs/>
          <w:color w:val="auto"/>
          <w:spacing w:val="-26"/>
          <w:sz w:val="30"/>
          <w:szCs w:val="30"/>
          <w:highlight w:val="none"/>
        </w:rPr>
      </w:pPr>
    </w:p>
    <w:p w14:paraId="5DDD65DD">
      <w:pPr>
        <w:spacing w:before="59" w:line="219" w:lineRule="auto"/>
        <w:ind w:left="27"/>
        <w:rPr>
          <w:rFonts w:ascii="宋体" w:hAnsi="宋体" w:eastAsia="宋体" w:cs="宋体"/>
          <w:b/>
          <w:bCs/>
          <w:color w:val="auto"/>
          <w:spacing w:val="-26"/>
          <w:sz w:val="30"/>
          <w:szCs w:val="30"/>
          <w:highlight w:val="none"/>
        </w:rPr>
      </w:pPr>
    </w:p>
    <w:p w14:paraId="1772FEDE">
      <w:pPr>
        <w:spacing w:before="59" w:line="219" w:lineRule="auto"/>
        <w:ind w:left="27"/>
        <w:rPr>
          <w:rFonts w:ascii="宋体" w:hAnsi="宋体" w:eastAsia="宋体" w:cs="宋体"/>
          <w:b/>
          <w:bCs/>
          <w:color w:val="auto"/>
          <w:spacing w:val="-26"/>
          <w:sz w:val="30"/>
          <w:szCs w:val="30"/>
          <w:highlight w:val="none"/>
        </w:rPr>
      </w:pPr>
    </w:p>
    <w:p w14:paraId="3771A13E">
      <w:pPr>
        <w:spacing w:before="59" w:line="219" w:lineRule="auto"/>
        <w:ind w:left="27"/>
        <w:rPr>
          <w:rFonts w:ascii="宋体" w:hAnsi="宋体" w:eastAsia="宋体" w:cs="宋体"/>
          <w:b/>
          <w:bCs/>
          <w:color w:val="auto"/>
          <w:spacing w:val="-26"/>
          <w:sz w:val="30"/>
          <w:szCs w:val="30"/>
          <w:highlight w:val="none"/>
        </w:rPr>
      </w:pPr>
    </w:p>
    <w:p w14:paraId="6608FEB8">
      <w:pPr>
        <w:spacing w:before="59" w:line="219" w:lineRule="auto"/>
        <w:ind w:left="27"/>
        <w:rPr>
          <w:rFonts w:ascii="宋体" w:hAnsi="宋体" w:eastAsia="宋体" w:cs="宋体"/>
          <w:b/>
          <w:bCs/>
          <w:color w:val="auto"/>
          <w:spacing w:val="-26"/>
          <w:sz w:val="30"/>
          <w:szCs w:val="30"/>
          <w:highlight w:val="none"/>
        </w:rPr>
      </w:pPr>
    </w:p>
    <w:p w14:paraId="3099CB1F">
      <w:pPr>
        <w:spacing w:before="59" w:line="219" w:lineRule="auto"/>
        <w:ind w:left="27"/>
        <w:rPr>
          <w:rFonts w:ascii="宋体" w:hAnsi="宋体" w:eastAsia="宋体" w:cs="宋体"/>
          <w:b/>
          <w:bCs/>
          <w:color w:val="auto"/>
          <w:spacing w:val="-26"/>
          <w:sz w:val="30"/>
          <w:szCs w:val="30"/>
          <w:highlight w:val="none"/>
        </w:rPr>
      </w:pPr>
    </w:p>
    <w:p w14:paraId="671AD6CF">
      <w:pPr>
        <w:spacing w:before="59" w:line="219" w:lineRule="auto"/>
        <w:rPr>
          <w:rFonts w:ascii="宋体" w:hAnsi="宋体" w:eastAsia="宋体" w:cs="宋体"/>
          <w:color w:val="auto"/>
          <w:sz w:val="30"/>
          <w:szCs w:val="30"/>
          <w:highlight w:val="none"/>
        </w:rPr>
      </w:pPr>
      <w:r>
        <w:rPr>
          <w:rFonts w:ascii="宋体" w:hAnsi="宋体" w:eastAsia="宋体" w:cs="宋体"/>
          <w:b/>
          <w:bCs/>
          <w:color w:val="auto"/>
          <w:spacing w:val="-26"/>
          <w:sz w:val="30"/>
          <w:szCs w:val="30"/>
          <w:highlight w:val="none"/>
        </w:rPr>
        <w:t>附件：</w:t>
      </w:r>
    </w:p>
    <w:p w14:paraId="5F9F20FA">
      <w:pPr>
        <w:spacing w:before="215" w:line="220" w:lineRule="auto"/>
        <w:ind w:left="3695"/>
        <w:rPr>
          <w:rFonts w:ascii="Arial"/>
          <w:color w:val="auto"/>
          <w:sz w:val="21"/>
          <w:highlight w:val="none"/>
        </w:rPr>
      </w:pPr>
      <w:r>
        <w:rPr>
          <w:rFonts w:ascii="宋体" w:hAnsi="宋体" w:eastAsia="宋体" w:cs="宋体"/>
          <w:b/>
          <w:bCs/>
          <w:color w:val="auto"/>
          <w:spacing w:val="-3"/>
          <w:sz w:val="21"/>
          <w:szCs w:val="21"/>
          <w:highlight w:val="none"/>
        </w:rPr>
        <w:t>投标人诚信承诺书</w:t>
      </w:r>
    </w:p>
    <w:p w14:paraId="1BEE49C5">
      <w:pPr>
        <w:spacing w:line="248" w:lineRule="auto"/>
        <w:rPr>
          <w:rFonts w:ascii="Arial"/>
          <w:color w:val="auto"/>
          <w:sz w:val="21"/>
          <w:highlight w:val="none"/>
        </w:rPr>
      </w:pPr>
    </w:p>
    <w:p w14:paraId="7A72144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highlight w:val="none"/>
        </w:rPr>
      </w:pPr>
      <w:r>
        <w:rPr>
          <w:color w:val="auto"/>
          <w:highlight w:val="none"/>
        </w:rPr>
        <w:t>致：</w:t>
      </w:r>
      <w:r>
        <w:rPr>
          <w:color w:val="auto"/>
          <w:highlight w:val="none"/>
          <w:u w:val="single"/>
        </w:rPr>
        <w:t xml:space="preserve">    （招标人名称）    </w:t>
      </w:r>
      <w:r>
        <w:rPr>
          <w:color w:val="auto"/>
          <w:highlight w:val="none"/>
        </w:rPr>
        <w:t xml:space="preserve">  </w:t>
      </w:r>
    </w:p>
    <w:p w14:paraId="2119F1B4">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default" w:eastAsia="宋体"/>
          <w:color w:val="auto"/>
          <w:highlight w:val="none"/>
          <w:u w:val="single"/>
          <w:lang w:val="en-US" w:eastAsia="zh-CN"/>
        </w:rPr>
      </w:pPr>
      <w:r>
        <w:rPr>
          <w:rFonts w:hint="eastAsia" w:eastAsia="宋体"/>
          <w:color w:val="auto"/>
          <w:highlight w:val="none"/>
          <w:u w:val="single"/>
          <w:lang w:val="en-US" w:eastAsia="zh-CN"/>
        </w:rPr>
        <w:t xml:space="preserve">      </w:t>
      </w:r>
      <w:r>
        <w:rPr>
          <w:color w:val="auto"/>
          <w:highlight w:val="none"/>
          <w:u w:val="single"/>
        </w:rPr>
        <w:t>招标投标行政监督部门</w:t>
      </w:r>
      <w:r>
        <w:rPr>
          <w:rFonts w:hint="eastAsia" w:eastAsia="宋体"/>
          <w:color w:val="auto"/>
          <w:highlight w:val="none"/>
          <w:u w:val="single"/>
          <w:lang w:val="en-US" w:eastAsia="zh-CN"/>
        </w:rPr>
        <w:t xml:space="preserve">     </w:t>
      </w:r>
    </w:p>
    <w:p w14:paraId="4F932D81">
      <w:pPr>
        <w:keepNext w:val="0"/>
        <w:keepLines w:val="0"/>
        <w:pageBreakBefore w:val="0"/>
        <w:widowControl/>
        <w:kinsoku w:val="0"/>
        <w:wordWrap/>
        <w:overflowPunct/>
        <w:topLinePunct w:val="0"/>
        <w:autoSpaceDE w:val="0"/>
        <w:autoSpaceDN w:val="0"/>
        <w:bidi w:val="0"/>
        <w:adjustRightInd w:val="0"/>
        <w:snapToGrid w:val="0"/>
        <w:spacing w:before="28" w:line="360" w:lineRule="auto"/>
        <w:ind w:left="422"/>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我单位参加本次投标，郑重承诺如下：</w:t>
      </w:r>
    </w:p>
    <w:p w14:paraId="1173D275">
      <w:pPr>
        <w:keepNext w:val="0"/>
        <w:keepLines w:val="0"/>
        <w:pageBreakBefore w:val="0"/>
        <w:widowControl/>
        <w:kinsoku w:val="0"/>
        <w:wordWrap/>
        <w:overflowPunct/>
        <w:topLinePunct w:val="0"/>
        <w:autoSpaceDE w:val="0"/>
        <w:autoSpaceDN w:val="0"/>
        <w:bidi w:val="0"/>
        <w:adjustRightInd w:val="0"/>
        <w:snapToGrid w:val="0"/>
        <w:spacing w:before="157" w:line="360" w:lineRule="auto"/>
        <w:ind w:left="9" w:right="74" w:firstLine="426"/>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 投标提供的所有资料真实有效。如被发现提供虚假资料，同意取消投标、中标或中标候选人</w:t>
      </w:r>
      <w:r>
        <w:rPr>
          <w:rFonts w:ascii="宋体" w:hAnsi="宋体" w:eastAsia="宋体" w:cs="宋体"/>
          <w:color w:val="auto"/>
          <w:spacing w:val="-10"/>
          <w:sz w:val="21"/>
          <w:szCs w:val="21"/>
          <w:highlight w:val="none"/>
        </w:rPr>
        <w:t>资格。</w:t>
      </w:r>
    </w:p>
    <w:p w14:paraId="0E427B09">
      <w:pPr>
        <w:keepNext w:val="0"/>
        <w:keepLines w:val="0"/>
        <w:pageBreakBefore w:val="0"/>
        <w:widowControl/>
        <w:kinsoku w:val="0"/>
        <w:wordWrap/>
        <w:overflowPunct/>
        <w:topLinePunct w:val="0"/>
        <w:autoSpaceDE w:val="0"/>
        <w:autoSpaceDN w:val="0"/>
        <w:bidi w:val="0"/>
        <w:adjustRightInd w:val="0"/>
        <w:snapToGrid w:val="0"/>
        <w:spacing w:before="159" w:line="360" w:lineRule="auto"/>
        <w:ind w:firstLine="420"/>
        <w:jc w:val="right"/>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2. 不挂靠和借用资质投标，不串通投标。如被发现，同意取消投标、中标或中标候选</w:t>
      </w:r>
    </w:p>
    <w:p w14:paraId="50B99BB9">
      <w:pPr>
        <w:keepNext w:val="0"/>
        <w:keepLines w:val="0"/>
        <w:pageBreakBefore w:val="0"/>
        <w:widowControl/>
        <w:kinsoku w:val="0"/>
        <w:wordWrap/>
        <w:overflowPunct/>
        <w:topLinePunct w:val="0"/>
        <w:autoSpaceDE w:val="0"/>
        <w:autoSpaceDN w:val="0"/>
        <w:bidi w:val="0"/>
        <w:adjustRightInd w:val="0"/>
        <w:snapToGrid w:val="0"/>
        <w:spacing w:before="159" w:line="360" w:lineRule="auto"/>
        <w:jc w:val="both"/>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人资格。</w:t>
      </w:r>
    </w:p>
    <w:p w14:paraId="421148A0">
      <w:pPr>
        <w:keepNext w:val="0"/>
        <w:keepLines w:val="0"/>
        <w:pageBreakBefore w:val="0"/>
        <w:widowControl/>
        <w:kinsoku w:val="0"/>
        <w:wordWrap/>
        <w:overflowPunct/>
        <w:topLinePunct w:val="0"/>
        <w:autoSpaceDE w:val="0"/>
        <w:autoSpaceDN w:val="0"/>
        <w:bidi w:val="0"/>
        <w:adjustRightInd w:val="0"/>
        <w:snapToGrid w:val="0"/>
        <w:spacing w:before="157" w:line="360" w:lineRule="auto"/>
        <w:ind w:right="74" w:firstLine="425"/>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3．除不可抗力（是指不能预见、不能避免并不能克服的客观情况，包括自然灾害和社会突发事</w:t>
      </w:r>
      <w:r>
        <w:rPr>
          <w:rFonts w:ascii="宋体" w:hAnsi="宋体" w:eastAsia="宋体" w:cs="宋体"/>
          <w:color w:val="auto"/>
          <w:spacing w:val="1"/>
          <w:sz w:val="21"/>
          <w:szCs w:val="21"/>
          <w:highlight w:val="none"/>
        </w:rPr>
        <w:t>件，如地震、海啸、瘟疫、水灾、骚乱、暴动、战争等）外，我方不因任何其他原</w:t>
      </w:r>
      <w:r>
        <w:rPr>
          <w:rFonts w:ascii="宋体" w:hAnsi="宋体" w:eastAsia="宋体" w:cs="宋体"/>
          <w:color w:val="auto"/>
          <w:sz w:val="21"/>
          <w:szCs w:val="21"/>
          <w:highlight w:val="none"/>
        </w:rPr>
        <w:t>因放弃中标候选</w:t>
      </w:r>
      <w:r>
        <w:rPr>
          <w:rFonts w:ascii="宋体" w:hAnsi="宋体" w:eastAsia="宋体" w:cs="宋体"/>
          <w:color w:val="auto"/>
          <w:spacing w:val="-3"/>
          <w:sz w:val="21"/>
          <w:szCs w:val="21"/>
          <w:highlight w:val="none"/>
        </w:rPr>
        <w:t>人或中标资格。</w:t>
      </w:r>
    </w:p>
    <w:p w14:paraId="0C4D1CE2">
      <w:pPr>
        <w:keepNext w:val="0"/>
        <w:keepLines w:val="0"/>
        <w:pageBreakBefore w:val="0"/>
        <w:widowControl/>
        <w:kinsoku w:val="0"/>
        <w:wordWrap/>
        <w:overflowPunct/>
        <w:topLinePunct w:val="0"/>
        <w:autoSpaceDE w:val="0"/>
        <w:autoSpaceDN w:val="0"/>
        <w:bidi w:val="0"/>
        <w:adjustRightInd w:val="0"/>
        <w:snapToGrid w:val="0"/>
        <w:spacing w:before="158" w:line="360" w:lineRule="auto"/>
        <w:ind w:left="1" w:firstLine="418"/>
        <w:textAlignment w:val="baseline"/>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4．我方同意将达不到投标人资格要求条件仍参与投标或被行政主管部门、监督管理部门等暂停、</w:t>
      </w:r>
      <w:r>
        <w:rPr>
          <w:rFonts w:ascii="宋体" w:hAnsi="宋体" w:eastAsia="宋体" w:cs="宋体"/>
          <w:color w:val="auto"/>
          <w:spacing w:val="1"/>
          <w:sz w:val="21"/>
          <w:szCs w:val="21"/>
          <w:highlight w:val="none"/>
        </w:rPr>
        <w:t>取消公共资源交易资格且在限制期内仍参与投标的情形视为弄虚作假，同意取</w:t>
      </w:r>
      <w:r>
        <w:rPr>
          <w:rFonts w:ascii="宋体" w:hAnsi="宋体" w:eastAsia="宋体" w:cs="宋体"/>
          <w:color w:val="auto"/>
          <w:sz w:val="21"/>
          <w:szCs w:val="21"/>
          <w:highlight w:val="none"/>
        </w:rPr>
        <w:t xml:space="preserve">消投标、中标或中标 </w:t>
      </w:r>
      <w:r>
        <w:rPr>
          <w:rFonts w:ascii="宋体" w:hAnsi="宋体" w:eastAsia="宋体" w:cs="宋体"/>
          <w:color w:val="auto"/>
          <w:spacing w:val="-1"/>
          <w:sz w:val="21"/>
          <w:szCs w:val="21"/>
          <w:highlight w:val="none"/>
        </w:rPr>
        <w:t>候选人资格。</w:t>
      </w:r>
    </w:p>
    <w:p w14:paraId="7A4C0F0D">
      <w:pPr>
        <w:keepNext w:val="0"/>
        <w:keepLines w:val="0"/>
        <w:pageBreakBefore w:val="0"/>
        <w:widowControl/>
        <w:kinsoku w:val="0"/>
        <w:wordWrap/>
        <w:overflowPunct/>
        <w:topLinePunct w:val="0"/>
        <w:autoSpaceDE w:val="0"/>
        <w:autoSpaceDN w:val="0"/>
        <w:bidi w:val="0"/>
        <w:adjustRightInd w:val="0"/>
        <w:snapToGrid w:val="0"/>
        <w:spacing w:before="156" w:line="360" w:lineRule="auto"/>
        <w:ind w:left="9" w:right="74" w:firstLine="415"/>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5．我方投标拟派的项目经理在参与本项目投标时，未在其他建设工程项目上担任施工单位项目</w:t>
      </w:r>
      <w:r>
        <w:rPr>
          <w:rFonts w:ascii="宋体" w:hAnsi="宋体" w:eastAsia="宋体" w:cs="宋体"/>
          <w:color w:val="auto"/>
          <w:spacing w:val="1"/>
          <w:sz w:val="21"/>
          <w:szCs w:val="21"/>
          <w:highlight w:val="none"/>
        </w:rPr>
        <w:t>负责人或虽在其他项目上任职但本项目中标后能够从该项目撤</w:t>
      </w:r>
      <w:r>
        <w:rPr>
          <w:rFonts w:ascii="宋体" w:hAnsi="宋体" w:eastAsia="宋体" w:cs="宋体"/>
          <w:color w:val="auto"/>
          <w:sz w:val="21"/>
          <w:szCs w:val="21"/>
          <w:highlight w:val="none"/>
        </w:rPr>
        <w:t>离，否则同意取消中标或中标候选人</w:t>
      </w:r>
      <w:r>
        <w:rPr>
          <w:rFonts w:ascii="宋体" w:hAnsi="宋体" w:eastAsia="宋体" w:cs="宋体"/>
          <w:color w:val="auto"/>
          <w:spacing w:val="-10"/>
          <w:sz w:val="21"/>
          <w:szCs w:val="21"/>
          <w:highlight w:val="none"/>
        </w:rPr>
        <w:t>资格。</w:t>
      </w:r>
    </w:p>
    <w:p w14:paraId="3D13C89D">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22"/>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6．我方中标后，严格按照招标文件和我单位投标文件的约定签订合同。</w:t>
      </w:r>
    </w:p>
    <w:p w14:paraId="331E2A89">
      <w:pPr>
        <w:keepNext w:val="0"/>
        <w:keepLines w:val="0"/>
        <w:pageBreakBefore w:val="0"/>
        <w:widowControl/>
        <w:kinsoku w:val="0"/>
        <w:wordWrap/>
        <w:overflowPunct/>
        <w:topLinePunct w:val="0"/>
        <w:autoSpaceDE w:val="0"/>
        <w:autoSpaceDN w:val="0"/>
        <w:bidi w:val="0"/>
        <w:adjustRightInd w:val="0"/>
        <w:snapToGrid w:val="0"/>
        <w:spacing w:before="158" w:line="360" w:lineRule="auto"/>
        <w:ind w:right="77" w:firstLine="425"/>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7．我方作为投诉人投诉时，投诉书上的法定代表人签字与我单</w:t>
      </w:r>
      <w:r>
        <w:rPr>
          <w:rFonts w:ascii="宋体" w:hAnsi="宋体" w:eastAsia="宋体" w:cs="宋体"/>
          <w:color w:val="auto"/>
          <w:sz w:val="21"/>
          <w:szCs w:val="21"/>
          <w:highlight w:val="none"/>
        </w:rPr>
        <w:t>位数字证书（CA 锁）内的法定</w:t>
      </w:r>
      <w:r>
        <w:rPr>
          <w:rFonts w:ascii="宋体" w:hAnsi="宋体" w:eastAsia="宋体" w:cs="宋体"/>
          <w:color w:val="auto"/>
          <w:spacing w:val="-3"/>
          <w:sz w:val="21"/>
          <w:szCs w:val="21"/>
          <w:highlight w:val="none"/>
        </w:rPr>
        <w:t>代表人签字、投标文件中的法定代表人签字一致（系同一人所签）。否则视为</w:t>
      </w:r>
      <w:r>
        <w:rPr>
          <w:rFonts w:ascii="宋体" w:hAnsi="宋体" w:eastAsia="宋体" w:cs="宋体"/>
          <w:color w:val="auto"/>
          <w:spacing w:val="-4"/>
          <w:sz w:val="21"/>
          <w:szCs w:val="21"/>
          <w:highlight w:val="none"/>
        </w:rPr>
        <w:t>弄虚作假。</w:t>
      </w:r>
    </w:p>
    <w:p w14:paraId="3BBCB0AE">
      <w:pPr>
        <w:keepNext w:val="0"/>
        <w:keepLines w:val="0"/>
        <w:pageBreakBefore w:val="0"/>
        <w:widowControl/>
        <w:kinsoku w:val="0"/>
        <w:wordWrap/>
        <w:overflowPunct/>
        <w:topLinePunct w:val="0"/>
        <w:autoSpaceDE w:val="0"/>
        <w:autoSpaceDN w:val="0"/>
        <w:bidi w:val="0"/>
        <w:adjustRightInd w:val="0"/>
        <w:snapToGrid w:val="0"/>
        <w:spacing w:before="158" w:line="360" w:lineRule="auto"/>
        <w:ind w:left="1" w:right="74" w:firstLine="420"/>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8．如监管机构或其他利害关系人认为法定代表人的签字不是同一人所签或对签字有疑议时，我</w:t>
      </w:r>
      <w:r>
        <w:rPr>
          <w:rFonts w:ascii="宋体" w:hAnsi="宋体" w:eastAsia="宋体" w:cs="宋体"/>
          <w:color w:val="auto"/>
          <w:spacing w:val="1"/>
          <w:sz w:val="21"/>
          <w:szCs w:val="21"/>
          <w:highlight w:val="none"/>
        </w:rPr>
        <w:t>方同意在被告知后的五个工作日内让双方协商</w:t>
      </w:r>
      <w:r>
        <w:rPr>
          <w:rFonts w:ascii="宋体" w:hAnsi="宋体" w:eastAsia="宋体" w:cs="宋体"/>
          <w:color w:val="auto"/>
          <w:sz w:val="21"/>
          <w:szCs w:val="21"/>
          <w:highlight w:val="none"/>
        </w:rPr>
        <w:t>确认并经监管部门同意的地点（或在监管机构见证下 与被投诉人约定的鉴定机构）进行字迹辨认和鉴定，否则视为弄</w:t>
      </w:r>
      <w:r>
        <w:rPr>
          <w:rFonts w:ascii="宋体" w:hAnsi="宋体" w:eastAsia="宋体" w:cs="宋体"/>
          <w:color w:val="auto"/>
          <w:spacing w:val="-1"/>
          <w:sz w:val="21"/>
          <w:szCs w:val="21"/>
          <w:highlight w:val="none"/>
        </w:rPr>
        <w:t>虚作假。</w:t>
      </w:r>
    </w:p>
    <w:p w14:paraId="2F4E7295">
      <w:pPr>
        <w:keepNext w:val="0"/>
        <w:keepLines w:val="0"/>
        <w:pageBreakBefore w:val="0"/>
        <w:widowControl/>
        <w:kinsoku w:val="0"/>
        <w:wordWrap/>
        <w:overflowPunct/>
        <w:topLinePunct w:val="0"/>
        <w:autoSpaceDE w:val="0"/>
        <w:autoSpaceDN w:val="0"/>
        <w:bidi w:val="0"/>
        <w:adjustRightInd w:val="0"/>
        <w:snapToGrid w:val="0"/>
        <w:spacing w:before="159" w:line="360" w:lineRule="auto"/>
        <w:ind w:right="87" w:firstLine="438"/>
        <w:textAlignment w:val="baseline"/>
        <w:rPr>
          <w:rFonts w:hint="eastAsia" w:ascii="宋体" w:hAnsi="宋体" w:eastAsia="宋体" w:cs="宋体"/>
          <w:color w:val="auto"/>
          <w:sz w:val="21"/>
          <w:szCs w:val="21"/>
          <w:highlight w:val="none"/>
          <w:lang w:val="en-US" w:eastAsia="zh-CN"/>
        </w:rPr>
      </w:pPr>
      <w:r>
        <w:rPr>
          <w:rFonts w:ascii="宋体" w:hAnsi="宋体" w:eastAsia="宋体" w:cs="宋体"/>
          <w:color w:val="auto"/>
          <w:sz w:val="21"/>
          <w:szCs w:val="21"/>
          <w:highlight w:val="none"/>
        </w:rPr>
        <w:t>出现违反上述承诺情形之一的，我单位同意投标保证金不予退还。被处理后，我单位愿意公开披露我单位违反承诺的不良行为信息，愿意接受</w:t>
      </w:r>
      <w:r>
        <w:rPr>
          <w:rFonts w:ascii="宋体" w:hAnsi="宋体" w:eastAsia="宋体" w:cs="宋体"/>
          <w:color w:val="auto"/>
          <w:spacing w:val="-1"/>
          <w:sz w:val="21"/>
          <w:szCs w:val="21"/>
          <w:highlight w:val="none"/>
        </w:rPr>
        <w:t>处罚并承担所有经济损失和法律责任</w:t>
      </w:r>
      <w:r>
        <w:rPr>
          <w:rFonts w:hint="eastAsia" w:ascii="宋体" w:hAnsi="宋体" w:eastAsia="宋体" w:cs="宋体"/>
          <w:color w:val="auto"/>
          <w:spacing w:val="-1"/>
          <w:sz w:val="21"/>
          <w:szCs w:val="21"/>
          <w:highlight w:val="none"/>
          <w:lang w:eastAsia="zh-CN"/>
        </w:rPr>
        <w:t>。</w:t>
      </w:r>
    </w:p>
    <w:p w14:paraId="6FB398C7">
      <w:pPr>
        <w:keepNext w:val="0"/>
        <w:keepLines w:val="0"/>
        <w:pageBreakBefore w:val="0"/>
        <w:widowControl/>
        <w:kinsoku w:val="0"/>
        <w:wordWrap/>
        <w:overflowPunct/>
        <w:topLinePunct w:val="0"/>
        <w:autoSpaceDE w:val="0"/>
        <w:autoSpaceDN w:val="0"/>
        <w:bidi w:val="0"/>
        <w:adjustRightInd w:val="0"/>
        <w:snapToGrid w:val="0"/>
        <w:spacing w:before="31" w:line="360" w:lineRule="auto"/>
        <w:ind w:left="1" w:right="75" w:firstLine="423"/>
        <w:jc w:val="both"/>
        <w:textAlignment w:val="baseline"/>
        <w:rPr>
          <w:rFonts w:ascii="宋体" w:hAnsi="宋体" w:eastAsia="宋体" w:cs="宋体"/>
          <w:color w:val="auto"/>
          <w:sz w:val="21"/>
          <w:szCs w:val="21"/>
          <w:highlight w:val="none"/>
        </w:rPr>
      </w:pPr>
      <w:r>
        <w:rPr>
          <w:rFonts w:ascii="宋体" w:hAnsi="宋体" w:eastAsia="宋体" w:cs="宋体"/>
          <w:b/>
          <w:bCs/>
          <w:color w:val="auto"/>
          <w:spacing w:val="-7"/>
          <w:sz w:val="21"/>
          <w:szCs w:val="21"/>
          <w:highlight w:val="none"/>
        </w:rPr>
        <w:t>我方在中标后的履约过程中除不可抗力外，我单位绝不放弃（拒绝）履约，否则同意招</w:t>
      </w:r>
      <w:r>
        <w:rPr>
          <w:rFonts w:ascii="宋体" w:hAnsi="宋体" w:eastAsia="宋体" w:cs="宋体"/>
          <w:b/>
          <w:bCs/>
          <w:color w:val="auto"/>
          <w:spacing w:val="-8"/>
          <w:sz w:val="21"/>
          <w:szCs w:val="21"/>
          <w:highlight w:val="none"/>
        </w:rPr>
        <w:t>标人（甲</w:t>
      </w:r>
      <w:r>
        <w:rPr>
          <w:rFonts w:ascii="宋体" w:hAnsi="宋体" w:eastAsia="宋体" w:cs="宋体"/>
          <w:color w:val="auto"/>
          <w:sz w:val="21"/>
          <w:szCs w:val="21"/>
          <w:highlight w:val="none"/>
        </w:rPr>
        <w:t xml:space="preserve">  </w:t>
      </w:r>
      <w:r>
        <w:rPr>
          <w:rFonts w:ascii="宋体" w:hAnsi="宋体" w:eastAsia="宋体" w:cs="宋体"/>
          <w:b/>
          <w:bCs/>
          <w:color w:val="auto"/>
          <w:spacing w:val="-1"/>
          <w:sz w:val="21"/>
          <w:szCs w:val="21"/>
          <w:highlight w:val="none"/>
        </w:rPr>
        <w:t>方）给予我单位履约保证金不予退还的处理。处理期间，</w:t>
      </w:r>
      <w:r>
        <w:rPr>
          <w:rFonts w:ascii="宋体" w:hAnsi="宋体" w:eastAsia="宋体" w:cs="宋体"/>
          <w:b/>
          <w:bCs/>
          <w:color w:val="auto"/>
          <w:spacing w:val="-2"/>
          <w:sz w:val="21"/>
          <w:szCs w:val="21"/>
          <w:highlight w:val="none"/>
        </w:rPr>
        <w:t>我单位（乙方）不以任何理由向招标人提</w:t>
      </w:r>
      <w:r>
        <w:rPr>
          <w:rFonts w:ascii="宋体" w:hAnsi="宋体" w:eastAsia="宋体" w:cs="宋体"/>
          <w:color w:val="auto"/>
          <w:sz w:val="21"/>
          <w:szCs w:val="21"/>
          <w:highlight w:val="none"/>
        </w:rPr>
        <w:t xml:space="preserve"> </w:t>
      </w:r>
      <w:r>
        <w:rPr>
          <w:rFonts w:ascii="宋体" w:hAnsi="宋体" w:eastAsia="宋体" w:cs="宋体"/>
          <w:b/>
          <w:bCs/>
          <w:color w:val="auto"/>
          <w:spacing w:val="-3"/>
          <w:sz w:val="21"/>
          <w:szCs w:val="21"/>
          <w:highlight w:val="none"/>
        </w:rPr>
        <w:t>出退还履约保证金的要求。</w:t>
      </w:r>
    </w:p>
    <w:p w14:paraId="6D3FAA23">
      <w:pPr>
        <w:keepNext w:val="0"/>
        <w:keepLines w:val="0"/>
        <w:pageBreakBefore w:val="0"/>
        <w:widowControl/>
        <w:kinsoku w:val="0"/>
        <w:wordWrap/>
        <w:overflowPunct/>
        <w:topLinePunct w:val="0"/>
        <w:autoSpaceDE w:val="0"/>
        <w:autoSpaceDN w:val="0"/>
        <w:bidi w:val="0"/>
        <w:adjustRightInd w:val="0"/>
        <w:snapToGrid w:val="0"/>
        <w:spacing w:before="28" w:line="360" w:lineRule="auto"/>
        <w:ind w:left="527"/>
        <w:textAlignment w:val="baseline"/>
        <w:rPr>
          <w:rFonts w:ascii="Arial"/>
          <w:color w:val="auto"/>
          <w:sz w:val="21"/>
          <w:highlight w:val="none"/>
        </w:rPr>
      </w:pPr>
      <w:r>
        <w:rPr>
          <w:rFonts w:ascii="宋体" w:hAnsi="宋体" w:eastAsia="宋体" w:cs="宋体"/>
          <w:b/>
          <w:bCs/>
          <w:color w:val="auto"/>
          <w:spacing w:val="-4"/>
          <w:sz w:val="21"/>
          <w:szCs w:val="21"/>
          <w:highlight w:val="none"/>
        </w:rPr>
        <w:t>此承诺不受投标有效期的限制。</w:t>
      </w:r>
    </w:p>
    <w:p w14:paraId="2262142D">
      <w:pPr>
        <w:keepNext w:val="0"/>
        <w:keepLines w:val="0"/>
        <w:pageBreakBefore w:val="0"/>
        <w:widowControl/>
        <w:kinsoku w:val="0"/>
        <w:wordWrap/>
        <w:overflowPunct/>
        <w:topLinePunct w:val="0"/>
        <w:autoSpaceDE w:val="0"/>
        <w:autoSpaceDN w:val="0"/>
        <w:bidi w:val="0"/>
        <w:adjustRightInd w:val="0"/>
        <w:snapToGrid w:val="0"/>
        <w:spacing w:before="42" w:line="360" w:lineRule="auto"/>
        <w:jc w:val="right"/>
        <w:textAlignment w:val="baseline"/>
        <w:rPr>
          <w:rFonts w:hint="eastAsia" w:ascii="宋体" w:hAnsi="宋体" w:eastAsia="宋体" w:cs="宋体"/>
          <w:color w:val="auto"/>
          <w:spacing w:val="-2"/>
          <w:sz w:val="21"/>
          <w:szCs w:val="21"/>
          <w:highlight w:val="none"/>
          <w:lang w:val="en-US" w:eastAsia="zh-CN"/>
        </w:rPr>
      </w:pPr>
      <w:r>
        <w:rPr>
          <w:rFonts w:ascii="宋体" w:hAnsi="宋体" w:eastAsia="宋体" w:cs="宋体"/>
          <w:color w:val="auto"/>
          <w:spacing w:val="-3"/>
          <w:sz w:val="21"/>
          <w:szCs w:val="21"/>
          <w:highlight w:val="none"/>
        </w:rPr>
        <w:t>投标人</w:t>
      </w:r>
      <w:r>
        <w:rPr>
          <w:rFonts w:ascii="宋体" w:hAnsi="宋体" w:eastAsia="宋体" w:cs="宋体"/>
          <w:color w:val="auto"/>
          <w:sz w:val="21"/>
          <w:szCs w:val="21"/>
          <w:highlight w:val="none"/>
        </w:rPr>
        <w:t>：</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z w:val="21"/>
          <w:szCs w:val="21"/>
          <w:highlight w:val="none"/>
        </w:rPr>
        <w:t>（</w:t>
      </w:r>
      <w:r>
        <w:rPr>
          <w:rFonts w:ascii="宋体" w:hAnsi="宋体" w:eastAsia="宋体" w:cs="宋体"/>
          <w:color w:val="auto"/>
          <w:spacing w:val="-3"/>
          <w:sz w:val="21"/>
          <w:szCs w:val="21"/>
          <w:highlight w:val="none"/>
        </w:rPr>
        <w:t>盖单位章）</w:t>
      </w:r>
      <w:r>
        <w:rPr>
          <w:rFonts w:hint="eastAsia" w:ascii="宋体" w:hAnsi="宋体" w:eastAsia="宋体" w:cs="宋体"/>
          <w:color w:val="auto"/>
          <w:spacing w:val="-2"/>
          <w:sz w:val="21"/>
          <w:szCs w:val="21"/>
          <w:highlight w:val="none"/>
          <w:lang w:val="en-US" w:eastAsia="zh-CN"/>
        </w:rPr>
        <w:t xml:space="preserve">            </w:t>
      </w:r>
    </w:p>
    <w:p w14:paraId="4E6DCDDD">
      <w:pPr>
        <w:keepNext w:val="0"/>
        <w:keepLines w:val="0"/>
        <w:pageBreakBefore w:val="0"/>
        <w:widowControl/>
        <w:kinsoku w:val="0"/>
        <w:wordWrap/>
        <w:overflowPunct/>
        <w:topLinePunct w:val="0"/>
        <w:autoSpaceDE w:val="0"/>
        <w:autoSpaceDN w:val="0"/>
        <w:bidi w:val="0"/>
        <w:adjustRightInd w:val="0"/>
        <w:snapToGrid w:val="0"/>
        <w:spacing w:before="42" w:line="360" w:lineRule="auto"/>
        <w:jc w:val="center"/>
        <w:textAlignment w:val="baseline"/>
        <w:rPr>
          <w:rFonts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lang w:val="en-US" w:eastAsia="zh-CN"/>
        </w:rPr>
        <w:t xml:space="preserve">            </w:t>
      </w:r>
      <w:r>
        <w:rPr>
          <w:rFonts w:ascii="宋体" w:hAnsi="宋体" w:eastAsia="宋体" w:cs="宋体"/>
          <w:color w:val="auto"/>
          <w:spacing w:val="-2"/>
          <w:sz w:val="21"/>
          <w:szCs w:val="21"/>
          <w:highlight w:val="none"/>
        </w:rPr>
        <w:t>统一社会信用代码：</w:t>
      </w:r>
      <w:r>
        <w:rPr>
          <w:rFonts w:ascii="宋体" w:hAnsi="宋体" w:eastAsia="宋体" w:cs="宋体"/>
          <w:color w:val="auto"/>
          <w:sz w:val="21"/>
          <w:szCs w:val="21"/>
          <w:highlight w:val="none"/>
          <w:u w:val="single" w:color="auto"/>
        </w:rPr>
        <w:t xml:space="preserve">                   </w:t>
      </w:r>
    </w:p>
    <w:p w14:paraId="2EDAE410">
      <w:pPr>
        <w:keepNext w:val="0"/>
        <w:keepLines w:val="0"/>
        <w:pageBreakBefore w:val="0"/>
        <w:widowControl/>
        <w:kinsoku w:val="0"/>
        <w:wordWrap/>
        <w:overflowPunct/>
        <w:topLinePunct w:val="0"/>
        <w:autoSpaceDE w:val="0"/>
        <w:autoSpaceDN w:val="0"/>
        <w:bidi w:val="0"/>
        <w:adjustRightInd w:val="0"/>
        <w:snapToGrid w:val="0"/>
        <w:spacing w:before="42" w:line="360" w:lineRule="auto"/>
        <w:jc w:val="right"/>
        <w:textAlignment w:val="baseline"/>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 xml:space="preserve">     </w:t>
      </w: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1"/>
          <w:sz w:val="21"/>
          <w:szCs w:val="21"/>
          <w:highlight w:val="none"/>
          <w:u w:val="single" w:color="auto"/>
        </w:rPr>
        <w:t xml:space="preserve">         </w:t>
      </w:r>
      <w:r>
        <w:rPr>
          <w:rFonts w:ascii="宋体" w:hAnsi="宋体" w:eastAsia="宋体" w:cs="宋体"/>
          <w:color w:val="auto"/>
          <w:spacing w:val="-1"/>
          <w:sz w:val="21"/>
          <w:szCs w:val="21"/>
          <w:highlight w:val="none"/>
        </w:rPr>
        <w:t>（签字或盖章）</w:t>
      </w:r>
    </w:p>
    <w:p w14:paraId="5EE8CBED">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34"/>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105"/>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7"/>
          <w:sz w:val="21"/>
          <w:szCs w:val="21"/>
          <w:highlight w:val="none"/>
        </w:rPr>
        <w:t>日</w:t>
      </w:r>
      <w:bookmarkStart w:id="417" w:name="bookmark289"/>
      <w:bookmarkEnd w:id="417"/>
    </w:p>
    <w:p w14:paraId="08298868">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437992F7">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0C950D02">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57E0843F">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491E4DD6">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15FCCEB4">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3BEEFC3F">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3FBA64F1">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20418028">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61699BDC">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504BB34C">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63B76FF8">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577BA70E">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0D6CF104">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3240EB6C">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1430BCED">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6B738F1F">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7189F6BD">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22FA8E85">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453FA7C8">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108F597F">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textAlignment w:val="baseline"/>
        <w:rPr>
          <w:rFonts w:ascii="宋体" w:hAnsi="宋体" w:eastAsia="宋体" w:cs="宋体"/>
          <w:color w:val="auto"/>
          <w:spacing w:val="-7"/>
          <w:sz w:val="21"/>
          <w:szCs w:val="21"/>
          <w:highlight w:val="none"/>
        </w:rPr>
      </w:pPr>
    </w:p>
    <w:p w14:paraId="47F188C2">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jc w:val="center"/>
        <w:textAlignment w:val="baseline"/>
        <w:outlineLvl w:val="2"/>
        <w:rPr>
          <w:rFonts w:ascii="宋体" w:hAnsi="宋体" w:eastAsia="宋体" w:cs="宋体"/>
          <w:color w:val="auto"/>
          <w:sz w:val="31"/>
          <w:szCs w:val="31"/>
          <w:highlight w:val="none"/>
        </w:rPr>
      </w:pPr>
      <w:bookmarkStart w:id="418" w:name="_Toc953"/>
      <w:r>
        <w:rPr>
          <w:rFonts w:ascii="宋体" w:hAnsi="宋体" w:eastAsia="宋体" w:cs="宋体"/>
          <w:b/>
          <w:bCs/>
          <w:color w:val="auto"/>
          <w:spacing w:val="6"/>
          <w:sz w:val="31"/>
          <w:szCs w:val="31"/>
          <w:highlight w:val="none"/>
        </w:rPr>
        <w:t>二、法定代表人身份证明</w:t>
      </w:r>
      <w:bookmarkEnd w:id="418"/>
    </w:p>
    <w:p w14:paraId="1C4A25BB">
      <w:pPr>
        <w:spacing w:line="244" w:lineRule="auto"/>
        <w:rPr>
          <w:rFonts w:ascii="Arial"/>
          <w:color w:val="auto"/>
          <w:sz w:val="21"/>
          <w:highlight w:val="none"/>
        </w:rPr>
      </w:pPr>
    </w:p>
    <w:p w14:paraId="17749BBD">
      <w:pPr>
        <w:spacing w:line="244" w:lineRule="auto"/>
        <w:rPr>
          <w:rFonts w:ascii="Arial"/>
          <w:color w:val="auto"/>
          <w:sz w:val="21"/>
          <w:highlight w:val="none"/>
        </w:rPr>
      </w:pPr>
    </w:p>
    <w:p w14:paraId="4FC09F14">
      <w:pPr>
        <w:spacing w:before="68" w:line="354" w:lineRule="auto"/>
        <w:ind w:left="61" w:right="4198" w:firstLine="2"/>
        <w:rPr>
          <w:rFonts w:ascii="宋体" w:hAnsi="宋体" w:eastAsia="宋体" w:cs="宋体"/>
          <w:color w:val="auto"/>
          <w:sz w:val="21"/>
          <w:szCs w:val="21"/>
          <w:highlight w:val="none"/>
        </w:rPr>
      </w:pPr>
      <w:r>
        <w:rPr>
          <w:rFonts w:ascii="宋体" w:hAnsi="宋体" w:eastAsia="宋体" w:cs="宋体"/>
          <w:color w:val="auto"/>
          <w:sz w:val="21"/>
          <w:szCs w:val="21"/>
          <w:highlight w:val="none"/>
        </w:rPr>
        <w:t>投标人名称：</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rPr>
        <w:t xml:space="preserve">  单位性质：</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地址：</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5"/>
          <w:sz w:val="21"/>
          <w:szCs w:val="21"/>
          <w:highlight w:val="none"/>
        </w:rPr>
        <w:t xml:space="preserve">  </w:t>
      </w:r>
      <w:r>
        <w:rPr>
          <w:rFonts w:ascii="宋体" w:hAnsi="宋体" w:eastAsia="宋体" w:cs="宋体"/>
          <w:color w:val="auto"/>
          <w:spacing w:val="-8"/>
          <w:sz w:val="21"/>
          <w:szCs w:val="21"/>
          <w:highlight w:val="none"/>
        </w:rPr>
        <w:t xml:space="preserve">成立时间：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5"/>
          <w:sz w:val="21"/>
          <w:szCs w:val="21"/>
          <w:highlight w:val="none"/>
        </w:rPr>
        <w:t xml:space="preserve"> </w:t>
      </w:r>
      <w:r>
        <w:rPr>
          <w:rFonts w:ascii="宋体" w:hAnsi="宋体" w:eastAsia="宋体" w:cs="宋体"/>
          <w:color w:val="auto"/>
          <w:spacing w:val="-8"/>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8"/>
          <w:sz w:val="21"/>
          <w:szCs w:val="21"/>
          <w:highlight w:val="none"/>
        </w:rPr>
        <w:t>日</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经营期限：</w:t>
      </w:r>
      <w:r>
        <w:rPr>
          <w:rFonts w:ascii="宋体" w:hAnsi="宋体" w:eastAsia="宋体" w:cs="宋体"/>
          <w:color w:val="auto"/>
          <w:sz w:val="21"/>
          <w:szCs w:val="21"/>
          <w:highlight w:val="none"/>
          <w:u w:val="single" w:color="auto"/>
        </w:rPr>
        <w:t xml:space="preserve">                           </w:t>
      </w:r>
    </w:p>
    <w:p w14:paraId="3200D6DC">
      <w:pPr>
        <w:spacing w:before="29" w:line="347" w:lineRule="auto"/>
        <w:ind w:left="61"/>
        <w:rPr>
          <w:rFonts w:ascii="宋体" w:hAnsi="宋体" w:eastAsia="宋体" w:cs="宋体"/>
          <w:color w:val="auto"/>
          <w:sz w:val="21"/>
          <w:szCs w:val="21"/>
          <w:highlight w:val="none"/>
        </w:rPr>
      </w:pPr>
      <w:r>
        <w:rPr>
          <w:rFonts w:ascii="宋体" w:hAnsi="宋体" w:eastAsia="宋体" w:cs="宋体"/>
          <w:color w:val="auto"/>
          <w:sz w:val="21"/>
          <w:szCs w:val="21"/>
          <w:highlight w:val="none"/>
        </w:rPr>
        <w:t>姓名：</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 xml:space="preserve"> 性别：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z w:val="21"/>
          <w:szCs w:val="21"/>
          <w:highlight w:val="none"/>
        </w:rPr>
        <w:t>年龄：</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4"/>
          <w:sz w:val="21"/>
          <w:szCs w:val="21"/>
          <w:highlight w:val="none"/>
        </w:rPr>
        <w:t xml:space="preserve"> </w:t>
      </w:r>
      <w:r>
        <w:rPr>
          <w:rFonts w:ascii="宋体" w:hAnsi="宋体" w:eastAsia="宋体" w:cs="宋体"/>
          <w:color w:val="auto"/>
          <w:spacing w:val="-1"/>
          <w:sz w:val="21"/>
          <w:szCs w:val="21"/>
          <w:highlight w:val="none"/>
        </w:rPr>
        <w:t>身份证号码：</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rPr>
        <w:t xml:space="preserve"> 职务：</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 xml:space="preserve"> 系</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（投标人名</w:t>
      </w:r>
      <w:r>
        <w:rPr>
          <w:rFonts w:ascii="宋体" w:hAnsi="宋体" w:eastAsia="宋体" w:cs="宋体"/>
          <w:color w:val="auto"/>
          <w:spacing w:val="-1"/>
          <w:sz w:val="21"/>
          <w:szCs w:val="21"/>
          <w:highlight w:val="none"/>
        </w:rPr>
        <w:t>称）的法定代表人。</w:t>
      </w:r>
    </w:p>
    <w:p w14:paraId="2051AB24">
      <w:pPr>
        <w:spacing w:before="28" w:line="221" w:lineRule="auto"/>
        <w:ind w:left="48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特此证明。</w:t>
      </w:r>
    </w:p>
    <w:p w14:paraId="73BC0BA5">
      <w:pPr>
        <w:spacing w:before="158" w:line="220" w:lineRule="auto"/>
        <w:ind w:left="497"/>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附：法定代表人身份证扫描件。</w:t>
      </w:r>
    </w:p>
    <w:p w14:paraId="7264DA25">
      <w:pPr>
        <w:spacing w:line="248" w:lineRule="auto"/>
        <w:rPr>
          <w:rFonts w:ascii="Arial"/>
          <w:color w:val="auto"/>
          <w:sz w:val="21"/>
          <w:highlight w:val="none"/>
        </w:rPr>
      </w:pPr>
    </w:p>
    <w:p w14:paraId="2843FB7C">
      <w:pPr>
        <w:spacing w:line="248" w:lineRule="auto"/>
        <w:rPr>
          <w:rFonts w:ascii="Arial"/>
          <w:color w:val="auto"/>
          <w:sz w:val="21"/>
          <w:highlight w:val="none"/>
        </w:rPr>
      </w:pPr>
    </w:p>
    <w:p w14:paraId="36B2BC80">
      <w:pPr>
        <w:spacing w:line="248" w:lineRule="auto"/>
        <w:rPr>
          <w:rFonts w:ascii="Arial"/>
          <w:color w:val="auto"/>
          <w:sz w:val="21"/>
          <w:highlight w:val="none"/>
        </w:rPr>
      </w:pPr>
    </w:p>
    <w:p w14:paraId="14ADB698">
      <w:pPr>
        <w:spacing w:line="248" w:lineRule="auto"/>
        <w:rPr>
          <w:rFonts w:ascii="Arial"/>
          <w:color w:val="auto"/>
          <w:sz w:val="21"/>
          <w:highlight w:val="none"/>
        </w:rPr>
      </w:pPr>
    </w:p>
    <w:p w14:paraId="727CB893">
      <w:pPr>
        <w:spacing w:line="249" w:lineRule="auto"/>
        <w:rPr>
          <w:rFonts w:ascii="Arial"/>
          <w:color w:val="auto"/>
          <w:sz w:val="21"/>
          <w:highlight w:val="none"/>
        </w:rPr>
      </w:pPr>
    </w:p>
    <w:p w14:paraId="46E120D6">
      <w:pPr>
        <w:tabs>
          <w:tab w:val="left" w:pos="4111"/>
        </w:tabs>
        <w:spacing w:before="68" w:line="345" w:lineRule="auto"/>
        <w:ind w:left="3153" w:right="1272" w:hanging="46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投标人</w:t>
      </w:r>
      <w:r>
        <w:rPr>
          <w:rFonts w:ascii="宋体" w:hAnsi="宋体" w:eastAsia="宋体" w:cs="宋体"/>
          <w:color w:val="auto"/>
          <w:spacing w:val="-25"/>
          <w:sz w:val="21"/>
          <w:szCs w:val="21"/>
          <w:highlight w:val="none"/>
        </w:rPr>
        <w:t>：</w:t>
      </w:r>
      <w:r>
        <w:rPr>
          <w:rFonts w:ascii="宋体" w:hAnsi="宋体" w:eastAsia="宋体" w:cs="宋体"/>
          <w:color w:val="auto"/>
          <w:spacing w:val="2"/>
          <w:sz w:val="21"/>
          <w:szCs w:val="21"/>
          <w:highlight w:val="none"/>
        </w:rPr>
        <w:t xml:space="preserve"> </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25"/>
          <w:sz w:val="21"/>
          <w:szCs w:val="21"/>
          <w:highlight w:val="none"/>
        </w:rPr>
        <w:t>（</w:t>
      </w:r>
      <w:r>
        <w:rPr>
          <w:rFonts w:ascii="宋体" w:hAnsi="宋体" w:eastAsia="宋体" w:cs="宋体"/>
          <w:color w:val="auto"/>
          <w:spacing w:val="3"/>
          <w:sz w:val="21"/>
          <w:szCs w:val="21"/>
          <w:highlight w:val="none"/>
        </w:rPr>
        <w:t>盖单位章）</w:t>
      </w:r>
      <w:r>
        <w:rPr>
          <w:rFonts w:ascii="宋体" w:hAnsi="宋体" w:eastAsia="宋体" w:cs="宋体"/>
          <w:color w:val="auto"/>
          <w:spacing w:val="4"/>
          <w:sz w:val="21"/>
          <w:szCs w:val="21"/>
          <w:highlight w:val="none"/>
        </w:rPr>
        <w:t xml:space="preserve"> </w:t>
      </w: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1"/>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7"/>
          <w:sz w:val="21"/>
          <w:szCs w:val="21"/>
          <w:highlight w:val="none"/>
        </w:rPr>
        <w:t>日</w:t>
      </w:r>
    </w:p>
    <w:p w14:paraId="442A0D30">
      <w:pPr>
        <w:spacing w:before="64" w:line="224" w:lineRule="auto"/>
        <w:ind w:left="3519"/>
        <w:rPr>
          <w:rFonts w:ascii="宋体" w:hAnsi="宋体" w:eastAsia="宋体" w:cs="宋体"/>
          <w:b/>
          <w:bCs/>
          <w:color w:val="auto"/>
          <w:spacing w:val="5"/>
          <w:sz w:val="31"/>
          <w:szCs w:val="31"/>
          <w:highlight w:val="none"/>
        </w:rPr>
      </w:pPr>
      <w:bookmarkStart w:id="419" w:name="bookmark290"/>
      <w:bookmarkEnd w:id="419"/>
    </w:p>
    <w:p w14:paraId="254F9FB2">
      <w:pPr>
        <w:spacing w:before="64" w:line="224" w:lineRule="auto"/>
        <w:ind w:left="3519"/>
        <w:rPr>
          <w:rFonts w:ascii="宋体" w:hAnsi="宋体" w:eastAsia="宋体" w:cs="宋体"/>
          <w:b/>
          <w:bCs/>
          <w:color w:val="auto"/>
          <w:spacing w:val="5"/>
          <w:sz w:val="31"/>
          <w:szCs w:val="31"/>
          <w:highlight w:val="none"/>
        </w:rPr>
      </w:pPr>
    </w:p>
    <w:p w14:paraId="58184320">
      <w:pPr>
        <w:spacing w:before="64" w:line="224" w:lineRule="auto"/>
        <w:ind w:left="3519"/>
        <w:rPr>
          <w:rFonts w:ascii="宋体" w:hAnsi="宋体" w:eastAsia="宋体" w:cs="宋体"/>
          <w:b/>
          <w:bCs/>
          <w:color w:val="auto"/>
          <w:spacing w:val="5"/>
          <w:sz w:val="31"/>
          <w:szCs w:val="31"/>
          <w:highlight w:val="none"/>
        </w:rPr>
      </w:pPr>
    </w:p>
    <w:p w14:paraId="20169AA4">
      <w:pPr>
        <w:spacing w:before="64" w:line="224" w:lineRule="auto"/>
        <w:ind w:left="3519"/>
        <w:rPr>
          <w:rFonts w:ascii="宋体" w:hAnsi="宋体" w:eastAsia="宋体" w:cs="宋体"/>
          <w:b/>
          <w:bCs/>
          <w:color w:val="auto"/>
          <w:spacing w:val="5"/>
          <w:sz w:val="31"/>
          <w:szCs w:val="31"/>
          <w:highlight w:val="none"/>
        </w:rPr>
      </w:pPr>
    </w:p>
    <w:p w14:paraId="3EED0B05">
      <w:pPr>
        <w:spacing w:before="64" w:line="224" w:lineRule="auto"/>
        <w:ind w:left="3519"/>
        <w:rPr>
          <w:rFonts w:ascii="宋体" w:hAnsi="宋体" w:eastAsia="宋体" w:cs="宋体"/>
          <w:b/>
          <w:bCs/>
          <w:color w:val="auto"/>
          <w:spacing w:val="5"/>
          <w:sz w:val="31"/>
          <w:szCs w:val="31"/>
          <w:highlight w:val="none"/>
        </w:rPr>
      </w:pPr>
    </w:p>
    <w:p w14:paraId="5AFBE31F">
      <w:pPr>
        <w:spacing w:before="64" w:line="224" w:lineRule="auto"/>
        <w:ind w:left="3519"/>
        <w:rPr>
          <w:rFonts w:ascii="宋体" w:hAnsi="宋体" w:eastAsia="宋体" w:cs="宋体"/>
          <w:b/>
          <w:bCs/>
          <w:color w:val="auto"/>
          <w:spacing w:val="5"/>
          <w:sz w:val="31"/>
          <w:szCs w:val="31"/>
          <w:highlight w:val="none"/>
        </w:rPr>
      </w:pPr>
    </w:p>
    <w:p w14:paraId="191A669D">
      <w:pPr>
        <w:spacing w:before="64" w:line="224" w:lineRule="auto"/>
        <w:ind w:left="3519"/>
        <w:rPr>
          <w:rFonts w:ascii="宋体" w:hAnsi="宋体" w:eastAsia="宋体" w:cs="宋体"/>
          <w:b/>
          <w:bCs/>
          <w:color w:val="auto"/>
          <w:spacing w:val="5"/>
          <w:sz w:val="31"/>
          <w:szCs w:val="31"/>
          <w:highlight w:val="none"/>
        </w:rPr>
      </w:pPr>
    </w:p>
    <w:p w14:paraId="1539AF29">
      <w:pPr>
        <w:spacing w:before="64" w:line="224" w:lineRule="auto"/>
        <w:ind w:left="3519"/>
        <w:rPr>
          <w:rFonts w:ascii="宋体" w:hAnsi="宋体" w:eastAsia="宋体" w:cs="宋体"/>
          <w:b/>
          <w:bCs/>
          <w:color w:val="auto"/>
          <w:spacing w:val="5"/>
          <w:sz w:val="31"/>
          <w:szCs w:val="31"/>
          <w:highlight w:val="none"/>
        </w:rPr>
      </w:pPr>
    </w:p>
    <w:p w14:paraId="1CCFE261">
      <w:pPr>
        <w:spacing w:before="64" w:line="224" w:lineRule="auto"/>
        <w:ind w:left="3519"/>
        <w:rPr>
          <w:rFonts w:ascii="宋体" w:hAnsi="宋体" w:eastAsia="宋体" w:cs="宋体"/>
          <w:b/>
          <w:bCs/>
          <w:color w:val="auto"/>
          <w:spacing w:val="5"/>
          <w:sz w:val="31"/>
          <w:szCs w:val="31"/>
          <w:highlight w:val="none"/>
        </w:rPr>
      </w:pPr>
    </w:p>
    <w:p w14:paraId="5075357E">
      <w:pPr>
        <w:spacing w:before="64" w:line="224" w:lineRule="auto"/>
        <w:ind w:left="3519"/>
        <w:rPr>
          <w:rFonts w:ascii="宋体" w:hAnsi="宋体" w:eastAsia="宋体" w:cs="宋体"/>
          <w:b/>
          <w:bCs/>
          <w:color w:val="auto"/>
          <w:spacing w:val="5"/>
          <w:sz w:val="31"/>
          <w:szCs w:val="31"/>
          <w:highlight w:val="none"/>
        </w:rPr>
      </w:pPr>
    </w:p>
    <w:p w14:paraId="33C99CB3">
      <w:pPr>
        <w:spacing w:before="64" w:line="224" w:lineRule="auto"/>
        <w:ind w:left="3519"/>
        <w:rPr>
          <w:rFonts w:ascii="宋体" w:hAnsi="宋体" w:eastAsia="宋体" w:cs="宋体"/>
          <w:b/>
          <w:bCs/>
          <w:color w:val="auto"/>
          <w:spacing w:val="5"/>
          <w:sz w:val="31"/>
          <w:szCs w:val="31"/>
          <w:highlight w:val="none"/>
        </w:rPr>
      </w:pPr>
    </w:p>
    <w:p w14:paraId="531EEE48">
      <w:pPr>
        <w:spacing w:before="64" w:line="224" w:lineRule="auto"/>
        <w:ind w:left="3519"/>
        <w:rPr>
          <w:rFonts w:ascii="宋体" w:hAnsi="宋体" w:eastAsia="宋体" w:cs="宋体"/>
          <w:b/>
          <w:bCs/>
          <w:color w:val="auto"/>
          <w:spacing w:val="5"/>
          <w:sz w:val="31"/>
          <w:szCs w:val="31"/>
          <w:highlight w:val="none"/>
        </w:rPr>
      </w:pPr>
    </w:p>
    <w:p w14:paraId="65927A2A">
      <w:pPr>
        <w:spacing w:before="64" w:line="224" w:lineRule="auto"/>
        <w:ind w:left="3519"/>
        <w:rPr>
          <w:rFonts w:ascii="宋体" w:hAnsi="宋体" w:eastAsia="宋体" w:cs="宋体"/>
          <w:b/>
          <w:bCs/>
          <w:color w:val="auto"/>
          <w:spacing w:val="5"/>
          <w:sz w:val="31"/>
          <w:szCs w:val="31"/>
          <w:highlight w:val="none"/>
        </w:rPr>
      </w:pPr>
    </w:p>
    <w:p w14:paraId="3742431F">
      <w:pPr>
        <w:spacing w:before="64" w:line="224" w:lineRule="auto"/>
        <w:ind w:left="3519"/>
        <w:rPr>
          <w:rFonts w:ascii="宋体" w:hAnsi="宋体" w:eastAsia="宋体" w:cs="宋体"/>
          <w:b/>
          <w:bCs/>
          <w:color w:val="auto"/>
          <w:spacing w:val="5"/>
          <w:sz w:val="31"/>
          <w:szCs w:val="31"/>
          <w:highlight w:val="none"/>
        </w:rPr>
      </w:pPr>
    </w:p>
    <w:p w14:paraId="77EE5C57">
      <w:pPr>
        <w:spacing w:before="64" w:line="224" w:lineRule="auto"/>
        <w:ind w:left="3519"/>
        <w:rPr>
          <w:rFonts w:ascii="宋体" w:hAnsi="宋体" w:eastAsia="宋体" w:cs="宋体"/>
          <w:b/>
          <w:bCs/>
          <w:color w:val="auto"/>
          <w:spacing w:val="5"/>
          <w:sz w:val="31"/>
          <w:szCs w:val="31"/>
          <w:highlight w:val="none"/>
        </w:rPr>
      </w:pPr>
    </w:p>
    <w:p w14:paraId="7AEB4F44">
      <w:pPr>
        <w:spacing w:before="64" w:line="224" w:lineRule="auto"/>
        <w:ind w:left="3519"/>
        <w:rPr>
          <w:rFonts w:ascii="宋体" w:hAnsi="宋体" w:eastAsia="宋体" w:cs="宋体"/>
          <w:b/>
          <w:bCs/>
          <w:color w:val="auto"/>
          <w:spacing w:val="5"/>
          <w:sz w:val="31"/>
          <w:szCs w:val="31"/>
          <w:highlight w:val="none"/>
        </w:rPr>
      </w:pPr>
    </w:p>
    <w:p w14:paraId="5E02AB23">
      <w:pPr>
        <w:spacing w:before="64" w:line="224" w:lineRule="auto"/>
        <w:ind w:left="3519"/>
        <w:outlineLvl w:val="2"/>
        <w:rPr>
          <w:rFonts w:ascii="宋体" w:hAnsi="宋体" w:eastAsia="宋体" w:cs="宋体"/>
          <w:color w:val="auto"/>
          <w:sz w:val="31"/>
          <w:szCs w:val="31"/>
          <w:highlight w:val="none"/>
        </w:rPr>
      </w:pPr>
      <w:bookmarkStart w:id="420" w:name="_Toc30688"/>
      <w:r>
        <w:rPr>
          <w:rFonts w:ascii="宋体" w:hAnsi="宋体" w:eastAsia="宋体" w:cs="宋体"/>
          <w:b/>
          <w:bCs/>
          <w:color w:val="auto"/>
          <w:spacing w:val="5"/>
          <w:sz w:val="31"/>
          <w:szCs w:val="31"/>
          <w:highlight w:val="none"/>
        </w:rPr>
        <w:t>二、授权委托书</w:t>
      </w:r>
      <w:bookmarkEnd w:id="420"/>
    </w:p>
    <w:p w14:paraId="23FC3828">
      <w:pPr>
        <w:spacing w:line="392" w:lineRule="auto"/>
        <w:rPr>
          <w:rFonts w:ascii="Arial"/>
          <w:color w:val="auto"/>
          <w:sz w:val="21"/>
          <w:highlight w:val="none"/>
        </w:rPr>
      </w:pPr>
    </w:p>
    <w:p w14:paraId="4FE62541">
      <w:pPr>
        <w:spacing w:before="69" w:line="378" w:lineRule="auto"/>
        <w:ind w:right="8" w:firstLine="52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本人</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（姓名）系</w:t>
      </w:r>
      <w:r>
        <w:rPr>
          <w:rFonts w:ascii="宋体" w:hAnsi="宋体" w:eastAsia="宋体" w:cs="宋体"/>
          <w:color w:val="auto"/>
          <w:spacing w:val="-81"/>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（投标人名称）的法定代表人，现委托</w:t>
      </w:r>
      <w:r>
        <w:rPr>
          <w:rFonts w:ascii="宋体" w:hAnsi="宋体" w:eastAsia="宋体" w:cs="宋体"/>
          <w:color w:val="auto"/>
          <w:spacing w:val="-2"/>
          <w:sz w:val="21"/>
          <w:szCs w:val="21"/>
          <w:highlight w:val="none"/>
        </w:rPr>
        <w:t>（姓名）为我方代理人。代理人根据授权，以我方名义签署、澄清、说明、补正、递交、撤回、修改</w:t>
      </w:r>
      <w:r>
        <w:rPr>
          <w:rFonts w:ascii="宋体" w:hAnsi="宋体" w:eastAsia="宋体" w:cs="宋体"/>
          <w:color w:val="auto"/>
          <w:sz w:val="21"/>
          <w:szCs w:val="21"/>
          <w:highlight w:val="none"/>
        </w:rPr>
        <w:t>（项目名称）</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95"/>
          <w:sz w:val="21"/>
          <w:szCs w:val="21"/>
          <w:highlight w:val="none"/>
        </w:rPr>
        <w:t xml:space="preserve"> </w:t>
      </w:r>
      <w:r>
        <w:rPr>
          <w:rFonts w:ascii="宋体" w:hAnsi="宋体" w:eastAsia="宋体" w:cs="宋体"/>
          <w:color w:val="auto"/>
          <w:sz w:val="21"/>
          <w:szCs w:val="21"/>
          <w:highlight w:val="none"/>
        </w:rPr>
        <w:t>标段施工投标文件、签订合同和处理</w:t>
      </w:r>
      <w:r>
        <w:rPr>
          <w:rFonts w:ascii="宋体" w:hAnsi="宋体" w:eastAsia="宋体" w:cs="宋体"/>
          <w:color w:val="auto"/>
          <w:spacing w:val="-1"/>
          <w:sz w:val="21"/>
          <w:szCs w:val="21"/>
          <w:highlight w:val="none"/>
        </w:rPr>
        <w:t>有关事宜，其法律后果由我方承担。</w:t>
      </w:r>
    </w:p>
    <w:p w14:paraId="5E982986">
      <w:pPr>
        <w:ind w:firstLine="420" w:firstLineChars="200"/>
        <w:rPr>
          <w:color w:val="auto"/>
          <w:highlight w:val="none"/>
        </w:rPr>
      </w:pPr>
      <w:r>
        <w:rPr>
          <w:color w:val="auto"/>
          <w:highlight w:val="none"/>
        </w:rPr>
        <w:t>委托期限：即日起至投标有效期满止。 代理人无转委托权。</w:t>
      </w:r>
    </w:p>
    <w:p w14:paraId="44A324E0">
      <w:pPr>
        <w:spacing w:line="396" w:lineRule="auto"/>
        <w:rPr>
          <w:rFonts w:ascii="Arial"/>
          <w:color w:val="auto"/>
          <w:sz w:val="21"/>
          <w:highlight w:val="none"/>
        </w:rPr>
      </w:pPr>
    </w:p>
    <w:p w14:paraId="38E70529">
      <w:pPr>
        <w:spacing w:before="68" w:line="220" w:lineRule="auto"/>
        <w:ind w:left="5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附：法定代表人身份证扫描件及委托代理人身份证扫描件</w:t>
      </w:r>
    </w:p>
    <w:p w14:paraId="737C4C6C">
      <w:pPr>
        <w:spacing w:line="248" w:lineRule="auto"/>
        <w:rPr>
          <w:rFonts w:ascii="Arial"/>
          <w:color w:val="auto"/>
          <w:sz w:val="21"/>
          <w:highlight w:val="none"/>
        </w:rPr>
      </w:pPr>
    </w:p>
    <w:p w14:paraId="738EEE64">
      <w:pPr>
        <w:spacing w:line="249" w:lineRule="auto"/>
        <w:rPr>
          <w:rFonts w:ascii="Arial"/>
          <w:color w:val="auto"/>
          <w:sz w:val="21"/>
          <w:highlight w:val="none"/>
        </w:rPr>
      </w:pPr>
    </w:p>
    <w:p w14:paraId="7CF49AFF">
      <w:pPr>
        <w:spacing w:line="249" w:lineRule="auto"/>
        <w:rPr>
          <w:rFonts w:ascii="Arial"/>
          <w:color w:val="auto"/>
          <w:sz w:val="21"/>
          <w:highlight w:val="none"/>
        </w:rPr>
      </w:pPr>
    </w:p>
    <w:p w14:paraId="164CB771">
      <w:pPr>
        <w:spacing w:line="249" w:lineRule="auto"/>
        <w:rPr>
          <w:rFonts w:ascii="Arial"/>
          <w:color w:val="auto"/>
          <w:sz w:val="21"/>
          <w:highlight w:val="none"/>
        </w:rPr>
      </w:pPr>
    </w:p>
    <w:p w14:paraId="23934B88">
      <w:pPr>
        <w:keepNext w:val="0"/>
        <w:keepLines w:val="0"/>
        <w:pageBreakBefore w:val="0"/>
        <w:widowControl/>
        <w:kinsoku w:val="0"/>
        <w:wordWrap/>
        <w:overflowPunct/>
        <w:topLinePunct w:val="0"/>
        <w:autoSpaceDE w:val="0"/>
        <w:autoSpaceDN w:val="0"/>
        <w:bidi w:val="0"/>
        <w:adjustRightInd w:val="0"/>
        <w:snapToGrid w:val="0"/>
        <w:spacing w:before="69" w:line="360" w:lineRule="auto"/>
        <w:ind w:left="2795"/>
        <w:textAlignment w:val="baseline"/>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投  标</w:t>
      </w:r>
      <w:r>
        <w:rPr>
          <w:rFonts w:ascii="宋体" w:hAnsi="宋体" w:eastAsia="宋体" w:cs="宋体"/>
          <w:color w:val="auto"/>
          <w:spacing w:val="4"/>
          <w:sz w:val="21"/>
          <w:szCs w:val="21"/>
          <w:highlight w:val="none"/>
        </w:rPr>
        <w:t xml:space="preserve">  </w:t>
      </w:r>
      <w:r>
        <w:rPr>
          <w:rFonts w:ascii="宋体" w:hAnsi="宋体" w:eastAsia="宋体" w:cs="宋体"/>
          <w:color w:val="auto"/>
          <w:spacing w:val="-1"/>
          <w:sz w:val="21"/>
          <w:szCs w:val="21"/>
          <w:highlight w:val="none"/>
        </w:rPr>
        <w:t>人</w:t>
      </w:r>
      <w:r>
        <w:rPr>
          <w:rFonts w:ascii="宋体" w:hAnsi="宋体" w:eastAsia="宋体" w:cs="宋体"/>
          <w:color w:val="auto"/>
          <w:spacing w:val="-4"/>
          <w:sz w:val="21"/>
          <w:szCs w:val="21"/>
          <w:highlight w:val="none"/>
        </w:rPr>
        <w:t>：</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4"/>
          <w:sz w:val="21"/>
          <w:szCs w:val="21"/>
          <w:highlight w:val="none"/>
        </w:rPr>
        <w:t>（</w:t>
      </w:r>
      <w:r>
        <w:rPr>
          <w:rFonts w:ascii="宋体" w:hAnsi="宋体" w:eastAsia="宋体" w:cs="宋体"/>
          <w:color w:val="auto"/>
          <w:spacing w:val="-1"/>
          <w:sz w:val="21"/>
          <w:szCs w:val="21"/>
          <w:highlight w:val="none"/>
        </w:rPr>
        <w:t>盖单位章）</w:t>
      </w:r>
    </w:p>
    <w:p w14:paraId="628C6B23">
      <w:pPr>
        <w:keepNext w:val="0"/>
        <w:keepLines w:val="0"/>
        <w:pageBreakBefore w:val="0"/>
        <w:widowControl/>
        <w:kinsoku w:val="0"/>
        <w:wordWrap/>
        <w:overflowPunct/>
        <w:topLinePunct w:val="0"/>
        <w:autoSpaceDE w:val="0"/>
        <w:autoSpaceDN w:val="0"/>
        <w:bidi w:val="0"/>
        <w:adjustRightInd w:val="0"/>
        <w:snapToGrid w:val="0"/>
        <w:spacing w:before="69" w:line="360" w:lineRule="auto"/>
        <w:ind w:left="2795"/>
        <w:textAlignment w:val="baseline"/>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法定代表人</w:t>
      </w:r>
      <w:r>
        <w:rPr>
          <w:rFonts w:ascii="宋体" w:hAnsi="宋体" w:eastAsia="宋体" w:cs="宋体"/>
          <w:color w:val="auto"/>
          <w:spacing w:val="-1"/>
          <w:sz w:val="21"/>
          <w:szCs w:val="21"/>
          <w:highlight w:val="none"/>
        </w:rPr>
        <w:t>：</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r>
        <w:rPr>
          <w:rFonts w:ascii="宋体" w:hAnsi="宋体" w:eastAsia="宋体" w:cs="宋体"/>
          <w:color w:val="auto"/>
          <w:spacing w:val="-2"/>
          <w:sz w:val="21"/>
          <w:szCs w:val="21"/>
          <w:highlight w:val="none"/>
        </w:rPr>
        <w:t>签字）</w:t>
      </w:r>
    </w:p>
    <w:p w14:paraId="56D49437">
      <w:pPr>
        <w:keepNext w:val="0"/>
        <w:keepLines w:val="0"/>
        <w:pageBreakBefore w:val="0"/>
        <w:widowControl/>
        <w:kinsoku w:val="0"/>
        <w:wordWrap/>
        <w:overflowPunct/>
        <w:topLinePunct w:val="0"/>
        <w:autoSpaceDE w:val="0"/>
        <w:autoSpaceDN w:val="0"/>
        <w:bidi w:val="0"/>
        <w:adjustRightInd w:val="0"/>
        <w:snapToGrid w:val="0"/>
        <w:spacing w:before="69" w:line="360" w:lineRule="auto"/>
        <w:ind w:left="2791"/>
        <w:textAlignment w:val="baseline"/>
        <w:rPr>
          <w:rFonts w:ascii="宋体" w:hAnsi="宋体" w:eastAsia="宋体" w:cs="宋体"/>
          <w:color w:val="auto"/>
          <w:spacing w:val="-2"/>
          <w:sz w:val="21"/>
          <w:szCs w:val="21"/>
          <w:highlight w:val="none"/>
          <w:u w:val="single" w:color="auto"/>
        </w:rPr>
      </w:pPr>
      <w:r>
        <w:rPr>
          <w:rFonts w:ascii="宋体" w:hAnsi="宋体" w:eastAsia="宋体" w:cs="宋体"/>
          <w:color w:val="auto"/>
          <w:spacing w:val="-2"/>
          <w:sz w:val="21"/>
          <w:szCs w:val="21"/>
          <w:highlight w:val="none"/>
        </w:rPr>
        <w:t>身份证号码：</w:t>
      </w:r>
      <w:r>
        <w:rPr>
          <w:rFonts w:ascii="宋体" w:hAnsi="宋体" w:eastAsia="宋体" w:cs="宋体"/>
          <w:color w:val="auto"/>
          <w:spacing w:val="-2"/>
          <w:sz w:val="21"/>
          <w:szCs w:val="21"/>
          <w:highlight w:val="none"/>
          <w:u w:val="single" w:color="auto"/>
        </w:rPr>
        <w:t xml:space="preserve">                                           </w:t>
      </w:r>
    </w:p>
    <w:p w14:paraId="521BA189">
      <w:pPr>
        <w:keepNext w:val="0"/>
        <w:keepLines w:val="0"/>
        <w:pageBreakBefore w:val="0"/>
        <w:widowControl/>
        <w:kinsoku w:val="0"/>
        <w:wordWrap/>
        <w:overflowPunct/>
        <w:topLinePunct w:val="0"/>
        <w:autoSpaceDE w:val="0"/>
        <w:autoSpaceDN w:val="0"/>
        <w:bidi w:val="0"/>
        <w:adjustRightInd w:val="0"/>
        <w:snapToGrid w:val="0"/>
        <w:spacing w:before="69" w:line="360" w:lineRule="auto"/>
        <w:ind w:left="2798"/>
        <w:textAlignment w:val="baseline"/>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委托代理人</w:t>
      </w:r>
      <w:r>
        <w:rPr>
          <w:rFonts w:ascii="宋体" w:hAnsi="宋体" w:eastAsia="宋体" w:cs="宋体"/>
          <w:color w:val="auto"/>
          <w:sz w:val="21"/>
          <w:szCs w:val="21"/>
          <w:highlight w:val="none"/>
        </w:rPr>
        <w:t>：</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z w:val="21"/>
          <w:szCs w:val="21"/>
          <w:highlight w:val="none"/>
        </w:rPr>
        <w:t>（</w:t>
      </w:r>
      <w:r>
        <w:rPr>
          <w:rFonts w:ascii="宋体" w:hAnsi="宋体" w:eastAsia="宋体" w:cs="宋体"/>
          <w:color w:val="auto"/>
          <w:spacing w:val="-2"/>
          <w:sz w:val="21"/>
          <w:szCs w:val="21"/>
          <w:highlight w:val="none"/>
        </w:rPr>
        <w:t>签字）</w:t>
      </w:r>
    </w:p>
    <w:p w14:paraId="232266FF">
      <w:pPr>
        <w:keepNext w:val="0"/>
        <w:keepLines w:val="0"/>
        <w:pageBreakBefore w:val="0"/>
        <w:widowControl/>
        <w:kinsoku w:val="0"/>
        <w:wordWrap/>
        <w:overflowPunct/>
        <w:topLinePunct w:val="0"/>
        <w:autoSpaceDE w:val="0"/>
        <w:autoSpaceDN w:val="0"/>
        <w:bidi w:val="0"/>
        <w:adjustRightInd w:val="0"/>
        <w:snapToGrid w:val="0"/>
        <w:spacing w:before="68" w:line="360" w:lineRule="auto"/>
        <w:ind w:left="2791"/>
        <w:textAlignment w:val="baseline"/>
        <w:rPr>
          <w:rFonts w:ascii="宋体" w:hAnsi="宋体" w:eastAsia="宋体" w:cs="宋体"/>
          <w:color w:val="auto"/>
          <w:spacing w:val="-2"/>
          <w:sz w:val="21"/>
          <w:szCs w:val="21"/>
          <w:highlight w:val="none"/>
          <w:u w:val="single" w:color="auto"/>
        </w:rPr>
      </w:pPr>
      <w:r>
        <w:rPr>
          <w:rFonts w:ascii="宋体" w:hAnsi="宋体" w:eastAsia="宋体" w:cs="宋体"/>
          <w:color w:val="auto"/>
          <w:spacing w:val="-2"/>
          <w:sz w:val="21"/>
          <w:szCs w:val="21"/>
          <w:highlight w:val="none"/>
        </w:rPr>
        <w:t>身份证号码：</w:t>
      </w:r>
      <w:r>
        <w:rPr>
          <w:rFonts w:ascii="宋体" w:hAnsi="宋体" w:eastAsia="宋体" w:cs="宋体"/>
          <w:color w:val="auto"/>
          <w:spacing w:val="-2"/>
          <w:sz w:val="21"/>
          <w:szCs w:val="21"/>
          <w:highlight w:val="none"/>
          <w:u w:val="single" w:color="auto"/>
        </w:rPr>
        <w:t xml:space="preserve">                                        </w:t>
      </w:r>
    </w:p>
    <w:p w14:paraId="70472CE9">
      <w:pPr>
        <w:keepNext w:val="0"/>
        <w:keepLines w:val="0"/>
        <w:pageBreakBefore w:val="0"/>
        <w:widowControl/>
        <w:kinsoku w:val="0"/>
        <w:wordWrap/>
        <w:overflowPunct/>
        <w:topLinePunct w:val="0"/>
        <w:autoSpaceDE w:val="0"/>
        <w:autoSpaceDN w:val="0"/>
        <w:bidi w:val="0"/>
        <w:adjustRightInd w:val="0"/>
        <w:snapToGrid w:val="0"/>
        <w:spacing w:before="68" w:line="360" w:lineRule="auto"/>
        <w:ind w:left="2791"/>
        <w:textAlignment w:val="baseline"/>
        <w:rPr>
          <w:rFonts w:hint="default" w:ascii="_x000B__x000C_" w:hAnsi="_x000B__x000C_" w:eastAsia="_x000B__x000C_" w:cs="Arial"/>
          <w:color w:val="auto"/>
          <w:kern w:val="0"/>
          <w:szCs w:val="21"/>
          <w:highlight w:val="none"/>
          <w:lang w:val="en-US"/>
        </w:rPr>
      </w:pPr>
      <w:r>
        <w:rPr>
          <w:rFonts w:hint="eastAsia" w:ascii="宋体" w:hAnsi="宋体" w:eastAsia="宋体" w:cs="宋体"/>
          <w:snapToGrid w:val="0"/>
          <w:color w:val="auto"/>
          <w:kern w:val="2"/>
          <w:sz w:val="21"/>
          <w:szCs w:val="21"/>
          <w:highlight w:val="none"/>
          <w:lang w:val="en-US" w:eastAsia="zh-CN" w:bidi="ar"/>
        </w:rPr>
        <w:t>代理人手机号码：</w:t>
      </w:r>
      <w:r>
        <w:rPr>
          <w:rFonts w:hint="eastAsia" w:ascii="宋体" w:hAnsi="宋体" w:eastAsia="宋体" w:cs="宋体"/>
          <w:snapToGrid w:val="0"/>
          <w:color w:val="auto"/>
          <w:kern w:val="2"/>
          <w:sz w:val="21"/>
          <w:szCs w:val="21"/>
          <w:highlight w:val="none"/>
          <w:u w:val="single"/>
          <w:lang w:val="en-US" w:eastAsia="zh-CN" w:bidi="ar"/>
        </w:rPr>
        <w:t xml:space="preserve">                       </w:t>
      </w:r>
    </w:p>
    <w:p w14:paraId="74AB21BD">
      <w:pPr>
        <w:spacing w:line="244" w:lineRule="auto"/>
        <w:rPr>
          <w:rFonts w:ascii="Arial"/>
          <w:color w:val="auto"/>
          <w:sz w:val="21"/>
          <w:highlight w:val="none"/>
        </w:rPr>
      </w:pPr>
    </w:p>
    <w:p w14:paraId="6D9FC122">
      <w:pPr>
        <w:spacing w:line="245" w:lineRule="auto"/>
        <w:rPr>
          <w:rFonts w:ascii="Arial"/>
          <w:color w:val="auto"/>
          <w:sz w:val="21"/>
          <w:highlight w:val="none"/>
        </w:rPr>
      </w:pPr>
    </w:p>
    <w:p w14:paraId="501AB213">
      <w:pPr>
        <w:spacing w:before="64" w:line="224" w:lineRule="auto"/>
        <w:ind w:left="3353" w:firstLine="1890" w:firstLineChars="900"/>
        <w:rPr>
          <w:rFonts w:ascii="宋体" w:hAnsi="宋体" w:eastAsia="宋体" w:cs="宋体"/>
          <w:b/>
          <w:bCs/>
          <w:color w:val="auto"/>
          <w:spacing w:val="6"/>
          <w:sz w:val="31"/>
          <w:szCs w:val="31"/>
          <w:highlight w:val="none"/>
        </w:rPr>
      </w:pPr>
      <w:bookmarkStart w:id="421" w:name="bookmark291"/>
      <w:bookmarkEnd w:id="421"/>
      <w:r>
        <w:rPr>
          <w:rFonts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1"/>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7"/>
          <w:sz w:val="21"/>
          <w:szCs w:val="21"/>
          <w:highlight w:val="none"/>
        </w:rPr>
        <w:t>日</w:t>
      </w:r>
    </w:p>
    <w:p w14:paraId="161CCDCE">
      <w:pPr>
        <w:spacing w:before="64" w:line="224" w:lineRule="auto"/>
        <w:ind w:left="3353"/>
        <w:rPr>
          <w:rFonts w:ascii="宋体" w:hAnsi="宋体" w:eastAsia="宋体" w:cs="宋体"/>
          <w:b/>
          <w:bCs/>
          <w:color w:val="auto"/>
          <w:spacing w:val="6"/>
          <w:sz w:val="31"/>
          <w:szCs w:val="31"/>
          <w:highlight w:val="none"/>
        </w:rPr>
      </w:pPr>
    </w:p>
    <w:p w14:paraId="008596AC">
      <w:pPr>
        <w:spacing w:before="64" w:line="224" w:lineRule="auto"/>
        <w:ind w:left="3353"/>
        <w:rPr>
          <w:rFonts w:ascii="宋体" w:hAnsi="宋体" w:eastAsia="宋体" w:cs="宋体"/>
          <w:b/>
          <w:bCs/>
          <w:color w:val="auto"/>
          <w:spacing w:val="6"/>
          <w:sz w:val="31"/>
          <w:szCs w:val="31"/>
          <w:highlight w:val="none"/>
        </w:rPr>
      </w:pPr>
    </w:p>
    <w:p w14:paraId="5A60DB84">
      <w:pPr>
        <w:spacing w:before="64" w:line="224" w:lineRule="auto"/>
        <w:ind w:left="3353"/>
        <w:rPr>
          <w:rFonts w:ascii="宋体" w:hAnsi="宋体" w:eastAsia="宋体" w:cs="宋体"/>
          <w:b/>
          <w:bCs/>
          <w:color w:val="auto"/>
          <w:spacing w:val="6"/>
          <w:sz w:val="31"/>
          <w:szCs w:val="31"/>
          <w:highlight w:val="none"/>
        </w:rPr>
      </w:pPr>
    </w:p>
    <w:p w14:paraId="1FBA63E5">
      <w:pPr>
        <w:spacing w:before="64" w:line="224" w:lineRule="auto"/>
        <w:ind w:left="3353"/>
        <w:rPr>
          <w:rFonts w:ascii="宋体" w:hAnsi="宋体" w:eastAsia="宋体" w:cs="宋体"/>
          <w:b/>
          <w:bCs/>
          <w:color w:val="auto"/>
          <w:spacing w:val="6"/>
          <w:sz w:val="31"/>
          <w:szCs w:val="31"/>
          <w:highlight w:val="none"/>
        </w:rPr>
      </w:pPr>
    </w:p>
    <w:p w14:paraId="394C18CC">
      <w:pPr>
        <w:spacing w:before="64" w:line="224" w:lineRule="auto"/>
        <w:ind w:left="3353"/>
        <w:rPr>
          <w:rFonts w:ascii="宋体" w:hAnsi="宋体" w:eastAsia="宋体" w:cs="宋体"/>
          <w:b/>
          <w:bCs/>
          <w:color w:val="auto"/>
          <w:spacing w:val="6"/>
          <w:sz w:val="31"/>
          <w:szCs w:val="31"/>
          <w:highlight w:val="none"/>
        </w:rPr>
      </w:pPr>
    </w:p>
    <w:p w14:paraId="58B74458">
      <w:pPr>
        <w:rPr>
          <w:rFonts w:ascii="宋体" w:hAnsi="宋体" w:eastAsia="宋体" w:cs="宋体"/>
          <w:b/>
          <w:bCs/>
          <w:color w:val="auto"/>
          <w:spacing w:val="6"/>
          <w:sz w:val="31"/>
          <w:szCs w:val="31"/>
          <w:highlight w:val="none"/>
        </w:rPr>
      </w:pPr>
    </w:p>
    <w:p w14:paraId="0C74A883">
      <w:pPr>
        <w:pStyle w:val="6"/>
        <w:outlineLvl w:val="9"/>
        <w:rPr>
          <w:color w:val="auto"/>
          <w:highlight w:val="none"/>
        </w:rPr>
      </w:pPr>
    </w:p>
    <w:p w14:paraId="3DDF920E">
      <w:pPr>
        <w:spacing w:before="64" w:line="224" w:lineRule="auto"/>
        <w:ind w:left="3353"/>
        <w:rPr>
          <w:rFonts w:ascii="宋体" w:hAnsi="宋体" w:eastAsia="宋体" w:cs="宋体"/>
          <w:b/>
          <w:bCs/>
          <w:color w:val="auto"/>
          <w:spacing w:val="6"/>
          <w:sz w:val="31"/>
          <w:szCs w:val="31"/>
          <w:highlight w:val="none"/>
        </w:rPr>
      </w:pPr>
    </w:p>
    <w:p w14:paraId="762B2AB5">
      <w:pPr>
        <w:pStyle w:val="6"/>
        <w:outlineLvl w:val="9"/>
        <w:rPr>
          <w:color w:val="auto"/>
          <w:highlight w:val="none"/>
        </w:rPr>
      </w:pPr>
    </w:p>
    <w:p w14:paraId="7EC68B10">
      <w:pPr>
        <w:spacing w:before="64" w:line="224" w:lineRule="auto"/>
        <w:ind w:left="3353"/>
        <w:rPr>
          <w:rFonts w:ascii="宋体" w:hAnsi="宋体" w:eastAsia="宋体" w:cs="宋体"/>
          <w:b/>
          <w:bCs/>
          <w:color w:val="auto"/>
          <w:spacing w:val="6"/>
          <w:sz w:val="31"/>
          <w:szCs w:val="31"/>
          <w:highlight w:val="none"/>
        </w:rPr>
      </w:pPr>
    </w:p>
    <w:p w14:paraId="25E5570C">
      <w:pPr>
        <w:spacing w:before="64" w:line="224" w:lineRule="auto"/>
        <w:ind w:left="3353"/>
        <w:outlineLvl w:val="2"/>
        <w:rPr>
          <w:rFonts w:ascii="宋体" w:hAnsi="宋体" w:eastAsia="宋体" w:cs="宋体"/>
          <w:color w:val="auto"/>
          <w:sz w:val="31"/>
          <w:szCs w:val="31"/>
          <w:highlight w:val="none"/>
        </w:rPr>
      </w:pPr>
      <w:bookmarkStart w:id="422" w:name="_Toc3312"/>
      <w:r>
        <w:rPr>
          <w:rFonts w:ascii="宋体" w:hAnsi="宋体" w:eastAsia="宋体" w:cs="宋体"/>
          <w:b/>
          <w:bCs/>
          <w:color w:val="auto"/>
          <w:spacing w:val="6"/>
          <w:sz w:val="31"/>
          <w:szCs w:val="31"/>
          <w:highlight w:val="none"/>
        </w:rPr>
        <w:t>三、联合体协议书</w:t>
      </w:r>
      <w:bookmarkEnd w:id="422"/>
    </w:p>
    <w:p w14:paraId="07B7BA24">
      <w:pPr>
        <w:spacing w:line="250" w:lineRule="auto"/>
        <w:rPr>
          <w:rFonts w:ascii="Arial"/>
          <w:color w:val="auto"/>
          <w:sz w:val="21"/>
          <w:highlight w:val="none"/>
        </w:rPr>
      </w:pPr>
    </w:p>
    <w:p w14:paraId="195BEEF5">
      <w:pPr>
        <w:tabs>
          <w:tab w:val="left" w:pos="2193"/>
        </w:tabs>
        <w:spacing w:before="69" w:line="348" w:lineRule="auto"/>
        <w:ind w:right="19" w:firstLine="51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
          <w:sz w:val="21"/>
          <w:szCs w:val="21"/>
          <w:highlight w:val="none"/>
        </w:rPr>
        <w:t>（所有成员单位名称）自愿组成</w:t>
      </w:r>
      <w:r>
        <w:rPr>
          <w:rFonts w:ascii="宋体" w:hAnsi="宋体" w:eastAsia="宋体" w:cs="宋体"/>
          <w:color w:val="auto"/>
          <w:spacing w:val="-104"/>
          <w:sz w:val="21"/>
          <w:szCs w:val="21"/>
          <w:highlight w:val="none"/>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rPr>
        <w:t xml:space="preserve">（联合体名称）联合体，共同参加 </w:t>
      </w:r>
      <w:r>
        <w:rPr>
          <w:rFonts w:ascii="宋体" w:hAnsi="宋体" w:eastAsia="宋体" w:cs="宋体"/>
          <w:color w:val="auto"/>
          <w:spacing w:val="-1"/>
          <w:sz w:val="21"/>
          <w:szCs w:val="21"/>
          <w:highlight w:val="none"/>
        </w:rPr>
        <w:t>（项目名称）</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4"/>
          <w:sz w:val="21"/>
          <w:szCs w:val="21"/>
          <w:highlight w:val="none"/>
        </w:rPr>
        <w:t xml:space="preserve"> </w:t>
      </w:r>
      <w:r>
        <w:rPr>
          <w:rFonts w:ascii="宋体" w:hAnsi="宋体" w:eastAsia="宋体" w:cs="宋体"/>
          <w:color w:val="auto"/>
          <w:spacing w:val="-1"/>
          <w:sz w:val="21"/>
          <w:szCs w:val="21"/>
          <w:highlight w:val="none"/>
        </w:rPr>
        <w:t>标段施工招标项目投标。现就联合体投标事宜订立如下协议。</w:t>
      </w:r>
    </w:p>
    <w:p w14:paraId="43D83B1E">
      <w:pPr>
        <w:spacing w:before="27" w:line="220" w:lineRule="auto"/>
        <w:ind w:left="5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1.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（某成员单位名称）为</w:t>
      </w:r>
      <w:r>
        <w:rPr>
          <w:rFonts w:ascii="宋体" w:hAnsi="宋体" w:eastAsia="宋体" w:cs="宋体"/>
          <w:color w:val="auto"/>
          <w:spacing w:val="-78"/>
          <w:sz w:val="21"/>
          <w:szCs w:val="21"/>
          <w:highlight w:val="none"/>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（联合体名称）牵头人。</w:t>
      </w:r>
    </w:p>
    <w:p w14:paraId="525E68DD">
      <w:pPr>
        <w:spacing w:before="157" w:line="313" w:lineRule="auto"/>
        <w:ind w:left="105"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 联合体各成员授权牵头人代表联合体参加投标活动，签署文件，提交和接收相关的资料、信</w:t>
      </w:r>
      <w:r>
        <w:rPr>
          <w:rFonts w:ascii="宋体" w:hAnsi="宋体" w:eastAsia="宋体" w:cs="宋体"/>
          <w:color w:val="auto"/>
          <w:spacing w:val="14"/>
          <w:sz w:val="21"/>
          <w:szCs w:val="21"/>
          <w:highlight w:val="none"/>
        </w:rPr>
        <w:t xml:space="preserve"> </w:t>
      </w:r>
      <w:r>
        <w:rPr>
          <w:rFonts w:ascii="宋体" w:hAnsi="宋体" w:eastAsia="宋体" w:cs="宋体"/>
          <w:color w:val="auto"/>
          <w:spacing w:val="1"/>
          <w:sz w:val="21"/>
          <w:szCs w:val="21"/>
          <w:highlight w:val="none"/>
        </w:rPr>
        <w:t>息及指示，进行合同谈判活动，负责合同实施阶段的组织和协调</w:t>
      </w:r>
      <w:r>
        <w:rPr>
          <w:rFonts w:ascii="宋体" w:hAnsi="宋体" w:eastAsia="宋体" w:cs="宋体"/>
          <w:color w:val="auto"/>
          <w:sz w:val="21"/>
          <w:szCs w:val="21"/>
          <w:highlight w:val="none"/>
        </w:rPr>
        <w:t xml:space="preserve">工作，以及处理与本招标项目有关 </w:t>
      </w:r>
      <w:r>
        <w:rPr>
          <w:rFonts w:ascii="宋体" w:hAnsi="宋体" w:eastAsia="宋体" w:cs="宋体"/>
          <w:color w:val="auto"/>
          <w:spacing w:val="-2"/>
          <w:sz w:val="21"/>
          <w:szCs w:val="21"/>
          <w:highlight w:val="none"/>
        </w:rPr>
        <w:t>的一切事宜。</w:t>
      </w:r>
    </w:p>
    <w:p w14:paraId="40BDF2F6">
      <w:pPr>
        <w:spacing w:before="157" w:line="290" w:lineRule="auto"/>
        <w:ind w:left="100"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 联合体牵头人在本项目中签署的一切文件和处理的一切事宜，联合体各成员均予以承认。联</w:t>
      </w:r>
      <w:r>
        <w:rPr>
          <w:rFonts w:ascii="宋体" w:hAnsi="宋体" w:eastAsia="宋体" w:cs="宋体"/>
          <w:color w:val="auto"/>
          <w:spacing w:val="13"/>
          <w:sz w:val="21"/>
          <w:szCs w:val="21"/>
          <w:highlight w:val="none"/>
        </w:rPr>
        <w:t xml:space="preserve"> </w:t>
      </w:r>
      <w:r>
        <w:rPr>
          <w:rFonts w:ascii="宋体" w:hAnsi="宋体" w:eastAsia="宋体" w:cs="宋体"/>
          <w:color w:val="auto"/>
          <w:spacing w:val="-4"/>
          <w:sz w:val="21"/>
          <w:szCs w:val="21"/>
          <w:highlight w:val="none"/>
        </w:rPr>
        <w:t>合体各成员将严格按照招标文件、投标文件和合同的要求全面履行义务，并向招标人承担连带责任。</w:t>
      </w:r>
    </w:p>
    <w:p w14:paraId="5EB49ECA">
      <w:pPr>
        <w:spacing w:before="157" w:line="314" w:lineRule="auto"/>
        <w:ind w:left="115" w:right="10" w:firstLine="402"/>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4. 联合体各成员单位内部的职责分工如下：</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8"/>
          <w:sz w:val="21"/>
          <w:szCs w:val="21"/>
          <w:highlight w:val="none"/>
        </w:rPr>
        <w:t>。</w:t>
      </w:r>
    </w:p>
    <w:p w14:paraId="5C8A9EE3">
      <w:pPr>
        <w:spacing w:before="154" w:line="290" w:lineRule="auto"/>
        <w:ind w:left="102"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 本协议书自所有成员单位法定代表人（或其委托代理人）签字并盖单位章之日起生效，合同</w:t>
      </w:r>
      <w:r>
        <w:rPr>
          <w:rFonts w:ascii="宋体" w:hAnsi="宋体" w:eastAsia="宋体" w:cs="宋体"/>
          <w:color w:val="auto"/>
          <w:spacing w:val="13"/>
          <w:sz w:val="21"/>
          <w:szCs w:val="21"/>
          <w:highlight w:val="none"/>
        </w:rPr>
        <w:t xml:space="preserve"> </w:t>
      </w:r>
      <w:r>
        <w:rPr>
          <w:rFonts w:ascii="宋体" w:hAnsi="宋体" w:eastAsia="宋体" w:cs="宋体"/>
          <w:color w:val="auto"/>
          <w:spacing w:val="-1"/>
          <w:sz w:val="21"/>
          <w:szCs w:val="21"/>
          <w:highlight w:val="none"/>
        </w:rPr>
        <w:t>履行完毕后自动失效。</w:t>
      </w:r>
    </w:p>
    <w:p w14:paraId="0DA0CAC9">
      <w:pPr>
        <w:spacing w:before="157" w:line="220" w:lineRule="auto"/>
        <w:ind w:left="5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 本协议书一式</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7"/>
          <w:sz w:val="21"/>
          <w:szCs w:val="21"/>
          <w:highlight w:val="none"/>
        </w:rPr>
        <w:t xml:space="preserve"> </w:t>
      </w:r>
      <w:r>
        <w:rPr>
          <w:rFonts w:ascii="宋体" w:hAnsi="宋体" w:eastAsia="宋体" w:cs="宋体"/>
          <w:color w:val="auto"/>
          <w:spacing w:val="-1"/>
          <w:sz w:val="21"/>
          <w:szCs w:val="21"/>
          <w:highlight w:val="none"/>
        </w:rPr>
        <w:t>份，联合体成员和招标人各执一</w:t>
      </w:r>
      <w:r>
        <w:rPr>
          <w:rFonts w:ascii="宋体" w:hAnsi="宋体" w:eastAsia="宋体" w:cs="宋体"/>
          <w:color w:val="auto"/>
          <w:spacing w:val="-2"/>
          <w:sz w:val="21"/>
          <w:szCs w:val="21"/>
          <w:highlight w:val="none"/>
        </w:rPr>
        <w:t>份。</w:t>
      </w:r>
    </w:p>
    <w:p w14:paraId="5ECF9E43">
      <w:pPr>
        <w:spacing w:line="248" w:lineRule="auto"/>
        <w:rPr>
          <w:rFonts w:ascii="Arial"/>
          <w:color w:val="auto"/>
          <w:sz w:val="21"/>
          <w:highlight w:val="none"/>
        </w:rPr>
      </w:pPr>
    </w:p>
    <w:p w14:paraId="442BD8B3">
      <w:pPr>
        <w:spacing w:line="248" w:lineRule="auto"/>
        <w:rPr>
          <w:rFonts w:ascii="Arial"/>
          <w:color w:val="auto"/>
          <w:sz w:val="21"/>
          <w:highlight w:val="none"/>
        </w:rPr>
      </w:pPr>
    </w:p>
    <w:p w14:paraId="230DA43E">
      <w:pPr>
        <w:spacing w:before="69" w:line="345" w:lineRule="auto"/>
        <w:ind w:left="98" w:right="3"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注：本协议书由法定代表人签字的，应附法定代表人身份证明；由委托代</w:t>
      </w:r>
      <w:r>
        <w:rPr>
          <w:rFonts w:ascii="宋体" w:hAnsi="宋体" w:eastAsia="宋体" w:cs="宋体"/>
          <w:color w:val="auto"/>
          <w:sz w:val="21"/>
          <w:szCs w:val="21"/>
          <w:highlight w:val="none"/>
        </w:rPr>
        <w:t>理人签字的，应附授</w:t>
      </w:r>
      <w:r>
        <w:rPr>
          <w:rFonts w:ascii="宋体" w:hAnsi="宋体" w:eastAsia="宋体" w:cs="宋体"/>
          <w:color w:val="auto"/>
          <w:spacing w:val="-4"/>
          <w:sz w:val="21"/>
          <w:szCs w:val="21"/>
          <w:highlight w:val="none"/>
        </w:rPr>
        <w:t>权委托书。</w:t>
      </w:r>
    </w:p>
    <w:p w14:paraId="0E57C4C7">
      <w:pPr>
        <w:spacing w:line="397" w:lineRule="auto"/>
        <w:rPr>
          <w:rFonts w:ascii="Arial"/>
          <w:color w:val="auto"/>
          <w:sz w:val="21"/>
          <w:highlight w:val="none"/>
        </w:rPr>
      </w:pPr>
    </w:p>
    <w:p w14:paraId="5957A775">
      <w:pPr>
        <w:tabs>
          <w:tab w:val="left" w:pos="0"/>
        </w:tabs>
        <w:spacing w:before="69" w:line="303" w:lineRule="auto"/>
        <w:ind w:left="0" w:leftChars="0" w:right="686" w:firstLine="0" w:firstLineChars="0"/>
        <w:jc w:val="both"/>
        <w:rPr>
          <w:rFonts w:ascii="宋体" w:hAnsi="宋体" w:eastAsia="宋体" w:cs="宋体"/>
          <w:color w:val="auto"/>
          <w:spacing w:val="6"/>
          <w:sz w:val="21"/>
          <w:szCs w:val="21"/>
          <w:highlight w:val="none"/>
        </w:rPr>
      </w:pPr>
      <w:r>
        <w:rPr>
          <w:rFonts w:ascii="宋体" w:hAnsi="宋体" w:eastAsia="宋体" w:cs="宋体"/>
          <w:color w:val="auto"/>
          <w:spacing w:val="-2"/>
          <w:sz w:val="21"/>
          <w:szCs w:val="21"/>
          <w:highlight w:val="none"/>
        </w:rPr>
        <w:t>联合体牵头人名称</w:t>
      </w:r>
      <w:r>
        <w:rPr>
          <w:rFonts w:ascii="宋体" w:hAnsi="宋体" w:eastAsia="宋体" w:cs="宋体"/>
          <w:color w:val="auto"/>
          <w:spacing w:val="2"/>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2"/>
          <w:sz w:val="21"/>
          <w:szCs w:val="21"/>
          <w:highlight w:val="none"/>
        </w:rPr>
        <w:t>盖单位章）</w:t>
      </w:r>
      <w:r>
        <w:rPr>
          <w:rFonts w:ascii="宋体" w:hAnsi="宋体" w:eastAsia="宋体" w:cs="宋体"/>
          <w:color w:val="auto"/>
          <w:spacing w:val="6"/>
          <w:sz w:val="21"/>
          <w:szCs w:val="21"/>
          <w:highlight w:val="none"/>
        </w:rPr>
        <w:t xml:space="preserve"> </w:t>
      </w:r>
    </w:p>
    <w:p w14:paraId="7B014052">
      <w:pPr>
        <w:tabs>
          <w:tab w:val="left" w:pos="0"/>
        </w:tabs>
        <w:spacing w:before="69" w:line="303" w:lineRule="auto"/>
        <w:ind w:left="0" w:leftChars="0" w:right="686" w:firstLine="0" w:firstLineChars="0"/>
        <w:jc w:val="both"/>
        <w:outlineLvl w:val="9"/>
        <w:rPr>
          <w:rFonts w:ascii="宋体" w:hAnsi="宋体" w:eastAsia="宋体" w:cs="宋体"/>
          <w:color w:val="auto"/>
          <w:sz w:val="21"/>
          <w:szCs w:val="21"/>
          <w:highlight w:val="none"/>
        </w:rPr>
      </w:pPr>
      <w:bookmarkStart w:id="423" w:name="_Toc30646"/>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rPr>
        <w:t>（</w:t>
      </w:r>
      <w:r>
        <w:rPr>
          <w:rFonts w:ascii="宋体" w:hAnsi="宋体" w:eastAsia="宋体" w:cs="宋体"/>
          <w:color w:val="auto"/>
          <w:spacing w:val="-1"/>
          <w:sz w:val="21"/>
          <w:szCs w:val="21"/>
          <w:highlight w:val="none"/>
        </w:rPr>
        <w:t>签字）</w:t>
      </w:r>
      <w:bookmarkEnd w:id="423"/>
    </w:p>
    <w:p w14:paraId="25785070">
      <w:pPr>
        <w:tabs>
          <w:tab w:val="left" w:pos="0"/>
        </w:tabs>
        <w:spacing w:line="320" w:lineRule="auto"/>
        <w:ind w:left="0" w:leftChars="0" w:firstLine="0" w:firstLineChars="0"/>
        <w:jc w:val="both"/>
        <w:rPr>
          <w:rFonts w:ascii="Arial"/>
          <w:color w:val="auto"/>
          <w:sz w:val="21"/>
          <w:highlight w:val="none"/>
        </w:rPr>
      </w:pPr>
    </w:p>
    <w:p w14:paraId="145DBD75">
      <w:pPr>
        <w:tabs>
          <w:tab w:val="left" w:pos="0"/>
        </w:tabs>
        <w:spacing w:before="69" w:line="303" w:lineRule="auto"/>
        <w:ind w:left="0" w:leftChars="0" w:right="686" w:firstLine="0" w:firstLineChars="0"/>
        <w:jc w:val="both"/>
        <w:rPr>
          <w:rFonts w:ascii="宋体" w:hAnsi="宋体" w:eastAsia="宋体" w:cs="宋体"/>
          <w:color w:val="auto"/>
          <w:spacing w:val="4"/>
          <w:sz w:val="21"/>
          <w:szCs w:val="21"/>
          <w:highlight w:val="none"/>
        </w:rPr>
      </w:pPr>
      <w:r>
        <w:rPr>
          <w:rFonts w:ascii="宋体" w:hAnsi="宋体" w:eastAsia="宋体" w:cs="宋体"/>
          <w:color w:val="auto"/>
          <w:spacing w:val="-2"/>
          <w:sz w:val="21"/>
          <w:szCs w:val="21"/>
          <w:highlight w:val="none"/>
        </w:rPr>
        <w:t>联合体成员名称</w:t>
      </w:r>
      <w:r>
        <w:rPr>
          <w:rFonts w:ascii="宋体" w:hAnsi="宋体" w:eastAsia="宋体" w:cs="宋体"/>
          <w:color w:val="auto"/>
          <w:spacing w:val="2"/>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2"/>
          <w:sz w:val="21"/>
          <w:szCs w:val="21"/>
          <w:highlight w:val="none"/>
        </w:rPr>
        <w:t>盖单位章）</w:t>
      </w:r>
      <w:r>
        <w:rPr>
          <w:rFonts w:ascii="宋体" w:hAnsi="宋体" w:eastAsia="宋体" w:cs="宋体"/>
          <w:color w:val="auto"/>
          <w:spacing w:val="4"/>
          <w:sz w:val="21"/>
          <w:szCs w:val="21"/>
          <w:highlight w:val="none"/>
        </w:rPr>
        <w:t xml:space="preserve"> </w:t>
      </w:r>
    </w:p>
    <w:p w14:paraId="37BEEA18">
      <w:pPr>
        <w:tabs>
          <w:tab w:val="left" w:pos="0"/>
        </w:tabs>
        <w:spacing w:before="69" w:line="303" w:lineRule="auto"/>
        <w:ind w:left="0" w:leftChars="0" w:right="686" w:firstLine="0" w:firstLineChars="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1"/>
          <w:sz w:val="21"/>
          <w:szCs w:val="21"/>
          <w:highlight w:val="none"/>
        </w:rPr>
        <w:t>（签字）</w:t>
      </w:r>
    </w:p>
    <w:p w14:paraId="2C89640D">
      <w:pPr>
        <w:tabs>
          <w:tab w:val="left" w:pos="0"/>
        </w:tabs>
        <w:spacing w:line="320" w:lineRule="auto"/>
        <w:ind w:left="0" w:leftChars="0" w:firstLine="0" w:firstLineChars="0"/>
        <w:jc w:val="both"/>
        <w:rPr>
          <w:rFonts w:ascii="Arial"/>
          <w:color w:val="auto"/>
          <w:sz w:val="21"/>
          <w:highlight w:val="none"/>
        </w:rPr>
      </w:pPr>
    </w:p>
    <w:p w14:paraId="0F6541BC">
      <w:pPr>
        <w:tabs>
          <w:tab w:val="left" w:pos="0"/>
        </w:tabs>
        <w:spacing w:before="69" w:line="303" w:lineRule="auto"/>
        <w:ind w:left="0" w:leftChars="0" w:right="686" w:firstLine="0" w:firstLineChars="0"/>
        <w:jc w:val="both"/>
        <w:rPr>
          <w:rFonts w:ascii="宋体" w:hAnsi="宋体" w:eastAsia="宋体" w:cs="宋体"/>
          <w:color w:val="auto"/>
          <w:spacing w:val="4"/>
          <w:sz w:val="21"/>
          <w:szCs w:val="21"/>
          <w:highlight w:val="none"/>
        </w:rPr>
      </w:pPr>
      <w:r>
        <w:rPr>
          <w:rFonts w:ascii="宋体" w:hAnsi="宋体" w:eastAsia="宋体" w:cs="宋体"/>
          <w:color w:val="auto"/>
          <w:spacing w:val="-2"/>
          <w:sz w:val="21"/>
          <w:szCs w:val="21"/>
          <w:highlight w:val="none"/>
        </w:rPr>
        <w:t>联合体成员名称</w:t>
      </w:r>
      <w:r>
        <w:rPr>
          <w:rFonts w:ascii="宋体" w:hAnsi="宋体" w:eastAsia="宋体" w:cs="宋体"/>
          <w:color w:val="auto"/>
          <w:spacing w:val="2"/>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2"/>
          <w:sz w:val="21"/>
          <w:szCs w:val="21"/>
          <w:highlight w:val="none"/>
        </w:rPr>
        <w:t>盖单位章）</w:t>
      </w:r>
      <w:r>
        <w:rPr>
          <w:rFonts w:ascii="宋体" w:hAnsi="宋体" w:eastAsia="宋体" w:cs="宋体"/>
          <w:color w:val="auto"/>
          <w:spacing w:val="4"/>
          <w:sz w:val="21"/>
          <w:szCs w:val="21"/>
          <w:highlight w:val="none"/>
        </w:rPr>
        <w:t xml:space="preserve"> </w:t>
      </w:r>
    </w:p>
    <w:p w14:paraId="2475B753">
      <w:pPr>
        <w:tabs>
          <w:tab w:val="left" w:pos="0"/>
        </w:tabs>
        <w:spacing w:before="69" w:line="303" w:lineRule="auto"/>
        <w:ind w:left="0" w:leftChars="0" w:right="686" w:firstLine="0" w:firstLineChars="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1"/>
          <w:sz w:val="21"/>
          <w:szCs w:val="21"/>
          <w:highlight w:val="none"/>
        </w:rPr>
        <w:t>（签字）</w:t>
      </w:r>
    </w:p>
    <w:p w14:paraId="2F7E8138">
      <w:pPr>
        <w:tabs>
          <w:tab w:val="left" w:pos="0"/>
        </w:tabs>
        <w:spacing w:before="30" w:line="333" w:lineRule="exact"/>
        <w:ind w:left="0" w:leftChars="0" w:firstLine="0" w:firstLineChars="0"/>
        <w:jc w:val="both"/>
        <w:rPr>
          <w:rFonts w:ascii="宋体" w:hAnsi="宋体" w:eastAsia="宋体" w:cs="宋体"/>
          <w:color w:val="auto"/>
          <w:sz w:val="21"/>
          <w:szCs w:val="21"/>
          <w:highlight w:val="none"/>
        </w:rPr>
      </w:pPr>
      <w:r>
        <w:rPr>
          <w:rFonts w:ascii="宋体" w:hAnsi="宋体" w:eastAsia="宋体" w:cs="宋体"/>
          <w:color w:val="auto"/>
          <w:spacing w:val="-5"/>
          <w:position w:val="2"/>
          <w:sz w:val="21"/>
          <w:szCs w:val="21"/>
          <w:highlight w:val="none"/>
        </w:rPr>
        <w:t>……</w:t>
      </w:r>
    </w:p>
    <w:p w14:paraId="11CCABF7">
      <w:pPr>
        <w:tabs>
          <w:tab w:val="left" w:pos="4528"/>
        </w:tabs>
        <w:spacing w:before="27" w:line="221" w:lineRule="auto"/>
        <w:ind w:left="3792"/>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61"/>
          <w:sz w:val="21"/>
          <w:szCs w:val="21"/>
          <w:highlight w:val="none"/>
        </w:rPr>
        <w:t xml:space="preserve"> </w:t>
      </w:r>
      <w:r>
        <w:rPr>
          <w:rFonts w:ascii="宋体" w:hAnsi="宋体" w:eastAsia="宋体" w:cs="宋体"/>
          <w:color w:val="auto"/>
          <w:spacing w:val="-7"/>
          <w:sz w:val="21"/>
          <w:szCs w:val="21"/>
          <w:highlight w:val="none"/>
        </w:rPr>
        <w:t>日</w:t>
      </w:r>
    </w:p>
    <w:p w14:paraId="1E8CDA9E">
      <w:pPr>
        <w:spacing w:line="221" w:lineRule="auto"/>
        <w:rPr>
          <w:rFonts w:ascii="宋体" w:hAnsi="宋体" w:eastAsia="宋体" w:cs="宋体"/>
          <w:color w:val="auto"/>
          <w:sz w:val="21"/>
          <w:szCs w:val="21"/>
          <w:highlight w:val="none"/>
        </w:rPr>
      </w:pPr>
    </w:p>
    <w:p w14:paraId="438F84FA">
      <w:pPr>
        <w:rPr>
          <w:rFonts w:hint="eastAsia" w:eastAsia="宋体"/>
          <w:color w:val="auto"/>
          <w:highlight w:val="none"/>
          <w:lang w:eastAsia="zh-CN"/>
        </w:rPr>
      </w:pPr>
      <w:r>
        <w:rPr>
          <w:color w:val="auto"/>
          <w:highlight w:val="none"/>
        </w:rPr>
        <w:br w:type="page"/>
      </w:r>
    </w:p>
    <w:p w14:paraId="7BE07F51">
      <w:pPr>
        <w:spacing w:before="63" w:line="226" w:lineRule="auto"/>
        <w:ind w:left="3445"/>
        <w:outlineLvl w:val="2"/>
        <w:rPr>
          <w:rFonts w:ascii="宋体" w:hAnsi="宋体" w:eastAsia="宋体" w:cs="宋体"/>
          <w:color w:val="auto"/>
          <w:sz w:val="31"/>
          <w:szCs w:val="31"/>
          <w:highlight w:val="none"/>
        </w:rPr>
      </w:pPr>
      <w:bookmarkStart w:id="424" w:name="_Toc10401"/>
      <w:r>
        <w:rPr>
          <w:rFonts w:ascii="宋体" w:hAnsi="宋体" w:eastAsia="宋体" w:cs="宋体"/>
          <w:b/>
          <w:bCs/>
          <w:color w:val="auto"/>
          <w:spacing w:val="1"/>
          <w:sz w:val="31"/>
          <w:szCs w:val="31"/>
          <w:highlight w:val="none"/>
        </w:rPr>
        <w:t>四、投标保证金</w:t>
      </w:r>
      <w:bookmarkEnd w:id="424"/>
    </w:p>
    <w:p w14:paraId="706906C5">
      <w:pPr>
        <w:spacing w:line="294" w:lineRule="auto"/>
        <w:rPr>
          <w:rFonts w:ascii="Arial"/>
          <w:color w:val="auto"/>
          <w:sz w:val="21"/>
          <w:highlight w:val="none"/>
        </w:rPr>
      </w:pPr>
    </w:p>
    <w:p w14:paraId="799D2511">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auto"/>
          <w:kern w:val="0"/>
          <w:szCs w:val="21"/>
          <w:highlight w:val="none"/>
          <w:lang w:val="en-US"/>
        </w:rPr>
      </w:pPr>
      <w:r>
        <w:rPr>
          <w:rFonts w:hint="eastAsia" w:ascii="Times New Roman" w:hAnsi="Times New Roman" w:eastAsia="宋体" w:cs="宋体"/>
          <w:snapToGrid w:val="0"/>
          <w:color w:val="auto"/>
          <w:kern w:val="0"/>
          <w:sz w:val="21"/>
          <w:szCs w:val="21"/>
          <w:highlight w:val="none"/>
          <w:lang w:val="en-US" w:eastAsia="zh-CN" w:bidi="ar"/>
        </w:rPr>
        <w:t>如采用现金（银行转账、银行电汇）的，系统自动抓取投标保证金提交信息，投标人应在投标文件中提供基本存款账户证明扫描件（如基本存款账户开户许可证或基本存款账户信息）。</w:t>
      </w:r>
    </w:p>
    <w:p w14:paraId="43D1E1D1">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auto"/>
          <w:kern w:val="0"/>
          <w:szCs w:val="21"/>
          <w:highlight w:val="none"/>
          <w:lang w:val="en-US"/>
        </w:rPr>
      </w:pPr>
      <w:r>
        <w:rPr>
          <w:rFonts w:hint="eastAsia" w:ascii="Times New Roman" w:hAnsi="Times New Roman" w:eastAsia="宋体" w:cs="宋体"/>
          <w:snapToGrid w:val="0"/>
          <w:color w:val="auto"/>
          <w:kern w:val="0"/>
          <w:sz w:val="21"/>
          <w:szCs w:val="21"/>
          <w:highlight w:val="none"/>
          <w:lang w:val="en-US" w:eastAsia="zh-CN" w:bidi="ar"/>
        </w:rPr>
        <w:t>如采用纸质银行保函的，投标人应在投标文件中提供基本存款账户证明（如基本存款账户开户许可证或基本存款账户信息）、银行保函扫描件。银行保函格式见</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投标保函示范文本</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w:t>
      </w:r>
    </w:p>
    <w:p w14:paraId="6F7BE30D">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auto"/>
          <w:kern w:val="0"/>
          <w:szCs w:val="21"/>
          <w:highlight w:val="none"/>
          <w:lang w:val="en-US"/>
        </w:rPr>
      </w:pPr>
      <w:r>
        <w:rPr>
          <w:rFonts w:hint="eastAsia" w:ascii="Times New Roman" w:hAnsi="Times New Roman" w:eastAsia="宋体" w:cs="宋体"/>
          <w:snapToGrid w:val="0"/>
          <w:color w:val="auto"/>
          <w:kern w:val="0"/>
          <w:sz w:val="21"/>
          <w:szCs w:val="21"/>
          <w:highlight w:val="none"/>
          <w:lang w:val="en-US" w:eastAsia="zh-CN" w:bidi="ar"/>
        </w:rPr>
        <w:t>如采用纸质担保机构担保的，投标人须将本单位针对该项目（标段）从基本账户汇出保函费用的凭证（须载有所投项目标段编号或项目名称、投标人基本账户信息、收取该费用的保函出具单位名称及其账户信息）扫描件、基本存款账户信息（或基本账户开户许可证）扫描件、保函扫描件、融资担保机构的融资担保业务经营许可证扫描件编入投标文件中。担保机构担保格式见</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投标保函示范文本</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w:t>
      </w:r>
    </w:p>
    <w:p w14:paraId="1DB9B0B7">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auto"/>
          <w:kern w:val="0"/>
          <w:szCs w:val="21"/>
          <w:highlight w:val="none"/>
          <w:lang w:val="en-US"/>
        </w:rPr>
      </w:pPr>
      <w:r>
        <w:rPr>
          <w:rFonts w:hint="eastAsia" w:ascii="Times New Roman" w:hAnsi="Times New Roman" w:eastAsia="宋体" w:cs="宋体"/>
          <w:snapToGrid w:val="0"/>
          <w:color w:val="auto"/>
          <w:kern w:val="0"/>
          <w:sz w:val="21"/>
          <w:szCs w:val="21"/>
          <w:highlight w:val="none"/>
          <w:lang w:val="en-US" w:eastAsia="zh-CN" w:bidi="ar"/>
        </w:rPr>
        <w:t>如采用纸质保证保险的，投标人须将本单位针对该项目（标段）从基本账户汇出保证保险费用的凭证（须载有所投项目标段编号或项目名称、投标人基本账户信息、收取该费用的保证保险出具单位名称及其账户信息）扫描件、基本存款账户信息（或基本账户开户许可证）扫描件、保证保险扫描件编入投标文件中。保证保险格式见</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投标保函示范文本</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w:t>
      </w:r>
    </w:p>
    <w:p w14:paraId="621215D3">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auto"/>
          <w:kern w:val="0"/>
          <w:szCs w:val="21"/>
          <w:highlight w:val="none"/>
          <w:lang w:val="en-US"/>
        </w:rPr>
      </w:pPr>
      <w:r>
        <w:rPr>
          <w:rFonts w:hint="eastAsia" w:ascii="Times New Roman" w:hAnsi="Times New Roman" w:eastAsia="宋体" w:cs="宋体"/>
          <w:snapToGrid w:val="0"/>
          <w:color w:val="auto"/>
          <w:kern w:val="0"/>
          <w:sz w:val="21"/>
          <w:szCs w:val="21"/>
          <w:highlight w:val="none"/>
          <w:lang w:val="en-US" w:eastAsia="zh-CN" w:bidi="ar"/>
        </w:rPr>
        <w:t>如采用电子保函的，系统自动抓取电子保函信息，投标文件无需提供相关证明材料。</w:t>
      </w:r>
    </w:p>
    <w:p w14:paraId="66E88C61">
      <w:pPr>
        <w:keepNext w:val="0"/>
        <w:keepLines w:val="0"/>
        <w:widowControl w:val="0"/>
        <w:suppressLineNumbers w:val="0"/>
        <w:tabs>
          <w:tab w:val="left" w:pos="8422"/>
          <w:tab w:val="left" w:pos="9622"/>
        </w:tabs>
        <w:wordWrap w:val="0"/>
        <w:spacing w:before="0" w:beforeAutospacing="0" w:after="0" w:afterAutospacing="0" w:line="320" w:lineRule="exact"/>
        <w:ind w:left="0" w:right="105" w:rightChars="50"/>
        <w:jc w:val="left"/>
        <w:rPr>
          <w:rFonts w:hint="default" w:ascii="_x000B__x000C_" w:hAnsi="_x000B__x000C_" w:eastAsia="_x000B__x000C_" w:cs="_x000B__x000C_"/>
          <w:b/>
          <w:bCs w:val="0"/>
          <w:color w:val="auto"/>
          <w:highlight w:val="none"/>
          <w:lang w:val="en-US"/>
        </w:rPr>
      </w:pPr>
    </w:p>
    <w:p w14:paraId="7C587DED">
      <w:pPr>
        <w:keepNext w:val="0"/>
        <w:keepLines w:val="0"/>
        <w:widowControl w:val="0"/>
        <w:suppressLineNumbers w:val="0"/>
        <w:tabs>
          <w:tab w:val="left" w:pos="8422"/>
          <w:tab w:val="left" w:pos="9622"/>
        </w:tabs>
        <w:wordWrap w:val="0"/>
        <w:spacing w:before="0" w:beforeAutospacing="0" w:after="0" w:afterAutospacing="0" w:line="360" w:lineRule="auto"/>
        <w:ind w:left="0" w:right="0"/>
        <w:jc w:val="left"/>
        <w:rPr>
          <w:color w:val="auto"/>
          <w:highlight w:val="none"/>
          <w:lang w:val="en-US"/>
        </w:rPr>
      </w:pPr>
      <w:r>
        <w:rPr>
          <w:rFonts w:hint="default" w:ascii="Times New Roman" w:hAnsi="Times New Roman" w:eastAsia="宋体" w:cs="Times New Roman"/>
          <w:color w:val="auto"/>
          <w:kern w:val="2"/>
          <w:sz w:val="21"/>
          <w:szCs w:val="24"/>
          <w:highlight w:val="none"/>
          <w:lang w:val="en-US" w:eastAsia="zh-CN" w:bidi="ar"/>
        </w:rPr>
        <w:br w:type="page"/>
      </w:r>
      <w:bookmarkStart w:id="425" w:name="_Toc10421"/>
      <w:bookmarkStart w:id="426" w:name="_Toc8851"/>
      <w:bookmarkStart w:id="427" w:name="_Toc3980"/>
      <w:bookmarkStart w:id="428" w:name="_Toc17295"/>
      <w:bookmarkStart w:id="429" w:name="_Toc12410"/>
    </w:p>
    <w:p w14:paraId="1D9EE12C">
      <w:pPr>
        <w:keepNext w:val="0"/>
        <w:keepLines w:val="0"/>
        <w:widowControl w:val="0"/>
        <w:suppressLineNumbers w:val="0"/>
        <w:tabs>
          <w:tab w:val="left" w:pos="8422"/>
          <w:tab w:val="left" w:pos="9622"/>
        </w:tabs>
        <w:wordWrap w:val="0"/>
        <w:spacing w:before="0" w:beforeAutospacing="0" w:after="0" w:afterAutospacing="0" w:line="360" w:lineRule="auto"/>
        <w:ind w:left="0" w:right="105" w:rightChars="50"/>
        <w:jc w:val="center"/>
        <w:outlineLvl w:val="9"/>
        <w:rPr>
          <w:rFonts w:hint="eastAsia" w:ascii="宋体" w:hAnsi="宋体" w:eastAsia="宋体" w:cs="宋体"/>
          <w:b/>
          <w:bCs/>
          <w:color w:val="auto"/>
          <w:sz w:val="28"/>
          <w:szCs w:val="28"/>
          <w:highlight w:val="none"/>
          <w:lang w:val="en-US"/>
        </w:rPr>
      </w:pPr>
      <w:bookmarkStart w:id="430" w:name="_Toc5627"/>
      <w:r>
        <w:rPr>
          <w:rFonts w:hint="eastAsia" w:ascii="宋体" w:hAnsi="宋体" w:eastAsia="宋体" w:cs="宋体"/>
          <w:b/>
          <w:bCs/>
          <w:snapToGrid w:val="0"/>
          <w:color w:val="auto"/>
          <w:kern w:val="2"/>
          <w:sz w:val="28"/>
          <w:szCs w:val="28"/>
          <w:highlight w:val="none"/>
          <w:lang w:val="en-US" w:eastAsia="zh-CN" w:bidi="ar"/>
        </w:rPr>
        <w:t>（一）投标保函示范文本</w:t>
      </w:r>
      <w:bookmarkEnd w:id="425"/>
      <w:bookmarkEnd w:id="426"/>
      <w:bookmarkEnd w:id="427"/>
      <w:bookmarkEnd w:id="428"/>
      <w:bookmarkEnd w:id="429"/>
      <w:bookmarkEnd w:id="430"/>
    </w:p>
    <w:p w14:paraId="619B881D">
      <w:pPr>
        <w:keepNext w:val="0"/>
        <w:keepLines w:val="0"/>
        <w:widowControl w:val="0"/>
        <w:suppressLineNumbers w:val="0"/>
        <w:tabs>
          <w:tab w:val="left" w:pos="8422"/>
          <w:tab w:val="left" w:pos="9622"/>
        </w:tabs>
        <w:wordWrap w:val="0"/>
        <w:spacing w:before="0" w:beforeAutospacing="0" w:after="0" w:afterAutospacing="0" w:line="360" w:lineRule="auto"/>
        <w:ind w:left="0" w:right="0"/>
        <w:jc w:val="left"/>
        <w:rPr>
          <w:rFonts w:hint="default" w:ascii="_x000B__x000C_" w:hAnsi="_x000B__x000C_" w:eastAsia="_x000B__x000C_" w:cs="_x000B__x000C_"/>
          <w:color w:val="auto"/>
          <w:highlight w:val="none"/>
          <w:lang w:val="en-US"/>
        </w:rPr>
      </w:pPr>
      <w:r>
        <w:rPr>
          <w:rFonts w:hint="default" w:ascii="_x000B__x000C_" w:hAnsi="_x000B__x000C_" w:eastAsia="_x000B__x000C_" w:cs="_x000B__x000C_"/>
          <w:snapToGrid w:val="0"/>
          <w:color w:val="auto"/>
          <w:kern w:val="2"/>
          <w:sz w:val="21"/>
          <w:szCs w:val="24"/>
          <w:highlight w:val="none"/>
          <w:lang w:val="en-US" w:eastAsia="zh-CN" w:bidi="ar"/>
        </w:rPr>
        <w:t xml:space="preserve">                                     </w:t>
      </w:r>
      <w:bookmarkStart w:id="431" w:name="_Toc12727"/>
      <w:r>
        <w:rPr>
          <w:rFonts w:hint="eastAsia" w:ascii="_x000B__x000C_" w:hAnsi="_x000B__x000C_" w:eastAsia="宋体" w:cs="宋体"/>
          <w:snapToGrid w:val="0"/>
          <w:color w:val="auto"/>
          <w:kern w:val="2"/>
          <w:sz w:val="21"/>
          <w:szCs w:val="24"/>
          <w:highlight w:val="none"/>
          <w:lang w:val="en-US" w:eastAsia="zh-CN" w:bidi="ar"/>
        </w:rPr>
        <w:t>编号：</w:t>
      </w:r>
      <w:bookmarkEnd w:id="431"/>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p>
    <w:p w14:paraId="1576E201">
      <w:pPr>
        <w:keepNext w:val="0"/>
        <w:keepLines w:val="0"/>
        <w:widowControl w:val="0"/>
        <w:suppressLineNumbers w:val="0"/>
        <w:tabs>
          <w:tab w:val="left" w:pos="8422"/>
          <w:tab w:val="left" w:pos="9622"/>
        </w:tabs>
        <w:wordWrap w:val="0"/>
        <w:spacing w:before="0" w:beforeAutospacing="0" w:after="0" w:afterAutospacing="0" w:line="320" w:lineRule="exact"/>
        <w:ind w:left="0" w:right="105" w:rightChars="50"/>
        <w:jc w:val="left"/>
        <w:rPr>
          <w:rFonts w:hint="default" w:ascii="_x000B__x000C_" w:hAnsi="_x000B__x000C_" w:eastAsia="_x000B__x000C_" w:cs="_x000B__x000C_"/>
          <w:color w:val="auto"/>
          <w:highlight w:val="none"/>
          <w:lang w:val="en-US"/>
        </w:rPr>
      </w:pPr>
    </w:p>
    <w:p w14:paraId="2802C97A">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105" w:rightChars="5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致：</w:t>
      </w:r>
      <w:r>
        <w:rPr>
          <w:rFonts w:hint="eastAsia" w:ascii="_x000B__x000C_" w:hAnsi="_x000B__x000C_" w:eastAsia="宋体" w:cs="宋体"/>
          <w:snapToGrid w:val="0"/>
          <w:color w:val="auto"/>
          <w:kern w:val="2"/>
          <w:sz w:val="21"/>
          <w:szCs w:val="24"/>
          <w:highlight w:val="none"/>
          <w:u w:val="single"/>
          <w:lang w:val="en-US" w:eastAsia="zh-CN" w:bidi="ar"/>
        </w:rPr>
        <w:t>受益人（招标人）名称</w:t>
      </w:r>
    </w:p>
    <w:p w14:paraId="6F96F4C8">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开立人获得通知，</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（投标人）于</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年</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月</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日参加编号为</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（标段编号）的</w:t>
      </w:r>
      <w:r>
        <w:rPr>
          <w:rFonts w:hint="default" w:ascii="_x000B__x000C_" w:hAnsi="_x000B__x000C_" w:eastAsia="_x000B__x000C_" w:cs="_x000B__x000C_"/>
          <w:snapToGrid w:val="0"/>
          <w:color w:val="auto"/>
          <w:kern w:val="0"/>
          <w:sz w:val="21"/>
          <w:szCs w:val="21"/>
          <w:highlight w:val="none"/>
          <w:u w:val="single"/>
          <w:lang w:val="en-US" w:eastAsia="zh-CN" w:bidi="ar"/>
        </w:rPr>
        <w:t xml:space="preserve">                  </w:t>
      </w:r>
      <w:r>
        <w:rPr>
          <w:rFonts w:hint="eastAsia" w:ascii="_x000B__x000C_" w:hAnsi="_x000B__x000C_" w:eastAsia="宋体" w:cs="Arial"/>
          <w:snapToGrid w:val="0"/>
          <w:color w:val="auto"/>
          <w:kern w:val="0"/>
          <w:sz w:val="21"/>
          <w:szCs w:val="21"/>
          <w:highlight w:val="none"/>
          <w:lang w:val="en-US" w:eastAsia="zh-CN" w:bidi="ar"/>
        </w:rPr>
        <w:t>（</w:t>
      </w:r>
      <w:r>
        <w:rPr>
          <w:rFonts w:hint="eastAsia" w:ascii="_x000B__x000C_" w:hAnsi="_x000B__x000C_" w:eastAsia="宋体" w:cs="宋体"/>
          <w:snapToGrid w:val="0"/>
          <w:color w:val="auto"/>
          <w:kern w:val="0"/>
          <w:sz w:val="21"/>
          <w:szCs w:val="21"/>
          <w:highlight w:val="none"/>
          <w:lang w:val="en-US" w:eastAsia="zh-CN" w:bidi="ar"/>
        </w:rPr>
        <w:t>项目名称</w:t>
      </w:r>
      <w:r>
        <w:rPr>
          <w:rFonts w:hint="eastAsia" w:ascii="_x000B__x000C_" w:hAnsi="_x000B__x000C_" w:eastAsia="宋体" w:cs="Arial"/>
          <w:snapToGrid w:val="0"/>
          <w:color w:val="auto"/>
          <w:kern w:val="0"/>
          <w:sz w:val="21"/>
          <w:szCs w:val="21"/>
          <w:highlight w:val="none"/>
          <w:lang w:val="en-US" w:eastAsia="zh-CN" w:bidi="ar"/>
        </w:rPr>
        <w:t>）</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（标段名称）投标（即“基础交易”）。</w:t>
      </w:r>
    </w:p>
    <w:p w14:paraId="370D02B3">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一、开立人理解根据招标条件，投标人必须提交一份投标保函（以下简称“本保函”），以担保投标人诚信履行其在上述基础交易中承担的投标人义务。鉴此，应申请人要求，开立人在此同意向受益人出具此投标保函，本保函担保金额为人民币（大写）</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元（</w:t>
      </w:r>
      <w:r>
        <w:rPr>
          <w:rFonts w:hint="default" w:ascii="_x000B__x000C_" w:hAnsi="_x000B__x000C_" w:eastAsia="_x000B__x000C_" w:cs="_x000B__x000C_"/>
          <w:snapToGrid w:val="0"/>
          <w:color w:val="auto"/>
          <w:kern w:val="2"/>
          <w:sz w:val="21"/>
          <w:szCs w:val="24"/>
          <w:highlight w:val="none"/>
          <w:lang w:val="en-US" w:eastAsia="zh-CN" w:bidi="ar"/>
        </w:rPr>
        <w:t xml:space="preserve">¥ </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w:t>
      </w:r>
    </w:p>
    <w:p w14:paraId="1AE66A07">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outlineLvl w:val="9"/>
        <w:rPr>
          <w:rFonts w:hint="default" w:ascii="_x000B__x000C_" w:hAnsi="_x000B__x000C_" w:eastAsia="_x000B__x000C_" w:cs="_x000B__x000C_"/>
          <w:color w:val="auto"/>
          <w:highlight w:val="none"/>
          <w:lang w:val="en-US"/>
        </w:rPr>
      </w:pPr>
      <w:bookmarkStart w:id="432" w:name="_Toc27126"/>
      <w:r>
        <w:rPr>
          <w:rFonts w:hint="eastAsia" w:ascii="_x000B__x000C_" w:hAnsi="_x000B__x000C_" w:eastAsia="宋体" w:cs="宋体"/>
          <w:snapToGrid w:val="0"/>
          <w:color w:val="auto"/>
          <w:kern w:val="2"/>
          <w:sz w:val="21"/>
          <w:szCs w:val="24"/>
          <w:highlight w:val="none"/>
          <w:lang w:val="en-US" w:eastAsia="zh-CN" w:bidi="ar"/>
        </w:rPr>
        <w:t>二、开立人在投标人发生以下情形时承担保证担保责任：</w:t>
      </w:r>
      <w:bookmarkEnd w:id="432"/>
    </w:p>
    <w:p w14:paraId="5E90F68E">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1</w:t>
      </w:r>
      <w:r>
        <w:rPr>
          <w:rFonts w:hint="eastAsia" w:ascii="_x000B__x000C_" w:hAnsi="_x000B__x000C_" w:eastAsia="宋体" w:cs="宋体"/>
          <w:snapToGrid w:val="0"/>
          <w:color w:val="auto"/>
          <w:kern w:val="2"/>
          <w:sz w:val="21"/>
          <w:szCs w:val="24"/>
          <w:highlight w:val="none"/>
          <w:lang w:val="en-US" w:eastAsia="zh-CN" w:bidi="ar"/>
        </w:rPr>
        <w:t>）投标人在投标有效期内撤销投标文件；</w:t>
      </w:r>
    </w:p>
    <w:p w14:paraId="4A2B20AA">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2</w:t>
      </w:r>
      <w:r>
        <w:rPr>
          <w:rFonts w:hint="eastAsia" w:ascii="_x000B__x000C_" w:hAnsi="_x000B__x000C_" w:eastAsia="宋体" w:cs="宋体"/>
          <w:snapToGrid w:val="0"/>
          <w:color w:val="auto"/>
          <w:kern w:val="2"/>
          <w:sz w:val="21"/>
          <w:szCs w:val="24"/>
          <w:highlight w:val="none"/>
          <w:lang w:val="en-US" w:eastAsia="zh-CN" w:bidi="ar"/>
        </w:rPr>
        <w:t>）投标人在中标后无正当理由不与招标人订立合同；</w:t>
      </w:r>
    </w:p>
    <w:p w14:paraId="2E8766CD">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3</w:t>
      </w:r>
      <w:r>
        <w:rPr>
          <w:rFonts w:hint="eastAsia" w:ascii="_x000B__x000C_" w:hAnsi="_x000B__x000C_" w:eastAsia="宋体" w:cs="宋体"/>
          <w:snapToGrid w:val="0"/>
          <w:color w:val="auto"/>
          <w:kern w:val="2"/>
          <w:sz w:val="21"/>
          <w:szCs w:val="24"/>
          <w:highlight w:val="none"/>
          <w:lang w:val="en-US" w:eastAsia="zh-CN" w:bidi="ar"/>
        </w:rPr>
        <w:t>）投标人在签订合同时向招标人提出附加条件；</w:t>
      </w:r>
    </w:p>
    <w:p w14:paraId="69B6D637">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4</w:t>
      </w:r>
      <w:r>
        <w:rPr>
          <w:rFonts w:hint="eastAsia" w:ascii="_x000B__x000C_" w:hAnsi="_x000B__x000C_" w:eastAsia="宋体" w:cs="宋体"/>
          <w:snapToGrid w:val="0"/>
          <w:color w:val="auto"/>
          <w:kern w:val="2"/>
          <w:sz w:val="21"/>
          <w:szCs w:val="24"/>
          <w:highlight w:val="none"/>
          <w:lang w:val="en-US" w:eastAsia="zh-CN" w:bidi="ar"/>
        </w:rPr>
        <w:t>）投标人不按照招标文件要求提交履约保证金；</w:t>
      </w:r>
    </w:p>
    <w:p w14:paraId="593895DD">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5</w:t>
      </w:r>
      <w:r>
        <w:rPr>
          <w:rFonts w:hint="eastAsia" w:ascii="_x000B__x000C_" w:hAnsi="_x000B__x000C_" w:eastAsia="宋体" w:cs="宋体"/>
          <w:snapToGrid w:val="0"/>
          <w:color w:val="auto"/>
          <w:kern w:val="2"/>
          <w:sz w:val="21"/>
          <w:szCs w:val="24"/>
          <w:highlight w:val="none"/>
          <w:lang w:val="en-US" w:eastAsia="zh-CN" w:bidi="ar"/>
        </w:rPr>
        <w:t>）发生招标文件明确规定可以不予退还投标保证金的其他情形。</w:t>
      </w:r>
    </w:p>
    <w:p w14:paraId="4179D552">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三、本保函为不可撤销、不可转让的见索即付独立保函。本保函有效期自开立之日起至投标有效期届满之日止。</w:t>
      </w:r>
    </w:p>
    <w:p w14:paraId="32BFA9C0">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四、开立人承诺，在收到受益人发来的书面付款通知后的七日内无条件支付，前述书面付款通知即为付款要求之单据，且应满足以下要求：</w:t>
      </w:r>
    </w:p>
    <w:p w14:paraId="02C6DDDF">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1</w:t>
      </w:r>
      <w:r>
        <w:rPr>
          <w:rFonts w:hint="eastAsia" w:ascii="_x000B__x000C_" w:hAnsi="_x000B__x000C_" w:eastAsia="宋体" w:cs="宋体"/>
          <w:snapToGrid w:val="0"/>
          <w:color w:val="auto"/>
          <w:kern w:val="2"/>
          <w:sz w:val="21"/>
          <w:szCs w:val="24"/>
          <w:highlight w:val="none"/>
          <w:lang w:val="en-US" w:eastAsia="zh-CN" w:bidi="ar"/>
        </w:rPr>
        <w:t>）付款通知到达的日期在本保函的有效期内；</w:t>
      </w:r>
    </w:p>
    <w:p w14:paraId="278D8B73">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2</w:t>
      </w:r>
      <w:r>
        <w:rPr>
          <w:rFonts w:hint="eastAsia" w:ascii="_x000B__x000C_" w:hAnsi="_x000B__x000C_" w:eastAsia="宋体" w:cs="宋体"/>
          <w:snapToGrid w:val="0"/>
          <w:color w:val="auto"/>
          <w:kern w:val="2"/>
          <w:sz w:val="21"/>
          <w:szCs w:val="24"/>
          <w:highlight w:val="none"/>
          <w:lang w:val="en-US" w:eastAsia="zh-CN" w:bidi="ar"/>
        </w:rPr>
        <w:t>）载明要求支付的金额；</w:t>
      </w:r>
    </w:p>
    <w:p w14:paraId="5AE17A11">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3</w:t>
      </w:r>
      <w:r>
        <w:rPr>
          <w:rFonts w:hint="eastAsia" w:ascii="_x000B__x000C_" w:hAnsi="_x000B__x000C_" w:eastAsia="宋体" w:cs="宋体"/>
          <w:snapToGrid w:val="0"/>
          <w:color w:val="auto"/>
          <w:kern w:val="2"/>
          <w:sz w:val="21"/>
          <w:szCs w:val="24"/>
          <w:highlight w:val="none"/>
          <w:lang w:val="en-US" w:eastAsia="zh-CN" w:bidi="ar"/>
        </w:rPr>
        <w:t>）载明申请人违反招投标文件规定的义务内容和具体条款；</w:t>
      </w:r>
    </w:p>
    <w:p w14:paraId="76D86007">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4</w:t>
      </w:r>
      <w:r>
        <w:rPr>
          <w:rFonts w:hint="eastAsia" w:ascii="_x000B__x000C_" w:hAnsi="_x000B__x000C_" w:eastAsia="宋体" w:cs="宋体"/>
          <w:snapToGrid w:val="0"/>
          <w:color w:val="auto"/>
          <w:kern w:val="2"/>
          <w:sz w:val="21"/>
          <w:szCs w:val="24"/>
          <w:highlight w:val="none"/>
          <w:lang w:val="en-US" w:eastAsia="zh-CN" w:bidi="ar"/>
        </w:rPr>
        <w:t>）声明不存在招标文件规定或我国法律规定免除申请人或我方支付责任的情形；</w:t>
      </w:r>
    </w:p>
    <w:p w14:paraId="7712A4A5">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5</w:t>
      </w:r>
      <w:r>
        <w:rPr>
          <w:rFonts w:hint="eastAsia" w:ascii="_x000B__x000C_" w:hAnsi="_x000B__x000C_" w:eastAsia="宋体" w:cs="宋体"/>
          <w:snapToGrid w:val="0"/>
          <w:color w:val="auto"/>
          <w:kern w:val="2"/>
          <w:sz w:val="21"/>
          <w:szCs w:val="24"/>
          <w:highlight w:val="none"/>
          <w:lang w:val="en-US" w:eastAsia="zh-CN" w:bidi="ar"/>
        </w:rPr>
        <w:t>）书面付款通知应在本保函有效期内到达的地址是：</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w:t>
      </w:r>
    </w:p>
    <w:p w14:paraId="699A84BC">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受益人发出的书面付款通知应由其法定代表人（负责人）或授权代理人签字并加盖公章。</w:t>
      </w:r>
    </w:p>
    <w:p w14:paraId="179856F3">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五、本保函项下的权利不得转让，不得设定担保。受益人未经开立人书面同意转让本保函或其项下任何权利，对开立人不发生法律效力。</w:t>
      </w:r>
      <w:r>
        <w:rPr>
          <w:rFonts w:hint="default" w:ascii="_x000B__x000C_" w:hAnsi="_x000B__x000C_" w:eastAsia="_x000B__x000C_" w:cs="_x000B__x000C_"/>
          <w:snapToGrid w:val="0"/>
          <w:color w:val="auto"/>
          <w:kern w:val="2"/>
          <w:sz w:val="21"/>
          <w:szCs w:val="24"/>
          <w:highlight w:val="none"/>
          <w:lang w:val="en-US" w:eastAsia="zh-CN" w:bidi="ar"/>
        </w:rPr>
        <w:t xml:space="preserve"> </w:t>
      </w:r>
    </w:p>
    <w:p w14:paraId="60F59539">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六、本保函项下的基础交易不成立、不生效、无效、被撤销、被解除，不影响本保函的独立有效。</w:t>
      </w:r>
    </w:p>
    <w:p w14:paraId="66EEC9A4">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outlineLvl w:val="9"/>
        <w:rPr>
          <w:rFonts w:hint="default" w:ascii="_x000B__x000C_" w:hAnsi="_x000B__x000C_" w:eastAsia="_x000B__x000C_" w:cs="_x000B__x000C_"/>
          <w:color w:val="auto"/>
          <w:highlight w:val="none"/>
          <w:lang w:val="en-US"/>
        </w:rPr>
      </w:pPr>
      <w:bookmarkStart w:id="433" w:name="_Toc1234"/>
      <w:r>
        <w:rPr>
          <w:rFonts w:hint="eastAsia" w:ascii="_x000B__x000C_" w:hAnsi="_x000B__x000C_" w:eastAsia="宋体" w:cs="宋体"/>
          <w:snapToGrid w:val="0"/>
          <w:color w:val="auto"/>
          <w:kern w:val="2"/>
          <w:sz w:val="21"/>
          <w:szCs w:val="24"/>
          <w:highlight w:val="none"/>
          <w:lang w:val="en-US" w:eastAsia="zh-CN" w:bidi="ar"/>
        </w:rPr>
        <w:t>七、本保函项下的义务和责任均在保函有效期到期后自动消灭。</w:t>
      </w:r>
      <w:bookmarkEnd w:id="433"/>
      <w:r>
        <w:rPr>
          <w:rFonts w:hint="default" w:ascii="_x000B__x000C_" w:hAnsi="_x000B__x000C_" w:eastAsia="_x000B__x000C_" w:cs="_x000B__x000C_"/>
          <w:snapToGrid w:val="0"/>
          <w:color w:val="auto"/>
          <w:kern w:val="2"/>
          <w:sz w:val="21"/>
          <w:szCs w:val="24"/>
          <w:highlight w:val="none"/>
          <w:lang w:val="en-US" w:eastAsia="zh-CN" w:bidi="ar"/>
        </w:rPr>
        <w:t xml:space="preserve"> </w:t>
      </w:r>
    </w:p>
    <w:p w14:paraId="66606659">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八、本保函适用的法律为中华人民共和国法律，因本保函产生的纠纷案件，由受益人所在地人民法院管辖。</w:t>
      </w:r>
      <w:r>
        <w:rPr>
          <w:rFonts w:hint="default" w:ascii="_x000B__x000C_" w:hAnsi="_x000B__x000C_" w:eastAsia="_x000B__x000C_" w:cs="_x000B__x000C_"/>
          <w:snapToGrid w:val="0"/>
          <w:color w:val="auto"/>
          <w:kern w:val="2"/>
          <w:sz w:val="21"/>
          <w:szCs w:val="24"/>
          <w:highlight w:val="none"/>
          <w:lang w:val="en-US" w:eastAsia="zh-CN" w:bidi="ar"/>
        </w:rPr>
        <w:t xml:space="preserve"> </w:t>
      </w:r>
    </w:p>
    <w:p w14:paraId="75F636D3">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九、本保函自我方法定代表人或授权代表签字并加盖公章之日起生效。</w:t>
      </w:r>
      <w:r>
        <w:rPr>
          <w:rFonts w:hint="default" w:ascii="_x000B__x000C_" w:hAnsi="_x000B__x000C_" w:eastAsia="_x000B__x000C_" w:cs="_x000B__x000C_"/>
          <w:snapToGrid w:val="0"/>
          <w:color w:val="auto"/>
          <w:kern w:val="2"/>
          <w:sz w:val="21"/>
          <w:szCs w:val="24"/>
          <w:highlight w:val="none"/>
          <w:lang w:val="en-US" w:eastAsia="zh-CN" w:bidi="ar"/>
        </w:rPr>
        <w:t xml:space="preserve"> </w:t>
      </w:r>
    </w:p>
    <w:p w14:paraId="3778C3C1">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p>
    <w:p w14:paraId="333DB8EA">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开立人：</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（公章）</w:t>
      </w:r>
      <w:r>
        <w:rPr>
          <w:rFonts w:hint="default" w:ascii="_x000B__x000C_" w:hAnsi="_x000B__x000C_" w:eastAsia="_x000B__x000C_" w:cs="_x000B__x000C_"/>
          <w:snapToGrid w:val="0"/>
          <w:color w:val="auto"/>
          <w:kern w:val="2"/>
          <w:sz w:val="21"/>
          <w:szCs w:val="24"/>
          <w:highlight w:val="none"/>
          <w:lang w:val="en-US" w:eastAsia="zh-CN" w:bidi="ar"/>
        </w:rPr>
        <w:t xml:space="preserve"> </w:t>
      </w:r>
    </w:p>
    <w:p w14:paraId="55432B1E">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法定代表人（或授权代表）：</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（签字）</w:t>
      </w:r>
      <w:r>
        <w:rPr>
          <w:rFonts w:hint="default" w:ascii="_x000B__x000C_" w:hAnsi="_x000B__x000C_" w:eastAsia="_x000B__x000C_" w:cs="_x000B__x000C_"/>
          <w:snapToGrid w:val="0"/>
          <w:color w:val="auto"/>
          <w:kern w:val="2"/>
          <w:sz w:val="21"/>
          <w:szCs w:val="24"/>
          <w:highlight w:val="none"/>
          <w:lang w:val="en-US" w:eastAsia="zh-CN" w:bidi="ar"/>
        </w:rPr>
        <w:t xml:space="preserve"> </w:t>
      </w:r>
    </w:p>
    <w:p w14:paraId="1381F9A8">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地</w:t>
      </w:r>
      <w:r>
        <w:rPr>
          <w:rFonts w:hint="default" w:ascii="_x000B__x000C_" w:hAnsi="_x000B__x000C_" w:eastAsia="_x000B__x000C_" w:cs="_x000B__x000C_"/>
          <w:snapToGrid w:val="0"/>
          <w:color w:val="auto"/>
          <w:kern w:val="2"/>
          <w:sz w:val="21"/>
          <w:szCs w:val="24"/>
          <w:highlight w:val="non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址：</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default" w:ascii="_x000B__x000C_" w:hAnsi="_x000B__x000C_" w:eastAsia="_x000B__x000C_" w:cs="_x000B__x000C_"/>
          <w:snapToGrid w:val="0"/>
          <w:color w:val="auto"/>
          <w:kern w:val="2"/>
          <w:sz w:val="21"/>
          <w:szCs w:val="24"/>
          <w:highlight w:val="none"/>
          <w:lang w:val="en-US" w:eastAsia="zh-CN" w:bidi="ar"/>
        </w:rPr>
        <w:t xml:space="preserve"> </w:t>
      </w:r>
    </w:p>
    <w:p w14:paraId="0128F047">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邮政编码：</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p>
    <w:p w14:paraId="3C966046">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电</w:t>
      </w:r>
      <w:r>
        <w:rPr>
          <w:rFonts w:hint="default" w:ascii="_x000B__x000C_" w:hAnsi="_x000B__x000C_" w:eastAsia="_x000B__x000C_" w:cs="_x000B__x000C_"/>
          <w:snapToGrid w:val="0"/>
          <w:color w:val="auto"/>
          <w:kern w:val="2"/>
          <w:sz w:val="21"/>
          <w:szCs w:val="24"/>
          <w:highlight w:val="non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话：</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p>
    <w:p w14:paraId="10CC0FD1">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传</w:t>
      </w:r>
      <w:r>
        <w:rPr>
          <w:rFonts w:hint="default" w:ascii="_x000B__x000C_" w:hAnsi="_x000B__x000C_" w:eastAsia="_x000B__x000C_" w:cs="_x000B__x000C_"/>
          <w:snapToGrid w:val="0"/>
          <w:color w:val="auto"/>
          <w:kern w:val="2"/>
          <w:sz w:val="21"/>
          <w:szCs w:val="24"/>
          <w:highlight w:val="non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真：</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p>
    <w:p w14:paraId="22BF48AA">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开立时间：</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年</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月</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日</w:t>
      </w:r>
    </w:p>
    <w:p w14:paraId="47162BF4">
      <w:pPr>
        <w:keepNext w:val="0"/>
        <w:keepLines w:val="0"/>
        <w:widowControl w:val="0"/>
        <w:suppressLineNumbers w:val="0"/>
        <w:tabs>
          <w:tab w:val="left" w:pos="8422"/>
          <w:tab w:val="left" w:pos="9622"/>
        </w:tabs>
        <w:wordWrap w:val="0"/>
        <w:spacing w:before="0" w:beforeAutospacing="0" w:after="0" w:afterAutospacing="0" w:line="320" w:lineRule="exact"/>
        <w:ind w:left="0" w:right="105" w:rightChars="50"/>
        <w:jc w:val="left"/>
        <w:rPr>
          <w:rFonts w:hint="default" w:ascii="_x000B__x000C_" w:hAnsi="_x000B__x000C_" w:eastAsia="_x000B__x000C_" w:cs="_x000B__x000C_"/>
          <w:b/>
          <w:bCs w:val="0"/>
          <w:color w:val="auto"/>
          <w:highlight w:val="none"/>
          <w:lang w:val="en-US"/>
        </w:rPr>
      </w:pPr>
    </w:p>
    <w:p w14:paraId="3A93CA64">
      <w:pPr>
        <w:keepNext w:val="0"/>
        <w:keepLines w:val="0"/>
        <w:widowControl w:val="0"/>
        <w:suppressLineNumbers w:val="0"/>
        <w:tabs>
          <w:tab w:val="left" w:pos="8422"/>
          <w:tab w:val="left" w:pos="9622"/>
        </w:tabs>
        <w:wordWrap w:val="0"/>
        <w:spacing w:before="0" w:beforeAutospacing="0" w:after="0" w:afterAutospacing="0" w:line="320" w:lineRule="exact"/>
        <w:ind w:left="0" w:right="105" w:rightChars="50"/>
        <w:jc w:val="left"/>
        <w:rPr>
          <w:rFonts w:hint="default" w:ascii="_x000B__x000C_" w:hAnsi="_x000B__x000C_" w:eastAsia="_x000B__x000C_" w:cs="_x000B__x000C_"/>
          <w:color w:val="auto"/>
          <w:highlight w:val="none"/>
          <w:lang w:val="en-US"/>
        </w:rPr>
      </w:pPr>
    </w:p>
    <w:p w14:paraId="684CF3B5">
      <w:pPr>
        <w:keepNext w:val="0"/>
        <w:keepLines w:val="0"/>
        <w:widowControl w:val="0"/>
        <w:suppressLineNumbers w:val="0"/>
        <w:wordWrap w:val="0"/>
        <w:adjustRightInd w:val="0"/>
        <w:snapToGrid w:val="0"/>
        <w:spacing w:before="0" w:beforeAutospacing="0" w:after="0" w:afterAutospacing="0"/>
        <w:ind w:left="0" w:right="0" w:firstLine="420" w:firstLineChars="200"/>
        <w:jc w:val="left"/>
        <w:rPr>
          <w:rFonts w:cs="楷体"/>
          <w:bCs/>
          <w:snapToGrid w:val="0"/>
          <w:color w:val="auto"/>
          <w:highlight w:val="none"/>
          <w:lang w:val="en-US"/>
        </w:rPr>
      </w:pPr>
      <w:r>
        <w:rPr>
          <w:rFonts w:hint="eastAsia" w:ascii="Times New Roman" w:hAnsi="Times New Roman" w:eastAsia="宋体" w:cs="楷体"/>
          <w:bCs/>
          <w:snapToGrid w:val="0"/>
          <w:color w:val="auto"/>
          <w:kern w:val="2"/>
          <w:sz w:val="21"/>
          <w:szCs w:val="24"/>
          <w:highlight w:val="none"/>
          <w:lang w:val="en-US" w:eastAsia="zh-CN" w:bidi="ar"/>
        </w:rPr>
        <w:t>注：</w:t>
      </w:r>
    </w:p>
    <w:p w14:paraId="1B741FA3">
      <w:pPr>
        <w:keepNext w:val="0"/>
        <w:keepLines w:val="0"/>
        <w:widowControl w:val="0"/>
        <w:suppressLineNumbers w:val="0"/>
        <w:wordWrap w:val="0"/>
        <w:adjustRightInd w:val="0"/>
        <w:snapToGrid w:val="0"/>
        <w:spacing w:before="0" w:beforeAutospacing="0" w:after="0" w:afterAutospacing="0"/>
        <w:ind w:left="0" w:right="0" w:firstLine="420" w:firstLineChars="200"/>
        <w:jc w:val="left"/>
        <w:rPr>
          <w:rFonts w:cs="楷体"/>
          <w:bCs/>
          <w:snapToGrid w:val="0"/>
          <w:color w:val="auto"/>
          <w:highlight w:val="none"/>
          <w:lang w:val="en-US"/>
        </w:rPr>
      </w:pPr>
      <w:r>
        <w:rPr>
          <w:rFonts w:hint="default" w:ascii="Times New Roman" w:hAnsi="Times New Roman" w:eastAsia="宋体" w:cs="楷体"/>
          <w:bCs/>
          <w:snapToGrid w:val="0"/>
          <w:color w:val="auto"/>
          <w:kern w:val="2"/>
          <w:sz w:val="21"/>
          <w:szCs w:val="24"/>
          <w:highlight w:val="none"/>
          <w:lang w:val="en-US" w:eastAsia="zh-CN" w:bidi="ar"/>
        </w:rPr>
        <w:t>1.</w:t>
      </w:r>
      <w:r>
        <w:rPr>
          <w:rFonts w:hint="eastAsia" w:ascii="Times New Roman" w:hAnsi="Times New Roman" w:eastAsia="宋体" w:cs="楷体"/>
          <w:bCs/>
          <w:snapToGrid w:val="0"/>
          <w:color w:val="auto"/>
          <w:kern w:val="2"/>
          <w:sz w:val="21"/>
          <w:szCs w:val="24"/>
          <w:highlight w:val="none"/>
          <w:lang w:val="en-US" w:eastAsia="zh-CN" w:bidi="ar"/>
        </w:rPr>
        <w:t>允许投标人实际开具的银行保函或担保机构或保证保险机构出具的担保的格式与本文件提供的格式有所不同，但不得更改本文件提供的银行保函或担保格式中的实质性内容。</w:t>
      </w:r>
    </w:p>
    <w:p w14:paraId="5262A513">
      <w:pPr>
        <w:keepNext w:val="0"/>
        <w:keepLines w:val="0"/>
        <w:widowControl w:val="0"/>
        <w:suppressLineNumbers w:val="0"/>
        <w:wordWrap w:val="0"/>
        <w:adjustRightInd w:val="0"/>
        <w:snapToGrid w:val="0"/>
        <w:spacing w:before="0" w:beforeAutospacing="0" w:after="0" w:afterAutospacing="0"/>
        <w:ind w:left="0" w:right="0" w:firstLine="420" w:firstLineChars="200"/>
        <w:jc w:val="left"/>
        <w:rPr>
          <w:rFonts w:cs="楷体"/>
          <w:bCs/>
          <w:snapToGrid w:val="0"/>
          <w:color w:val="auto"/>
          <w:highlight w:val="none"/>
          <w:lang w:val="en-US"/>
        </w:rPr>
      </w:pPr>
      <w:r>
        <w:rPr>
          <w:rFonts w:hint="default" w:ascii="Times New Roman" w:hAnsi="Times New Roman" w:eastAsia="宋体" w:cs="楷体"/>
          <w:bCs/>
          <w:snapToGrid w:val="0"/>
          <w:color w:val="auto"/>
          <w:kern w:val="2"/>
          <w:sz w:val="21"/>
          <w:szCs w:val="24"/>
          <w:highlight w:val="none"/>
          <w:lang w:val="en-US" w:eastAsia="zh-CN" w:bidi="ar"/>
        </w:rPr>
        <w:t>2.</w:t>
      </w:r>
      <w:r>
        <w:rPr>
          <w:rFonts w:hint="eastAsia" w:ascii="Times New Roman" w:hAnsi="Times New Roman" w:eastAsia="宋体" w:cs="楷体"/>
          <w:bCs/>
          <w:snapToGrid w:val="0"/>
          <w:color w:val="auto"/>
          <w:kern w:val="2"/>
          <w:sz w:val="21"/>
          <w:szCs w:val="24"/>
          <w:highlight w:val="none"/>
          <w:lang w:val="en-US" w:eastAsia="zh-CN" w:bidi="ar"/>
        </w:rPr>
        <w:t>投标人开具的银行保函（或担保机构担保或保证保险）必须具有明确有效的查询途径（网址链接及查询方式）。</w:t>
      </w:r>
    </w:p>
    <w:p w14:paraId="7B92A1C1">
      <w:pPr>
        <w:spacing w:before="46" w:line="242" w:lineRule="auto"/>
        <w:ind w:left="3363"/>
        <w:outlineLvl w:val="9"/>
        <w:rPr>
          <w:rFonts w:ascii="宋体" w:hAnsi="宋体" w:eastAsia="宋体" w:cs="宋体"/>
          <w:color w:val="auto"/>
          <w:sz w:val="11"/>
          <w:szCs w:val="11"/>
          <w:highlight w:val="none"/>
        </w:rPr>
      </w:pPr>
      <w:r>
        <w:rPr>
          <w:rFonts w:hint="default" w:ascii="Times New Roman" w:hAnsi="Times New Roman" w:eastAsia="宋体" w:cs="Times New Roman"/>
          <w:color w:val="auto"/>
          <w:kern w:val="2"/>
          <w:sz w:val="21"/>
          <w:szCs w:val="24"/>
          <w:highlight w:val="none"/>
          <w:lang w:val="en-US" w:eastAsia="zh-CN" w:bidi="ar"/>
        </w:rPr>
        <w:br w:type="page"/>
      </w:r>
      <w:bookmarkStart w:id="434" w:name="_Toc15500"/>
      <w:r>
        <w:rPr>
          <w:rFonts w:ascii="宋体" w:hAnsi="宋体" w:eastAsia="宋体" w:cs="宋体"/>
          <w:b/>
          <w:bCs/>
          <w:color w:val="auto"/>
          <w:spacing w:val="-3"/>
          <w:sz w:val="21"/>
          <w:szCs w:val="21"/>
          <w:highlight w:val="none"/>
        </w:rPr>
        <w:t>（二）免缴投标保证金承诺函</w:t>
      </w:r>
      <w:bookmarkEnd w:id="434"/>
    </w:p>
    <w:p w14:paraId="1B1862AA">
      <w:pPr>
        <w:spacing w:line="463" w:lineRule="auto"/>
        <w:rPr>
          <w:rFonts w:ascii="Arial"/>
          <w:color w:val="auto"/>
          <w:sz w:val="21"/>
          <w:highlight w:val="none"/>
        </w:rPr>
      </w:pPr>
    </w:p>
    <w:p w14:paraId="71BECDEA">
      <w:pPr>
        <w:spacing w:before="68" w:line="221" w:lineRule="auto"/>
        <w:ind w:left="8"/>
        <w:outlineLvl w:val="9"/>
        <w:rPr>
          <w:rFonts w:ascii="宋体" w:hAnsi="宋体" w:eastAsia="宋体" w:cs="宋体"/>
          <w:color w:val="auto"/>
          <w:sz w:val="21"/>
          <w:szCs w:val="21"/>
          <w:highlight w:val="none"/>
        </w:rPr>
      </w:pPr>
      <w:bookmarkStart w:id="435" w:name="_Toc22116"/>
      <w:r>
        <w:rPr>
          <w:rFonts w:ascii="宋体" w:hAnsi="宋体" w:eastAsia="宋体" w:cs="宋体"/>
          <w:b/>
          <w:bCs/>
          <w:color w:val="auto"/>
          <w:spacing w:val="-8"/>
          <w:sz w:val="21"/>
          <w:szCs w:val="21"/>
          <w:highlight w:val="none"/>
        </w:rPr>
        <w:t>致：</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45"/>
          <w:sz w:val="21"/>
          <w:szCs w:val="21"/>
          <w:highlight w:val="none"/>
        </w:rPr>
        <w:t xml:space="preserve"> </w:t>
      </w:r>
      <w:r>
        <w:rPr>
          <w:rFonts w:ascii="宋体" w:hAnsi="宋体" w:eastAsia="宋体" w:cs="宋体"/>
          <w:b/>
          <w:bCs/>
          <w:color w:val="auto"/>
          <w:spacing w:val="-8"/>
          <w:sz w:val="21"/>
          <w:szCs w:val="21"/>
          <w:highlight w:val="none"/>
        </w:rPr>
        <w:t>(招标人名称)</w:t>
      </w:r>
      <w:bookmarkEnd w:id="435"/>
    </w:p>
    <w:p w14:paraId="5A859519">
      <w:pPr>
        <w:keepNext w:val="0"/>
        <w:keepLines w:val="0"/>
        <w:pageBreakBefore w:val="0"/>
        <w:widowControl/>
        <w:kinsoku w:val="0"/>
        <w:wordWrap/>
        <w:overflowPunct/>
        <w:topLinePunct w:val="0"/>
        <w:autoSpaceDE w:val="0"/>
        <w:autoSpaceDN w:val="0"/>
        <w:bidi w:val="0"/>
        <w:adjustRightInd w:val="0"/>
        <w:snapToGrid w:val="0"/>
        <w:spacing w:before="304" w:line="360" w:lineRule="auto"/>
        <w:ind w:left="9" w:firstLine="412" w:firstLineChars="200"/>
        <w:jc w:val="both"/>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按照招标文件的规定，我单位郑重承诺如下：</w:t>
      </w:r>
    </w:p>
    <w:p w14:paraId="0F675730">
      <w:pPr>
        <w:keepNext w:val="0"/>
        <w:keepLines w:val="0"/>
        <w:pageBreakBefore w:val="0"/>
        <w:widowControl/>
        <w:kinsoku w:val="0"/>
        <w:wordWrap/>
        <w:overflowPunct/>
        <w:topLinePunct w:val="0"/>
        <w:autoSpaceDE w:val="0"/>
        <w:autoSpaceDN w:val="0"/>
        <w:bidi w:val="0"/>
        <w:adjustRightInd w:val="0"/>
        <w:snapToGrid w:val="0"/>
        <w:spacing w:before="69" w:line="360" w:lineRule="auto"/>
        <w:ind w:left="7" w:right="103" w:firstLine="422"/>
        <w:jc w:val="both"/>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我单位将严格遵守《中华人民共和国招标投标法》等法律、法规和招标文件约定条款。如果存</w:t>
      </w:r>
      <w:r>
        <w:rPr>
          <w:rFonts w:ascii="宋体" w:hAnsi="宋体" w:eastAsia="宋体" w:cs="宋体"/>
          <w:color w:val="auto"/>
          <w:spacing w:val="-1"/>
          <w:sz w:val="21"/>
          <w:szCs w:val="21"/>
          <w:highlight w:val="none"/>
        </w:rPr>
        <w:t>在招标文件约定的投标保证金不予退还的情形，将于收到招标人书面通知</w:t>
      </w:r>
      <w:r>
        <w:rPr>
          <w:rFonts w:ascii="Times New Roman" w:hAnsi="Times New Roman" w:eastAsia="Times New Roman" w:cs="Times New Roman"/>
          <w:color w:val="auto"/>
          <w:spacing w:val="-1"/>
          <w:sz w:val="21"/>
          <w:szCs w:val="21"/>
          <w:highlight w:val="none"/>
        </w:rPr>
        <w:t>7</w:t>
      </w:r>
      <w:r>
        <w:rPr>
          <w:rFonts w:ascii="宋体" w:hAnsi="宋体" w:eastAsia="宋体" w:cs="宋体"/>
          <w:color w:val="auto"/>
          <w:spacing w:val="-1"/>
          <w:sz w:val="21"/>
          <w:szCs w:val="21"/>
          <w:highlight w:val="none"/>
        </w:rPr>
        <w:t>日内将招标文件约定</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的投标保证金足额缴纳至招标人指定账户。</w:t>
      </w:r>
    </w:p>
    <w:p w14:paraId="35181E7A">
      <w:pPr>
        <w:keepNext w:val="0"/>
        <w:keepLines w:val="0"/>
        <w:pageBreakBefore w:val="0"/>
        <w:widowControl/>
        <w:kinsoku w:val="0"/>
        <w:wordWrap/>
        <w:overflowPunct/>
        <w:topLinePunct w:val="0"/>
        <w:autoSpaceDE w:val="0"/>
        <w:autoSpaceDN w:val="0"/>
        <w:bidi w:val="0"/>
        <w:adjustRightInd w:val="0"/>
        <w:snapToGrid w:val="0"/>
        <w:spacing w:before="33" w:line="360" w:lineRule="auto"/>
        <w:ind w:left="429"/>
        <w:jc w:val="both"/>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我单位对上述承诺的真实性负责。如有虚假，我单位愿意承担弄虚作假法律责任。</w:t>
      </w:r>
    </w:p>
    <w:p w14:paraId="366851D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46A883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4A220C22">
      <w:pPr>
        <w:spacing w:line="288" w:lineRule="auto"/>
        <w:rPr>
          <w:rFonts w:ascii="Arial"/>
          <w:color w:val="auto"/>
          <w:sz w:val="21"/>
          <w:highlight w:val="none"/>
        </w:rPr>
      </w:pPr>
    </w:p>
    <w:p w14:paraId="2FE269E9">
      <w:pPr>
        <w:spacing w:line="288" w:lineRule="auto"/>
        <w:rPr>
          <w:rFonts w:ascii="Arial"/>
          <w:color w:val="auto"/>
          <w:sz w:val="21"/>
          <w:highlight w:val="none"/>
        </w:rPr>
      </w:pPr>
    </w:p>
    <w:p w14:paraId="72693595">
      <w:pPr>
        <w:spacing w:before="68" w:line="220" w:lineRule="auto"/>
        <w:ind w:right="13"/>
        <w:jc w:val="right"/>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投</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标</w:t>
      </w:r>
      <w:r>
        <w:rPr>
          <w:rFonts w:ascii="宋体" w:hAnsi="宋体" w:eastAsia="宋体" w:cs="宋体"/>
          <w:color w:val="auto"/>
          <w:spacing w:val="12"/>
          <w:sz w:val="21"/>
          <w:szCs w:val="21"/>
          <w:highlight w:val="none"/>
        </w:rPr>
        <w:t xml:space="preserve"> </w:t>
      </w:r>
      <w:r>
        <w:rPr>
          <w:rFonts w:ascii="宋体" w:hAnsi="宋体" w:eastAsia="宋体" w:cs="宋体"/>
          <w:b/>
          <w:bCs/>
          <w:color w:val="auto"/>
          <w:spacing w:val="-4"/>
          <w:sz w:val="21"/>
          <w:szCs w:val="21"/>
          <w:highlight w:val="none"/>
        </w:rPr>
        <w:t>人</w:t>
      </w:r>
      <w:r>
        <w:rPr>
          <w:rFonts w:ascii="宋体" w:hAnsi="宋体" w:eastAsia="宋体" w:cs="宋体"/>
          <w:b/>
          <w:bCs/>
          <w:color w:val="auto"/>
          <w:spacing w:val="-5"/>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b/>
          <w:bCs/>
          <w:color w:val="auto"/>
          <w:spacing w:val="-5"/>
          <w:sz w:val="21"/>
          <w:szCs w:val="21"/>
          <w:highlight w:val="none"/>
        </w:rPr>
        <w:t>（</w:t>
      </w:r>
      <w:r>
        <w:rPr>
          <w:rFonts w:ascii="宋体" w:hAnsi="宋体" w:eastAsia="宋体" w:cs="宋体"/>
          <w:b/>
          <w:bCs/>
          <w:color w:val="auto"/>
          <w:spacing w:val="-4"/>
          <w:sz w:val="21"/>
          <w:szCs w:val="21"/>
          <w:highlight w:val="none"/>
        </w:rPr>
        <w:t>盖单位章）</w:t>
      </w:r>
    </w:p>
    <w:p w14:paraId="3F91B46D">
      <w:pPr>
        <w:spacing w:before="263" w:line="221" w:lineRule="auto"/>
        <w:jc w:val="right"/>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日</w:t>
      </w:r>
      <w:r>
        <w:rPr>
          <w:rFonts w:ascii="宋体" w:hAnsi="宋体" w:eastAsia="宋体" w:cs="宋体"/>
          <w:color w:val="auto"/>
          <w:spacing w:val="12"/>
          <w:sz w:val="21"/>
          <w:szCs w:val="21"/>
          <w:highlight w:val="none"/>
        </w:rPr>
        <w:t xml:space="preserve"> </w:t>
      </w:r>
      <w:r>
        <w:rPr>
          <w:rFonts w:ascii="宋体" w:hAnsi="宋体" w:eastAsia="宋体" w:cs="宋体"/>
          <w:color w:val="auto"/>
          <w:spacing w:val="-20"/>
          <w:sz w:val="21"/>
          <w:szCs w:val="21"/>
          <w:highlight w:val="none"/>
        </w:rPr>
        <w:t>期：</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0"/>
          <w:sz w:val="21"/>
          <w:szCs w:val="21"/>
          <w:highlight w:val="none"/>
        </w:rPr>
        <w:t>年</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20"/>
          <w:sz w:val="21"/>
          <w:szCs w:val="21"/>
          <w:highlight w:val="none"/>
        </w:rPr>
        <w:t>月</w:t>
      </w:r>
      <w:r>
        <w:rPr>
          <w:rFonts w:ascii="宋体" w:hAnsi="宋体" w:eastAsia="宋体" w:cs="宋体"/>
          <w:color w:val="auto"/>
          <w:spacing w:val="34"/>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20"/>
          <w:sz w:val="21"/>
          <w:szCs w:val="21"/>
          <w:highlight w:val="none"/>
        </w:rPr>
        <w:t>日</w:t>
      </w:r>
    </w:p>
    <w:p w14:paraId="02691652">
      <w:pPr>
        <w:spacing w:line="244" w:lineRule="auto"/>
        <w:rPr>
          <w:rFonts w:ascii="Arial"/>
          <w:color w:val="auto"/>
          <w:sz w:val="21"/>
          <w:highlight w:val="none"/>
        </w:rPr>
      </w:pPr>
    </w:p>
    <w:p w14:paraId="1E148CE2">
      <w:pPr>
        <w:spacing w:line="244" w:lineRule="auto"/>
        <w:rPr>
          <w:rFonts w:ascii="Arial"/>
          <w:color w:val="auto"/>
          <w:sz w:val="21"/>
          <w:highlight w:val="none"/>
        </w:rPr>
      </w:pPr>
    </w:p>
    <w:p w14:paraId="0DC8A5D3">
      <w:pPr>
        <w:spacing w:line="244" w:lineRule="auto"/>
        <w:rPr>
          <w:rFonts w:ascii="Arial"/>
          <w:color w:val="auto"/>
          <w:sz w:val="21"/>
          <w:highlight w:val="none"/>
        </w:rPr>
      </w:pPr>
    </w:p>
    <w:p w14:paraId="22B91DD1">
      <w:pPr>
        <w:spacing w:line="244" w:lineRule="auto"/>
        <w:rPr>
          <w:rFonts w:ascii="Arial"/>
          <w:color w:val="auto"/>
          <w:sz w:val="21"/>
          <w:highlight w:val="none"/>
        </w:rPr>
      </w:pPr>
    </w:p>
    <w:p w14:paraId="3256D13E">
      <w:pPr>
        <w:spacing w:line="244" w:lineRule="auto"/>
        <w:rPr>
          <w:rFonts w:ascii="Arial"/>
          <w:color w:val="auto"/>
          <w:sz w:val="21"/>
          <w:highlight w:val="none"/>
        </w:rPr>
      </w:pPr>
    </w:p>
    <w:p w14:paraId="69B8F0B8">
      <w:pPr>
        <w:spacing w:line="244" w:lineRule="auto"/>
        <w:rPr>
          <w:rFonts w:ascii="Arial"/>
          <w:color w:val="auto"/>
          <w:sz w:val="21"/>
          <w:highlight w:val="none"/>
        </w:rPr>
      </w:pPr>
    </w:p>
    <w:p w14:paraId="262B8CF7">
      <w:pPr>
        <w:spacing w:line="244" w:lineRule="auto"/>
        <w:rPr>
          <w:rFonts w:ascii="Arial"/>
          <w:color w:val="auto"/>
          <w:sz w:val="21"/>
          <w:highlight w:val="none"/>
        </w:rPr>
      </w:pPr>
    </w:p>
    <w:p w14:paraId="0A746A24">
      <w:pPr>
        <w:spacing w:line="244" w:lineRule="auto"/>
        <w:rPr>
          <w:rFonts w:ascii="Arial"/>
          <w:color w:val="auto"/>
          <w:sz w:val="21"/>
          <w:highlight w:val="none"/>
        </w:rPr>
      </w:pPr>
    </w:p>
    <w:p w14:paraId="08020372">
      <w:pPr>
        <w:spacing w:line="244" w:lineRule="auto"/>
        <w:rPr>
          <w:rFonts w:ascii="Arial"/>
          <w:color w:val="auto"/>
          <w:sz w:val="21"/>
          <w:highlight w:val="none"/>
        </w:rPr>
      </w:pPr>
    </w:p>
    <w:p w14:paraId="76871F73">
      <w:pPr>
        <w:spacing w:line="244" w:lineRule="auto"/>
        <w:rPr>
          <w:rFonts w:ascii="Arial"/>
          <w:color w:val="auto"/>
          <w:sz w:val="21"/>
          <w:highlight w:val="none"/>
        </w:rPr>
      </w:pPr>
    </w:p>
    <w:p w14:paraId="5DEA0028">
      <w:pPr>
        <w:spacing w:line="244" w:lineRule="auto"/>
        <w:rPr>
          <w:rFonts w:ascii="Arial"/>
          <w:color w:val="auto"/>
          <w:sz w:val="21"/>
          <w:highlight w:val="none"/>
        </w:rPr>
      </w:pPr>
    </w:p>
    <w:p w14:paraId="3999114B">
      <w:pPr>
        <w:spacing w:line="244" w:lineRule="auto"/>
        <w:rPr>
          <w:rFonts w:ascii="Arial"/>
          <w:color w:val="auto"/>
          <w:sz w:val="21"/>
          <w:highlight w:val="none"/>
        </w:rPr>
      </w:pPr>
    </w:p>
    <w:p w14:paraId="3AB18217">
      <w:pPr>
        <w:spacing w:line="244" w:lineRule="auto"/>
        <w:rPr>
          <w:rFonts w:ascii="Arial"/>
          <w:color w:val="auto"/>
          <w:sz w:val="21"/>
          <w:highlight w:val="none"/>
        </w:rPr>
      </w:pPr>
    </w:p>
    <w:p w14:paraId="60DB4F8F">
      <w:pPr>
        <w:spacing w:line="244" w:lineRule="auto"/>
        <w:rPr>
          <w:rFonts w:ascii="Arial"/>
          <w:color w:val="auto"/>
          <w:sz w:val="21"/>
          <w:highlight w:val="none"/>
        </w:rPr>
      </w:pPr>
    </w:p>
    <w:p w14:paraId="704E214A">
      <w:pPr>
        <w:spacing w:line="244" w:lineRule="auto"/>
        <w:rPr>
          <w:rFonts w:ascii="Arial"/>
          <w:color w:val="auto"/>
          <w:sz w:val="21"/>
          <w:highlight w:val="none"/>
        </w:rPr>
      </w:pPr>
    </w:p>
    <w:p w14:paraId="36771195">
      <w:pPr>
        <w:spacing w:line="244" w:lineRule="auto"/>
        <w:rPr>
          <w:rFonts w:ascii="Arial"/>
          <w:color w:val="auto"/>
          <w:sz w:val="21"/>
          <w:highlight w:val="none"/>
        </w:rPr>
      </w:pPr>
    </w:p>
    <w:p w14:paraId="0E91247D">
      <w:pPr>
        <w:spacing w:line="244" w:lineRule="auto"/>
        <w:rPr>
          <w:rFonts w:ascii="Arial"/>
          <w:color w:val="auto"/>
          <w:sz w:val="21"/>
          <w:highlight w:val="none"/>
        </w:rPr>
      </w:pPr>
    </w:p>
    <w:p w14:paraId="2F31C89F">
      <w:pPr>
        <w:spacing w:line="244" w:lineRule="auto"/>
        <w:rPr>
          <w:rFonts w:ascii="Arial"/>
          <w:color w:val="auto"/>
          <w:sz w:val="21"/>
          <w:highlight w:val="none"/>
        </w:rPr>
      </w:pPr>
    </w:p>
    <w:p w14:paraId="333E4939">
      <w:pPr>
        <w:spacing w:line="244" w:lineRule="auto"/>
        <w:rPr>
          <w:rFonts w:ascii="Arial"/>
          <w:color w:val="auto"/>
          <w:sz w:val="21"/>
          <w:highlight w:val="none"/>
        </w:rPr>
      </w:pPr>
    </w:p>
    <w:p w14:paraId="4EF7A242">
      <w:pPr>
        <w:spacing w:line="244" w:lineRule="auto"/>
        <w:rPr>
          <w:rFonts w:ascii="Arial"/>
          <w:color w:val="auto"/>
          <w:sz w:val="21"/>
          <w:highlight w:val="none"/>
        </w:rPr>
      </w:pPr>
    </w:p>
    <w:p w14:paraId="405CC374">
      <w:pPr>
        <w:spacing w:line="244" w:lineRule="auto"/>
        <w:rPr>
          <w:rFonts w:ascii="Arial"/>
          <w:color w:val="auto"/>
          <w:sz w:val="21"/>
          <w:highlight w:val="none"/>
        </w:rPr>
      </w:pPr>
    </w:p>
    <w:p w14:paraId="3FD59F03">
      <w:pPr>
        <w:spacing w:line="244" w:lineRule="auto"/>
        <w:rPr>
          <w:rFonts w:ascii="Arial"/>
          <w:color w:val="auto"/>
          <w:sz w:val="21"/>
          <w:highlight w:val="none"/>
        </w:rPr>
      </w:pPr>
    </w:p>
    <w:p w14:paraId="3506D709">
      <w:pPr>
        <w:spacing w:line="244" w:lineRule="auto"/>
        <w:rPr>
          <w:rFonts w:ascii="Arial"/>
          <w:color w:val="auto"/>
          <w:sz w:val="21"/>
          <w:highlight w:val="none"/>
        </w:rPr>
      </w:pPr>
    </w:p>
    <w:p w14:paraId="5F8D1894">
      <w:pPr>
        <w:spacing w:line="244" w:lineRule="auto"/>
        <w:rPr>
          <w:rFonts w:ascii="Arial"/>
          <w:color w:val="auto"/>
          <w:sz w:val="21"/>
          <w:highlight w:val="none"/>
        </w:rPr>
      </w:pPr>
    </w:p>
    <w:p w14:paraId="24091B9C">
      <w:pPr>
        <w:spacing w:line="244" w:lineRule="auto"/>
        <w:rPr>
          <w:rFonts w:ascii="Arial"/>
          <w:color w:val="auto"/>
          <w:sz w:val="21"/>
          <w:highlight w:val="none"/>
        </w:rPr>
      </w:pPr>
    </w:p>
    <w:p w14:paraId="2E2D0F2B">
      <w:pPr>
        <w:spacing w:line="244" w:lineRule="auto"/>
        <w:rPr>
          <w:rFonts w:ascii="Arial"/>
          <w:color w:val="auto"/>
          <w:sz w:val="21"/>
          <w:highlight w:val="none"/>
        </w:rPr>
      </w:pPr>
    </w:p>
    <w:p w14:paraId="6D37416A">
      <w:pPr>
        <w:spacing w:line="244" w:lineRule="auto"/>
        <w:rPr>
          <w:rFonts w:ascii="Arial"/>
          <w:color w:val="auto"/>
          <w:sz w:val="21"/>
          <w:highlight w:val="none"/>
        </w:rPr>
      </w:pPr>
    </w:p>
    <w:p w14:paraId="2D6039FF">
      <w:pPr>
        <w:spacing w:line="244" w:lineRule="auto"/>
        <w:rPr>
          <w:rFonts w:ascii="Arial"/>
          <w:color w:val="auto"/>
          <w:sz w:val="21"/>
          <w:highlight w:val="none"/>
        </w:rPr>
      </w:pPr>
    </w:p>
    <w:p w14:paraId="6DEDE672">
      <w:pPr>
        <w:spacing w:line="244" w:lineRule="auto"/>
        <w:rPr>
          <w:rFonts w:ascii="Arial"/>
          <w:color w:val="auto"/>
          <w:sz w:val="21"/>
          <w:highlight w:val="none"/>
        </w:rPr>
      </w:pPr>
    </w:p>
    <w:p w14:paraId="1F662989">
      <w:pPr>
        <w:spacing w:line="244" w:lineRule="auto"/>
        <w:rPr>
          <w:rFonts w:ascii="Arial"/>
          <w:color w:val="auto"/>
          <w:sz w:val="21"/>
          <w:highlight w:val="none"/>
        </w:rPr>
      </w:pPr>
    </w:p>
    <w:p w14:paraId="5AF3F76E">
      <w:pPr>
        <w:spacing w:line="244" w:lineRule="auto"/>
        <w:rPr>
          <w:rFonts w:ascii="Arial"/>
          <w:color w:val="auto"/>
          <w:sz w:val="21"/>
          <w:highlight w:val="none"/>
        </w:rPr>
      </w:pPr>
    </w:p>
    <w:p w14:paraId="64D44B39">
      <w:pPr>
        <w:spacing w:line="244" w:lineRule="auto"/>
        <w:rPr>
          <w:rFonts w:ascii="Arial"/>
          <w:color w:val="auto"/>
          <w:sz w:val="21"/>
          <w:highlight w:val="none"/>
        </w:rPr>
      </w:pPr>
    </w:p>
    <w:p w14:paraId="1B85B61A">
      <w:pPr>
        <w:spacing w:line="244" w:lineRule="auto"/>
        <w:rPr>
          <w:rFonts w:ascii="Arial"/>
          <w:color w:val="auto"/>
          <w:sz w:val="21"/>
          <w:highlight w:val="none"/>
        </w:rPr>
      </w:pPr>
    </w:p>
    <w:p w14:paraId="2EB22DD4">
      <w:pPr>
        <w:spacing w:line="244" w:lineRule="auto"/>
        <w:rPr>
          <w:rFonts w:ascii="Arial"/>
          <w:color w:val="auto"/>
          <w:sz w:val="21"/>
          <w:highlight w:val="none"/>
        </w:rPr>
      </w:pPr>
    </w:p>
    <w:p w14:paraId="62FFDC4A">
      <w:pPr>
        <w:spacing w:line="244" w:lineRule="auto"/>
        <w:rPr>
          <w:rFonts w:ascii="Arial"/>
          <w:color w:val="auto"/>
          <w:sz w:val="21"/>
          <w:highlight w:val="none"/>
        </w:rPr>
      </w:pPr>
    </w:p>
    <w:p w14:paraId="3D388028">
      <w:pPr>
        <w:spacing w:line="245" w:lineRule="auto"/>
        <w:rPr>
          <w:rFonts w:ascii="Arial"/>
          <w:color w:val="auto"/>
          <w:sz w:val="21"/>
          <w:highlight w:val="none"/>
        </w:rPr>
      </w:pPr>
    </w:p>
    <w:p w14:paraId="5BDDE6F4">
      <w:pPr>
        <w:spacing w:before="63" w:line="224" w:lineRule="auto"/>
        <w:ind w:left="2578"/>
        <w:outlineLvl w:val="2"/>
        <w:rPr>
          <w:rFonts w:ascii="宋体" w:hAnsi="宋体" w:eastAsia="宋体" w:cs="宋体"/>
          <w:color w:val="auto"/>
          <w:sz w:val="31"/>
          <w:szCs w:val="31"/>
          <w:highlight w:val="none"/>
        </w:rPr>
      </w:pPr>
      <w:bookmarkStart w:id="436" w:name="bookmark293"/>
      <w:bookmarkEnd w:id="436"/>
      <w:bookmarkStart w:id="437" w:name="_Toc30365"/>
      <w:r>
        <w:rPr>
          <w:rFonts w:ascii="宋体" w:hAnsi="宋体" w:eastAsia="宋体" w:cs="宋体"/>
          <w:b/>
          <w:bCs/>
          <w:color w:val="auto"/>
          <w:spacing w:val="5"/>
          <w:sz w:val="31"/>
          <w:szCs w:val="31"/>
          <w:highlight w:val="none"/>
        </w:rPr>
        <w:t>五、已标价工程量清单</w:t>
      </w:r>
      <w:bookmarkEnd w:id="437"/>
    </w:p>
    <w:p w14:paraId="4D69C1CD">
      <w:pPr>
        <w:spacing w:line="252" w:lineRule="auto"/>
        <w:rPr>
          <w:rFonts w:ascii="Arial"/>
          <w:color w:val="auto"/>
          <w:sz w:val="21"/>
          <w:highlight w:val="none"/>
        </w:rPr>
      </w:pPr>
    </w:p>
    <w:p w14:paraId="40C4CA92">
      <w:pPr>
        <w:keepNext w:val="0"/>
        <w:keepLines w:val="0"/>
        <w:widowControl w:val="0"/>
        <w:suppressLineNumbers w:val="0"/>
        <w:spacing w:before="0" w:beforeAutospacing="0" w:after="0" w:afterAutospacing="0" w:line="360" w:lineRule="auto"/>
        <w:ind w:left="0" w:right="0" w:firstLine="675" w:firstLineChars="240"/>
        <w:jc w:val="center"/>
        <w:rPr>
          <w:color w:val="auto"/>
          <w:highlight w:val="none"/>
          <w:lang w:val="en-US"/>
        </w:rPr>
      </w:pPr>
      <w:r>
        <w:rPr>
          <w:rFonts w:hint="eastAsia" w:ascii="Times New Roman" w:hAnsi="Times New Roman" w:eastAsia="宋体" w:cs="宋体"/>
          <w:b/>
          <w:bCs/>
          <w:snapToGrid w:val="0"/>
          <w:color w:val="auto"/>
          <w:kern w:val="2"/>
          <w:sz w:val="28"/>
          <w:szCs w:val="28"/>
          <w:highlight w:val="none"/>
          <w:lang w:val="en-US" w:eastAsia="zh-CN" w:bidi="ar"/>
        </w:rPr>
        <w:t>请投标人自行登录系统下载本项目附件，工程量清单格式和内容以招标人提供的工程量清单为准。</w:t>
      </w:r>
    </w:p>
    <w:p w14:paraId="7CF2A6B9">
      <w:pPr>
        <w:spacing w:before="64" w:line="226" w:lineRule="auto"/>
        <w:ind w:left="3536"/>
        <w:rPr>
          <w:rFonts w:ascii="宋体" w:hAnsi="宋体" w:eastAsia="宋体" w:cs="宋体"/>
          <w:b/>
          <w:bCs/>
          <w:color w:val="auto"/>
          <w:spacing w:val="5"/>
          <w:sz w:val="31"/>
          <w:szCs w:val="31"/>
          <w:highlight w:val="none"/>
        </w:rPr>
      </w:pPr>
      <w:bookmarkStart w:id="438" w:name="bookmark294"/>
      <w:bookmarkEnd w:id="438"/>
    </w:p>
    <w:p w14:paraId="53662783">
      <w:pPr>
        <w:spacing w:before="64" w:line="226" w:lineRule="auto"/>
        <w:ind w:left="3536"/>
        <w:rPr>
          <w:rFonts w:ascii="宋体" w:hAnsi="宋体" w:eastAsia="宋体" w:cs="宋体"/>
          <w:b/>
          <w:bCs/>
          <w:color w:val="auto"/>
          <w:spacing w:val="5"/>
          <w:sz w:val="31"/>
          <w:szCs w:val="31"/>
          <w:highlight w:val="none"/>
        </w:rPr>
      </w:pPr>
    </w:p>
    <w:p w14:paraId="7A773DC6">
      <w:pPr>
        <w:spacing w:before="64" w:line="226" w:lineRule="auto"/>
        <w:ind w:left="3536"/>
        <w:rPr>
          <w:rFonts w:ascii="宋体" w:hAnsi="宋体" w:eastAsia="宋体" w:cs="宋体"/>
          <w:b/>
          <w:bCs/>
          <w:color w:val="auto"/>
          <w:spacing w:val="5"/>
          <w:sz w:val="31"/>
          <w:szCs w:val="31"/>
          <w:highlight w:val="none"/>
        </w:rPr>
      </w:pPr>
    </w:p>
    <w:p w14:paraId="489918E0">
      <w:pPr>
        <w:spacing w:before="64" w:line="226" w:lineRule="auto"/>
        <w:ind w:left="3536"/>
        <w:rPr>
          <w:rFonts w:ascii="宋体" w:hAnsi="宋体" w:eastAsia="宋体" w:cs="宋体"/>
          <w:b/>
          <w:bCs/>
          <w:color w:val="auto"/>
          <w:spacing w:val="5"/>
          <w:sz w:val="31"/>
          <w:szCs w:val="31"/>
          <w:highlight w:val="none"/>
        </w:rPr>
      </w:pPr>
    </w:p>
    <w:p w14:paraId="0070CD30">
      <w:pPr>
        <w:spacing w:before="64" w:line="226" w:lineRule="auto"/>
        <w:ind w:left="3536"/>
        <w:rPr>
          <w:rFonts w:ascii="宋体" w:hAnsi="宋体" w:eastAsia="宋体" w:cs="宋体"/>
          <w:b/>
          <w:bCs/>
          <w:color w:val="auto"/>
          <w:spacing w:val="5"/>
          <w:sz w:val="31"/>
          <w:szCs w:val="31"/>
          <w:highlight w:val="none"/>
        </w:rPr>
      </w:pPr>
    </w:p>
    <w:p w14:paraId="7EFF4AB4">
      <w:pPr>
        <w:spacing w:before="64" w:line="226" w:lineRule="auto"/>
        <w:ind w:left="3536"/>
        <w:rPr>
          <w:rFonts w:ascii="宋体" w:hAnsi="宋体" w:eastAsia="宋体" w:cs="宋体"/>
          <w:b/>
          <w:bCs/>
          <w:color w:val="auto"/>
          <w:spacing w:val="5"/>
          <w:sz w:val="31"/>
          <w:szCs w:val="31"/>
          <w:highlight w:val="none"/>
        </w:rPr>
      </w:pPr>
    </w:p>
    <w:p w14:paraId="5FD05825">
      <w:pPr>
        <w:spacing w:before="64" w:line="226" w:lineRule="auto"/>
        <w:ind w:left="3536"/>
        <w:rPr>
          <w:rFonts w:ascii="宋体" w:hAnsi="宋体" w:eastAsia="宋体" w:cs="宋体"/>
          <w:b/>
          <w:bCs/>
          <w:color w:val="auto"/>
          <w:spacing w:val="5"/>
          <w:sz w:val="31"/>
          <w:szCs w:val="31"/>
          <w:highlight w:val="none"/>
        </w:rPr>
      </w:pPr>
    </w:p>
    <w:p w14:paraId="76402F57">
      <w:pPr>
        <w:spacing w:before="64" w:line="226" w:lineRule="auto"/>
        <w:ind w:left="3536"/>
        <w:rPr>
          <w:rFonts w:ascii="宋体" w:hAnsi="宋体" w:eastAsia="宋体" w:cs="宋体"/>
          <w:b/>
          <w:bCs/>
          <w:color w:val="auto"/>
          <w:spacing w:val="5"/>
          <w:sz w:val="31"/>
          <w:szCs w:val="31"/>
          <w:highlight w:val="none"/>
        </w:rPr>
      </w:pPr>
    </w:p>
    <w:p w14:paraId="433F8A8F">
      <w:pPr>
        <w:spacing w:before="64" w:line="226" w:lineRule="auto"/>
        <w:ind w:left="3536"/>
        <w:rPr>
          <w:rFonts w:ascii="宋体" w:hAnsi="宋体" w:eastAsia="宋体" w:cs="宋体"/>
          <w:b/>
          <w:bCs/>
          <w:color w:val="auto"/>
          <w:spacing w:val="5"/>
          <w:sz w:val="31"/>
          <w:szCs w:val="31"/>
          <w:highlight w:val="none"/>
        </w:rPr>
      </w:pPr>
    </w:p>
    <w:p w14:paraId="461B1DDB">
      <w:pPr>
        <w:spacing w:before="64" w:line="226" w:lineRule="auto"/>
        <w:ind w:left="3536"/>
        <w:rPr>
          <w:rFonts w:ascii="宋体" w:hAnsi="宋体" w:eastAsia="宋体" w:cs="宋体"/>
          <w:b/>
          <w:bCs/>
          <w:color w:val="auto"/>
          <w:spacing w:val="5"/>
          <w:sz w:val="31"/>
          <w:szCs w:val="31"/>
          <w:highlight w:val="none"/>
        </w:rPr>
      </w:pPr>
    </w:p>
    <w:p w14:paraId="0A9887EB">
      <w:pPr>
        <w:spacing w:before="64" w:line="226" w:lineRule="auto"/>
        <w:ind w:left="3536"/>
        <w:rPr>
          <w:rFonts w:ascii="宋体" w:hAnsi="宋体" w:eastAsia="宋体" w:cs="宋体"/>
          <w:b/>
          <w:bCs/>
          <w:color w:val="auto"/>
          <w:spacing w:val="5"/>
          <w:sz w:val="31"/>
          <w:szCs w:val="31"/>
          <w:highlight w:val="none"/>
        </w:rPr>
      </w:pPr>
    </w:p>
    <w:p w14:paraId="5BE0BB5D">
      <w:pPr>
        <w:spacing w:before="64" w:line="226" w:lineRule="auto"/>
        <w:ind w:left="3536"/>
        <w:rPr>
          <w:rFonts w:ascii="宋体" w:hAnsi="宋体" w:eastAsia="宋体" w:cs="宋体"/>
          <w:b/>
          <w:bCs/>
          <w:color w:val="auto"/>
          <w:spacing w:val="5"/>
          <w:sz w:val="31"/>
          <w:szCs w:val="31"/>
          <w:highlight w:val="none"/>
        </w:rPr>
      </w:pPr>
    </w:p>
    <w:p w14:paraId="489A18FD">
      <w:pPr>
        <w:spacing w:before="64" w:line="226" w:lineRule="auto"/>
        <w:ind w:left="3536"/>
        <w:rPr>
          <w:rFonts w:ascii="宋体" w:hAnsi="宋体" w:eastAsia="宋体" w:cs="宋体"/>
          <w:b/>
          <w:bCs/>
          <w:color w:val="auto"/>
          <w:spacing w:val="5"/>
          <w:sz w:val="31"/>
          <w:szCs w:val="31"/>
          <w:highlight w:val="none"/>
        </w:rPr>
      </w:pPr>
    </w:p>
    <w:p w14:paraId="06DD516A">
      <w:pPr>
        <w:spacing w:before="64" w:line="226" w:lineRule="auto"/>
        <w:ind w:left="3536"/>
        <w:rPr>
          <w:rFonts w:ascii="宋体" w:hAnsi="宋体" w:eastAsia="宋体" w:cs="宋体"/>
          <w:b/>
          <w:bCs/>
          <w:color w:val="auto"/>
          <w:spacing w:val="5"/>
          <w:sz w:val="31"/>
          <w:szCs w:val="31"/>
          <w:highlight w:val="none"/>
        </w:rPr>
      </w:pPr>
    </w:p>
    <w:p w14:paraId="380EA2BD">
      <w:pPr>
        <w:spacing w:before="64" w:line="226" w:lineRule="auto"/>
        <w:ind w:left="3536"/>
        <w:rPr>
          <w:rFonts w:ascii="宋体" w:hAnsi="宋体" w:eastAsia="宋体" w:cs="宋体"/>
          <w:b/>
          <w:bCs/>
          <w:color w:val="auto"/>
          <w:spacing w:val="5"/>
          <w:sz w:val="31"/>
          <w:szCs w:val="31"/>
          <w:highlight w:val="none"/>
        </w:rPr>
      </w:pPr>
    </w:p>
    <w:p w14:paraId="343E7392">
      <w:pPr>
        <w:spacing w:before="64" w:line="226" w:lineRule="auto"/>
        <w:ind w:left="3536"/>
        <w:rPr>
          <w:rFonts w:ascii="宋体" w:hAnsi="宋体" w:eastAsia="宋体" w:cs="宋体"/>
          <w:b/>
          <w:bCs/>
          <w:color w:val="auto"/>
          <w:spacing w:val="5"/>
          <w:sz w:val="31"/>
          <w:szCs w:val="31"/>
          <w:highlight w:val="none"/>
        </w:rPr>
      </w:pPr>
    </w:p>
    <w:p w14:paraId="0111DE1B">
      <w:pPr>
        <w:spacing w:before="64" w:line="226" w:lineRule="auto"/>
        <w:ind w:left="3536"/>
        <w:rPr>
          <w:rFonts w:ascii="宋体" w:hAnsi="宋体" w:eastAsia="宋体" w:cs="宋体"/>
          <w:b/>
          <w:bCs/>
          <w:color w:val="auto"/>
          <w:spacing w:val="5"/>
          <w:sz w:val="31"/>
          <w:szCs w:val="31"/>
          <w:highlight w:val="none"/>
        </w:rPr>
      </w:pPr>
    </w:p>
    <w:p w14:paraId="4533DBA8">
      <w:pPr>
        <w:spacing w:before="64" w:line="226" w:lineRule="auto"/>
        <w:ind w:left="3536"/>
        <w:rPr>
          <w:rFonts w:ascii="宋体" w:hAnsi="宋体" w:eastAsia="宋体" w:cs="宋体"/>
          <w:b/>
          <w:bCs/>
          <w:color w:val="auto"/>
          <w:spacing w:val="5"/>
          <w:sz w:val="31"/>
          <w:szCs w:val="31"/>
          <w:highlight w:val="none"/>
        </w:rPr>
      </w:pPr>
    </w:p>
    <w:p w14:paraId="49A47686">
      <w:pPr>
        <w:spacing w:before="64" w:line="226" w:lineRule="auto"/>
        <w:ind w:left="3536"/>
        <w:rPr>
          <w:rFonts w:ascii="宋体" w:hAnsi="宋体" w:eastAsia="宋体" w:cs="宋体"/>
          <w:b/>
          <w:bCs/>
          <w:color w:val="auto"/>
          <w:spacing w:val="5"/>
          <w:sz w:val="31"/>
          <w:szCs w:val="31"/>
          <w:highlight w:val="none"/>
        </w:rPr>
      </w:pPr>
    </w:p>
    <w:p w14:paraId="071CB173">
      <w:pPr>
        <w:spacing w:before="64" w:line="226" w:lineRule="auto"/>
        <w:ind w:left="3536"/>
        <w:rPr>
          <w:rFonts w:ascii="宋体" w:hAnsi="宋体" w:eastAsia="宋体" w:cs="宋体"/>
          <w:b/>
          <w:bCs/>
          <w:color w:val="auto"/>
          <w:spacing w:val="5"/>
          <w:sz w:val="31"/>
          <w:szCs w:val="31"/>
          <w:highlight w:val="none"/>
        </w:rPr>
      </w:pPr>
    </w:p>
    <w:p w14:paraId="41ABCEF3">
      <w:pPr>
        <w:spacing w:before="64" w:line="226" w:lineRule="auto"/>
        <w:ind w:left="3536"/>
        <w:rPr>
          <w:rFonts w:ascii="宋体" w:hAnsi="宋体" w:eastAsia="宋体" w:cs="宋体"/>
          <w:b/>
          <w:bCs/>
          <w:color w:val="auto"/>
          <w:spacing w:val="5"/>
          <w:sz w:val="31"/>
          <w:szCs w:val="31"/>
          <w:highlight w:val="none"/>
        </w:rPr>
      </w:pPr>
    </w:p>
    <w:p w14:paraId="09CFF2C2">
      <w:pPr>
        <w:spacing w:before="64" w:line="226" w:lineRule="auto"/>
        <w:ind w:left="3536"/>
        <w:rPr>
          <w:rFonts w:ascii="宋体" w:hAnsi="宋体" w:eastAsia="宋体" w:cs="宋体"/>
          <w:b/>
          <w:bCs/>
          <w:color w:val="auto"/>
          <w:spacing w:val="5"/>
          <w:sz w:val="31"/>
          <w:szCs w:val="31"/>
          <w:highlight w:val="none"/>
        </w:rPr>
      </w:pPr>
    </w:p>
    <w:p w14:paraId="4AD52F0F">
      <w:pPr>
        <w:spacing w:before="64" w:line="226" w:lineRule="auto"/>
        <w:ind w:left="3536"/>
        <w:rPr>
          <w:rFonts w:ascii="宋体" w:hAnsi="宋体" w:eastAsia="宋体" w:cs="宋体"/>
          <w:b/>
          <w:bCs/>
          <w:color w:val="auto"/>
          <w:spacing w:val="5"/>
          <w:sz w:val="31"/>
          <w:szCs w:val="31"/>
          <w:highlight w:val="none"/>
        </w:rPr>
      </w:pPr>
    </w:p>
    <w:p w14:paraId="14492DDE">
      <w:pPr>
        <w:spacing w:before="64" w:line="226" w:lineRule="auto"/>
        <w:ind w:left="3536"/>
        <w:rPr>
          <w:rFonts w:ascii="宋体" w:hAnsi="宋体" w:eastAsia="宋体" w:cs="宋体"/>
          <w:b/>
          <w:bCs/>
          <w:color w:val="auto"/>
          <w:spacing w:val="5"/>
          <w:sz w:val="31"/>
          <w:szCs w:val="31"/>
          <w:highlight w:val="none"/>
        </w:rPr>
      </w:pPr>
    </w:p>
    <w:p w14:paraId="47900F9F">
      <w:pPr>
        <w:spacing w:before="64" w:line="226" w:lineRule="auto"/>
        <w:ind w:left="3536"/>
        <w:rPr>
          <w:rFonts w:ascii="宋体" w:hAnsi="宋体" w:eastAsia="宋体" w:cs="宋体"/>
          <w:b/>
          <w:bCs/>
          <w:color w:val="auto"/>
          <w:spacing w:val="5"/>
          <w:sz w:val="31"/>
          <w:szCs w:val="31"/>
          <w:highlight w:val="none"/>
        </w:rPr>
      </w:pPr>
    </w:p>
    <w:p w14:paraId="134DC223">
      <w:pPr>
        <w:spacing w:before="64" w:line="226" w:lineRule="auto"/>
        <w:ind w:left="3536"/>
        <w:jc w:val="both"/>
        <w:outlineLvl w:val="2"/>
        <w:rPr>
          <w:rFonts w:ascii="宋体" w:hAnsi="宋体" w:eastAsia="宋体" w:cs="宋体"/>
          <w:color w:val="auto"/>
          <w:sz w:val="31"/>
          <w:szCs w:val="31"/>
          <w:highlight w:val="none"/>
        </w:rPr>
      </w:pPr>
      <w:bookmarkStart w:id="439" w:name="_Toc21615"/>
      <w:r>
        <w:rPr>
          <w:rFonts w:ascii="宋体" w:hAnsi="宋体" w:eastAsia="宋体" w:cs="宋体"/>
          <w:b/>
          <w:bCs/>
          <w:color w:val="auto"/>
          <w:spacing w:val="5"/>
          <w:sz w:val="31"/>
          <w:szCs w:val="31"/>
          <w:highlight w:val="none"/>
        </w:rPr>
        <w:t>六、施工组织设计</w:t>
      </w:r>
      <w:bookmarkEnd w:id="439"/>
    </w:p>
    <w:p w14:paraId="16EFD0A9">
      <w:pPr>
        <w:spacing w:line="387" w:lineRule="auto"/>
        <w:rPr>
          <w:rFonts w:ascii="Arial"/>
          <w:color w:val="auto"/>
          <w:sz w:val="21"/>
          <w:highlight w:val="none"/>
        </w:rPr>
      </w:pPr>
    </w:p>
    <w:p w14:paraId="520A01BA">
      <w:pPr>
        <w:spacing w:before="69" w:line="354" w:lineRule="auto"/>
        <w:ind w:firstLine="437"/>
        <w:rPr>
          <w:rFonts w:ascii="宋体" w:hAnsi="宋体" w:eastAsia="宋体" w:cs="宋体"/>
          <w:color w:val="auto"/>
          <w:spacing w:val="1"/>
          <w:sz w:val="21"/>
          <w:szCs w:val="21"/>
          <w:highlight w:val="none"/>
        </w:rPr>
      </w:pPr>
      <w:r>
        <w:rPr>
          <w:rFonts w:ascii="Times New Roman" w:hAnsi="Times New Roman" w:eastAsia="Times New Roman" w:cs="Times New Roman"/>
          <w:color w:val="auto"/>
          <w:spacing w:val="-2"/>
          <w:sz w:val="21"/>
          <w:szCs w:val="21"/>
          <w:highlight w:val="none"/>
        </w:rPr>
        <w:t>1.</w:t>
      </w:r>
      <w:r>
        <w:rPr>
          <w:rFonts w:ascii="Times New Roman" w:hAnsi="Times New Roman" w:eastAsia="Times New Roman" w:cs="Times New Roman"/>
          <w:color w:val="auto"/>
          <w:spacing w:val="25"/>
          <w:w w:val="101"/>
          <w:sz w:val="21"/>
          <w:szCs w:val="21"/>
          <w:highlight w:val="none"/>
        </w:rPr>
        <w:t xml:space="preserve">  </w:t>
      </w:r>
      <w:r>
        <w:rPr>
          <w:rFonts w:ascii="宋体" w:hAnsi="宋体" w:eastAsia="宋体" w:cs="宋体"/>
          <w:color w:val="auto"/>
          <w:spacing w:val="-2"/>
          <w:sz w:val="21"/>
          <w:szCs w:val="21"/>
          <w:highlight w:val="none"/>
        </w:rPr>
        <w:t>投标人编制施工组织设计的要求：编制时应采用文字并结合图表形式说明施工方法；拟投入</w:t>
      </w:r>
      <w:r>
        <w:rPr>
          <w:rFonts w:ascii="宋体" w:hAnsi="宋体" w:eastAsia="宋体" w:cs="宋体"/>
          <w:color w:val="auto"/>
          <w:spacing w:val="1"/>
          <w:sz w:val="21"/>
          <w:szCs w:val="21"/>
          <w:highlight w:val="none"/>
        </w:rPr>
        <w:t>本标段的主要施工设备情况、拟配备本标段的试验和检测仪器设备情况、劳动力计</w:t>
      </w:r>
      <w:r>
        <w:rPr>
          <w:rFonts w:ascii="宋体" w:hAnsi="宋体" w:eastAsia="宋体" w:cs="宋体"/>
          <w:color w:val="auto"/>
          <w:sz w:val="21"/>
          <w:szCs w:val="21"/>
          <w:highlight w:val="none"/>
        </w:rPr>
        <w:t>划等；结合工程</w:t>
      </w:r>
      <w:r>
        <w:rPr>
          <w:rFonts w:ascii="宋体" w:hAnsi="宋体" w:eastAsia="宋体" w:cs="宋体"/>
          <w:color w:val="auto"/>
          <w:spacing w:val="1"/>
          <w:sz w:val="21"/>
          <w:szCs w:val="21"/>
          <w:highlight w:val="none"/>
        </w:rPr>
        <w:t>特点提出切实可行的工程质量、安全生产、文明施工、工程进度、技术组织措施，</w:t>
      </w:r>
      <w:r>
        <w:rPr>
          <w:rFonts w:ascii="宋体" w:hAnsi="宋体" w:eastAsia="宋体" w:cs="宋体"/>
          <w:color w:val="auto"/>
          <w:sz w:val="21"/>
          <w:szCs w:val="21"/>
          <w:highlight w:val="none"/>
        </w:rPr>
        <w:t>同时应对关键工</w:t>
      </w:r>
      <w:r>
        <w:rPr>
          <w:rFonts w:ascii="宋体" w:hAnsi="宋体" w:eastAsia="宋体" w:cs="宋体"/>
          <w:color w:val="auto"/>
          <w:spacing w:val="1"/>
          <w:sz w:val="21"/>
          <w:szCs w:val="21"/>
          <w:highlight w:val="none"/>
        </w:rPr>
        <w:t>序、复杂环节重点提出相应技术措施，如冬雨季施工技术、减少噪声、降低环境污染、地下管线及其他地上地下设施的保护加固措施等。</w:t>
      </w:r>
    </w:p>
    <w:p w14:paraId="0FCF1EF6">
      <w:pPr>
        <w:spacing w:before="69" w:line="354" w:lineRule="auto"/>
        <w:ind w:firstLine="437"/>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 xml:space="preserve">2.  施工组织设计除采用文字表述外可附下列图表，图表及格式要求附后。 </w:t>
      </w:r>
    </w:p>
    <w:p w14:paraId="23A54DC0">
      <w:pPr>
        <w:spacing w:before="188" w:line="303" w:lineRule="auto"/>
        <w:ind w:right="1869" w:firstLine="412" w:firstLineChars="20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附表一  拟投入本标段的主要施工设备表</w:t>
      </w:r>
    </w:p>
    <w:p w14:paraId="5D4BFA4A">
      <w:pPr>
        <w:spacing w:before="191" w:line="220" w:lineRule="auto"/>
        <w:ind w:left="4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附表二  拟配备本标段的试验和检测仪器设备表</w:t>
      </w:r>
    </w:p>
    <w:p w14:paraId="2FA9B0B1">
      <w:pPr>
        <w:spacing w:before="188" w:line="220" w:lineRule="auto"/>
        <w:ind w:left="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附表三  劳动力计划表</w:t>
      </w:r>
    </w:p>
    <w:p w14:paraId="4962718F">
      <w:pPr>
        <w:spacing w:before="189" w:line="220" w:lineRule="auto"/>
        <w:ind w:left="4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附表四  计划开、竣工日期和施工进度网络图</w:t>
      </w:r>
    </w:p>
    <w:p w14:paraId="46AFE51F">
      <w:pPr>
        <w:spacing w:before="192" w:line="220" w:lineRule="auto"/>
        <w:ind w:left="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附表五  施工总平面图</w:t>
      </w:r>
    </w:p>
    <w:p w14:paraId="2CD05628">
      <w:pPr>
        <w:spacing w:before="189" w:line="220" w:lineRule="auto"/>
        <w:ind w:left="43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附表六</w:t>
      </w:r>
      <w:r>
        <w:rPr>
          <w:rFonts w:ascii="宋体" w:hAnsi="宋体" w:eastAsia="宋体" w:cs="宋体"/>
          <w:color w:val="auto"/>
          <w:spacing w:val="9"/>
          <w:sz w:val="21"/>
          <w:szCs w:val="21"/>
          <w:highlight w:val="none"/>
        </w:rPr>
        <w:t xml:space="preserve">  </w:t>
      </w:r>
      <w:r>
        <w:rPr>
          <w:rFonts w:ascii="宋体" w:hAnsi="宋体" w:eastAsia="宋体" w:cs="宋体"/>
          <w:color w:val="auto"/>
          <w:spacing w:val="-5"/>
          <w:sz w:val="21"/>
          <w:szCs w:val="21"/>
          <w:highlight w:val="none"/>
        </w:rPr>
        <w:t>临时用地表</w:t>
      </w:r>
    </w:p>
    <w:p w14:paraId="0C284C81">
      <w:pPr>
        <w:spacing w:before="56" w:line="219" w:lineRule="auto"/>
        <w:ind w:left="2330"/>
        <w:rPr>
          <w:rFonts w:ascii="宋体" w:hAnsi="宋体" w:eastAsia="宋体" w:cs="宋体"/>
          <w:b/>
          <w:bCs/>
          <w:color w:val="auto"/>
          <w:spacing w:val="-5"/>
          <w:sz w:val="28"/>
          <w:szCs w:val="28"/>
          <w:highlight w:val="none"/>
        </w:rPr>
      </w:pPr>
    </w:p>
    <w:p w14:paraId="07DF6C5C">
      <w:pPr>
        <w:spacing w:before="56" w:line="219" w:lineRule="auto"/>
        <w:ind w:left="2330"/>
        <w:rPr>
          <w:rFonts w:ascii="宋体" w:hAnsi="宋体" w:eastAsia="宋体" w:cs="宋体"/>
          <w:b/>
          <w:bCs/>
          <w:color w:val="auto"/>
          <w:spacing w:val="-5"/>
          <w:sz w:val="28"/>
          <w:szCs w:val="28"/>
          <w:highlight w:val="none"/>
        </w:rPr>
      </w:pPr>
    </w:p>
    <w:p w14:paraId="485300D2">
      <w:pPr>
        <w:spacing w:before="56" w:line="219" w:lineRule="auto"/>
        <w:ind w:left="2330"/>
        <w:rPr>
          <w:rFonts w:ascii="宋体" w:hAnsi="宋体" w:eastAsia="宋体" w:cs="宋体"/>
          <w:b/>
          <w:bCs/>
          <w:color w:val="auto"/>
          <w:spacing w:val="-5"/>
          <w:sz w:val="28"/>
          <w:szCs w:val="28"/>
          <w:highlight w:val="none"/>
        </w:rPr>
      </w:pPr>
    </w:p>
    <w:p w14:paraId="42A2513E">
      <w:pPr>
        <w:spacing w:before="56" w:line="219" w:lineRule="auto"/>
        <w:ind w:left="2330"/>
        <w:rPr>
          <w:rFonts w:ascii="宋体" w:hAnsi="宋体" w:eastAsia="宋体" w:cs="宋体"/>
          <w:b/>
          <w:bCs/>
          <w:color w:val="auto"/>
          <w:spacing w:val="-5"/>
          <w:sz w:val="28"/>
          <w:szCs w:val="28"/>
          <w:highlight w:val="none"/>
        </w:rPr>
      </w:pPr>
    </w:p>
    <w:p w14:paraId="369F4802">
      <w:pPr>
        <w:spacing w:before="56" w:line="219" w:lineRule="auto"/>
        <w:ind w:left="2330"/>
        <w:rPr>
          <w:rFonts w:ascii="宋体" w:hAnsi="宋体" w:eastAsia="宋体" w:cs="宋体"/>
          <w:b/>
          <w:bCs/>
          <w:color w:val="auto"/>
          <w:spacing w:val="-5"/>
          <w:sz w:val="28"/>
          <w:szCs w:val="28"/>
          <w:highlight w:val="none"/>
        </w:rPr>
      </w:pPr>
    </w:p>
    <w:p w14:paraId="14815F4A">
      <w:pPr>
        <w:spacing w:before="56" w:line="219" w:lineRule="auto"/>
        <w:ind w:left="2330"/>
        <w:rPr>
          <w:rFonts w:ascii="宋体" w:hAnsi="宋体" w:eastAsia="宋体" w:cs="宋体"/>
          <w:b/>
          <w:bCs/>
          <w:color w:val="auto"/>
          <w:spacing w:val="-5"/>
          <w:sz w:val="28"/>
          <w:szCs w:val="28"/>
          <w:highlight w:val="none"/>
        </w:rPr>
      </w:pPr>
    </w:p>
    <w:p w14:paraId="1FA8D08D">
      <w:pPr>
        <w:spacing w:before="56" w:line="219" w:lineRule="auto"/>
        <w:ind w:left="2330"/>
        <w:rPr>
          <w:rFonts w:ascii="宋体" w:hAnsi="宋体" w:eastAsia="宋体" w:cs="宋体"/>
          <w:b/>
          <w:bCs/>
          <w:color w:val="auto"/>
          <w:spacing w:val="-5"/>
          <w:sz w:val="28"/>
          <w:szCs w:val="28"/>
          <w:highlight w:val="none"/>
        </w:rPr>
      </w:pPr>
    </w:p>
    <w:p w14:paraId="2E27754A">
      <w:pPr>
        <w:spacing w:before="56" w:line="219" w:lineRule="auto"/>
        <w:ind w:left="2330"/>
        <w:rPr>
          <w:rFonts w:ascii="宋体" w:hAnsi="宋体" w:eastAsia="宋体" w:cs="宋体"/>
          <w:b/>
          <w:bCs/>
          <w:color w:val="auto"/>
          <w:spacing w:val="-5"/>
          <w:sz w:val="28"/>
          <w:szCs w:val="28"/>
          <w:highlight w:val="none"/>
        </w:rPr>
      </w:pPr>
    </w:p>
    <w:p w14:paraId="28152746">
      <w:pPr>
        <w:spacing w:before="56" w:line="219" w:lineRule="auto"/>
        <w:ind w:left="2330"/>
        <w:rPr>
          <w:rFonts w:ascii="宋体" w:hAnsi="宋体" w:eastAsia="宋体" w:cs="宋体"/>
          <w:b/>
          <w:bCs/>
          <w:color w:val="auto"/>
          <w:spacing w:val="-5"/>
          <w:sz w:val="28"/>
          <w:szCs w:val="28"/>
          <w:highlight w:val="none"/>
        </w:rPr>
      </w:pPr>
    </w:p>
    <w:p w14:paraId="59FB2A01">
      <w:pPr>
        <w:spacing w:before="56" w:line="219" w:lineRule="auto"/>
        <w:ind w:left="2330"/>
        <w:rPr>
          <w:rFonts w:ascii="宋体" w:hAnsi="宋体" w:eastAsia="宋体" w:cs="宋体"/>
          <w:b/>
          <w:bCs/>
          <w:color w:val="auto"/>
          <w:spacing w:val="-5"/>
          <w:sz w:val="28"/>
          <w:szCs w:val="28"/>
          <w:highlight w:val="none"/>
        </w:rPr>
      </w:pPr>
    </w:p>
    <w:p w14:paraId="631E12D3">
      <w:pPr>
        <w:spacing w:before="56" w:line="219" w:lineRule="auto"/>
        <w:ind w:left="2330"/>
        <w:rPr>
          <w:rFonts w:ascii="宋体" w:hAnsi="宋体" w:eastAsia="宋体" w:cs="宋体"/>
          <w:b/>
          <w:bCs/>
          <w:color w:val="auto"/>
          <w:spacing w:val="-5"/>
          <w:sz w:val="28"/>
          <w:szCs w:val="28"/>
          <w:highlight w:val="none"/>
        </w:rPr>
      </w:pPr>
    </w:p>
    <w:p w14:paraId="0B491ED5">
      <w:pPr>
        <w:spacing w:before="56" w:line="219" w:lineRule="auto"/>
        <w:ind w:left="2330"/>
        <w:rPr>
          <w:rFonts w:ascii="宋体" w:hAnsi="宋体" w:eastAsia="宋体" w:cs="宋体"/>
          <w:b/>
          <w:bCs/>
          <w:color w:val="auto"/>
          <w:spacing w:val="-5"/>
          <w:sz w:val="28"/>
          <w:szCs w:val="28"/>
          <w:highlight w:val="none"/>
        </w:rPr>
      </w:pPr>
    </w:p>
    <w:p w14:paraId="31122CC8">
      <w:pPr>
        <w:spacing w:before="56" w:line="219" w:lineRule="auto"/>
        <w:ind w:left="2330"/>
        <w:rPr>
          <w:rFonts w:ascii="宋体" w:hAnsi="宋体" w:eastAsia="宋体" w:cs="宋体"/>
          <w:b/>
          <w:bCs/>
          <w:color w:val="auto"/>
          <w:spacing w:val="-5"/>
          <w:sz w:val="28"/>
          <w:szCs w:val="28"/>
          <w:highlight w:val="none"/>
        </w:rPr>
      </w:pPr>
    </w:p>
    <w:p w14:paraId="5E05D1DE">
      <w:pPr>
        <w:spacing w:before="56" w:line="219" w:lineRule="auto"/>
        <w:ind w:left="2330"/>
        <w:rPr>
          <w:rFonts w:ascii="宋体" w:hAnsi="宋体" w:eastAsia="宋体" w:cs="宋体"/>
          <w:b/>
          <w:bCs/>
          <w:color w:val="auto"/>
          <w:spacing w:val="-5"/>
          <w:sz w:val="28"/>
          <w:szCs w:val="28"/>
          <w:highlight w:val="none"/>
        </w:rPr>
      </w:pPr>
    </w:p>
    <w:p w14:paraId="6BC52B24">
      <w:pPr>
        <w:spacing w:before="56" w:line="219" w:lineRule="auto"/>
        <w:ind w:left="2330"/>
        <w:rPr>
          <w:rFonts w:ascii="宋体" w:hAnsi="宋体" w:eastAsia="宋体" w:cs="宋体"/>
          <w:b/>
          <w:bCs/>
          <w:color w:val="auto"/>
          <w:spacing w:val="-5"/>
          <w:sz w:val="28"/>
          <w:szCs w:val="28"/>
          <w:highlight w:val="none"/>
        </w:rPr>
      </w:pPr>
    </w:p>
    <w:p w14:paraId="00C48B6C">
      <w:pPr>
        <w:spacing w:before="56" w:line="219" w:lineRule="auto"/>
        <w:ind w:left="2330"/>
        <w:rPr>
          <w:rFonts w:ascii="宋体" w:hAnsi="宋体" w:eastAsia="宋体" w:cs="宋体"/>
          <w:b/>
          <w:bCs/>
          <w:color w:val="auto"/>
          <w:spacing w:val="-5"/>
          <w:sz w:val="28"/>
          <w:szCs w:val="28"/>
          <w:highlight w:val="none"/>
        </w:rPr>
      </w:pPr>
    </w:p>
    <w:p w14:paraId="1314C416">
      <w:pPr>
        <w:spacing w:before="56" w:line="219" w:lineRule="auto"/>
        <w:ind w:left="2330"/>
        <w:rPr>
          <w:rFonts w:ascii="宋体" w:hAnsi="宋体" w:eastAsia="宋体" w:cs="宋体"/>
          <w:b/>
          <w:bCs/>
          <w:color w:val="auto"/>
          <w:spacing w:val="-5"/>
          <w:sz w:val="28"/>
          <w:szCs w:val="28"/>
          <w:highlight w:val="none"/>
        </w:rPr>
      </w:pPr>
    </w:p>
    <w:p w14:paraId="065AF92C">
      <w:pPr>
        <w:spacing w:before="56" w:line="219" w:lineRule="auto"/>
        <w:ind w:left="2330"/>
        <w:rPr>
          <w:rFonts w:ascii="宋体" w:hAnsi="宋体" w:eastAsia="宋体" w:cs="宋体"/>
          <w:b/>
          <w:bCs/>
          <w:color w:val="auto"/>
          <w:spacing w:val="-5"/>
          <w:sz w:val="28"/>
          <w:szCs w:val="28"/>
          <w:highlight w:val="none"/>
        </w:rPr>
      </w:pPr>
    </w:p>
    <w:p w14:paraId="2B8A08FA">
      <w:pPr>
        <w:spacing w:before="56" w:line="219" w:lineRule="auto"/>
        <w:ind w:left="2330"/>
        <w:rPr>
          <w:rFonts w:ascii="宋体" w:hAnsi="宋体" w:eastAsia="宋体" w:cs="宋体"/>
          <w:b/>
          <w:bCs/>
          <w:color w:val="auto"/>
          <w:spacing w:val="-5"/>
          <w:sz w:val="28"/>
          <w:szCs w:val="28"/>
          <w:highlight w:val="none"/>
        </w:rPr>
      </w:pPr>
    </w:p>
    <w:p w14:paraId="094F6A4B">
      <w:pPr>
        <w:spacing w:before="56" w:line="219" w:lineRule="auto"/>
        <w:ind w:left="2330"/>
        <w:rPr>
          <w:rFonts w:ascii="宋体" w:hAnsi="宋体" w:eastAsia="宋体" w:cs="宋体"/>
          <w:b/>
          <w:bCs/>
          <w:color w:val="auto"/>
          <w:spacing w:val="-5"/>
          <w:sz w:val="28"/>
          <w:szCs w:val="28"/>
          <w:highlight w:val="none"/>
        </w:rPr>
      </w:pPr>
    </w:p>
    <w:p w14:paraId="76EDE286">
      <w:pPr>
        <w:spacing w:before="56" w:line="219" w:lineRule="auto"/>
        <w:ind w:left="233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附表一：拟投入本标段的主要施工设备表</w:t>
      </w:r>
    </w:p>
    <w:p w14:paraId="022B081B">
      <w:pPr>
        <w:spacing w:before="111"/>
        <w:rPr>
          <w:color w:val="auto"/>
          <w:highlight w:val="none"/>
        </w:rPr>
      </w:pPr>
    </w:p>
    <w:tbl>
      <w:tblPr>
        <w:tblStyle w:val="29"/>
        <w:tblW w:w="95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1180"/>
        <w:gridCol w:w="830"/>
        <w:gridCol w:w="1077"/>
        <w:gridCol w:w="732"/>
        <w:gridCol w:w="803"/>
        <w:gridCol w:w="1320"/>
        <w:gridCol w:w="952"/>
        <w:gridCol w:w="1150"/>
        <w:gridCol w:w="758"/>
      </w:tblGrid>
      <w:tr w14:paraId="00C8B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732" w:type="dxa"/>
            <w:vAlign w:val="top"/>
          </w:tcPr>
          <w:p w14:paraId="1A8ADF6A">
            <w:pPr>
              <w:spacing w:line="326" w:lineRule="auto"/>
              <w:rPr>
                <w:rFonts w:ascii="Arial"/>
                <w:color w:val="auto"/>
                <w:sz w:val="21"/>
                <w:highlight w:val="none"/>
              </w:rPr>
            </w:pPr>
          </w:p>
          <w:p w14:paraId="38E82C30">
            <w:pPr>
              <w:pStyle w:val="30"/>
              <w:spacing w:before="68" w:line="222" w:lineRule="auto"/>
              <w:ind w:left="161"/>
              <w:rPr>
                <w:color w:val="auto"/>
                <w:highlight w:val="none"/>
              </w:rPr>
            </w:pPr>
            <w:r>
              <w:rPr>
                <w:color w:val="auto"/>
                <w:spacing w:val="-2"/>
                <w:highlight w:val="none"/>
              </w:rPr>
              <w:t>序号</w:t>
            </w:r>
          </w:p>
        </w:tc>
        <w:tc>
          <w:tcPr>
            <w:tcW w:w="1180" w:type="dxa"/>
            <w:vAlign w:val="top"/>
          </w:tcPr>
          <w:p w14:paraId="60D46296">
            <w:pPr>
              <w:spacing w:line="326" w:lineRule="auto"/>
              <w:rPr>
                <w:rFonts w:ascii="Arial"/>
                <w:color w:val="auto"/>
                <w:sz w:val="21"/>
                <w:highlight w:val="none"/>
              </w:rPr>
            </w:pPr>
          </w:p>
          <w:p w14:paraId="74ED8142">
            <w:pPr>
              <w:pStyle w:val="30"/>
              <w:spacing w:before="68" w:line="222" w:lineRule="auto"/>
              <w:ind w:left="175"/>
              <w:rPr>
                <w:color w:val="auto"/>
                <w:highlight w:val="none"/>
              </w:rPr>
            </w:pPr>
            <w:r>
              <w:rPr>
                <w:color w:val="auto"/>
                <w:spacing w:val="-3"/>
                <w:highlight w:val="none"/>
              </w:rPr>
              <w:t>设备名称</w:t>
            </w:r>
          </w:p>
        </w:tc>
        <w:tc>
          <w:tcPr>
            <w:tcW w:w="830" w:type="dxa"/>
            <w:vAlign w:val="top"/>
          </w:tcPr>
          <w:p w14:paraId="37F2A100">
            <w:pPr>
              <w:pStyle w:val="30"/>
              <w:spacing w:before="179" w:line="308" w:lineRule="auto"/>
              <w:ind w:left="209" w:right="202" w:firstLine="5"/>
              <w:rPr>
                <w:color w:val="auto"/>
                <w:highlight w:val="none"/>
              </w:rPr>
            </w:pPr>
            <w:r>
              <w:rPr>
                <w:color w:val="auto"/>
                <w:spacing w:val="-7"/>
                <w:highlight w:val="none"/>
              </w:rPr>
              <w:t>型号</w:t>
            </w:r>
            <w:r>
              <w:rPr>
                <w:color w:val="auto"/>
                <w:highlight w:val="none"/>
              </w:rPr>
              <w:t xml:space="preserve"> </w:t>
            </w:r>
            <w:r>
              <w:rPr>
                <w:color w:val="auto"/>
                <w:spacing w:val="-4"/>
                <w:highlight w:val="none"/>
              </w:rPr>
              <w:t>规格</w:t>
            </w:r>
          </w:p>
        </w:tc>
        <w:tc>
          <w:tcPr>
            <w:tcW w:w="1077" w:type="dxa"/>
            <w:vAlign w:val="top"/>
          </w:tcPr>
          <w:p w14:paraId="0D75820E">
            <w:pPr>
              <w:spacing w:line="326" w:lineRule="auto"/>
              <w:rPr>
                <w:rFonts w:ascii="Arial"/>
                <w:color w:val="auto"/>
                <w:sz w:val="21"/>
                <w:highlight w:val="none"/>
              </w:rPr>
            </w:pPr>
          </w:p>
          <w:p w14:paraId="4A55ADA5">
            <w:pPr>
              <w:pStyle w:val="30"/>
              <w:spacing w:before="68" w:line="221" w:lineRule="auto"/>
              <w:ind w:left="335"/>
              <w:rPr>
                <w:color w:val="auto"/>
                <w:highlight w:val="none"/>
              </w:rPr>
            </w:pPr>
            <w:r>
              <w:rPr>
                <w:color w:val="auto"/>
                <w:spacing w:val="-2"/>
                <w:highlight w:val="none"/>
              </w:rPr>
              <w:t>数量</w:t>
            </w:r>
          </w:p>
        </w:tc>
        <w:tc>
          <w:tcPr>
            <w:tcW w:w="732" w:type="dxa"/>
            <w:vAlign w:val="top"/>
          </w:tcPr>
          <w:p w14:paraId="686A4910">
            <w:pPr>
              <w:pStyle w:val="30"/>
              <w:spacing w:before="179" w:line="308" w:lineRule="auto"/>
              <w:ind w:left="162" w:right="150" w:firstLine="20"/>
              <w:rPr>
                <w:color w:val="auto"/>
                <w:highlight w:val="none"/>
              </w:rPr>
            </w:pPr>
            <w:r>
              <w:rPr>
                <w:color w:val="auto"/>
                <w:spacing w:val="-14"/>
                <w:highlight w:val="none"/>
              </w:rPr>
              <w:t>国别</w:t>
            </w:r>
            <w:r>
              <w:rPr>
                <w:color w:val="auto"/>
                <w:highlight w:val="none"/>
              </w:rPr>
              <w:t xml:space="preserve"> </w:t>
            </w:r>
            <w:r>
              <w:rPr>
                <w:color w:val="auto"/>
                <w:spacing w:val="-3"/>
                <w:highlight w:val="none"/>
              </w:rPr>
              <w:t>产地</w:t>
            </w:r>
          </w:p>
        </w:tc>
        <w:tc>
          <w:tcPr>
            <w:tcW w:w="803" w:type="dxa"/>
            <w:vAlign w:val="top"/>
          </w:tcPr>
          <w:p w14:paraId="6E3C19FB">
            <w:pPr>
              <w:pStyle w:val="30"/>
              <w:spacing w:before="179" w:line="308" w:lineRule="auto"/>
              <w:ind w:left="198" w:right="185"/>
              <w:rPr>
                <w:color w:val="auto"/>
                <w:highlight w:val="none"/>
              </w:rPr>
            </w:pPr>
            <w:r>
              <w:rPr>
                <w:color w:val="auto"/>
                <w:spacing w:val="-4"/>
                <w:highlight w:val="none"/>
              </w:rPr>
              <w:t>制造</w:t>
            </w:r>
            <w:r>
              <w:rPr>
                <w:color w:val="auto"/>
                <w:highlight w:val="none"/>
              </w:rPr>
              <w:t xml:space="preserve"> </w:t>
            </w:r>
            <w:r>
              <w:rPr>
                <w:color w:val="auto"/>
                <w:spacing w:val="-4"/>
                <w:highlight w:val="none"/>
              </w:rPr>
              <w:t>年份</w:t>
            </w:r>
          </w:p>
        </w:tc>
        <w:tc>
          <w:tcPr>
            <w:tcW w:w="1320" w:type="dxa"/>
            <w:vAlign w:val="top"/>
          </w:tcPr>
          <w:p w14:paraId="6167A4AE">
            <w:pPr>
              <w:pStyle w:val="30"/>
              <w:spacing w:before="179" w:line="308" w:lineRule="auto"/>
              <w:ind w:left="310" w:right="233" w:hanging="63"/>
              <w:rPr>
                <w:color w:val="auto"/>
                <w:highlight w:val="none"/>
              </w:rPr>
            </w:pPr>
            <w:r>
              <w:rPr>
                <w:color w:val="auto"/>
                <w:spacing w:val="-2"/>
                <w:highlight w:val="none"/>
              </w:rPr>
              <w:t>额定功率</w:t>
            </w:r>
            <w:r>
              <w:rPr>
                <w:color w:val="auto"/>
                <w:spacing w:val="1"/>
                <w:highlight w:val="none"/>
              </w:rPr>
              <w:t xml:space="preserve"> </w:t>
            </w:r>
            <w:r>
              <w:rPr>
                <w:color w:val="auto"/>
                <w:spacing w:val="-3"/>
                <w:highlight w:val="none"/>
              </w:rPr>
              <w:t>（</w:t>
            </w:r>
            <w:r>
              <w:rPr>
                <w:rFonts w:ascii="Times New Roman" w:hAnsi="Times New Roman" w:eastAsia="Times New Roman" w:cs="Times New Roman"/>
                <w:color w:val="auto"/>
                <w:spacing w:val="-3"/>
                <w:highlight w:val="none"/>
              </w:rPr>
              <w:t>kW</w:t>
            </w:r>
            <w:r>
              <w:rPr>
                <w:color w:val="auto"/>
                <w:spacing w:val="-3"/>
                <w:highlight w:val="none"/>
              </w:rPr>
              <w:t>）</w:t>
            </w:r>
          </w:p>
        </w:tc>
        <w:tc>
          <w:tcPr>
            <w:tcW w:w="952" w:type="dxa"/>
            <w:vAlign w:val="top"/>
          </w:tcPr>
          <w:p w14:paraId="1ECC6828">
            <w:pPr>
              <w:pStyle w:val="30"/>
              <w:spacing w:before="179" w:line="308" w:lineRule="auto"/>
              <w:ind w:left="281" w:right="258" w:hanging="6"/>
              <w:rPr>
                <w:color w:val="auto"/>
                <w:highlight w:val="none"/>
              </w:rPr>
            </w:pPr>
            <w:r>
              <w:rPr>
                <w:color w:val="auto"/>
                <w:spacing w:val="-4"/>
                <w:highlight w:val="none"/>
              </w:rPr>
              <w:t>生产</w:t>
            </w:r>
            <w:r>
              <w:rPr>
                <w:color w:val="auto"/>
                <w:highlight w:val="none"/>
              </w:rPr>
              <w:t xml:space="preserve"> </w:t>
            </w:r>
            <w:r>
              <w:rPr>
                <w:color w:val="auto"/>
                <w:spacing w:val="-8"/>
                <w:highlight w:val="none"/>
              </w:rPr>
              <w:t>能力</w:t>
            </w:r>
          </w:p>
        </w:tc>
        <w:tc>
          <w:tcPr>
            <w:tcW w:w="1150" w:type="dxa"/>
            <w:vAlign w:val="top"/>
          </w:tcPr>
          <w:p w14:paraId="09069666">
            <w:pPr>
              <w:pStyle w:val="30"/>
              <w:spacing w:before="179" w:line="308" w:lineRule="auto"/>
              <w:ind w:left="375" w:right="148" w:hanging="212"/>
              <w:rPr>
                <w:color w:val="auto"/>
                <w:highlight w:val="none"/>
              </w:rPr>
            </w:pPr>
            <w:r>
              <w:rPr>
                <w:color w:val="auto"/>
                <w:spacing w:val="-2"/>
                <w:highlight w:val="none"/>
              </w:rPr>
              <w:t>用于施工</w:t>
            </w:r>
            <w:r>
              <w:rPr>
                <w:color w:val="auto"/>
                <w:highlight w:val="none"/>
              </w:rPr>
              <w:t xml:space="preserve"> </w:t>
            </w:r>
            <w:r>
              <w:rPr>
                <w:color w:val="auto"/>
                <w:spacing w:val="-3"/>
                <w:highlight w:val="none"/>
              </w:rPr>
              <w:t>部位</w:t>
            </w:r>
          </w:p>
        </w:tc>
        <w:tc>
          <w:tcPr>
            <w:tcW w:w="758" w:type="dxa"/>
            <w:vAlign w:val="top"/>
          </w:tcPr>
          <w:p w14:paraId="69D82CCB">
            <w:pPr>
              <w:spacing w:line="326" w:lineRule="auto"/>
              <w:rPr>
                <w:rFonts w:ascii="Arial"/>
                <w:color w:val="auto"/>
                <w:sz w:val="21"/>
                <w:highlight w:val="none"/>
              </w:rPr>
            </w:pPr>
          </w:p>
          <w:p w14:paraId="56486710">
            <w:pPr>
              <w:pStyle w:val="30"/>
              <w:spacing w:before="68" w:line="222" w:lineRule="auto"/>
              <w:ind w:left="176"/>
              <w:rPr>
                <w:color w:val="auto"/>
                <w:highlight w:val="none"/>
              </w:rPr>
            </w:pPr>
            <w:r>
              <w:rPr>
                <w:color w:val="auto"/>
                <w:spacing w:val="-3"/>
                <w:highlight w:val="none"/>
              </w:rPr>
              <w:t>备注</w:t>
            </w:r>
          </w:p>
        </w:tc>
      </w:tr>
      <w:tr w14:paraId="439E6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42FFCDC7">
            <w:pPr>
              <w:rPr>
                <w:rFonts w:ascii="Arial"/>
                <w:color w:val="auto"/>
                <w:sz w:val="21"/>
                <w:highlight w:val="none"/>
              </w:rPr>
            </w:pPr>
          </w:p>
        </w:tc>
        <w:tc>
          <w:tcPr>
            <w:tcW w:w="1180" w:type="dxa"/>
            <w:vAlign w:val="top"/>
          </w:tcPr>
          <w:p w14:paraId="50830A12">
            <w:pPr>
              <w:rPr>
                <w:rFonts w:ascii="Arial"/>
                <w:color w:val="auto"/>
                <w:sz w:val="21"/>
                <w:highlight w:val="none"/>
              </w:rPr>
            </w:pPr>
          </w:p>
        </w:tc>
        <w:tc>
          <w:tcPr>
            <w:tcW w:w="830" w:type="dxa"/>
            <w:vAlign w:val="top"/>
          </w:tcPr>
          <w:p w14:paraId="4AA1C5F4">
            <w:pPr>
              <w:rPr>
                <w:rFonts w:ascii="Arial"/>
                <w:color w:val="auto"/>
                <w:sz w:val="21"/>
                <w:highlight w:val="none"/>
              </w:rPr>
            </w:pPr>
          </w:p>
        </w:tc>
        <w:tc>
          <w:tcPr>
            <w:tcW w:w="1077" w:type="dxa"/>
            <w:vAlign w:val="top"/>
          </w:tcPr>
          <w:p w14:paraId="57B85014">
            <w:pPr>
              <w:rPr>
                <w:rFonts w:ascii="Arial"/>
                <w:color w:val="auto"/>
                <w:sz w:val="21"/>
                <w:highlight w:val="none"/>
              </w:rPr>
            </w:pPr>
          </w:p>
        </w:tc>
        <w:tc>
          <w:tcPr>
            <w:tcW w:w="732" w:type="dxa"/>
            <w:vAlign w:val="top"/>
          </w:tcPr>
          <w:p w14:paraId="36F07DA9">
            <w:pPr>
              <w:rPr>
                <w:rFonts w:ascii="Arial"/>
                <w:color w:val="auto"/>
                <w:sz w:val="21"/>
                <w:highlight w:val="none"/>
              </w:rPr>
            </w:pPr>
          </w:p>
        </w:tc>
        <w:tc>
          <w:tcPr>
            <w:tcW w:w="803" w:type="dxa"/>
            <w:vAlign w:val="top"/>
          </w:tcPr>
          <w:p w14:paraId="7D3EB195">
            <w:pPr>
              <w:rPr>
                <w:rFonts w:ascii="Arial"/>
                <w:color w:val="auto"/>
                <w:sz w:val="21"/>
                <w:highlight w:val="none"/>
              </w:rPr>
            </w:pPr>
          </w:p>
        </w:tc>
        <w:tc>
          <w:tcPr>
            <w:tcW w:w="1320" w:type="dxa"/>
            <w:vAlign w:val="top"/>
          </w:tcPr>
          <w:p w14:paraId="243218BC">
            <w:pPr>
              <w:rPr>
                <w:rFonts w:ascii="Arial"/>
                <w:color w:val="auto"/>
                <w:sz w:val="21"/>
                <w:highlight w:val="none"/>
              </w:rPr>
            </w:pPr>
          </w:p>
        </w:tc>
        <w:tc>
          <w:tcPr>
            <w:tcW w:w="952" w:type="dxa"/>
            <w:vAlign w:val="top"/>
          </w:tcPr>
          <w:p w14:paraId="7A80CCBE">
            <w:pPr>
              <w:rPr>
                <w:rFonts w:ascii="Arial"/>
                <w:color w:val="auto"/>
                <w:sz w:val="21"/>
                <w:highlight w:val="none"/>
              </w:rPr>
            </w:pPr>
          </w:p>
        </w:tc>
        <w:tc>
          <w:tcPr>
            <w:tcW w:w="1150" w:type="dxa"/>
            <w:vAlign w:val="top"/>
          </w:tcPr>
          <w:p w14:paraId="3DC22E16">
            <w:pPr>
              <w:rPr>
                <w:rFonts w:ascii="Arial"/>
                <w:color w:val="auto"/>
                <w:sz w:val="21"/>
                <w:highlight w:val="none"/>
              </w:rPr>
            </w:pPr>
          </w:p>
        </w:tc>
        <w:tc>
          <w:tcPr>
            <w:tcW w:w="758" w:type="dxa"/>
            <w:vAlign w:val="top"/>
          </w:tcPr>
          <w:p w14:paraId="21D42969">
            <w:pPr>
              <w:rPr>
                <w:rFonts w:ascii="Arial"/>
                <w:color w:val="auto"/>
                <w:sz w:val="21"/>
                <w:highlight w:val="none"/>
              </w:rPr>
            </w:pPr>
          </w:p>
        </w:tc>
      </w:tr>
      <w:tr w14:paraId="3928D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2" w:type="dxa"/>
            <w:vAlign w:val="top"/>
          </w:tcPr>
          <w:p w14:paraId="6AEEFD5B">
            <w:pPr>
              <w:rPr>
                <w:rFonts w:ascii="Arial"/>
                <w:color w:val="auto"/>
                <w:sz w:val="21"/>
                <w:highlight w:val="none"/>
              </w:rPr>
            </w:pPr>
          </w:p>
        </w:tc>
        <w:tc>
          <w:tcPr>
            <w:tcW w:w="1180" w:type="dxa"/>
            <w:vAlign w:val="top"/>
          </w:tcPr>
          <w:p w14:paraId="71CF1570">
            <w:pPr>
              <w:rPr>
                <w:rFonts w:ascii="Arial"/>
                <w:color w:val="auto"/>
                <w:sz w:val="21"/>
                <w:highlight w:val="none"/>
              </w:rPr>
            </w:pPr>
          </w:p>
        </w:tc>
        <w:tc>
          <w:tcPr>
            <w:tcW w:w="830" w:type="dxa"/>
            <w:vAlign w:val="top"/>
          </w:tcPr>
          <w:p w14:paraId="175A7DBD">
            <w:pPr>
              <w:rPr>
                <w:rFonts w:ascii="Arial"/>
                <w:color w:val="auto"/>
                <w:sz w:val="21"/>
                <w:highlight w:val="none"/>
              </w:rPr>
            </w:pPr>
          </w:p>
        </w:tc>
        <w:tc>
          <w:tcPr>
            <w:tcW w:w="1077" w:type="dxa"/>
            <w:vAlign w:val="top"/>
          </w:tcPr>
          <w:p w14:paraId="3792D735">
            <w:pPr>
              <w:rPr>
                <w:rFonts w:ascii="Arial"/>
                <w:color w:val="auto"/>
                <w:sz w:val="21"/>
                <w:highlight w:val="none"/>
              </w:rPr>
            </w:pPr>
          </w:p>
        </w:tc>
        <w:tc>
          <w:tcPr>
            <w:tcW w:w="732" w:type="dxa"/>
            <w:vAlign w:val="top"/>
          </w:tcPr>
          <w:p w14:paraId="08990209">
            <w:pPr>
              <w:rPr>
                <w:rFonts w:ascii="Arial"/>
                <w:color w:val="auto"/>
                <w:sz w:val="21"/>
                <w:highlight w:val="none"/>
              </w:rPr>
            </w:pPr>
          </w:p>
        </w:tc>
        <w:tc>
          <w:tcPr>
            <w:tcW w:w="803" w:type="dxa"/>
            <w:vAlign w:val="top"/>
          </w:tcPr>
          <w:p w14:paraId="0D8BA61E">
            <w:pPr>
              <w:rPr>
                <w:rFonts w:ascii="Arial"/>
                <w:color w:val="auto"/>
                <w:sz w:val="21"/>
                <w:highlight w:val="none"/>
              </w:rPr>
            </w:pPr>
          </w:p>
        </w:tc>
        <w:tc>
          <w:tcPr>
            <w:tcW w:w="1320" w:type="dxa"/>
            <w:vAlign w:val="top"/>
          </w:tcPr>
          <w:p w14:paraId="5D71011D">
            <w:pPr>
              <w:rPr>
                <w:rFonts w:ascii="Arial"/>
                <w:color w:val="auto"/>
                <w:sz w:val="21"/>
                <w:highlight w:val="none"/>
              </w:rPr>
            </w:pPr>
          </w:p>
        </w:tc>
        <w:tc>
          <w:tcPr>
            <w:tcW w:w="952" w:type="dxa"/>
            <w:vAlign w:val="top"/>
          </w:tcPr>
          <w:p w14:paraId="5A5111DE">
            <w:pPr>
              <w:rPr>
                <w:rFonts w:ascii="Arial"/>
                <w:color w:val="auto"/>
                <w:sz w:val="21"/>
                <w:highlight w:val="none"/>
              </w:rPr>
            </w:pPr>
          </w:p>
        </w:tc>
        <w:tc>
          <w:tcPr>
            <w:tcW w:w="1150" w:type="dxa"/>
            <w:vAlign w:val="top"/>
          </w:tcPr>
          <w:p w14:paraId="7D537ED8">
            <w:pPr>
              <w:rPr>
                <w:rFonts w:ascii="Arial"/>
                <w:color w:val="auto"/>
                <w:sz w:val="21"/>
                <w:highlight w:val="none"/>
              </w:rPr>
            </w:pPr>
          </w:p>
        </w:tc>
        <w:tc>
          <w:tcPr>
            <w:tcW w:w="758" w:type="dxa"/>
            <w:vAlign w:val="top"/>
          </w:tcPr>
          <w:p w14:paraId="1D2A1AF0">
            <w:pPr>
              <w:rPr>
                <w:rFonts w:ascii="Arial"/>
                <w:color w:val="auto"/>
                <w:sz w:val="21"/>
                <w:highlight w:val="none"/>
              </w:rPr>
            </w:pPr>
          </w:p>
        </w:tc>
      </w:tr>
      <w:tr w14:paraId="2E090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4B84BAED">
            <w:pPr>
              <w:rPr>
                <w:rFonts w:ascii="Arial"/>
                <w:color w:val="auto"/>
                <w:sz w:val="21"/>
                <w:highlight w:val="none"/>
              </w:rPr>
            </w:pPr>
          </w:p>
        </w:tc>
        <w:tc>
          <w:tcPr>
            <w:tcW w:w="1180" w:type="dxa"/>
            <w:vAlign w:val="top"/>
          </w:tcPr>
          <w:p w14:paraId="514AD5A8">
            <w:pPr>
              <w:rPr>
                <w:rFonts w:ascii="Arial"/>
                <w:color w:val="auto"/>
                <w:sz w:val="21"/>
                <w:highlight w:val="none"/>
              </w:rPr>
            </w:pPr>
          </w:p>
        </w:tc>
        <w:tc>
          <w:tcPr>
            <w:tcW w:w="830" w:type="dxa"/>
            <w:vAlign w:val="top"/>
          </w:tcPr>
          <w:p w14:paraId="2E72DDFB">
            <w:pPr>
              <w:rPr>
                <w:rFonts w:ascii="Arial"/>
                <w:color w:val="auto"/>
                <w:sz w:val="21"/>
                <w:highlight w:val="none"/>
              </w:rPr>
            </w:pPr>
          </w:p>
        </w:tc>
        <w:tc>
          <w:tcPr>
            <w:tcW w:w="1077" w:type="dxa"/>
            <w:vAlign w:val="top"/>
          </w:tcPr>
          <w:p w14:paraId="2B980F81">
            <w:pPr>
              <w:rPr>
                <w:rFonts w:ascii="Arial"/>
                <w:color w:val="auto"/>
                <w:sz w:val="21"/>
                <w:highlight w:val="none"/>
              </w:rPr>
            </w:pPr>
          </w:p>
        </w:tc>
        <w:tc>
          <w:tcPr>
            <w:tcW w:w="732" w:type="dxa"/>
            <w:vAlign w:val="top"/>
          </w:tcPr>
          <w:p w14:paraId="7CFCC3BD">
            <w:pPr>
              <w:rPr>
                <w:rFonts w:ascii="Arial"/>
                <w:color w:val="auto"/>
                <w:sz w:val="21"/>
                <w:highlight w:val="none"/>
              </w:rPr>
            </w:pPr>
          </w:p>
        </w:tc>
        <w:tc>
          <w:tcPr>
            <w:tcW w:w="803" w:type="dxa"/>
            <w:vAlign w:val="top"/>
          </w:tcPr>
          <w:p w14:paraId="7770B8BE">
            <w:pPr>
              <w:rPr>
                <w:rFonts w:ascii="Arial"/>
                <w:color w:val="auto"/>
                <w:sz w:val="21"/>
                <w:highlight w:val="none"/>
              </w:rPr>
            </w:pPr>
          </w:p>
        </w:tc>
        <w:tc>
          <w:tcPr>
            <w:tcW w:w="1320" w:type="dxa"/>
            <w:vAlign w:val="top"/>
          </w:tcPr>
          <w:p w14:paraId="2F8C654B">
            <w:pPr>
              <w:rPr>
                <w:rFonts w:ascii="Arial"/>
                <w:color w:val="auto"/>
                <w:sz w:val="21"/>
                <w:highlight w:val="none"/>
              </w:rPr>
            </w:pPr>
          </w:p>
        </w:tc>
        <w:tc>
          <w:tcPr>
            <w:tcW w:w="952" w:type="dxa"/>
            <w:vAlign w:val="top"/>
          </w:tcPr>
          <w:p w14:paraId="41615EDF">
            <w:pPr>
              <w:rPr>
                <w:rFonts w:ascii="Arial"/>
                <w:color w:val="auto"/>
                <w:sz w:val="21"/>
                <w:highlight w:val="none"/>
              </w:rPr>
            </w:pPr>
          </w:p>
        </w:tc>
        <w:tc>
          <w:tcPr>
            <w:tcW w:w="1150" w:type="dxa"/>
            <w:vAlign w:val="top"/>
          </w:tcPr>
          <w:p w14:paraId="78AA5E3B">
            <w:pPr>
              <w:rPr>
                <w:rFonts w:ascii="Arial"/>
                <w:color w:val="auto"/>
                <w:sz w:val="21"/>
                <w:highlight w:val="none"/>
              </w:rPr>
            </w:pPr>
          </w:p>
        </w:tc>
        <w:tc>
          <w:tcPr>
            <w:tcW w:w="758" w:type="dxa"/>
            <w:vAlign w:val="top"/>
          </w:tcPr>
          <w:p w14:paraId="4ACA7B34">
            <w:pPr>
              <w:rPr>
                <w:rFonts w:ascii="Arial"/>
                <w:color w:val="auto"/>
                <w:sz w:val="21"/>
                <w:highlight w:val="none"/>
              </w:rPr>
            </w:pPr>
          </w:p>
        </w:tc>
      </w:tr>
      <w:tr w14:paraId="5DF1E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2" w:type="dxa"/>
            <w:vAlign w:val="top"/>
          </w:tcPr>
          <w:p w14:paraId="20E81775">
            <w:pPr>
              <w:rPr>
                <w:rFonts w:ascii="Arial"/>
                <w:color w:val="auto"/>
                <w:sz w:val="21"/>
                <w:highlight w:val="none"/>
              </w:rPr>
            </w:pPr>
          </w:p>
        </w:tc>
        <w:tc>
          <w:tcPr>
            <w:tcW w:w="1180" w:type="dxa"/>
            <w:vAlign w:val="top"/>
          </w:tcPr>
          <w:p w14:paraId="17E9BC3E">
            <w:pPr>
              <w:rPr>
                <w:rFonts w:ascii="Arial"/>
                <w:color w:val="auto"/>
                <w:sz w:val="21"/>
                <w:highlight w:val="none"/>
              </w:rPr>
            </w:pPr>
          </w:p>
        </w:tc>
        <w:tc>
          <w:tcPr>
            <w:tcW w:w="830" w:type="dxa"/>
            <w:vAlign w:val="top"/>
          </w:tcPr>
          <w:p w14:paraId="7A1BDEFC">
            <w:pPr>
              <w:rPr>
                <w:rFonts w:ascii="Arial"/>
                <w:color w:val="auto"/>
                <w:sz w:val="21"/>
                <w:highlight w:val="none"/>
              </w:rPr>
            </w:pPr>
          </w:p>
        </w:tc>
        <w:tc>
          <w:tcPr>
            <w:tcW w:w="1077" w:type="dxa"/>
            <w:vAlign w:val="top"/>
          </w:tcPr>
          <w:p w14:paraId="27FE2F41">
            <w:pPr>
              <w:rPr>
                <w:rFonts w:ascii="Arial"/>
                <w:color w:val="auto"/>
                <w:sz w:val="21"/>
                <w:highlight w:val="none"/>
              </w:rPr>
            </w:pPr>
          </w:p>
        </w:tc>
        <w:tc>
          <w:tcPr>
            <w:tcW w:w="732" w:type="dxa"/>
            <w:vAlign w:val="top"/>
          </w:tcPr>
          <w:p w14:paraId="5CC49875">
            <w:pPr>
              <w:rPr>
                <w:rFonts w:ascii="Arial"/>
                <w:color w:val="auto"/>
                <w:sz w:val="21"/>
                <w:highlight w:val="none"/>
              </w:rPr>
            </w:pPr>
          </w:p>
        </w:tc>
        <w:tc>
          <w:tcPr>
            <w:tcW w:w="803" w:type="dxa"/>
            <w:vAlign w:val="top"/>
          </w:tcPr>
          <w:p w14:paraId="3ADEDC67">
            <w:pPr>
              <w:rPr>
                <w:rFonts w:ascii="Arial"/>
                <w:color w:val="auto"/>
                <w:sz w:val="21"/>
                <w:highlight w:val="none"/>
              </w:rPr>
            </w:pPr>
          </w:p>
        </w:tc>
        <w:tc>
          <w:tcPr>
            <w:tcW w:w="1320" w:type="dxa"/>
            <w:vAlign w:val="top"/>
          </w:tcPr>
          <w:p w14:paraId="46B8F207">
            <w:pPr>
              <w:rPr>
                <w:rFonts w:ascii="Arial"/>
                <w:color w:val="auto"/>
                <w:sz w:val="21"/>
                <w:highlight w:val="none"/>
              </w:rPr>
            </w:pPr>
          </w:p>
        </w:tc>
        <w:tc>
          <w:tcPr>
            <w:tcW w:w="952" w:type="dxa"/>
            <w:vAlign w:val="top"/>
          </w:tcPr>
          <w:p w14:paraId="31C0CE7D">
            <w:pPr>
              <w:rPr>
                <w:rFonts w:ascii="Arial"/>
                <w:color w:val="auto"/>
                <w:sz w:val="21"/>
                <w:highlight w:val="none"/>
              </w:rPr>
            </w:pPr>
          </w:p>
        </w:tc>
        <w:tc>
          <w:tcPr>
            <w:tcW w:w="1150" w:type="dxa"/>
            <w:vAlign w:val="top"/>
          </w:tcPr>
          <w:p w14:paraId="6F2382D3">
            <w:pPr>
              <w:rPr>
                <w:rFonts w:ascii="Arial"/>
                <w:color w:val="auto"/>
                <w:sz w:val="21"/>
                <w:highlight w:val="none"/>
              </w:rPr>
            </w:pPr>
          </w:p>
        </w:tc>
        <w:tc>
          <w:tcPr>
            <w:tcW w:w="758" w:type="dxa"/>
            <w:vAlign w:val="top"/>
          </w:tcPr>
          <w:p w14:paraId="2AD27E39">
            <w:pPr>
              <w:rPr>
                <w:rFonts w:ascii="Arial"/>
                <w:color w:val="auto"/>
                <w:sz w:val="21"/>
                <w:highlight w:val="none"/>
              </w:rPr>
            </w:pPr>
          </w:p>
        </w:tc>
      </w:tr>
      <w:tr w14:paraId="0BF03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5DA7DB81">
            <w:pPr>
              <w:rPr>
                <w:rFonts w:ascii="Arial"/>
                <w:color w:val="auto"/>
                <w:sz w:val="21"/>
                <w:highlight w:val="none"/>
              </w:rPr>
            </w:pPr>
          </w:p>
        </w:tc>
        <w:tc>
          <w:tcPr>
            <w:tcW w:w="1180" w:type="dxa"/>
            <w:vAlign w:val="top"/>
          </w:tcPr>
          <w:p w14:paraId="408E9B83">
            <w:pPr>
              <w:rPr>
                <w:rFonts w:ascii="Arial"/>
                <w:color w:val="auto"/>
                <w:sz w:val="21"/>
                <w:highlight w:val="none"/>
              </w:rPr>
            </w:pPr>
          </w:p>
        </w:tc>
        <w:tc>
          <w:tcPr>
            <w:tcW w:w="830" w:type="dxa"/>
            <w:vAlign w:val="top"/>
          </w:tcPr>
          <w:p w14:paraId="3AA057FA">
            <w:pPr>
              <w:rPr>
                <w:rFonts w:ascii="Arial"/>
                <w:color w:val="auto"/>
                <w:sz w:val="21"/>
                <w:highlight w:val="none"/>
              </w:rPr>
            </w:pPr>
          </w:p>
        </w:tc>
        <w:tc>
          <w:tcPr>
            <w:tcW w:w="1077" w:type="dxa"/>
            <w:vAlign w:val="top"/>
          </w:tcPr>
          <w:p w14:paraId="0F5C693F">
            <w:pPr>
              <w:rPr>
                <w:rFonts w:ascii="Arial"/>
                <w:color w:val="auto"/>
                <w:sz w:val="21"/>
                <w:highlight w:val="none"/>
              </w:rPr>
            </w:pPr>
          </w:p>
        </w:tc>
        <w:tc>
          <w:tcPr>
            <w:tcW w:w="732" w:type="dxa"/>
            <w:vAlign w:val="top"/>
          </w:tcPr>
          <w:p w14:paraId="73023524">
            <w:pPr>
              <w:rPr>
                <w:rFonts w:ascii="Arial"/>
                <w:color w:val="auto"/>
                <w:sz w:val="21"/>
                <w:highlight w:val="none"/>
              </w:rPr>
            </w:pPr>
          </w:p>
        </w:tc>
        <w:tc>
          <w:tcPr>
            <w:tcW w:w="803" w:type="dxa"/>
            <w:vAlign w:val="top"/>
          </w:tcPr>
          <w:p w14:paraId="333CB22A">
            <w:pPr>
              <w:rPr>
                <w:rFonts w:ascii="Arial"/>
                <w:color w:val="auto"/>
                <w:sz w:val="21"/>
                <w:highlight w:val="none"/>
              </w:rPr>
            </w:pPr>
          </w:p>
        </w:tc>
        <w:tc>
          <w:tcPr>
            <w:tcW w:w="1320" w:type="dxa"/>
            <w:vAlign w:val="top"/>
          </w:tcPr>
          <w:p w14:paraId="790FDEB0">
            <w:pPr>
              <w:rPr>
                <w:rFonts w:ascii="Arial"/>
                <w:color w:val="auto"/>
                <w:sz w:val="21"/>
                <w:highlight w:val="none"/>
              </w:rPr>
            </w:pPr>
          </w:p>
        </w:tc>
        <w:tc>
          <w:tcPr>
            <w:tcW w:w="952" w:type="dxa"/>
            <w:vAlign w:val="top"/>
          </w:tcPr>
          <w:p w14:paraId="5670F01A">
            <w:pPr>
              <w:rPr>
                <w:rFonts w:ascii="Arial"/>
                <w:color w:val="auto"/>
                <w:sz w:val="21"/>
                <w:highlight w:val="none"/>
              </w:rPr>
            </w:pPr>
          </w:p>
        </w:tc>
        <w:tc>
          <w:tcPr>
            <w:tcW w:w="1150" w:type="dxa"/>
            <w:vAlign w:val="top"/>
          </w:tcPr>
          <w:p w14:paraId="0DD5C10B">
            <w:pPr>
              <w:rPr>
                <w:rFonts w:ascii="Arial"/>
                <w:color w:val="auto"/>
                <w:sz w:val="21"/>
                <w:highlight w:val="none"/>
              </w:rPr>
            </w:pPr>
          </w:p>
        </w:tc>
        <w:tc>
          <w:tcPr>
            <w:tcW w:w="758" w:type="dxa"/>
            <w:vAlign w:val="top"/>
          </w:tcPr>
          <w:p w14:paraId="6292AD3D">
            <w:pPr>
              <w:rPr>
                <w:rFonts w:ascii="Arial"/>
                <w:color w:val="auto"/>
                <w:sz w:val="21"/>
                <w:highlight w:val="none"/>
              </w:rPr>
            </w:pPr>
          </w:p>
        </w:tc>
      </w:tr>
      <w:tr w14:paraId="65C57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14:paraId="5040EECF">
            <w:pPr>
              <w:rPr>
                <w:rFonts w:ascii="Arial"/>
                <w:color w:val="auto"/>
                <w:sz w:val="21"/>
                <w:highlight w:val="none"/>
              </w:rPr>
            </w:pPr>
          </w:p>
        </w:tc>
        <w:tc>
          <w:tcPr>
            <w:tcW w:w="1180" w:type="dxa"/>
            <w:vAlign w:val="top"/>
          </w:tcPr>
          <w:p w14:paraId="25BA863F">
            <w:pPr>
              <w:rPr>
                <w:rFonts w:ascii="Arial"/>
                <w:color w:val="auto"/>
                <w:sz w:val="21"/>
                <w:highlight w:val="none"/>
              </w:rPr>
            </w:pPr>
          </w:p>
        </w:tc>
        <w:tc>
          <w:tcPr>
            <w:tcW w:w="830" w:type="dxa"/>
            <w:vAlign w:val="top"/>
          </w:tcPr>
          <w:p w14:paraId="7D922804">
            <w:pPr>
              <w:rPr>
                <w:rFonts w:ascii="Arial"/>
                <w:color w:val="auto"/>
                <w:sz w:val="21"/>
                <w:highlight w:val="none"/>
              </w:rPr>
            </w:pPr>
          </w:p>
        </w:tc>
        <w:tc>
          <w:tcPr>
            <w:tcW w:w="1077" w:type="dxa"/>
            <w:vAlign w:val="top"/>
          </w:tcPr>
          <w:p w14:paraId="21C3F816">
            <w:pPr>
              <w:rPr>
                <w:rFonts w:ascii="Arial"/>
                <w:color w:val="auto"/>
                <w:sz w:val="21"/>
                <w:highlight w:val="none"/>
              </w:rPr>
            </w:pPr>
          </w:p>
        </w:tc>
        <w:tc>
          <w:tcPr>
            <w:tcW w:w="732" w:type="dxa"/>
            <w:vAlign w:val="top"/>
          </w:tcPr>
          <w:p w14:paraId="3AD63007">
            <w:pPr>
              <w:rPr>
                <w:rFonts w:ascii="Arial"/>
                <w:color w:val="auto"/>
                <w:sz w:val="21"/>
                <w:highlight w:val="none"/>
              </w:rPr>
            </w:pPr>
          </w:p>
        </w:tc>
        <w:tc>
          <w:tcPr>
            <w:tcW w:w="803" w:type="dxa"/>
            <w:vAlign w:val="top"/>
          </w:tcPr>
          <w:p w14:paraId="07AEDE7C">
            <w:pPr>
              <w:rPr>
                <w:rFonts w:ascii="Arial"/>
                <w:color w:val="auto"/>
                <w:sz w:val="21"/>
                <w:highlight w:val="none"/>
              </w:rPr>
            </w:pPr>
          </w:p>
        </w:tc>
        <w:tc>
          <w:tcPr>
            <w:tcW w:w="1320" w:type="dxa"/>
            <w:vAlign w:val="top"/>
          </w:tcPr>
          <w:p w14:paraId="60353E20">
            <w:pPr>
              <w:rPr>
                <w:rFonts w:ascii="Arial"/>
                <w:color w:val="auto"/>
                <w:sz w:val="21"/>
                <w:highlight w:val="none"/>
              </w:rPr>
            </w:pPr>
          </w:p>
        </w:tc>
        <w:tc>
          <w:tcPr>
            <w:tcW w:w="952" w:type="dxa"/>
            <w:vAlign w:val="top"/>
          </w:tcPr>
          <w:p w14:paraId="57E74793">
            <w:pPr>
              <w:rPr>
                <w:rFonts w:ascii="Arial"/>
                <w:color w:val="auto"/>
                <w:sz w:val="21"/>
                <w:highlight w:val="none"/>
              </w:rPr>
            </w:pPr>
          </w:p>
        </w:tc>
        <w:tc>
          <w:tcPr>
            <w:tcW w:w="1150" w:type="dxa"/>
            <w:vAlign w:val="top"/>
          </w:tcPr>
          <w:p w14:paraId="2F9A9EBD">
            <w:pPr>
              <w:rPr>
                <w:rFonts w:ascii="Arial"/>
                <w:color w:val="auto"/>
                <w:sz w:val="21"/>
                <w:highlight w:val="none"/>
              </w:rPr>
            </w:pPr>
          </w:p>
        </w:tc>
        <w:tc>
          <w:tcPr>
            <w:tcW w:w="758" w:type="dxa"/>
            <w:vAlign w:val="top"/>
          </w:tcPr>
          <w:p w14:paraId="5A95AABA">
            <w:pPr>
              <w:rPr>
                <w:rFonts w:ascii="Arial"/>
                <w:color w:val="auto"/>
                <w:sz w:val="21"/>
                <w:highlight w:val="none"/>
              </w:rPr>
            </w:pPr>
          </w:p>
        </w:tc>
      </w:tr>
      <w:tr w14:paraId="4ACBB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0DADC3BF">
            <w:pPr>
              <w:rPr>
                <w:rFonts w:ascii="Arial"/>
                <w:color w:val="auto"/>
                <w:sz w:val="21"/>
                <w:highlight w:val="none"/>
              </w:rPr>
            </w:pPr>
          </w:p>
        </w:tc>
        <w:tc>
          <w:tcPr>
            <w:tcW w:w="1180" w:type="dxa"/>
            <w:vAlign w:val="top"/>
          </w:tcPr>
          <w:p w14:paraId="13E601D8">
            <w:pPr>
              <w:rPr>
                <w:rFonts w:ascii="Arial"/>
                <w:color w:val="auto"/>
                <w:sz w:val="21"/>
                <w:highlight w:val="none"/>
              </w:rPr>
            </w:pPr>
          </w:p>
        </w:tc>
        <w:tc>
          <w:tcPr>
            <w:tcW w:w="830" w:type="dxa"/>
            <w:vAlign w:val="top"/>
          </w:tcPr>
          <w:p w14:paraId="78E21568">
            <w:pPr>
              <w:rPr>
                <w:rFonts w:ascii="Arial"/>
                <w:color w:val="auto"/>
                <w:sz w:val="21"/>
                <w:highlight w:val="none"/>
              </w:rPr>
            </w:pPr>
          </w:p>
        </w:tc>
        <w:tc>
          <w:tcPr>
            <w:tcW w:w="1077" w:type="dxa"/>
            <w:vAlign w:val="top"/>
          </w:tcPr>
          <w:p w14:paraId="626135C2">
            <w:pPr>
              <w:rPr>
                <w:rFonts w:ascii="Arial"/>
                <w:color w:val="auto"/>
                <w:sz w:val="21"/>
                <w:highlight w:val="none"/>
              </w:rPr>
            </w:pPr>
          </w:p>
        </w:tc>
        <w:tc>
          <w:tcPr>
            <w:tcW w:w="732" w:type="dxa"/>
            <w:vAlign w:val="top"/>
          </w:tcPr>
          <w:p w14:paraId="63828507">
            <w:pPr>
              <w:rPr>
                <w:rFonts w:ascii="Arial"/>
                <w:color w:val="auto"/>
                <w:sz w:val="21"/>
                <w:highlight w:val="none"/>
              </w:rPr>
            </w:pPr>
          </w:p>
        </w:tc>
        <w:tc>
          <w:tcPr>
            <w:tcW w:w="803" w:type="dxa"/>
            <w:vAlign w:val="top"/>
          </w:tcPr>
          <w:p w14:paraId="42A29310">
            <w:pPr>
              <w:rPr>
                <w:rFonts w:ascii="Arial"/>
                <w:color w:val="auto"/>
                <w:sz w:val="21"/>
                <w:highlight w:val="none"/>
              </w:rPr>
            </w:pPr>
          </w:p>
        </w:tc>
        <w:tc>
          <w:tcPr>
            <w:tcW w:w="1320" w:type="dxa"/>
            <w:vAlign w:val="top"/>
          </w:tcPr>
          <w:p w14:paraId="7960E75D">
            <w:pPr>
              <w:rPr>
                <w:rFonts w:ascii="Arial"/>
                <w:color w:val="auto"/>
                <w:sz w:val="21"/>
                <w:highlight w:val="none"/>
              </w:rPr>
            </w:pPr>
          </w:p>
        </w:tc>
        <w:tc>
          <w:tcPr>
            <w:tcW w:w="952" w:type="dxa"/>
            <w:vAlign w:val="top"/>
          </w:tcPr>
          <w:p w14:paraId="2808FD8D">
            <w:pPr>
              <w:rPr>
                <w:rFonts w:ascii="Arial"/>
                <w:color w:val="auto"/>
                <w:sz w:val="21"/>
                <w:highlight w:val="none"/>
              </w:rPr>
            </w:pPr>
          </w:p>
        </w:tc>
        <w:tc>
          <w:tcPr>
            <w:tcW w:w="1150" w:type="dxa"/>
            <w:vAlign w:val="top"/>
          </w:tcPr>
          <w:p w14:paraId="2480852A">
            <w:pPr>
              <w:rPr>
                <w:rFonts w:ascii="Arial"/>
                <w:color w:val="auto"/>
                <w:sz w:val="21"/>
                <w:highlight w:val="none"/>
              </w:rPr>
            </w:pPr>
          </w:p>
        </w:tc>
        <w:tc>
          <w:tcPr>
            <w:tcW w:w="758" w:type="dxa"/>
            <w:vAlign w:val="top"/>
          </w:tcPr>
          <w:p w14:paraId="51AA9B48">
            <w:pPr>
              <w:rPr>
                <w:rFonts w:ascii="Arial"/>
                <w:color w:val="auto"/>
                <w:sz w:val="21"/>
                <w:highlight w:val="none"/>
              </w:rPr>
            </w:pPr>
          </w:p>
        </w:tc>
      </w:tr>
      <w:tr w14:paraId="79968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2" w:type="dxa"/>
            <w:vAlign w:val="top"/>
          </w:tcPr>
          <w:p w14:paraId="1136CFF3">
            <w:pPr>
              <w:rPr>
                <w:rFonts w:ascii="Arial"/>
                <w:color w:val="auto"/>
                <w:sz w:val="21"/>
                <w:highlight w:val="none"/>
              </w:rPr>
            </w:pPr>
          </w:p>
        </w:tc>
        <w:tc>
          <w:tcPr>
            <w:tcW w:w="1180" w:type="dxa"/>
            <w:vAlign w:val="top"/>
          </w:tcPr>
          <w:p w14:paraId="1569C0C0">
            <w:pPr>
              <w:rPr>
                <w:rFonts w:ascii="Arial"/>
                <w:color w:val="auto"/>
                <w:sz w:val="21"/>
                <w:highlight w:val="none"/>
              </w:rPr>
            </w:pPr>
          </w:p>
        </w:tc>
        <w:tc>
          <w:tcPr>
            <w:tcW w:w="830" w:type="dxa"/>
            <w:vAlign w:val="top"/>
          </w:tcPr>
          <w:p w14:paraId="3A467526">
            <w:pPr>
              <w:rPr>
                <w:rFonts w:ascii="Arial"/>
                <w:color w:val="auto"/>
                <w:sz w:val="21"/>
                <w:highlight w:val="none"/>
              </w:rPr>
            </w:pPr>
          </w:p>
        </w:tc>
        <w:tc>
          <w:tcPr>
            <w:tcW w:w="1077" w:type="dxa"/>
            <w:vAlign w:val="top"/>
          </w:tcPr>
          <w:p w14:paraId="69CBD37E">
            <w:pPr>
              <w:rPr>
                <w:rFonts w:ascii="Arial"/>
                <w:color w:val="auto"/>
                <w:sz w:val="21"/>
                <w:highlight w:val="none"/>
              </w:rPr>
            </w:pPr>
          </w:p>
        </w:tc>
        <w:tc>
          <w:tcPr>
            <w:tcW w:w="732" w:type="dxa"/>
            <w:vAlign w:val="top"/>
          </w:tcPr>
          <w:p w14:paraId="35D99DBA">
            <w:pPr>
              <w:rPr>
                <w:rFonts w:ascii="Arial"/>
                <w:color w:val="auto"/>
                <w:sz w:val="21"/>
                <w:highlight w:val="none"/>
              </w:rPr>
            </w:pPr>
          </w:p>
        </w:tc>
        <w:tc>
          <w:tcPr>
            <w:tcW w:w="803" w:type="dxa"/>
            <w:vAlign w:val="top"/>
          </w:tcPr>
          <w:p w14:paraId="5F609FC0">
            <w:pPr>
              <w:rPr>
                <w:rFonts w:ascii="Arial"/>
                <w:color w:val="auto"/>
                <w:sz w:val="21"/>
                <w:highlight w:val="none"/>
              </w:rPr>
            </w:pPr>
          </w:p>
        </w:tc>
        <w:tc>
          <w:tcPr>
            <w:tcW w:w="1320" w:type="dxa"/>
            <w:vAlign w:val="top"/>
          </w:tcPr>
          <w:p w14:paraId="7BA6A6A5">
            <w:pPr>
              <w:rPr>
                <w:rFonts w:ascii="Arial"/>
                <w:color w:val="auto"/>
                <w:sz w:val="21"/>
                <w:highlight w:val="none"/>
              </w:rPr>
            </w:pPr>
          </w:p>
        </w:tc>
        <w:tc>
          <w:tcPr>
            <w:tcW w:w="952" w:type="dxa"/>
            <w:vAlign w:val="top"/>
          </w:tcPr>
          <w:p w14:paraId="067EDD40">
            <w:pPr>
              <w:rPr>
                <w:rFonts w:ascii="Arial"/>
                <w:color w:val="auto"/>
                <w:sz w:val="21"/>
                <w:highlight w:val="none"/>
              </w:rPr>
            </w:pPr>
          </w:p>
        </w:tc>
        <w:tc>
          <w:tcPr>
            <w:tcW w:w="1150" w:type="dxa"/>
            <w:vAlign w:val="top"/>
          </w:tcPr>
          <w:p w14:paraId="2459B522">
            <w:pPr>
              <w:rPr>
                <w:rFonts w:ascii="Arial"/>
                <w:color w:val="auto"/>
                <w:sz w:val="21"/>
                <w:highlight w:val="none"/>
              </w:rPr>
            </w:pPr>
          </w:p>
        </w:tc>
        <w:tc>
          <w:tcPr>
            <w:tcW w:w="758" w:type="dxa"/>
            <w:vAlign w:val="top"/>
          </w:tcPr>
          <w:p w14:paraId="31DE8055">
            <w:pPr>
              <w:rPr>
                <w:rFonts w:ascii="Arial"/>
                <w:color w:val="auto"/>
                <w:sz w:val="21"/>
                <w:highlight w:val="none"/>
              </w:rPr>
            </w:pPr>
          </w:p>
        </w:tc>
      </w:tr>
      <w:tr w14:paraId="44FBF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1C3BB86C">
            <w:pPr>
              <w:rPr>
                <w:rFonts w:ascii="Arial"/>
                <w:color w:val="auto"/>
                <w:sz w:val="21"/>
                <w:highlight w:val="none"/>
              </w:rPr>
            </w:pPr>
          </w:p>
        </w:tc>
        <w:tc>
          <w:tcPr>
            <w:tcW w:w="1180" w:type="dxa"/>
            <w:vAlign w:val="top"/>
          </w:tcPr>
          <w:p w14:paraId="553AE7F0">
            <w:pPr>
              <w:rPr>
                <w:rFonts w:ascii="Arial"/>
                <w:color w:val="auto"/>
                <w:sz w:val="21"/>
                <w:highlight w:val="none"/>
              </w:rPr>
            </w:pPr>
          </w:p>
        </w:tc>
        <w:tc>
          <w:tcPr>
            <w:tcW w:w="830" w:type="dxa"/>
            <w:vAlign w:val="top"/>
          </w:tcPr>
          <w:p w14:paraId="3E8BE0FE">
            <w:pPr>
              <w:rPr>
                <w:rFonts w:ascii="Arial"/>
                <w:color w:val="auto"/>
                <w:sz w:val="21"/>
                <w:highlight w:val="none"/>
              </w:rPr>
            </w:pPr>
          </w:p>
        </w:tc>
        <w:tc>
          <w:tcPr>
            <w:tcW w:w="1077" w:type="dxa"/>
            <w:vAlign w:val="top"/>
          </w:tcPr>
          <w:p w14:paraId="32A044A7">
            <w:pPr>
              <w:rPr>
                <w:rFonts w:ascii="Arial"/>
                <w:color w:val="auto"/>
                <w:sz w:val="21"/>
                <w:highlight w:val="none"/>
              </w:rPr>
            </w:pPr>
          </w:p>
        </w:tc>
        <w:tc>
          <w:tcPr>
            <w:tcW w:w="732" w:type="dxa"/>
            <w:vAlign w:val="top"/>
          </w:tcPr>
          <w:p w14:paraId="6D71B9B1">
            <w:pPr>
              <w:rPr>
                <w:rFonts w:ascii="Arial"/>
                <w:color w:val="auto"/>
                <w:sz w:val="21"/>
                <w:highlight w:val="none"/>
              </w:rPr>
            </w:pPr>
          </w:p>
        </w:tc>
        <w:tc>
          <w:tcPr>
            <w:tcW w:w="803" w:type="dxa"/>
            <w:vAlign w:val="top"/>
          </w:tcPr>
          <w:p w14:paraId="620E6663">
            <w:pPr>
              <w:rPr>
                <w:rFonts w:ascii="Arial"/>
                <w:color w:val="auto"/>
                <w:sz w:val="21"/>
                <w:highlight w:val="none"/>
              </w:rPr>
            </w:pPr>
          </w:p>
        </w:tc>
        <w:tc>
          <w:tcPr>
            <w:tcW w:w="1320" w:type="dxa"/>
            <w:vAlign w:val="top"/>
          </w:tcPr>
          <w:p w14:paraId="1ECBABF8">
            <w:pPr>
              <w:rPr>
                <w:rFonts w:ascii="Arial"/>
                <w:color w:val="auto"/>
                <w:sz w:val="21"/>
                <w:highlight w:val="none"/>
              </w:rPr>
            </w:pPr>
          </w:p>
        </w:tc>
        <w:tc>
          <w:tcPr>
            <w:tcW w:w="952" w:type="dxa"/>
            <w:vAlign w:val="top"/>
          </w:tcPr>
          <w:p w14:paraId="06C10DB3">
            <w:pPr>
              <w:rPr>
                <w:rFonts w:ascii="Arial"/>
                <w:color w:val="auto"/>
                <w:sz w:val="21"/>
                <w:highlight w:val="none"/>
              </w:rPr>
            </w:pPr>
          </w:p>
        </w:tc>
        <w:tc>
          <w:tcPr>
            <w:tcW w:w="1150" w:type="dxa"/>
            <w:vAlign w:val="top"/>
          </w:tcPr>
          <w:p w14:paraId="61371509">
            <w:pPr>
              <w:rPr>
                <w:rFonts w:ascii="Arial"/>
                <w:color w:val="auto"/>
                <w:sz w:val="21"/>
                <w:highlight w:val="none"/>
              </w:rPr>
            </w:pPr>
          </w:p>
        </w:tc>
        <w:tc>
          <w:tcPr>
            <w:tcW w:w="758" w:type="dxa"/>
            <w:vAlign w:val="top"/>
          </w:tcPr>
          <w:p w14:paraId="199E1C13">
            <w:pPr>
              <w:rPr>
                <w:rFonts w:ascii="Arial"/>
                <w:color w:val="auto"/>
                <w:sz w:val="21"/>
                <w:highlight w:val="none"/>
              </w:rPr>
            </w:pPr>
          </w:p>
        </w:tc>
      </w:tr>
      <w:tr w14:paraId="7707A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2" w:type="dxa"/>
            <w:vAlign w:val="top"/>
          </w:tcPr>
          <w:p w14:paraId="0BD8CCBB">
            <w:pPr>
              <w:rPr>
                <w:rFonts w:ascii="Arial"/>
                <w:color w:val="auto"/>
                <w:sz w:val="21"/>
                <w:highlight w:val="none"/>
              </w:rPr>
            </w:pPr>
          </w:p>
        </w:tc>
        <w:tc>
          <w:tcPr>
            <w:tcW w:w="1180" w:type="dxa"/>
            <w:vAlign w:val="top"/>
          </w:tcPr>
          <w:p w14:paraId="3D65D92A">
            <w:pPr>
              <w:rPr>
                <w:rFonts w:ascii="Arial"/>
                <w:color w:val="auto"/>
                <w:sz w:val="21"/>
                <w:highlight w:val="none"/>
              </w:rPr>
            </w:pPr>
          </w:p>
        </w:tc>
        <w:tc>
          <w:tcPr>
            <w:tcW w:w="830" w:type="dxa"/>
            <w:vAlign w:val="top"/>
          </w:tcPr>
          <w:p w14:paraId="77048A22">
            <w:pPr>
              <w:rPr>
                <w:rFonts w:ascii="Arial"/>
                <w:color w:val="auto"/>
                <w:sz w:val="21"/>
                <w:highlight w:val="none"/>
              </w:rPr>
            </w:pPr>
          </w:p>
        </w:tc>
        <w:tc>
          <w:tcPr>
            <w:tcW w:w="1077" w:type="dxa"/>
            <w:vAlign w:val="top"/>
          </w:tcPr>
          <w:p w14:paraId="4E9E8651">
            <w:pPr>
              <w:rPr>
                <w:rFonts w:ascii="Arial"/>
                <w:color w:val="auto"/>
                <w:sz w:val="21"/>
                <w:highlight w:val="none"/>
              </w:rPr>
            </w:pPr>
          </w:p>
        </w:tc>
        <w:tc>
          <w:tcPr>
            <w:tcW w:w="732" w:type="dxa"/>
            <w:vAlign w:val="top"/>
          </w:tcPr>
          <w:p w14:paraId="2C50A8EB">
            <w:pPr>
              <w:rPr>
                <w:rFonts w:ascii="Arial"/>
                <w:color w:val="auto"/>
                <w:sz w:val="21"/>
                <w:highlight w:val="none"/>
              </w:rPr>
            </w:pPr>
          </w:p>
        </w:tc>
        <w:tc>
          <w:tcPr>
            <w:tcW w:w="803" w:type="dxa"/>
            <w:vAlign w:val="top"/>
          </w:tcPr>
          <w:p w14:paraId="03454EC4">
            <w:pPr>
              <w:rPr>
                <w:rFonts w:ascii="Arial"/>
                <w:color w:val="auto"/>
                <w:sz w:val="21"/>
                <w:highlight w:val="none"/>
              </w:rPr>
            </w:pPr>
          </w:p>
        </w:tc>
        <w:tc>
          <w:tcPr>
            <w:tcW w:w="1320" w:type="dxa"/>
            <w:vAlign w:val="top"/>
          </w:tcPr>
          <w:p w14:paraId="0379D8AC">
            <w:pPr>
              <w:rPr>
                <w:rFonts w:ascii="Arial"/>
                <w:color w:val="auto"/>
                <w:sz w:val="21"/>
                <w:highlight w:val="none"/>
              </w:rPr>
            </w:pPr>
          </w:p>
        </w:tc>
        <w:tc>
          <w:tcPr>
            <w:tcW w:w="952" w:type="dxa"/>
            <w:vAlign w:val="top"/>
          </w:tcPr>
          <w:p w14:paraId="7E9DDD38">
            <w:pPr>
              <w:rPr>
                <w:rFonts w:ascii="Arial"/>
                <w:color w:val="auto"/>
                <w:sz w:val="21"/>
                <w:highlight w:val="none"/>
              </w:rPr>
            </w:pPr>
          </w:p>
        </w:tc>
        <w:tc>
          <w:tcPr>
            <w:tcW w:w="1150" w:type="dxa"/>
            <w:vAlign w:val="top"/>
          </w:tcPr>
          <w:p w14:paraId="7AA8FC00">
            <w:pPr>
              <w:rPr>
                <w:rFonts w:ascii="Arial"/>
                <w:color w:val="auto"/>
                <w:sz w:val="21"/>
                <w:highlight w:val="none"/>
              </w:rPr>
            </w:pPr>
          </w:p>
        </w:tc>
        <w:tc>
          <w:tcPr>
            <w:tcW w:w="758" w:type="dxa"/>
            <w:vAlign w:val="top"/>
          </w:tcPr>
          <w:p w14:paraId="24587EC0">
            <w:pPr>
              <w:rPr>
                <w:rFonts w:ascii="Arial"/>
                <w:color w:val="auto"/>
                <w:sz w:val="21"/>
                <w:highlight w:val="none"/>
              </w:rPr>
            </w:pPr>
          </w:p>
        </w:tc>
      </w:tr>
      <w:tr w14:paraId="07607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0F654998">
            <w:pPr>
              <w:rPr>
                <w:rFonts w:ascii="Arial"/>
                <w:color w:val="auto"/>
                <w:sz w:val="21"/>
                <w:highlight w:val="none"/>
              </w:rPr>
            </w:pPr>
          </w:p>
        </w:tc>
        <w:tc>
          <w:tcPr>
            <w:tcW w:w="1180" w:type="dxa"/>
            <w:vAlign w:val="top"/>
          </w:tcPr>
          <w:p w14:paraId="236846FF">
            <w:pPr>
              <w:rPr>
                <w:rFonts w:ascii="Arial"/>
                <w:color w:val="auto"/>
                <w:sz w:val="21"/>
                <w:highlight w:val="none"/>
              </w:rPr>
            </w:pPr>
          </w:p>
        </w:tc>
        <w:tc>
          <w:tcPr>
            <w:tcW w:w="830" w:type="dxa"/>
            <w:vAlign w:val="top"/>
          </w:tcPr>
          <w:p w14:paraId="695599BE">
            <w:pPr>
              <w:rPr>
                <w:rFonts w:ascii="Arial"/>
                <w:color w:val="auto"/>
                <w:sz w:val="21"/>
                <w:highlight w:val="none"/>
              </w:rPr>
            </w:pPr>
          </w:p>
        </w:tc>
        <w:tc>
          <w:tcPr>
            <w:tcW w:w="1077" w:type="dxa"/>
            <w:vAlign w:val="top"/>
          </w:tcPr>
          <w:p w14:paraId="079A1404">
            <w:pPr>
              <w:rPr>
                <w:rFonts w:ascii="Arial"/>
                <w:color w:val="auto"/>
                <w:sz w:val="21"/>
                <w:highlight w:val="none"/>
              </w:rPr>
            </w:pPr>
          </w:p>
        </w:tc>
        <w:tc>
          <w:tcPr>
            <w:tcW w:w="732" w:type="dxa"/>
            <w:vAlign w:val="top"/>
          </w:tcPr>
          <w:p w14:paraId="50E11A6E">
            <w:pPr>
              <w:rPr>
                <w:rFonts w:ascii="Arial"/>
                <w:color w:val="auto"/>
                <w:sz w:val="21"/>
                <w:highlight w:val="none"/>
              </w:rPr>
            </w:pPr>
          </w:p>
        </w:tc>
        <w:tc>
          <w:tcPr>
            <w:tcW w:w="803" w:type="dxa"/>
            <w:vAlign w:val="top"/>
          </w:tcPr>
          <w:p w14:paraId="585D35BE">
            <w:pPr>
              <w:rPr>
                <w:rFonts w:ascii="Arial"/>
                <w:color w:val="auto"/>
                <w:sz w:val="21"/>
                <w:highlight w:val="none"/>
              </w:rPr>
            </w:pPr>
          </w:p>
        </w:tc>
        <w:tc>
          <w:tcPr>
            <w:tcW w:w="1320" w:type="dxa"/>
            <w:vAlign w:val="top"/>
          </w:tcPr>
          <w:p w14:paraId="3E4BF861">
            <w:pPr>
              <w:rPr>
                <w:rFonts w:ascii="Arial"/>
                <w:color w:val="auto"/>
                <w:sz w:val="21"/>
                <w:highlight w:val="none"/>
              </w:rPr>
            </w:pPr>
          </w:p>
        </w:tc>
        <w:tc>
          <w:tcPr>
            <w:tcW w:w="952" w:type="dxa"/>
            <w:vAlign w:val="top"/>
          </w:tcPr>
          <w:p w14:paraId="4B623D2F">
            <w:pPr>
              <w:rPr>
                <w:rFonts w:ascii="Arial"/>
                <w:color w:val="auto"/>
                <w:sz w:val="21"/>
                <w:highlight w:val="none"/>
              </w:rPr>
            </w:pPr>
          </w:p>
        </w:tc>
        <w:tc>
          <w:tcPr>
            <w:tcW w:w="1150" w:type="dxa"/>
            <w:vAlign w:val="top"/>
          </w:tcPr>
          <w:p w14:paraId="136D9633">
            <w:pPr>
              <w:rPr>
                <w:rFonts w:ascii="Arial"/>
                <w:color w:val="auto"/>
                <w:sz w:val="21"/>
                <w:highlight w:val="none"/>
              </w:rPr>
            </w:pPr>
          </w:p>
        </w:tc>
        <w:tc>
          <w:tcPr>
            <w:tcW w:w="758" w:type="dxa"/>
            <w:vAlign w:val="top"/>
          </w:tcPr>
          <w:p w14:paraId="19C53706">
            <w:pPr>
              <w:rPr>
                <w:rFonts w:ascii="Arial"/>
                <w:color w:val="auto"/>
                <w:sz w:val="21"/>
                <w:highlight w:val="none"/>
              </w:rPr>
            </w:pPr>
          </w:p>
        </w:tc>
      </w:tr>
      <w:tr w14:paraId="28613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14:paraId="5D9E7A02">
            <w:pPr>
              <w:rPr>
                <w:rFonts w:ascii="Arial"/>
                <w:color w:val="auto"/>
                <w:sz w:val="21"/>
                <w:highlight w:val="none"/>
              </w:rPr>
            </w:pPr>
          </w:p>
        </w:tc>
        <w:tc>
          <w:tcPr>
            <w:tcW w:w="1180" w:type="dxa"/>
            <w:vAlign w:val="top"/>
          </w:tcPr>
          <w:p w14:paraId="1ADED96C">
            <w:pPr>
              <w:rPr>
                <w:rFonts w:ascii="Arial"/>
                <w:color w:val="auto"/>
                <w:sz w:val="21"/>
                <w:highlight w:val="none"/>
              </w:rPr>
            </w:pPr>
          </w:p>
        </w:tc>
        <w:tc>
          <w:tcPr>
            <w:tcW w:w="830" w:type="dxa"/>
            <w:vAlign w:val="top"/>
          </w:tcPr>
          <w:p w14:paraId="0CF046B4">
            <w:pPr>
              <w:rPr>
                <w:rFonts w:ascii="Arial"/>
                <w:color w:val="auto"/>
                <w:sz w:val="21"/>
                <w:highlight w:val="none"/>
              </w:rPr>
            </w:pPr>
          </w:p>
        </w:tc>
        <w:tc>
          <w:tcPr>
            <w:tcW w:w="1077" w:type="dxa"/>
            <w:vAlign w:val="top"/>
          </w:tcPr>
          <w:p w14:paraId="0696E4F2">
            <w:pPr>
              <w:rPr>
                <w:rFonts w:ascii="Arial"/>
                <w:color w:val="auto"/>
                <w:sz w:val="21"/>
                <w:highlight w:val="none"/>
              </w:rPr>
            </w:pPr>
          </w:p>
        </w:tc>
        <w:tc>
          <w:tcPr>
            <w:tcW w:w="732" w:type="dxa"/>
            <w:vAlign w:val="top"/>
          </w:tcPr>
          <w:p w14:paraId="07340227">
            <w:pPr>
              <w:rPr>
                <w:rFonts w:ascii="Arial"/>
                <w:color w:val="auto"/>
                <w:sz w:val="21"/>
                <w:highlight w:val="none"/>
              </w:rPr>
            </w:pPr>
          </w:p>
        </w:tc>
        <w:tc>
          <w:tcPr>
            <w:tcW w:w="803" w:type="dxa"/>
            <w:vAlign w:val="top"/>
          </w:tcPr>
          <w:p w14:paraId="7175E8AD">
            <w:pPr>
              <w:rPr>
                <w:rFonts w:ascii="Arial"/>
                <w:color w:val="auto"/>
                <w:sz w:val="21"/>
                <w:highlight w:val="none"/>
              </w:rPr>
            </w:pPr>
          </w:p>
        </w:tc>
        <w:tc>
          <w:tcPr>
            <w:tcW w:w="1320" w:type="dxa"/>
            <w:vAlign w:val="top"/>
          </w:tcPr>
          <w:p w14:paraId="05F6E472">
            <w:pPr>
              <w:rPr>
                <w:rFonts w:ascii="Arial"/>
                <w:color w:val="auto"/>
                <w:sz w:val="21"/>
                <w:highlight w:val="none"/>
              </w:rPr>
            </w:pPr>
          </w:p>
        </w:tc>
        <w:tc>
          <w:tcPr>
            <w:tcW w:w="952" w:type="dxa"/>
            <w:vAlign w:val="top"/>
          </w:tcPr>
          <w:p w14:paraId="7B15F347">
            <w:pPr>
              <w:rPr>
                <w:rFonts w:ascii="Arial"/>
                <w:color w:val="auto"/>
                <w:sz w:val="21"/>
                <w:highlight w:val="none"/>
              </w:rPr>
            </w:pPr>
          </w:p>
        </w:tc>
        <w:tc>
          <w:tcPr>
            <w:tcW w:w="1150" w:type="dxa"/>
            <w:vAlign w:val="top"/>
          </w:tcPr>
          <w:p w14:paraId="073FB872">
            <w:pPr>
              <w:rPr>
                <w:rFonts w:ascii="Arial"/>
                <w:color w:val="auto"/>
                <w:sz w:val="21"/>
                <w:highlight w:val="none"/>
              </w:rPr>
            </w:pPr>
          </w:p>
        </w:tc>
        <w:tc>
          <w:tcPr>
            <w:tcW w:w="758" w:type="dxa"/>
            <w:vAlign w:val="top"/>
          </w:tcPr>
          <w:p w14:paraId="04939153">
            <w:pPr>
              <w:rPr>
                <w:rFonts w:ascii="Arial"/>
                <w:color w:val="auto"/>
                <w:sz w:val="21"/>
                <w:highlight w:val="none"/>
              </w:rPr>
            </w:pPr>
          </w:p>
        </w:tc>
      </w:tr>
      <w:tr w14:paraId="74A54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508DBEA2">
            <w:pPr>
              <w:rPr>
                <w:rFonts w:ascii="Arial"/>
                <w:color w:val="auto"/>
                <w:sz w:val="21"/>
                <w:highlight w:val="none"/>
              </w:rPr>
            </w:pPr>
          </w:p>
        </w:tc>
        <w:tc>
          <w:tcPr>
            <w:tcW w:w="1180" w:type="dxa"/>
            <w:vAlign w:val="top"/>
          </w:tcPr>
          <w:p w14:paraId="14212679">
            <w:pPr>
              <w:rPr>
                <w:rFonts w:ascii="Arial"/>
                <w:color w:val="auto"/>
                <w:sz w:val="21"/>
                <w:highlight w:val="none"/>
              </w:rPr>
            </w:pPr>
          </w:p>
        </w:tc>
        <w:tc>
          <w:tcPr>
            <w:tcW w:w="830" w:type="dxa"/>
            <w:vAlign w:val="top"/>
          </w:tcPr>
          <w:p w14:paraId="31337557">
            <w:pPr>
              <w:rPr>
                <w:rFonts w:ascii="Arial"/>
                <w:color w:val="auto"/>
                <w:sz w:val="21"/>
                <w:highlight w:val="none"/>
              </w:rPr>
            </w:pPr>
          </w:p>
        </w:tc>
        <w:tc>
          <w:tcPr>
            <w:tcW w:w="1077" w:type="dxa"/>
            <w:vAlign w:val="top"/>
          </w:tcPr>
          <w:p w14:paraId="6E6F8402">
            <w:pPr>
              <w:rPr>
                <w:rFonts w:ascii="Arial"/>
                <w:color w:val="auto"/>
                <w:sz w:val="21"/>
                <w:highlight w:val="none"/>
              </w:rPr>
            </w:pPr>
          </w:p>
        </w:tc>
        <w:tc>
          <w:tcPr>
            <w:tcW w:w="732" w:type="dxa"/>
            <w:vAlign w:val="top"/>
          </w:tcPr>
          <w:p w14:paraId="390546CF">
            <w:pPr>
              <w:rPr>
                <w:rFonts w:ascii="Arial"/>
                <w:color w:val="auto"/>
                <w:sz w:val="21"/>
                <w:highlight w:val="none"/>
              </w:rPr>
            </w:pPr>
          </w:p>
        </w:tc>
        <w:tc>
          <w:tcPr>
            <w:tcW w:w="803" w:type="dxa"/>
            <w:vAlign w:val="top"/>
          </w:tcPr>
          <w:p w14:paraId="7FD69448">
            <w:pPr>
              <w:rPr>
                <w:rFonts w:ascii="Arial"/>
                <w:color w:val="auto"/>
                <w:sz w:val="21"/>
                <w:highlight w:val="none"/>
              </w:rPr>
            </w:pPr>
          </w:p>
        </w:tc>
        <w:tc>
          <w:tcPr>
            <w:tcW w:w="1320" w:type="dxa"/>
            <w:vAlign w:val="top"/>
          </w:tcPr>
          <w:p w14:paraId="28A46896">
            <w:pPr>
              <w:rPr>
                <w:rFonts w:ascii="Arial"/>
                <w:color w:val="auto"/>
                <w:sz w:val="21"/>
                <w:highlight w:val="none"/>
              </w:rPr>
            </w:pPr>
          </w:p>
        </w:tc>
        <w:tc>
          <w:tcPr>
            <w:tcW w:w="952" w:type="dxa"/>
            <w:vAlign w:val="top"/>
          </w:tcPr>
          <w:p w14:paraId="65F6FC58">
            <w:pPr>
              <w:rPr>
                <w:rFonts w:ascii="Arial"/>
                <w:color w:val="auto"/>
                <w:sz w:val="21"/>
                <w:highlight w:val="none"/>
              </w:rPr>
            </w:pPr>
          </w:p>
        </w:tc>
        <w:tc>
          <w:tcPr>
            <w:tcW w:w="1150" w:type="dxa"/>
            <w:vAlign w:val="top"/>
          </w:tcPr>
          <w:p w14:paraId="29705B0A">
            <w:pPr>
              <w:rPr>
                <w:rFonts w:ascii="Arial"/>
                <w:color w:val="auto"/>
                <w:sz w:val="21"/>
                <w:highlight w:val="none"/>
              </w:rPr>
            </w:pPr>
          </w:p>
        </w:tc>
        <w:tc>
          <w:tcPr>
            <w:tcW w:w="758" w:type="dxa"/>
            <w:vAlign w:val="top"/>
          </w:tcPr>
          <w:p w14:paraId="16A1484A">
            <w:pPr>
              <w:rPr>
                <w:rFonts w:ascii="Arial"/>
                <w:color w:val="auto"/>
                <w:sz w:val="21"/>
                <w:highlight w:val="none"/>
              </w:rPr>
            </w:pPr>
          </w:p>
        </w:tc>
      </w:tr>
      <w:tr w14:paraId="1D2F2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14:paraId="7A4983A8">
            <w:pPr>
              <w:rPr>
                <w:rFonts w:ascii="Arial"/>
                <w:color w:val="auto"/>
                <w:sz w:val="21"/>
                <w:highlight w:val="none"/>
              </w:rPr>
            </w:pPr>
          </w:p>
        </w:tc>
        <w:tc>
          <w:tcPr>
            <w:tcW w:w="1180" w:type="dxa"/>
            <w:vAlign w:val="top"/>
          </w:tcPr>
          <w:p w14:paraId="3F655048">
            <w:pPr>
              <w:rPr>
                <w:rFonts w:ascii="Arial"/>
                <w:color w:val="auto"/>
                <w:sz w:val="21"/>
                <w:highlight w:val="none"/>
              </w:rPr>
            </w:pPr>
          </w:p>
        </w:tc>
        <w:tc>
          <w:tcPr>
            <w:tcW w:w="830" w:type="dxa"/>
            <w:vAlign w:val="top"/>
          </w:tcPr>
          <w:p w14:paraId="42483038">
            <w:pPr>
              <w:rPr>
                <w:rFonts w:ascii="Arial"/>
                <w:color w:val="auto"/>
                <w:sz w:val="21"/>
                <w:highlight w:val="none"/>
              </w:rPr>
            </w:pPr>
          </w:p>
        </w:tc>
        <w:tc>
          <w:tcPr>
            <w:tcW w:w="1077" w:type="dxa"/>
            <w:vAlign w:val="top"/>
          </w:tcPr>
          <w:p w14:paraId="1AFBD628">
            <w:pPr>
              <w:rPr>
                <w:rFonts w:ascii="Arial"/>
                <w:color w:val="auto"/>
                <w:sz w:val="21"/>
                <w:highlight w:val="none"/>
              </w:rPr>
            </w:pPr>
          </w:p>
        </w:tc>
        <w:tc>
          <w:tcPr>
            <w:tcW w:w="732" w:type="dxa"/>
            <w:vAlign w:val="top"/>
          </w:tcPr>
          <w:p w14:paraId="48C95467">
            <w:pPr>
              <w:rPr>
                <w:rFonts w:ascii="Arial"/>
                <w:color w:val="auto"/>
                <w:sz w:val="21"/>
                <w:highlight w:val="none"/>
              </w:rPr>
            </w:pPr>
          </w:p>
        </w:tc>
        <w:tc>
          <w:tcPr>
            <w:tcW w:w="803" w:type="dxa"/>
            <w:vAlign w:val="top"/>
          </w:tcPr>
          <w:p w14:paraId="25A8ECB0">
            <w:pPr>
              <w:rPr>
                <w:rFonts w:ascii="Arial"/>
                <w:color w:val="auto"/>
                <w:sz w:val="21"/>
                <w:highlight w:val="none"/>
              </w:rPr>
            </w:pPr>
          </w:p>
        </w:tc>
        <w:tc>
          <w:tcPr>
            <w:tcW w:w="1320" w:type="dxa"/>
            <w:vAlign w:val="top"/>
          </w:tcPr>
          <w:p w14:paraId="143613D4">
            <w:pPr>
              <w:rPr>
                <w:rFonts w:ascii="Arial"/>
                <w:color w:val="auto"/>
                <w:sz w:val="21"/>
                <w:highlight w:val="none"/>
              </w:rPr>
            </w:pPr>
          </w:p>
        </w:tc>
        <w:tc>
          <w:tcPr>
            <w:tcW w:w="952" w:type="dxa"/>
            <w:vAlign w:val="top"/>
          </w:tcPr>
          <w:p w14:paraId="6DB4D46E">
            <w:pPr>
              <w:rPr>
                <w:rFonts w:ascii="Arial"/>
                <w:color w:val="auto"/>
                <w:sz w:val="21"/>
                <w:highlight w:val="none"/>
              </w:rPr>
            </w:pPr>
          </w:p>
        </w:tc>
        <w:tc>
          <w:tcPr>
            <w:tcW w:w="1150" w:type="dxa"/>
            <w:vAlign w:val="top"/>
          </w:tcPr>
          <w:p w14:paraId="6EF06138">
            <w:pPr>
              <w:rPr>
                <w:rFonts w:ascii="Arial"/>
                <w:color w:val="auto"/>
                <w:sz w:val="21"/>
                <w:highlight w:val="none"/>
              </w:rPr>
            </w:pPr>
          </w:p>
        </w:tc>
        <w:tc>
          <w:tcPr>
            <w:tcW w:w="758" w:type="dxa"/>
            <w:vAlign w:val="top"/>
          </w:tcPr>
          <w:p w14:paraId="422AFAD3">
            <w:pPr>
              <w:rPr>
                <w:rFonts w:ascii="Arial"/>
                <w:color w:val="auto"/>
                <w:sz w:val="21"/>
                <w:highlight w:val="none"/>
              </w:rPr>
            </w:pPr>
          </w:p>
        </w:tc>
      </w:tr>
      <w:tr w14:paraId="396B6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60D1AFF1">
            <w:pPr>
              <w:rPr>
                <w:rFonts w:ascii="Arial"/>
                <w:color w:val="auto"/>
                <w:sz w:val="21"/>
                <w:highlight w:val="none"/>
              </w:rPr>
            </w:pPr>
          </w:p>
        </w:tc>
        <w:tc>
          <w:tcPr>
            <w:tcW w:w="1180" w:type="dxa"/>
            <w:vAlign w:val="top"/>
          </w:tcPr>
          <w:p w14:paraId="2FC1D4E3">
            <w:pPr>
              <w:rPr>
                <w:rFonts w:ascii="Arial"/>
                <w:color w:val="auto"/>
                <w:sz w:val="21"/>
                <w:highlight w:val="none"/>
              </w:rPr>
            </w:pPr>
          </w:p>
        </w:tc>
        <w:tc>
          <w:tcPr>
            <w:tcW w:w="830" w:type="dxa"/>
            <w:vAlign w:val="top"/>
          </w:tcPr>
          <w:p w14:paraId="45035B87">
            <w:pPr>
              <w:rPr>
                <w:rFonts w:ascii="Arial"/>
                <w:color w:val="auto"/>
                <w:sz w:val="21"/>
                <w:highlight w:val="none"/>
              </w:rPr>
            </w:pPr>
          </w:p>
        </w:tc>
        <w:tc>
          <w:tcPr>
            <w:tcW w:w="1077" w:type="dxa"/>
            <w:vAlign w:val="top"/>
          </w:tcPr>
          <w:p w14:paraId="5E5C76E7">
            <w:pPr>
              <w:rPr>
                <w:rFonts w:ascii="Arial"/>
                <w:color w:val="auto"/>
                <w:sz w:val="21"/>
                <w:highlight w:val="none"/>
              </w:rPr>
            </w:pPr>
          </w:p>
        </w:tc>
        <w:tc>
          <w:tcPr>
            <w:tcW w:w="732" w:type="dxa"/>
            <w:vAlign w:val="top"/>
          </w:tcPr>
          <w:p w14:paraId="734E6EF9">
            <w:pPr>
              <w:rPr>
                <w:rFonts w:ascii="Arial"/>
                <w:color w:val="auto"/>
                <w:sz w:val="21"/>
                <w:highlight w:val="none"/>
              </w:rPr>
            </w:pPr>
          </w:p>
        </w:tc>
        <w:tc>
          <w:tcPr>
            <w:tcW w:w="803" w:type="dxa"/>
            <w:vAlign w:val="top"/>
          </w:tcPr>
          <w:p w14:paraId="5ED4C4ED">
            <w:pPr>
              <w:rPr>
                <w:rFonts w:ascii="Arial"/>
                <w:color w:val="auto"/>
                <w:sz w:val="21"/>
                <w:highlight w:val="none"/>
              </w:rPr>
            </w:pPr>
          </w:p>
        </w:tc>
        <w:tc>
          <w:tcPr>
            <w:tcW w:w="1320" w:type="dxa"/>
            <w:vAlign w:val="top"/>
          </w:tcPr>
          <w:p w14:paraId="55E916D6">
            <w:pPr>
              <w:rPr>
                <w:rFonts w:ascii="Arial"/>
                <w:color w:val="auto"/>
                <w:sz w:val="21"/>
                <w:highlight w:val="none"/>
              </w:rPr>
            </w:pPr>
          </w:p>
        </w:tc>
        <w:tc>
          <w:tcPr>
            <w:tcW w:w="952" w:type="dxa"/>
            <w:vAlign w:val="top"/>
          </w:tcPr>
          <w:p w14:paraId="229771E4">
            <w:pPr>
              <w:rPr>
                <w:rFonts w:ascii="Arial"/>
                <w:color w:val="auto"/>
                <w:sz w:val="21"/>
                <w:highlight w:val="none"/>
              </w:rPr>
            </w:pPr>
          </w:p>
        </w:tc>
        <w:tc>
          <w:tcPr>
            <w:tcW w:w="1150" w:type="dxa"/>
            <w:vAlign w:val="top"/>
          </w:tcPr>
          <w:p w14:paraId="754E0A4C">
            <w:pPr>
              <w:rPr>
                <w:rFonts w:ascii="Arial"/>
                <w:color w:val="auto"/>
                <w:sz w:val="21"/>
                <w:highlight w:val="none"/>
              </w:rPr>
            </w:pPr>
          </w:p>
        </w:tc>
        <w:tc>
          <w:tcPr>
            <w:tcW w:w="758" w:type="dxa"/>
            <w:vAlign w:val="top"/>
          </w:tcPr>
          <w:p w14:paraId="7A201BCA">
            <w:pPr>
              <w:rPr>
                <w:rFonts w:ascii="Arial"/>
                <w:color w:val="auto"/>
                <w:sz w:val="21"/>
                <w:highlight w:val="none"/>
              </w:rPr>
            </w:pPr>
          </w:p>
        </w:tc>
      </w:tr>
      <w:tr w14:paraId="74B8B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14:paraId="3B4DA8DF">
            <w:pPr>
              <w:rPr>
                <w:rFonts w:ascii="Arial"/>
                <w:color w:val="auto"/>
                <w:sz w:val="21"/>
                <w:highlight w:val="none"/>
              </w:rPr>
            </w:pPr>
          </w:p>
        </w:tc>
        <w:tc>
          <w:tcPr>
            <w:tcW w:w="1180" w:type="dxa"/>
            <w:vAlign w:val="top"/>
          </w:tcPr>
          <w:p w14:paraId="01B0358B">
            <w:pPr>
              <w:rPr>
                <w:rFonts w:ascii="Arial"/>
                <w:color w:val="auto"/>
                <w:sz w:val="21"/>
                <w:highlight w:val="none"/>
              </w:rPr>
            </w:pPr>
          </w:p>
        </w:tc>
        <w:tc>
          <w:tcPr>
            <w:tcW w:w="830" w:type="dxa"/>
            <w:vAlign w:val="top"/>
          </w:tcPr>
          <w:p w14:paraId="240A02D4">
            <w:pPr>
              <w:rPr>
                <w:rFonts w:ascii="Arial"/>
                <w:color w:val="auto"/>
                <w:sz w:val="21"/>
                <w:highlight w:val="none"/>
              </w:rPr>
            </w:pPr>
          </w:p>
        </w:tc>
        <w:tc>
          <w:tcPr>
            <w:tcW w:w="1077" w:type="dxa"/>
            <w:vAlign w:val="top"/>
          </w:tcPr>
          <w:p w14:paraId="69224B73">
            <w:pPr>
              <w:rPr>
                <w:rFonts w:ascii="Arial"/>
                <w:color w:val="auto"/>
                <w:sz w:val="21"/>
                <w:highlight w:val="none"/>
              </w:rPr>
            </w:pPr>
          </w:p>
        </w:tc>
        <w:tc>
          <w:tcPr>
            <w:tcW w:w="732" w:type="dxa"/>
            <w:vAlign w:val="top"/>
          </w:tcPr>
          <w:p w14:paraId="1EFCBFD3">
            <w:pPr>
              <w:rPr>
                <w:rFonts w:ascii="Arial"/>
                <w:color w:val="auto"/>
                <w:sz w:val="21"/>
                <w:highlight w:val="none"/>
              </w:rPr>
            </w:pPr>
          </w:p>
        </w:tc>
        <w:tc>
          <w:tcPr>
            <w:tcW w:w="803" w:type="dxa"/>
            <w:vAlign w:val="top"/>
          </w:tcPr>
          <w:p w14:paraId="324A4EA1">
            <w:pPr>
              <w:rPr>
                <w:rFonts w:ascii="Arial"/>
                <w:color w:val="auto"/>
                <w:sz w:val="21"/>
                <w:highlight w:val="none"/>
              </w:rPr>
            </w:pPr>
          </w:p>
        </w:tc>
        <w:tc>
          <w:tcPr>
            <w:tcW w:w="1320" w:type="dxa"/>
            <w:vAlign w:val="top"/>
          </w:tcPr>
          <w:p w14:paraId="31215B07">
            <w:pPr>
              <w:rPr>
                <w:rFonts w:ascii="Arial"/>
                <w:color w:val="auto"/>
                <w:sz w:val="21"/>
                <w:highlight w:val="none"/>
              </w:rPr>
            </w:pPr>
          </w:p>
        </w:tc>
        <w:tc>
          <w:tcPr>
            <w:tcW w:w="952" w:type="dxa"/>
            <w:vAlign w:val="top"/>
          </w:tcPr>
          <w:p w14:paraId="3E38D2C9">
            <w:pPr>
              <w:rPr>
                <w:rFonts w:ascii="Arial"/>
                <w:color w:val="auto"/>
                <w:sz w:val="21"/>
                <w:highlight w:val="none"/>
              </w:rPr>
            </w:pPr>
          </w:p>
        </w:tc>
        <w:tc>
          <w:tcPr>
            <w:tcW w:w="1150" w:type="dxa"/>
            <w:vAlign w:val="top"/>
          </w:tcPr>
          <w:p w14:paraId="715A860B">
            <w:pPr>
              <w:rPr>
                <w:rFonts w:ascii="Arial"/>
                <w:color w:val="auto"/>
                <w:sz w:val="21"/>
                <w:highlight w:val="none"/>
              </w:rPr>
            </w:pPr>
          </w:p>
        </w:tc>
        <w:tc>
          <w:tcPr>
            <w:tcW w:w="758" w:type="dxa"/>
            <w:vAlign w:val="top"/>
          </w:tcPr>
          <w:p w14:paraId="4CC98829">
            <w:pPr>
              <w:rPr>
                <w:rFonts w:ascii="Arial"/>
                <w:color w:val="auto"/>
                <w:sz w:val="21"/>
                <w:highlight w:val="none"/>
              </w:rPr>
            </w:pPr>
          </w:p>
        </w:tc>
      </w:tr>
      <w:tr w14:paraId="47C47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6C7B4072">
            <w:pPr>
              <w:rPr>
                <w:rFonts w:ascii="Arial"/>
                <w:color w:val="auto"/>
                <w:sz w:val="21"/>
                <w:highlight w:val="none"/>
              </w:rPr>
            </w:pPr>
          </w:p>
        </w:tc>
        <w:tc>
          <w:tcPr>
            <w:tcW w:w="1180" w:type="dxa"/>
            <w:vAlign w:val="top"/>
          </w:tcPr>
          <w:p w14:paraId="6ABCEB4C">
            <w:pPr>
              <w:rPr>
                <w:rFonts w:ascii="Arial"/>
                <w:color w:val="auto"/>
                <w:sz w:val="21"/>
                <w:highlight w:val="none"/>
              </w:rPr>
            </w:pPr>
          </w:p>
        </w:tc>
        <w:tc>
          <w:tcPr>
            <w:tcW w:w="830" w:type="dxa"/>
            <w:vAlign w:val="top"/>
          </w:tcPr>
          <w:p w14:paraId="4C4CFC1D">
            <w:pPr>
              <w:rPr>
                <w:rFonts w:ascii="Arial"/>
                <w:color w:val="auto"/>
                <w:sz w:val="21"/>
                <w:highlight w:val="none"/>
              </w:rPr>
            </w:pPr>
          </w:p>
        </w:tc>
        <w:tc>
          <w:tcPr>
            <w:tcW w:w="1077" w:type="dxa"/>
            <w:vAlign w:val="top"/>
          </w:tcPr>
          <w:p w14:paraId="7C814C88">
            <w:pPr>
              <w:rPr>
                <w:rFonts w:ascii="Arial"/>
                <w:color w:val="auto"/>
                <w:sz w:val="21"/>
                <w:highlight w:val="none"/>
              </w:rPr>
            </w:pPr>
          </w:p>
        </w:tc>
        <w:tc>
          <w:tcPr>
            <w:tcW w:w="732" w:type="dxa"/>
            <w:vAlign w:val="top"/>
          </w:tcPr>
          <w:p w14:paraId="530C7346">
            <w:pPr>
              <w:rPr>
                <w:rFonts w:ascii="Arial"/>
                <w:color w:val="auto"/>
                <w:sz w:val="21"/>
                <w:highlight w:val="none"/>
              </w:rPr>
            </w:pPr>
          </w:p>
        </w:tc>
        <w:tc>
          <w:tcPr>
            <w:tcW w:w="803" w:type="dxa"/>
            <w:vAlign w:val="top"/>
          </w:tcPr>
          <w:p w14:paraId="21A37E68">
            <w:pPr>
              <w:rPr>
                <w:rFonts w:ascii="Arial"/>
                <w:color w:val="auto"/>
                <w:sz w:val="21"/>
                <w:highlight w:val="none"/>
              </w:rPr>
            </w:pPr>
          </w:p>
        </w:tc>
        <w:tc>
          <w:tcPr>
            <w:tcW w:w="1320" w:type="dxa"/>
            <w:vAlign w:val="top"/>
          </w:tcPr>
          <w:p w14:paraId="4552B413">
            <w:pPr>
              <w:rPr>
                <w:rFonts w:ascii="Arial"/>
                <w:color w:val="auto"/>
                <w:sz w:val="21"/>
                <w:highlight w:val="none"/>
              </w:rPr>
            </w:pPr>
          </w:p>
        </w:tc>
        <w:tc>
          <w:tcPr>
            <w:tcW w:w="952" w:type="dxa"/>
            <w:vAlign w:val="top"/>
          </w:tcPr>
          <w:p w14:paraId="2093C8A8">
            <w:pPr>
              <w:rPr>
                <w:rFonts w:ascii="Arial"/>
                <w:color w:val="auto"/>
                <w:sz w:val="21"/>
                <w:highlight w:val="none"/>
              </w:rPr>
            </w:pPr>
          </w:p>
        </w:tc>
        <w:tc>
          <w:tcPr>
            <w:tcW w:w="1150" w:type="dxa"/>
            <w:vAlign w:val="top"/>
          </w:tcPr>
          <w:p w14:paraId="2B5330BA">
            <w:pPr>
              <w:rPr>
                <w:rFonts w:ascii="Arial"/>
                <w:color w:val="auto"/>
                <w:sz w:val="21"/>
                <w:highlight w:val="none"/>
              </w:rPr>
            </w:pPr>
          </w:p>
        </w:tc>
        <w:tc>
          <w:tcPr>
            <w:tcW w:w="758" w:type="dxa"/>
            <w:vAlign w:val="top"/>
          </w:tcPr>
          <w:p w14:paraId="010D40BE">
            <w:pPr>
              <w:rPr>
                <w:rFonts w:ascii="Arial"/>
                <w:color w:val="auto"/>
                <w:sz w:val="21"/>
                <w:highlight w:val="none"/>
              </w:rPr>
            </w:pPr>
          </w:p>
        </w:tc>
      </w:tr>
      <w:tr w14:paraId="2A28A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14:paraId="187806F0">
            <w:pPr>
              <w:rPr>
                <w:rFonts w:ascii="Arial"/>
                <w:color w:val="auto"/>
                <w:sz w:val="21"/>
                <w:highlight w:val="none"/>
              </w:rPr>
            </w:pPr>
          </w:p>
        </w:tc>
        <w:tc>
          <w:tcPr>
            <w:tcW w:w="1180" w:type="dxa"/>
            <w:vAlign w:val="top"/>
          </w:tcPr>
          <w:p w14:paraId="550FD29F">
            <w:pPr>
              <w:rPr>
                <w:rFonts w:ascii="Arial"/>
                <w:color w:val="auto"/>
                <w:sz w:val="21"/>
                <w:highlight w:val="none"/>
              </w:rPr>
            </w:pPr>
          </w:p>
        </w:tc>
        <w:tc>
          <w:tcPr>
            <w:tcW w:w="830" w:type="dxa"/>
            <w:vAlign w:val="top"/>
          </w:tcPr>
          <w:p w14:paraId="0CC3AFA7">
            <w:pPr>
              <w:rPr>
                <w:rFonts w:ascii="Arial"/>
                <w:color w:val="auto"/>
                <w:sz w:val="21"/>
                <w:highlight w:val="none"/>
              </w:rPr>
            </w:pPr>
          </w:p>
        </w:tc>
        <w:tc>
          <w:tcPr>
            <w:tcW w:w="1077" w:type="dxa"/>
            <w:vAlign w:val="top"/>
          </w:tcPr>
          <w:p w14:paraId="310E41BC">
            <w:pPr>
              <w:rPr>
                <w:rFonts w:ascii="Arial"/>
                <w:color w:val="auto"/>
                <w:sz w:val="21"/>
                <w:highlight w:val="none"/>
              </w:rPr>
            </w:pPr>
          </w:p>
        </w:tc>
        <w:tc>
          <w:tcPr>
            <w:tcW w:w="732" w:type="dxa"/>
            <w:vAlign w:val="top"/>
          </w:tcPr>
          <w:p w14:paraId="0A75DD04">
            <w:pPr>
              <w:rPr>
                <w:rFonts w:ascii="Arial"/>
                <w:color w:val="auto"/>
                <w:sz w:val="21"/>
                <w:highlight w:val="none"/>
              </w:rPr>
            </w:pPr>
          </w:p>
        </w:tc>
        <w:tc>
          <w:tcPr>
            <w:tcW w:w="803" w:type="dxa"/>
            <w:vAlign w:val="top"/>
          </w:tcPr>
          <w:p w14:paraId="5F6B00E7">
            <w:pPr>
              <w:rPr>
                <w:rFonts w:ascii="Arial"/>
                <w:color w:val="auto"/>
                <w:sz w:val="21"/>
                <w:highlight w:val="none"/>
              </w:rPr>
            </w:pPr>
          </w:p>
        </w:tc>
        <w:tc>
          <w:tcPr>
            <w:tcW w:w="1320" w:type="dxa"/>
            <w:vAlign w:val="top"/>
          </w:tcPr>
          <w:p w14:paraId="39D712E6">
            <w:pPr>
              <w:rPr>
                <w:rFonts w:ascii="Arial"/>
                <w:color w:val="auto"/>
                <w:sz w:val="21"/>
                <w:highlight w:val="none"/>
              </w:rPr>
            </w:pPr>
          </w:p>
        </w:tc>
        <w:tc>
          <w:tcPr>
            <w:tcW w:w="952" w:type="dxa"/>
            <w:vAlign w:val="top"/>
          </w:tcPr>
          <w:p w14:paraId="316644FA">
            <w:pPr>
              <w:rPr>
                <w:rFonts w:ascii="Arial"/>
                <w:color w:val="auto"/>
                <w:sz w:val="21"/>
                <w:highlight w:val="none"/>
              </w:rPr>
            </w:pPr>
          </w:p>
        </w:tc>
        <w:tc>
          <w:tcPr>
            <w:tcW w:w="1150" w:type="dxa"/>
            <w:vAlign w:val="top"/>
          </w:tcPr>
          <w:p w14:paraId="19A62DBC">
            <w:pPr>
              <w:rPr>
                <w:rFonts w:ascii="Arial"/>
                <w:color w:val="auto"/>
                <w:sz w:val="21"/>
                <w:highlight w:val="none"/>
              </w:rPr>
            </w:pPr>
          </w:p>
        </w:tc>
        <w:tc>
          <w:tcPr>
            <w:tcW w:w="758" w:type="dxa"/>
            <w:vAlign w:val="top"/>
          </w:tcPr>
          <w:p w14:paraId="2FF1C285">
            <w:pPr>
              <w:rPr>
                <w:rFonts w:ascii="Arial"/>
                <w:color w:val="auto"/>
                <w:sz w:val="21"/>
                <w:highlight w:val="none"/>
              </w:rPr>
            </w:pPr>
          </w:p>
        </w:tc>
      </w:tr>
      <w:tr w14:paraId="3B20A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308A2915">
            <w:pPr>
              <w:rPr>
                <w:rFonts w:ascii="Arial"/>
                <w:color w:val="auto"/>
                <w:sz w:val="21"/>
                <w:highlight w:val="none"/>
              </w:rPr>
            </w:pPr>
          </w:p>
        </w:tc>
        <w:tc>
          <w:tcPr>
            <w:tcW w:w="1180" w:type="dxa"/>
            <w:vAlign w:val="top"/>
          </w:tcPr>
          <w:p w14:paraId="71E49074">
            <w:pPr>
              <w:rPr>
                <w:rFonts w:ascii="Arial"/>
                <w:color w:val="auto"/>
                <w:sz w:val="21"/>
                <w:highlight w:val="none"/>
              </w:rPr>
            </w:pPr>
          </w:p>
        </w:tc>
        <w:tc>
          <w:tcPr>
            <w:tcW w:w="830" w:type="dxa"/>
            <w:vAlign w:val="top"/>
          </w:tcPr>
          <w:p w14:paraId="0C45AB05">
            <w:pPr>
              <w:rPr>
                <w:rFonts w:ascii="Arial"/>
                <w:color w:val="auto"/>
                <w:sz w:val="21"/>
                <w:highlight w:val="none"/>
              </w:rPr>
            </w:pPr>
          </w:p>
        </w:tc>
        <w:tc>
          <w:tcPr>
            <w:tcW w:w="1077" w:type="dxa"/>
            <w:vAlign w:val="top"/>
          </w:tcPr>
          <w:p w14:paraId="2EB23BFD">
            <w:pPr>
              <w:rPr>
                <w:rFonts w:ascii="Arial"/>
                <w:color w:val="auto"/>
                <w:sz w:val="21"/>
                <w:highlight w:val="none"/>
              </w:rPr>
            </w:pPr>
          </w:p>
        </w:tc>
        <w:tc>
          <w:tcPr>
            <w:tcW w:w="732" w:type="dxa"/>
            <w:vAlign w:val="top"/>
          </w:tcPr>
          <w:p w14:paraId="4985C391">
            <w:pPr>
              <w:rPr>
                <w:rFonts w:ascii="Arial"/>
                <w:color w:val="auto"/>
                <w:sz w:val="21"/>
                <w:highlight w:val="none"/>
              </w:rPr>
            </w:pPr>
          </w:p>
        </w:tc>
        <w:tc>
          <w:tcPr>
            <w:tcW w:w="803" w:type="dxa"/>
            <w:vAlign w:val="top"/>
          </w:tcPr>
          <w:p w14:paraId="45CEE87B">
            <w:pPr>
              <w:rPr>
                <w:rFonts w:ascii="Arial"/>
                <w:color w:val="auto"/>
                <w:sz w:val="21"/>
                <w:highlight w:val="none"/>
              </w:rPr>
            </w:pPr>
          </w:p>
        </w:tc>
        <w:tc>
          <w:tcPr>
            <w:tcW w:w="1320" w:type="dxa"/>
            <w:vAlign w:val="top"/>
          </w:tcPr>
          <w:p w14:paraId="4F3745E8">
            <w:pPr>
              <w:rPr>
                <w:rFonts w:ascii="Arial"/>
                <w:color w:val="auto"/>
                <w:sz w:val="21"/>
                <w:highlight w:val="none"/>
              </w:rPr>
            </w:pPr>
          </w:p>
        </w:tc>
        <w:tc>
          <w:tcPr>
            <w:tcW w:w="952" w:type="dxa"/>
            <w:vAlign w:val="top"/>
          </w:tcPr>
          <w:p w14:paraId="63930598">
            <w:pPr>
              <w:rPr>
                <w:rFonts w:ascii="Arial"/>
                <w:color w:val="auto"/>
                <w:sz w:val="21"/>
                <w:highlight w:val="none"/>
              </w:rPr>
            </w:pPr>
          </w:p>
        </w:tc>
        <w:tc>
          <w:tcPr>
            <w:tcW w:w="1150" w:type="dxa"/>
            <w:vAlign w:val="top"/>
          </w:tcPr>
          <w:p w14:paraId="359C1DA5">
            <w:pPr>
              <w:rPr>
                <w:rFonts w:ascii="Arial"/>
                <w:color w:val="auto"/>
                <w:sz w:val="21"/>
                <w:highlight w:val="none"/>
              </w:rPr>
            </w:pPr>
          </w:p>
        </w:tc>
        <w:tc>
          <w:tcPr>
            <w:tcW w:w="758" w:type="dxa"/>
            <w:vAlign w:val="top"/>
          </w:tcPr>
          <w:p w14:paraId="69580478">
            <w:pPr>
              <w:rPr>
                <w:rFonts w:ascii="Arial"/>
                <w:color w:val="auto"/>
                <w:sz w:val="21"/>
                <w:highlight w:val="none"/>
              </w:rPr>
            </w:pPr>
          </w:p>
        </w:tc>
      </w:tr>
      <w:tr w14:paraId="59DA9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14:paraId="53C7667E">
            <w:pPr>
              <w:rPr>
                <w:rFonts w:ascii="Arial"/>
                <w:color w:val="auto"/>
                <w:sz w:val="21"/>
                <w:highlight w:val="none"/>
              </w:rPr>
            </w:pPr>
          </w:p>
        </w:tc>
        <w:tc>
          <w:tcPr>
            <w:tcW w:w="1180" w:type="dxa"/>
            <w:vAlign w:val="top"/>
          </w:tcPr>
          <w:p w14:paraId="15DCB251">
            <w:pPr>
              <w:rPr>
                <w:rFonts w:ascii="Arial"/>
                <w:color w:val="auto"/>
                <w:sz w:val="21"/>
                <w:highlight w:val="none"/>
              </w:rPr>
            </w:pPr>
          </w:p>
        </w:tc>
        <w:tc>
          <w:tcPr>
            <w:tcW w:w="830" w:type="dxa"/>
            <w:vAlign w:val="top"/>
          </w:tcPr>
          <w:p w14:paraId="01A39CE4">
            <w:pPr>
              <w:rPr>
                <w:rFonts w:ascii="Arial"/>
                <w:color w:val="auto"/>
                <w:sz w:val="21"/>
                <w:highlight w:val="none"/>
              </w:rPr>
            </w:pPr>
          </w:p>
        </w:tc>
        <w:tc>
          <w:tcPr>
            <w:tcW w:w="1077" w:type="dxa"/>
            <w:vAlign w:val="top"/>
          </w:tcPr>
          <w:p w14:paraId="3202634D">
            <w:pPr>
              <w:rPr>
                <w:rFonts w:ascii="Arial"/>
                <w:color w:val="auto"/>
                <w:sz w:val="21"/>
                <w:highlight w:val="none"/>
              </w:rPr>
            </w:pPr>
          </w:p>
        </w:tc>
        <w:tc>
          <w:tcPr>
            <w:tcW w:w="732" w:type="dxa"/>
            <w:vAlign w:val="top"/>
          </w:tcPr>
          <w:p w14:paraId="0CCC9A79">
            <w:pPr>
              <w:rPr>
                <w:rFonts w:ascii="Arial"/>
                <w:color w:val="auto"/>
                <w:sz w:val="21"/>
                <w:highlight w:val="none"/>
              </w:rPr>
            </w:pPr>
          </w:p>
        </w:tc>
        <w:tc>
          <w:tcPr>
            <w:tcW w:w="803" w:type="dxa"/>
            <w:vAlign w:val="top"/>
          </w:tcPr>
          <w:p w14:paraId="272A2967">
            <w:pPr>
              <w:rPr>
                <w:rFonts w:ascii="Arial"/>
                <w:color w:val="auto"/>
                <w:sz w:val="21"/>
                <w:highlight w:val="none"/>
              </w:rPr>
            </w:pPr>
          </w:p>
        </w:tc>
        <w:tc>
          <w:tcPr>
            <w:tcW w:w="1320" w:type="dxa"/>
            <w:vAlign w:val="top"/>
          </w:tcPr>
          <w:p w14:paraId="5311E944">
            <w:pPr>
              <w:rPr>
                <w:rFonts w:ascii="Arial"/>
                <w:color w:val="auto"/>
                <w:sz w:val="21"/>
                <w:highlight w:val="none"/>
              </w:rPr>
            </w:pPr>
          </w:p>
        </w:tc>
        <w:tc>
          <w:tcPr>
            <w:tcW w:w="952" w:type="dxa"/>
            <w:vAlign w:val="top"/>
          </w:tcPr>
          <w:p w14:paraId="31C934BE">
            <w:pPr>
              <w:rPr>
                <w:rFonts w:ascii="Arial"/>
                <w:color w:val="auto"/>
                <w:sz w:val="21"/>
                <w:highlight w:val="none"/>
              </w:rPr>
            </w:pPr>
          </w:p>
        </w:tc>
        <w:tc>
          <w:tcPr>
            <w:tcW w:w="1150" w:type="dxa"/>
            <w:vAlign w:val="top"/>
          </w:tcPr>
          <w:p w14:paraId="0035DE18">
            <w:pPr>
              <w:rPr>
                <w:rFonts w:ascii="Arial"/>
                <w:color w:val="auto"/>
                <w:sz w:val="21"/>
                <w:highlight w:val="none"/>
              </w:rPr>
            </w:pPr>
          </w:p>
        </w:tc>
        <w:tc>
          <w:tcPr>
            <w:tcW w:w="758" w:type="dxa"/>
            <w:vAlign w:val="top"/>
          </w:tcPr>
          <w:p w14:paraId="0C89B8D7">
            <w:pPr>
              <w:rPr>
                <w:rFonts w:ascii="Arial"/>
                <w:color w:val="auto"/>
                <w:sz w:val="21"/>
                <w:highlight w:val="none"/>
              </w:rPr>
            </w:pPr>
          </w:p>
        </w:tc>
      </w:tr>
      <w:tr w14:paraId="6F043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2A40C342">
            <w:pPr>
              <w:rPr>
                <w:rFonts w:ascii="Arial"/>
                <w:color w:val="auto"/>
                <w:sz w:val="21"/>
                <w:highlight w:val="none"/>
              </w:rPr>
            </w:pPr>
          </w:p>
        </w:tc>
        <w:tc>
          <w:tcPr>
            <w:tcW w:w="1180" w:type="dxa"/>
            <w:vAlign w:val="top"/>
          </w:tcPr>
          <w:p w14:paraId="1F3340BB">
            <w:pPr>
              <w:rPr>
                <w:rFonts w:ascii="Arial"/>
                <w:color w:val="auto"/>
                <w:sz w:val="21"/>
                <w:highlight w:val="none"/>
              </w:rPr>
            </w:pPr>
          </w:p>
        </w:tc>
        <w:tc>
          <w:tcPr>
            <w:tcW w:w="830" w:type="dxa"/>
            <w:vAlign w:val="top"/>
          </w:tcPr>
          <w:p w14:paraId="7182C393">
            <w:pPr>
              <w:rPr>
                <w:rFonts w:ascii="Arial"/>
                <w:color w:val="auto"/>
                <w:sz w:val="21"/>
                <w:highlight w:val="none"/>
              </w:rPr>
            </w:pPr>
          </w:p>
        </w:tc>
        <w:tc>
          <w:tcPr>
            <w:tcW w:w="1077" w:type="dxa"/>
            <w:vAlign w:val="top"/>
          </w:tcPr>
          <w:p w14:paraId="6F1FA6AF">
            <w:pPr>
              <w:rPr>
                <w:rFonts w:ascii="Arial"/>
                <w:color w:val="auto"/>
                <w:sz w:val="21"/>
                <w:highlight w:val="none"/>
              </w:rPr>
            </w:pPr>
          </w:p>
        </w:tc>
        <w:tc>
          <w:tcPr>
            <w:tcW w:w="732" w:type="dxa"/>
            <w:vAlign w:val="top"/>
          </w:tcPr>
          <w:p w14:paraId="096EA628">
            <w:pPr>
              <w:rPr>
                <w:rFonts w:ascii="Arial"/>
                <w:color w:val="auto"/>
                <w:sz w:val="21"/>
                <w:highlight w:val="none"/>
              </w:rPr>
            </w:pPr>
          </w:p>
        </w:tc>
        <w:tc>
          <w:tcPr>
            <w:tcW w:w="803" w:type="dxa"/>
            <w:vAlign w:val="top"/>
          </w:tcPr>
          <w:p w14:paraId="6C3C64B9">
            <w:pPr>
              <w:rPr>
                <w:rFonts w:ascii="Arial"/>
                <w:color w:val="auto"/>
                <w:sz w:val="21"/>
                <w:highlight w:val="none"/>
              </w:rPr>
            </w:pPr>
          </w:p>
        </w:tc>
        <w:tc>
          <w:tcPr>
            <w:tcW w:w="1320" w:type="dxa"/>
            <w:vAlign w:val="top"/>
          </w:tcPr>
          <w:p w14:paraId="0530A870">
            <w:pPr>
              <w:rPr>
                <w:rFonts w:ascii="Arial"/>
                <w:color w:val="auto"/>
                <w:sz w:val="21"/>
                <w:highlight w:val="none"/>
              </w:rPr>
            </w:pPr>
          </w:p>
        </w:tc>
        <w:tc>
          <w:tcPr>
            <w:tcW w:w="952" w:type="dxa"/>
            <w:vAlign w:val="top"/>
          </w:tcPr>
          <w:p w14:paraId="4B4B2D80">
            <w:pPr>
              <w:rPr>
                <w:rFonts w:ascii="Arial"/>
                <w:color w:val="auto"/>
                <w:sz w:val="21"/>
                <w:highlight w:val="none"/>
              </w:rPr>
            </w:pPr>
          </w:p>
        </w:tc>
        <w:tc>
          <w:tcPr>
            <w:tcW w:w="1150" w:type="dxa"/>
            <w:vAlign w:val="top"/>
          </w:tcPr>
          <w:p w14:paraId="550C3484">
            <w:pPr>
              <w:rPr>
                <w:rFonts w:ascii="Arial"/>
                <w:color w:val="auto"/>
                <w:sz w:val="21"/>
                <w:highlight w:val="none"/>
              </w:rPr>
            </w:pPr>
          </w:p>
        </w:tc>
        <w:tc>
          <w:tcPr>
            <w:tcW w:w="758" w:type="dxa"/>
            <w:vAlign w:val="top"/>
          </w:tcPr>
          <w:p w14:paraId="1DD0DB80">
            <w:pPr>
              <w:rPr>
                <w:rFonts w:ascii="Arial"/>
                <w:color w:val="auto"/>
                <w:sz w:val="21"/>
                <w:highlight w:val="none"/>
              </w:rPr>
            </w:pPr>
          </w:p>
        </w:tc>
      </w:tr>
      <w:tr w14:paraId="58BFC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14:paraId="2CCFEF9D">
            <w:pPr>
              <w:rPr>
                <w:rFonts w:ascii="Arial"/>
                <w:color w:val="auto"/>
                <w:sz w:val="21"/>
                <w:highlight w:val="none"/>
              </w:rPr>
            </w:pPr>
          </w:p>
        </w:tc>
        <w:tc>
          <w:tcPr>
            <w:tcW w:w="1180" w:type="dxa"/>
            <w:vAlign w:val="top"/>
          </w:tcPr>
          <w:p w14:paraId="51B1FE39">
            <w:pPr>
              <w:rPr>
                <w:rFonts w:ascii="Arial"/>
                <w:color w:val="auto"/>
                <w:sz w:val="21"/>
                <w:highlight w:val="none"/>
              </w:rPr>
            </w:pPr>
          </w:p>
        </w:tc>
        <w:tc>
          <w:tcPr>
            <w:tcW w:w="830" w:type="dxa"/>
            <w:vAlign w:val="top"/>
          </w:tcPr>
          <w:p w14:paraId="0C52F5F7">
            <w:pPr>
              <w:rPr>
                <w:rFonts w:ascii="Arial"/>
                <w:color w:val="auto"/>
                <w:sz w:val="21"/>
                <w:highlight w:val="none"/>
              </w:rPr>
            </w:pPr>
          </w:p>
        </w:tc>
        <w:tc>
          <w:tcPr>
            <w:tcW w:w="1077" w:type="dxa"/>
            <w:vAlign w:val="top"/>
          </w:tcPr>
          <w:p w14:paraId="5C9E4E80">
            <w:pPr>
              <w:rPr>
                <w:rFonts w:ascii="Arial"/>
                <w:color w:val="auto"/>
                <w:sz w:val="21"/>
                <w:highlight w:val="none"/>
              </w:rPr>
            </w:pPr>
          </w:p>
        </w:tc>
        <w:tc>
          <w:tcPr>
            <w:tcW w:w="732" w:type="dxa"/>
            <w:vAlign w:val="top"/>
          </w:tcPr>
          <w:p w14:paraId="723FED15">
            <w:pPr>
              <w:rPr>
                <w:rFonts w:ascii="Arial"/>
                <w:color w:val="auto"/>
                <w:sz w:val="21"/>
                <w:highlight w:val="none"/>
              </w:rPr>
            </w:pPr>
          </w:p>
        </w:tc>
        <w:tc>
          <w:tcPr>
            <w:tcW w:w="803" w:type="dxa"/>
            <w:vAlign w:val="top"/>
          </w:tcPr>
          <w:p w14:paraId="7360A067">
            <w:pPr>
              <w:rPr>
                <w:rFonts w:ascii="Arial"/>
                <w:color w:val="auto"/>
                <w:sz w:val="21"/>
                <w:highlight w:val="none"/>
              </w:rPr>
            </w:pPr>
          </w:p>
        </w:tc>
        <w:tc>
          <w:tcPr>
            <w:tcW w:w="1320" w:type="dxa"/>
            <w:vAlign w:val="top"/>
          </w:tcPr>
          <w:p w14:paraId="13CE2529">
            <w:pPr>
              <w:rPr>
                <w:rFonts w:ascii="Arial"/>
                <w:color w:val="auto"/>
                <w:sz w:val="21"/>
                <w:highlight w:val="none"/>
              </w:rPr>
            </w:pPr>
          </w:p>
        </w:tc>
        <w:tc>
          <w:tcPr>
            <w:tcW w:w="952" w:type="dxa"/>
            <w:vAlign w:val="top"/>
          </w:tcPr>
          <w:p w14:paraId="509221A4">
            <w:pPr>
              <w:rPr>
                <w:rFonts w:ascii="Arial"/>
                <w:color w:val="auto"/>
                <w:sz w:val="21"/>
                <w:highlight w:val="none"/>
              </w:rPr>
            </w:pPr>
          </w:p>
        </w:tc>
        <w:tc>
          <w:tcPr>
            <w:tcW w:w="1150" w:type="dxa"/>
            <w:vAlign w:val="top"/>
          </w:tcPr>
          <w:p w14:paraId="4EB02CA8">
            <w:pPr>
              <w:rPr>
                <w:rFonts w:ascii="Arial"/>
                <w:color w:val="auto"/>
                <w:sz w:val="21"/>
                <w:highlight w:val="none"/>
              </w:rPr>
            </w:pPr>
          </w:p>
        </w:tc>
        <w:tc>
          <w:tcPr>
            <w:tcW w:w="758" w:type="dxa"/>
            <w:vAlign w:val="top"/>
          </w:tcPr>
          <w:p w14:paraId="53F89C91">
            <w:pPr>
              <w:rPr>
                <w:rFonts w:ascii="Arial"/>
                <w:color w:val="auto"/>
                <w:sz w:val="21"/>
                <w:highlight w:val="none"/>
              </w:rPr>
            </w:pPr>
          </w:p>
        </w:tc>
      </w:tr>
      <w:tr w14:paraId="473DB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32" w:type="dxa"/>
            <w:vAlign w:val="top"/>
          </w:tcPr>
          <w:p w14:paraId="243295C5">
            <w:pPr>
              <w:rPr>
                <w:rFonts w:ascii="Arial"/>
                <w:color w:val="auto"/>
                <w:sz w:val="21"/>
                <w:highlight w:val="none"/>
              </w:rPr>
            </w:pPr>
          </w:p>
        </w:tc>
        <w:tc>
          <w:tcPr>
            <w:tcW w:w="1180" w:type="dxa"/>
            <w:vAlign w:val="top"/>
          </w:tcPr>
          <w:p w14:paraId="08DBEF34">
            <w:pPr>
              <w:rPr>
                <w:rFonts w:ascii="Arial"/>
                <w:color w:val="auto"/>
                <w:sz w:val="21"/>
                <w:highlight w:val="none"/>
              </w:rPr>
            </w:pPr>
          </w:p>
        </w:tc>
        <w:tc>
          <w:tcPr>
            <w:tcW w:w="830" w:type="dxa"/>
            <w:vAlign w:val="top"/>
          </w:tcPr>
          <w:p w14:paraId="6031913F">
            <w:pPr>
              <w:rPr>
                <w:rFonts w:ascii="Arial"/>
                <w:color w:val="auto"/>
                <w:sz w:val="21"/>
                <w:highlight w:val="none"/>
              </w:rPr>
            </w:pPr>
          </w:p>
        </w:tc>
        <w:tc>
          <w:tcPr>
            <w:tcW w:w="1077" w:type="dxa"/>
            <w:vAlign w:val="top"/>
          </w:tcPr>
          <w:p w14:paraId="1974014F">
            <w:pPr>
              <w:rPr>
                <w:rFonts w:ascii="Arial"/>
                <w:color w:val="auto"/>
                <w:sz w:val="21"/>
                <w:highlight w:val="none"/>
              </w:rPr>
            </w:pPr>
          </w:p>
        </w:tc>
        <w:tc>
          <w:tcPr>
            <w:tcW w:w="732" w:type="dxa"/>
            <w:vAlign w:val="top"/>
          </w:tcPr>
          <w:p w14:paraId="614E00A9">
            <w:pPr>
              <w:rPr>
                <w:rFonts w:ascii="Arial"/>
                <w:color w:val="auto"/>
                <w:sz w:val="21"/>
                <w:highlight w:val="none"/>
              </w:rPr>
            </w:pPr>
          </w:p>
        </w:tc>
        <w:tc>
          <w:tcPr>
            <w:tcW w:w="803" w:type="dxa"/>
            <w:vAlign w:val="top"/>
          </w:tcPr>
          <w:p w14:paraId="57D6BF17">
            <w:pPr>
              <w:rPr>
                <w:rFonts w:ascii="Arial"/>
                <w:color w:val="auto"/>
                <w:sz w:val="21"/>
                <w:highlight w:val="none"/>
              </w:rPr>
            </w:pPr>
          </w:p>
        </w:tc>
        <w:tc>
          <w:tcPr>
            <w:tcW w:w="1320" w:type="dxa"/>
            <w:vAlign w:val="top"/>
          </w:tcPr>
          <w:p w14:paraId="7C0B56ED">
            <w:pPr>
              <w:rPr>
                <w:rFonts w:ascii="Arial"/>
                <w:color w:val="auto"/>
                <w:sz w:val="21"/>
                <w:highlight w:val="none"/>
              </w:rPr>
            </w:pPr>
          </w:p>
        </w:tc>
        <w:tc>
          <w:tcPr>
            <w:tcW w:w="952" w:type="dxa"/>
            <w:vAlign w:val="top"/>
          </w:tcPr>
          <w:p w14:paraId="7B61D6F2">
            <w:pPr>
              <w:rPr>
                <w:rFonts w:ascii="Arial"/>
                <w:color w:val="auto"/>
                <w:sz w:val="21"/>
                <w:highlight w:val="none"/>
              </w:rPr>
            </w:pPr>
          </w:p>
        </w:tc>
        <w:tc>
          <w:tcPr>
            <w:tcW w:w="1150" w:type="dxa"/>
            <w:vAlign w:val="top"/>
          </w:tcPr>
          <w:p w14:paraId="6E2B2D5D">
            <w:pPr>
              <w:rPr>
                <w:rFonts w:ascii="Arial"/>
                <w:color w:val="auto"/>
                <w:sz w:val="21"/>
                <w:highlight w:val="none"/>
              </w:rPr>
            </w:pPr>
          </w:p>
        </w:tc>
        <w:tc>
          <w:tcPr>
            <w:tcW w:w="758" w:type="dxa"/>
            <w:vAlign w:val="top"/>
          </w:tcPr>
          <w:p w14:paraId="5A5F89B3">
            <w:pPr>
              <w:rPr>
                <w:rFonts w:ascii="Arial"/>
                <w:color w:val="auto"/>
                <w:sz w:val="21"/>
                <w:highlight w:val="none"/>
              </w:rPr>
            </w:pPr>
          </w:p>
        </w:tc>
      </w:tr>
    </w:tbl>
    <w:p w14:paraId="727FA205">
      <w:pPr>
        <w:rPr>
          <w:rFonts w:ascii="Arial"/>
          <w:color w:val="auto"/>
          <w:sz w:val="21"/>
          <w:highlight w:val="none"/>
        </w:rPr>
      </w:pPr>
    </w:p>
    <w:p w14:paraId="582061CF">
      <w:pPr>
        <w:spacing w:before="56" w:line="219" w:lineRule="auto"/>
        <w:ind w:left="1907"/>
        <w:rPr>
          <w:rFonts w:ascii="宋体" w:hAnsi="宋体" w:eastAsia="宋体" w:cs="宋体"/>
          <w:b/>
          <w:bCs/>
          <w:color w:val="auto"/>
          <w:spacing w:val="-4"/>
          <w:sz w:val="28"/>
          <w:szCs w:val="28"/>
          <w:highlight w:val="none"/>
        </w:rPr>
      </w:pPr>
    </w:p>
    <w:p w14:paraId="5FC212B8">
      <w:pPr>
        <w:spacing w:before="56" w:line="219" w:lineRule="auto"/>
        <w:ind w:left="1907"/>
        <w:rPr>
          <w:rFonts w:ascii="宋体" w:hAnsi="宋体" w:eastAsia="宋体" w:cs="宋体"/>
          <w:b/>
          <w:bCs/>
          <w:color w:val="auto"/>
          <w:spacing w:val="-4"/>
          <w:sz w:val="28"/>
          <w:szCs w:val="28"/>
          <w:highlight w:val="none"/>
        </w:rPr>
      </w:pPr>
    </w:p>
    <w:p w14:paraId="30A1AC6C">
      <w:pPr>
        <w:spacing w:before="56" w:line="219" w:lineRule="auto"/>
        <w:ind w:left="1907"/>
        <w:rPr>
          <w:rFonts w:ascii="宋体" w:hAnsi="宋体" w:eastAsia="宋体" w:cs="宋体"/>
          <w:b/>
          <w:bCs/>
          <w:color w:val="auto"/>
          <w:spacing w:val="-4"/>
          <w:sz w:val="28"/>
          <w:szCs w:val="28"/>
          <w:highlight w:val="none"/>
        </w:rPr>
      </w:pPr>
    </w:p>
    <w:p w14:paraId="3FE5BE53">
      <w:pPr>
        <w:spacing w:before="56" w:line="219" w:lineRule="auto"/>
        <w:ind w:left="1907"/>
        <w:rPr>
          <w:rFonts w:ascii="宋体" w:hAnsi="宋体" w:eastAsia="宋体" w:cs="宋体"/>
          <w:b/>
          <w:bCs/>
          <w:color w:val="auto"/>
          <w:spacing w:val="-4"/>
          <w:sz w:val="28"/>
          <w:szCs w:val="28"/>
          <w:highlight w:val="none"/>
        </w:rPr>
      </w:pPr>
    </w:p>
    <w:p w14:paraId="5C2C7BDE">
      <w:pPr>
        <w:spacing w:before="56" w:line="219" w:lineRule="auto"/>
        <w:ind w:left="1907"/>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附表二：拟配备本标段的试验和检测仪器设备表</w:t>
      </w:r>
    </w:p>
    <w:p w14:paraId="53616FC3">
      <w:pPr>
        <w:spacing w:before="188"/>
        <w:rPr>
          <w:color w:val="auto"/>
          <w:highlight w:val="none"/>
        </w:rPr>
      </w:pPr>
    </w:p>
    <w:tbl>
      <w:tblPr>
        <w:tblStyle w:val="29"/>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1182"/>
        <w:gridCol w:w="830"/>
        <w:gridCol w:w="1079"/>
        <w:gridCol w:w="732"/>
        <w:gridCol w:w="806"/>
        <w:gridCol w:w="1320"/>
        <w:gridCol w:w="1802"/>
        <w:gridCol w:w="753"/>
      </w:tblGrid>
      <w:tr w14:paraId="241DD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730" w:type="dxa"/>
            <w:vAlign w:val="top"/>
          </w:tcPr>
          <w:p w14:paraId="22410FCB">
            <w:pPr>
              <w:spacing w:line="326" w:lineRule="auto"/>
              <w:rPr>
                <w:rFonts w:ascii="Arial"/>
                <w:color w:val="auto"/>
                <w:sz w:val="21"/>
                <w:highlight w:val="none"/>
              </w:rPr>
            </w:pPr>
          </w:p>
          <w:p w14:paraId="1351D95B">
            <w:pPr>
              <w:pStyle w:val="30"/>
              <w:spacing w:before="68" w:line="222" w:lineRule="auto"/>
              <w:ind w:left="158"/>
              <w:rPr>
                <w:color w:val="auto"/>
                <w:highlight w:val="none"/>
              </w:rPr>
            </w:pPr>
            <w:r>
              <w:rPr>
                <w:color w:val="auto"/>
                <w:spacing w:val="-2"/>
                <w:highlight w:val="none"/>
              </w:rPr>
              <w:t>序号</w:t>
            </w:r>
          </w:p>
        </w:tc>
        <w:tc>
          <w:tcPr>
            <w:tcW w:w="1182" w:type="dxa"/>
            <w:vAlign w:val="top"/>
          </w:tcPr>
          <w:p w14:paraId="6508279B">
            <w:pPr>
              <w:pStyle w:val="30"/>
              <w:spacing w:before="179" w:line="308" w:lineRule="auto"/>
              <w:ind w:left="384" w:right="169" w:hanging="210"/>
              <w:rPr>
                <w:color w:val="auto"/>
                <w:highlight w:val="none"/>
              </w:rPr>
            </w:pPr>
            <w:r>
              <w:rPr>
                <w:color w:val="auto"/>
                <w:spacing w:val="-2"/>
                <w:highlight w:val="none"/>
              </w:rPr>
              <w:t>仪器设备</w:t>
            </w:r>
            <w:r>
              <w:rPr>
                <w:color w:val="auto"/>
                <w:highlight w:val="none"/>
              </w:rPr>
              <w:t xml:space="preserve"> </w:t>
            </w:r>
            <w:r>
              <w:rPr>
                <w:color w:val="auto"/>
                <w:spacing w:val="-3"/>
                <w:highlight w:val="none"/>
              </w:rPr>
              <w:t>名称</w:t>
            </w:r>
          </w:p>
        </w:tc>
        <w:tc>
          <w:tcPr>
            <w:tcW w:w="830" w:type="dxa"/>
            <w:vAlign w:val="top"/>
          </w:tcPr>
          <w:p w14:paraId="6AB21E6E">
            <w:pPr>
              <w:pStyle w:val="30"/>
              <w:spacing w:before="179" w:line="308" w:lineRule="auto"/>
              <w:ind w:left="209" w:right="202" w:firstLine="5"/>
              <w:rPr>
                <w:color w:val="auto"/>
                <w:highlight w:val="none"/>
              </w:rPr>
            </w:pPr>
            <w:r>
              <w:rPr>
                <w:color w:val="auto"/>
                <w:spacing w:val="-7"/>
                <w:highlight w:val="none"/>
              </w:rPr>
              <w:t>型号</w:t>
            </w:r>
            <w:r>
              <w:rPr>
                <w:color w:val="auto"/>
                <w:highlight w:val="none"/>
              </w:rPr>
              <w:t xml:space="preserve"> </w:t>
            </w:r>
            <w:r>
              <w:rPr>
                <w:color w:val="auto"/>
                <w:spacing w:val="-4"/>
                <w:highlight w:val="none"/>
              </w:rPr>
              <w:t>规格</w:t>
            </w:r>
          </w:p>
        </w:tc>
        <w:tc>
          <w:tcPr>
            <w:tcW w:w="1079" w:type="dxa"/>
            <w:vAlign w:val="top"/>
          </w:tcPr>
          <w:p w14:paraId="46FFFBAA">
            <w:pPr>
              <w:spacing w:line="326" w:lineRule="auto"/>
              <w:rPr>
                <w:rFonts w:ascii="Arial"/>
                <w:color w:val="auto"/>
                <w:sz w:val="21"/>
                <w:highlight w:val="none"/>
              </w:rPr>
            </w:pPr>
          </w:p>
          <w:p w14:paraId="0CC11786">
            <w:pPr>
              <w:pStyle w:val="30"/>
              <w:spacing w:before="68" w:line="221" w:lineRule="auto"/>
              <w:ind w:left="335"/>
              <w:rPr>
                <w:color w:val="auto"/>
                <w:highlight w:val="none"/>
              </w:rPr>
            </w:pPr>
            <w:r>
              <w:rPr>
                <w:color w:val="auto"/>
                <w:spacing w:val="-2"/>
                <w:highlight w:val="none"/>
              </w:rPr>
              <w:t>数量</w:t>
            </w:r>
          </w:p>
        </w:tc>
        <w:tc>
          <w:tcPr>
            <w:tcW w:w="732" w:type="dxa"/>
            <w:vAlign w:val="top"/>
          </w:tcPr>
          <w:p w14:paraId="587665EE">
            <w:pPr>
              <w:pStyle w:val="30"/>
              <w:spacing w:before="179" w:line="308" w:lineRule="auto"/>
              <w:ind w:left="162" w:right="150" w:firstLine="20"/>
              <w:rPr>
                <w:color w:val="auto"/>
                <w:highlight w:val="none"/>
              </w:rPr>
            </w:pPr>
            <w:r>
              <w:rPr>
                <w:color w:val="auto"/>
                <w:spacing w:val="-14"/>
                <w:highlight w:val="none"/>
              </w:rPr>
              <w:t>国别</w:t>
            </w:r>
            <w:r>
              <w:rPr>
                <w:color w:val="auto"/>
                <w:highlight w:val="none"/>
              </w:rPr>
              <w:t xml:space="preserve"> </w:t>
            </w:r>
            <w:r>
              <w:rPr>
                <w:color w:val="auto"/>
                <w:spacing w:val="-3"/>
                <w:highlight w:val="none"/>
              </w:rPr>
              <w:t>产地</w:t>
            </w:r>
          </w:p>
        </w:tc>
        <w:tc>
          <w:tcPr>
            <w:tcW w:w="806" w:type="dxa"/>
            <w:vAlign w:val="top"/>
          </w:tcPr>
          <w:p w14:paraId="74AE473C">
            <w:pPr>
              <w:pStyle w:val="30"/>
              <w:spacing w:before="179" w:line="308" w:lineRule="auto"/>
              <w:ind w:left="199" w:right="188"/>
              <w:rPr>
                <w:color w:val="auto"/>
                <w:highlight w:val="none"/>
              </w:rPr>
            </w:pPr>
            <w:r>
              <w:rPr>
                <w:color w:val="auto"/>
                <w:spacing w:val="-4"/>
                <w:highlight w:val="none"/>
              </w:rPr>
              <w:t>制造</w:t>
            </w:r>
            <w:r>
              <w:rPr>
                <w:color w:val="auto"/>
                <w:highlight w:val="none"/>
              </w:rPr>
              <w:t xml:space="preserve"> </w:t>
            </w:r>
            <w:r>
              <w:rPr>
                <w:color w:val="auto"/>
                <w:spacing w:val="-4"/>
                <w:highlight w:val="none"/>
              </w:rPr>
              <w:t>年份</w:t>
            </w:r>
          </w:p>
        </w:tc>
        <w:tc>
          <w:tcPr>
            <w:tcW w:w="1320" w:type="dxa"/>
            <w:vAlign w:val="top"/>
          </w:tcPr>
          <w:p w14:paraId="432A2EB9">
            <w:pPr>
              <w:pStyle w:val="30"/>
              <w:spacing w:before="179" w:line="308" w:lineRule="auto"/>
              <w:ind w:left="560" w:right="130" w:hanging="398"/>
              <w:rPr>
                <w:color w:val="auto"/>
                <w:highlight w:val="none"/>
              </w:rPr>
            </w:pPr>
            <w:r>
              <w:rPr>
                <w:color w:val="auto"/>
                <w:spacing w:val="-6"/>
                <w:highlight w:val="none"/>
              </w:rPr>
              <w:t>已使用台时</w:t>
            </w:r>
            <w:r>
              <w:rPr>
                <w:color w:val="auto"/>
                <w:spacing w:val="1"/>
                <w:highlight w:val="none"/>
              </w:rPr>
              <w:t xml:space="preserve"> </w:t>
            </w:r>
            <w:r>
              <w:rPr>
                <w:color w:val="auto"/>
                <w:highlight w:val="none"/>
              </w:rPr>
              <w:t>数</w:t>
            </w:r>
          </w:p>
        </w:tc>
        <w:tc>
          <w:tcPr>
            <w:tcW w:w="1802" w:type="dxa"/>
            <w:vAlign w:val="top"/>
          </w:tcPr>
          <w:p w14:paraId="6E336603">
            <w:pPr>
              <w:spacing w:line="326" w:lineRule="auto"/>
              <w:rPr>
                <w:rFonts w:ascii="Arial"/>
                <w:color w:val="auto"/>
                <w:sz w:val="21"/>
                <w:highlight w:val="none"/>
              </w:rPr>
            </w:pPr>
          </w:p>
          <w:p w14:paraId="279D56A9">
            <w:pPr>
              <w:pStyle w:val="30"/>
              <w:spacing w:before="68" w:line="222" w:lineRule="auto"/>
              <w:ind w:left="697"/>
              <w:rPr>
                <w:color w:val="auto"/>
                <w:highlight w:val="none"/>
              </w:rPr>
            </w:pPr>
            <w:r>
              <w:rPr>
                <w:color w:val="auto"/>
                <w:spacing w:val="-2"/>
                <w:highlight w:val="none"/>
              </w:rPr>
              <w:t>用途</w:t>
            </w:r>
          </w:p>
        </w:tc>
        <w:tc>
          <w:tcPr>
            <w:tcW w:w="753" w:type="dxa"/>
            <w:vAlign w:val="top"/>
          </w:tcPr>
          <w:p w14:paraId="4D9FC0C8">
            <w:pPr>
              <w:spacing w:line="326" w:lineRule="auto"/>
              <w:rPr>
                <w:rFonts w:ascii="Arial"/>
                <w:color w:val="auto"/>
                <w:sz w:val="21"/>
                <w:highlight w:val="none"/>
              </w:rPr>
            </w:pPr>
          </w:p>
          <w:p w14:paraId="2CA138CD">
            <w:pPr>
              <w:pStyle w:val="30"/>
              <w:spacing w:before="68" w:line="222" w:lineRule="auto"/>
              <w:ind w:left="171"/>
              <w:rPr>
                <w:color w:val="auto"/>
                <w:highlight w:val="none"/>
              </w:rPr>
            </w:pPr>
            <w:r>
              <w:rPr>
                <w:color w:val="auto"/>
                <w:spacing w:val="-3"/>
                <w:highlight w:val="none"/>
              </w:rPr>
              <w:t>备注</w:t>
            </w:r>
          </w:p>
        </w:tc>
      </w:tr>
      <w:tr w14:paraId="74A2F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28015776">
            <w:pPr>
              <w:rPr>
                <w:rFonts w:ascii="Arial"/>
                <w:color w:val="auto"/>
                <w:sz w:val="21"/>
                <w:highlight w:val="none"/>
              </w:rPr>
            </w:pPr>
          </w:p>
        </w:tc>
        <w:tc>
          <w:tcPr>
            <w:tcW w:w="1182" w:type="dxa"/>
            <w:vAlign w:val="top"/>
          </w:tcPr>
          <w:p w14:paraId="5E6E736F">
            <w:pPr>
              <w:rPr>
                <w:rFonts w:ascii="Arial"/>
                <w:color w:val="auto"/>
                <w:sz w:val="21"/>
                <w:highlight w:val="none"/>
              </w:rPr>
            </w:pPr>
          </w:p>
        </w:tc>
        <w:tc>
          <w:tcPr>
            <w:tcW w:w="830" w:type="dxa"/>
            <w:vAlign w:val="top"/>
          </w:tcPr>
          <w:p w14:paraId="4639DBC9">
            <w:pPr>
              <w:rPr>
                <w:rFonts w:ascii="Arial"/>
                <w:color w:val="auto"/>
                <w:sz w:val="21"/>
                <w:highlight w:val="none"/>
              </w:rPr>
            </w:pPr>
          </w:p>
        </w:tc>
        <w:tc>
          <w:tcPr>
            <w:tcW w:w="1079" w:type="dxa"/>
            <w:vAlign w:val="top"/>
          </w:tcPr>
          <w:p w14:paraId="32EDE5F4">
            <w:pPr>
              <w:rPr>
                <w:rFonts w:ascii="Arial"/>
                <w:color w:val="auto"/>
                <w:sz w:val="21"/>
                <w:highlight w:val="none"/>
              </w:rPr>
            </w:pPr>
          </w:p>
        </w:tc>
        <w:tc>
          <w:tcPr>
            <w:tcW w:w="732" w:type="dxa"/>
            <w:vAlign w:val="top"/>
          </w:tcPr>
          <w:p w14:paraId="01388C49">
            <w:pPr>
              <w:rPr>
                <w:rFonts w:ascii="Arial"/>
                <w:color w:val="auto"/>
                <w:sz w:val="21"/>
                <w:highlight w:val="none"/>
              </w:rPr>
            </w:pPr>
          </w:p>
        </w:tc>
        <w:tc>
          <w:tcPr>
            <w:tcW w:w="806" w:type="dxa"/>
            <w:vAlign w:val="top"/>
          </w:tcPr>
          <w:p w14:paraId="43B85820">
            <w:pPr>
              <w:rPr>
                <w:rFonts w:ascii="Arial"/>
                <w:color w:val="auto"/>
                <w:sz w:val="21"/>
                <w:highlight w:val="none"/>
              </w:rPr>
            </w:pPr>
          </w:p>
        </w:tc>
        <w:tc>
          <w:tcPr>
            <w:tcW w:w="1320" w:type="dxa"/>
            <w:vAlign w:val="top"/>
          </w:tcPr>
          <w:p w14:paraId="4B1D590C">
            <w:pPr>
              <w:rPr>
                <w:rFonts w:ascii="Arial"/>
                <w:color w:val="auto"/>
                <w:sz w:val="21"/>
                <w:highlight w:val="none"/>
              </w:rPr>
            </w:pPr>
          </w:p>
        </w:tc>
        <w:tc>
          <w:tcPr>
            <w:tcW w:w="1802" w:type="dxa"/>
            <w:vAlign w:val="top"/>
          </w:tcPr>
          <w:p w14:paraId="73E12064">
            <w:pPr>
              <w:rPr>
                <w:rFonts w:ascii="Arial"/>
                <w:color w:val="auto"/>
                <w:sz w:val="21"/>
                <w:highlight w:val="none"/>
              </w:rPr>
            </w:pPr>
          </w:p>
        </w:tc>
        <w:tc>
          <w:tcPr>
            <w:tcW w:w="753" w:type="dxa"/>
            <w:vAlign w:val="top"/>
          </w:tcPr>
          <w:p w14:paraId="726C02B4">
            <w:pPr>
              <w:rPr>
                <w:rFonts w:ascii="Arial"/>
                <w:color w:val="auto"/>
                <w:sz w:val="21"/>
                <w:highlight w:val="none"/>
              </w:rPr>
            </w:pPr>
          </w:p>
        </w:tc>
      </w:tr>
      <w:tr w14:paraId="5AC03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0" w:type="dxa"/>
            <w:vAlign w:val="top"/>
          </w:tcPr>
          <w:p w14:paraId="7FE06EFD">
            <w:pPr>
              <w:rPr>
                <w:rFonts w:ascii="Arial"/>
                <w:color w:val="auto"/>
                <w:sz w:val="21"/>
                <w:highlight w:val="none"/>
              </w:rPr>
            </w:pPr>
          </w:p>
        </w:tc>
        <w:tc>
          <w:tcPr>
            <w:tcW w:w="1182" w:type="dxa"/>
            <w:vAlign w:val="top"/>
          </w:tcPr>
          <w:p w14:paraId="1CAD2DD3">
            <w:pPr>
              <w:rPr>
                <w:rFonts w:ascii="Arial"/>
                <w:color w:val="auto"/>
                <w:sz w:val="21"/>
                <w:highlight w:val="none"/>
              </w:rPr>
            </w:pPr>
          </w:p>
        </w:tc>
        <w:tc>
          <w:tcPr>
            <w:tcW w:w="830" w:type="dxa"/>
            <w:vAlign w:val="top"/>
          </w:tcPr>
          <w:p w14:paraId="4545A7D2">
            <w:pPr>
              <w:rPr>
                <w:rFonts w:ascii="Arial"/>
                <w:color w:val="auto"/>
                <w:sz w:val="21"/>
                <w:highlight w:val="none"/>
              </w:rPr>
            </w:pPr>
          </w:p>
        </w:tc>
        <w:tc>
          <w:tcPr>
            <w:tcW w:w="1079" w:type="dxa"/>
            <w:vAlign w:val="top"/>
          </w:tcPr>
          <w:p w14:paraId="6DEF7049">
            <w:pPr>
              <w:rPr>
                <w:rFonts w:ascii="Arial"/>
                <w:color w:val="auto"/>
                <w:sz w:val="21"/>
                <w:highlight w:val="none"/>
              </w:rPr>
            </w:pPr>
          </w:p>
        </w:tc>
        <w:tc>
          <w:tcPr>
            <w:tcW w:w="732" w:type="dxa"/>
            <w:vAlign w:val="top"/>
          </w:tcPr>
          <w:p w14:paraId="1DE767D9">
            <w:pPr>
              <w:rPr>
                <w:rFonts w:ascii="Arial"/>
                <w:color w:val="auto"/>
                <w:sz w:val="21"/>
                <w:highlight w:val="none"/>
              </w:rPr>
            </w:pPr>
          </w:p>
        </w:tc>
        <w:tc>
          <w:tcPr>
            <w:tcW w:w="806" w:type="dxa"/>
            <w:vAlign w:val="top"/>
          </w:tcPr>
          <w:p w14:paraId="5C9C1A4B">
            <w:pPr>
              <w:rPr>
                <w:rFonts w:ascii="Arial"/>
                <w:color w:val="auto"/>
                <w:sz w:val="21"/>
                <w:highlight w:val="none"/>
              </w:rPr>
            </w:pPr>
          </w:p>
        </w:tc>
        <w:tc>
          <w:tcPr>
            <w:tcW w:w="1320" w:type="dxa"/>
            <w:vAlign w:val="top"/>
          </w:tcPr>
          <w:p w14:paraId="2BEBB586">
            <w:pPr>
              <w:rPr>
                <w:rFonts w:ascii="Arial"/>
                <w:color w:val="auto"/>
                <w:sz w:val="21"/>
                <w:highlight w:val="none"/>
              </w:rPr>
            </w:pPr>
          </w:p>
        </w:tc>
        <w:tc>
          <w:tcPr>
            <w:tcW w:w="1802" w:type="dxa"/>
            <w:vAlign w:val="top"/>
          </w:tcPr>
          <w:p w14:paraId="2592A860">
            <w:pPr>
              <w:rPr>
                <w:rFonts w:ascii="Arial"/>
                <w:color w:val="auto"/>
                <w:sz w:val="21"/>
                <w:highlight w:val="none"/>
              </w:rPr>
            </w:pPr>
          </w:p>
        </w:tc>
        <w:tc>
          <w:tcPr>
            <w:tcW w:w="753" w:type="dxa"/>
            <w:vAlign w:val="top"/>
          </w:tcPr>
          <w:p w14:paraId="0AEBAC5C">
            <w:pPr>
              <w:rPr>
                <w:rFonts w:ascii="Arial"/>
                <w:color w:val="auto"/>
                <w:sz w:val="21"/>
                <w:highlight w:val="none"/>
              </w:rPr>
            </w:pPr>
          </w:p>
        </w:tc>
      </w:tr>
      <w:tr w14:paraId="5D388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5D991AAE">
            <w:pPr>
              <w:rPr>
                <w:rFonts w:ascii="Arial"/>
                <w:color w:val="auto"/>
                <w:sz w:val="21"/>
                <w:highlight w:val="none"/>
              </w:rPr>
            </w:pPr>
          </w:p>
        </w:tc>
        <w:tc>
          <w:tcPr>
            <w:tcW w:w="1182" w:type="dxa"/>
            <w:vAlign w:val="top"/>
          </w:tcPr>
          <w:p w14:paraId="4E6913CD">
            <w:pPr>
              <w:rPr>
                <w:rFonts w:ascii="Arial"/>
                <w:color w:val="auto"/>
                <w:sz w:val="21"/>
                <w:highlight w:val="none"/>
              </w:rPr>
            </w:pPr>
          </w:p>
        </w:tc>
        <w:tc>
          <w:tcPr>
            <w:tcW w:w="830" w:type="dxa"/>
            <w:vAlign w:val="top"/>
          </w:tcPr>
          <w:p w14:paraId="23882017">
            <w:pPr>
              <w:rPr>
                <w:rFonts w:ascii="Arial"/>
                <w:color w:val="auto"/>
                <w:sz w:val="21"/>
                <w:highlight w:val="none"/>
              </w:rPr>
            </w:pPr>
          </w:p>
        </w:tc>
        <w:tc>
          <w:tcPr>
            <w:tcW w:w="1079" w:type="dxa"/>
            <w:vAlign w:val="top"/>
          </w:tcPr>
          <w:p w14:paraId="47421D34">
            <w:pPr>
              <w:rPr>
                <w:rFonts w:ascii="Arial"/>
                <w:color w:val="auto"/>
                <w:sz w:val="21"/>
                <w:highlight w:val="none"/>
              </w:rPr>
            </w:pPr>
          </w:p>
        </w:tc>
        <w:tc>
          <w:tcPr>
            <w:tcW w:w="732" w:type="dxa"/>
            <w:vAlign w:val="top"/>
          </w:tcPr>
          <w:p w14:paraId="082C7779">
            <w:pPr>
              <w:rPr>
                <w:rFonts w:ascii="Arial"/>
                <w:color w:val="auto"/>
                <w:sz w:val="21"/>
                <w:highlight w:val="none"/>
              </w:rPr>
            </w:pPr>
          </w:p>
        </w:tc>
        <w:tc>
          <w:tcPr>
            <w:tcW w:w="806" w:type="dxa"/>
            <w:vAlign w:val="top"/>
          </w:tcPr>
          <w:p w14:paraId="16C2BAF1">
            <w:pPr>
              <w:rPr>
                <w:rFonts w:ascii="Arial"/>
                <w:color w:val="auto"/>
                <w:sz w:val="21"/>
                <w:highlight w:val="none"/>
              </w:rPr>
            </w:pPr>
          </w:p>
        </w:tc>
        <w:tc>
          <w:tcPr>
            <w:tcW w:w="1320" w:type="dxa"/>
            <w:vAlign w:val="top"/>
          </w:tcPr>
          <w:p w14:paraId="71228039">
            <w:pPr>
              <w:rPr>
                <w:rFonts w:ascii="Arial"/>
                <w:color w:val="auto"/>
                <w:sz w:val="21"/>
                <w:highlight w:val="none"/>
              </w:rPr>
            </w:pPr>
          </w:p>
        </w:tc>
        <w:tc>
          <w:tcPr>
            <w:tcW w:w="1802" w:type="dxa"/>
            <w:vAlign w:val="top"/>
          </w:tcPr>
          <w:p w14:paraId="29F50D3A">
            <w:pPr>
              <w:rPr>
                <w:rFonts w:ascii="Arial"/>
                <w:color w:val="auto"/>
                <w:sz w:val="21"/>
                <w:highlight w:val="none"/>
              </w:rPr>
            </w:pPr>
          </w:p>
        </w:tc>
        <w:tc>
          <w:tcPr>
            <w:tcW w:w="753" w:type="dxa"/>
            <w:vAlign w:val="top"/>
          </w:tcPr>
          <w:p w14:paraId="6AE50081">
            <w:pPr>
              <w:rPr>
                <w:rFonts w:ascii="Arial"/>
                <w:color w:val="auto"/>
                <w:sz w:val="21"/>
                <w:highlight w:val="none"/>
              </w:rPr>
            </w:pPr>
          </w:p>
        </w:tc>
      </w:tr>
      <w:tr w14:paraId="21B27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0" w:type="dxa"/>
            <w:vAlign w:val="top"/>
          </w:tcPr>
          <w:p w14:paraId="4330CCA5">
            <w:pPr>
              <w:rPr>
                <w:rFonts w:ascii="Arial"/>
                <w:color w:val="auto"/>
                <w:sz w:val="21"/>
                <w:highlight w:val="none"/>
              </w:rPr>
            </w:pPr>
          </w:p>
        </w:tc>
        <w:tc>
          <w:tcPr>
            <w:tcW w:w="1182" w:type="dxa"/>
            <w:vAlign w:val="top"/>
          </w:tcPr>
          <w:p w14:paraId="20E01F7F">
            <w:pPr>
              <w:rPr>
                <w:rFonts w:ascii="Arial"/>
                <w:color w:val="auto"/>
                <w:sz w:val="21"/>
                <w:highlight w:val="none"/>
              </w:rPr>
            </w:pPr>
          </w:p>
        </w:tc>
        <w:tc>
          <w:tcPr>
            <w:tcW w:w="830" w:type="dxa"/>
            <w:vAlign w:val="top"/>
          </w:tcPr>
          <w:p w14:paraId="55E59C70">
            <w:pPr>
              <w:rPr>
                <w:rFonts w:ascii="Arial"/>
                <w:color w:val="auto"/>
                <w:sz w:val="21"/>
                <w:highlight w:val="none"/>
              </w:rPr>
            </w:pPr>
          </w:p>
        </w:tc>
        <w:tc>
          <w:tcPr>
            <w:tcW w:w="1079" w:type="dxa"/>
            <w:vAlign w:val="top"/>
          </w:tcPr>
          <w:p w14:paraId="6A0D693D">
            <w:pPr>
              <w:rPr>
                <w:rFonts w:ascii="Arial"/>
                <w:color w:val="auto"/>
                <w:sz w:val="21"/>
                <w:highlight w:val="none"/>
              </w:rPr>
            </w:pPr>
          </w:p>
        </w:tc>
        <w:tc>
          <w:tcPr>
            <w:tcW w:w="732" w:type="dxa"/>
            <w:vAlign w:val="top"/>
          </w:tcPr>
          <w:p w14:paraId="3E7C7F87">
            <w:pPr>
              <w:rPr>
                <w:rFonts w:ascii="Arial"/>
                <w:color w:val="auto"/>
                <w:sz w:val="21"/>
                <w:highlight w:val="none"/>
              </w:rPr>
            </w:pPr>
          </w:p>
        </w:tc>
        <w:tc>
          <w:tcPr>
            <w:tcW w:w="806" w:type="dxa"/>
            <w:vAlign w:val="top"/>
          </w:tcPr>
          <w:p w14:paraId="155F0FCD">
            <w:pPr>
              <w:rPr>
                <w:rFonts w:ascii="Arial"/>
                <w:color w:val="auto"/>
                <w:sz w:val="21"/>
                <w:highlight w:val="none"/>
              </w:rPr>
            </w:pPr>
          </w:p>
        </w:tc>
        <w:tc>
          <w:tcPr>
            <w:tcW w:w="1320" w:type="dxa"/>
            <w:vAlign w:val="top"/>
          </w:tcPr>
          <w:p w14:paraId="5C07AE77">
            <w:pPr>
              <w:rPr>
                <w:rFonts w:ascii="Arial"/>
                <w:color w:val="auto"/>
                <w:sz w:val="21"/>
                <w:highlight w:val="none"/>
              </w:rPr>
            </w:pPr>
          </w:p>
        </w:tc>
        <w:tc>
          <w:tcPr>
            <w:tcW w:w="1802" w:type="dxa"/>
            <w:vAlign w:val="top"/>
          </w:tcPr>
          <w:p w14:paraId="6DD75BCB">
            <w:pPr>
              <w:rPr>
                <w:rFonts w:ascii="Arial"/>
                <w:color w:val="auto"/>
                <w:sz w:val="21"/>
                <w:highlight w:val="none"/>
              </w:rPr>
            </w:pPr>
          </w:p>
        </w:tc>
        <w:tc>
          <w:tcPr>
            <w:tcW w:w="753" w:type="dxa"/>
            <w:vAlign w:val="top"/>
          </w:tcPr>
          <w:p w14:paraId="66A4AB97">
            <w:pPr>
              <w:rPr>
                <w:rFonts w:ascii="Arial"/>
                <w:color w:val="auto"/>
                <w:sz w:val="21"/>
                <w:highlight w:val="none"/>
              </w:rPr>
            </w:pPr>
          </w:p>
        </w:tc>
      </w:tr>
      <w:tr w14:paraId="7B345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7495F096">
            <w:pPr>
              <w:rPr>
                <w:rFonts w:ascii="Arial"/>
                <w:color w:val="auto"/>
                <w:sz w:val="21"/>
                <w:highlight w:val="none"/>
              </w:rPr>
            </w:pPr>
          </w:p>
        </w:tc>
        <w:tc>
          <w:tcPr>
            <w:tcW w:w="1182" w:type="dxa"/>
            <w:vAlign w:val="top"/>
          </w:tcPr>
          <w:p w14:paraId="73AE839A">
            <w:pPr>
              <w:rPr>
                <w:rFonts w:ascii="Arial"/>
                <w:color w:val="auto"/>
                <w:sz w:val="21"/>
                <w:highlight w:val="none"/>
              </w:rPr>
            </w:pPr>
          </w:p>
        </w:tc>
        <w:tc>
          <w:tcPr>
            <w:tcW w:w="830" w:type="dxa"/>
            <w:vAlign w:val="top"/>
          </w:tcPr>
          <w:p w14:paraId="23A9A839">
            <w:pPr>
              <w:rPr>
                <w:rFonts w:ascii="Arial"/>
                <w:color w:val="auto"/>
                <w:sz w:val="21"/>
                <w:highlight w:val="none"/>
              </w:rPr>
            </w:pPr>
          </w:p>
        </w:tc>
        <w:tc>
          <w:tcPr>
            <w:tcW w:w="1079" w:type="dxa"/>
            <w:vAlign w:val="top"/>
          </w:tcPr>
          <w:p w14:paraId="35DEDEB2">
            <w:pPr>
              <w:rPr>
                <w:rFonts w:ascii="Arial"/>
                <w:color w:val="auto"/>
                <w:sz w:val="21"/>
                <w:highlight w:val="none"/>
              </w:rPr>
            </w:pPr>
          </w:p>
        </w:tc>
        <w:tc>
          <w:tcPr>
            <w:tcW w:w="732" w:type="dxa"/>
            <w:vAlign w:val="top"/>
          </w:tcPr>
          <w:p w14:paraId="5FB9DD47">
            <w:pPr>
              <w:rPr>
                <w:rFonts w:ascii="Arial"/>
                <w:color w:val="auto"/>
                <w:sz w:val="21"/>
                <w:highlight w:val="none"/>
              </w:rPr>
            </w:pPr>
          </w:p>
        </w:tc>
        <w:tc>
          <w:tcPr>
            <w:tcW w:w="806" w:type="dxa"/>
            <w:vAlign w:val="top"/>
          </w:tcPr>
          <w:p w14:paraId="588EB2B4">
            <w:pPr>
              <w:rPr>
                <w:rFonts w:ascii="Arial"/>
                <w:color w:val="auto"/>
                <w:sz w:val="21"/>
                <w:highlight w:val="none"/>
              </w:rPr>
            </w:pPr>
          </w:p>
        </w:tc>
        <w:tc>
          <w:tcPr>
            <w:tcW w:w="1320" w:type="dxa"/>
            <w:vAlign w:val="top"/>
          </w:tcPr>
          <w:p w14:paraId="402B2623">
            <w:pPr>
              <w:rPr>
                <w:rFonts w:ascii="Arial"/>
                <w:color w:val="auto"/>
                <w:sz w:val="21"/>
                <w:highlight w:val="none"/>
              </w:rPr>
            </w:pPr>
          </w:p>
        </w:tc>
        <w:tc>
          <w:tcPr>
            <w:tcW w:w="1802" w:type="dxa"/>
            <w:vAlign w:val="top"/>
          </w:tcPr>
          <w:p w14:paraId="15849AF2">
            <w:pPr>
              <w:rPr>
                <w:rFonts w:ascii="Arial"/>
                <w:color w:val="auto"/>
                <w:sz w:val="21"/>
                <w:highlight w:val="none"/>
              </w:rPr>
            </w:pPr>
          </w:p>
        </w:tc>
        <w:tc>
          <w:tcPr>
            <w:tcW w:w="753" w:type="dxa"/>
            <w:vAlign w:val="top"/>
          </w:tcPr>
          <w:p w14:paraId="03E6ECAE">
            <w:pPr>
              <w:rPr>
                <w:rFonts w:ascii="Arial"/>
                <w:color w:val="auto"/>
                <w:sz w:val="21"/>
                <w:highlight w:val="none"/>
              </w:rPr>
            </w:pPr>
          </w:p>
        </w:tc>
      </w:tr>
      <w:tr w14:paraId="428C5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707A678B">
            <w:pPr>
              <w:rPr>
                <w:rFonts w:ascii="Arial"/>
                <w:color w:val="auto"/>
                <w:sz w:val="21"/>
                <w:highlight w:val="none"/>
              </w:rPr>
            </w:pPr>
          </w:p>
        </w:tc>
        <w:tc>
          <w:tcPr>
            <w:tcW w:w="1182" w:type="dxa"/>
            <w:vAlign w:val="top"/>
          </w:tcPr>
          <w:p w14:paraId="1ECF78AE">
            <w:pPr>
              <w:rPr>
                <w:rFonts w:ascii="Arial"/>
                <w:color w:val="auto"/>
                <w:sz w:val="21"/>
                <w:highlight w:val="none"/>
              </w:rPr>
            </w:pPr>
          </w:p>
        </w:tc>
        <w:tc>
          <w:tcPr>
            <w:tcW w:w="830" w:type="dxa"/>
            <w:vAlign w:val="top"/>
          </w:tcPr>
          <w:p w14:paraId="29B1E4E0">
            <w:pPr>
              <w:rPr>
                <w:rFonts w:ascii="Arial"/>
                <w:color w:val="auto"/>
                <w:sz w:val="21"/>
                <w:highlight w:val="none"/>
              </w:rPr>
            </w:pPr>
          </w:p>
        </w:tc>
        <w:tc>
          <w:tcPr>
            <w:tcW w:w="1079" w:type="dxa"/>
            <w:vAlign w:val="top"/>
          </w:tcPr>
          <w:p w14:paraId="7AA023FE">
            <w:pPr>
              <w:rPr>
                <w:rFonts w:ascii="Arial"/>
                <w:color w:val="auto"/>
                <w:sz w:val="21"/>
                <w:highlight w:val="none"/>
              </w:rPr>
            </w:pPr>
          </w:p>
        </w:tc>
        <w:tc>
          <w:tcPr>
            <w:tcW w:w="732" w:type="dxa"/>
            <w:vAlign w:val="top"/>
          </w:tcPr>
          <w:p w14:paraId="2995F6A5">
            <w:pPr>
              <w:rPr>
                <w:rFonts w:ascii="Arial"/>
                <w:color w:val="auto"/>
                <w:sz w:val="21"/>
                <w:highlight w:val="none"/>
              </w:rPr>
            </w:pPr>
          </w:p>
        </w:tc>
        <w:tc>
          <w:tcPr>
            <w:tcW w:w="806" w:type="dxa"/>
            <w:vAlign w:val="top"/>
          </w:tcPr>
          <w:p w14:paraId="3206629D">
            <w:pPr>
              <w:rPr>
                <w:rFonts w:ascii="Arial"/>
                <w:color w:val="auto"/>
                <w:sz w:val="21"/>
                <w:highlight w:val="none"/>
              </w:rPr>
            </w:pPr>
          </w:p>
        </w:tc>
        <w:tc>
          <w:tcPr>
            <w:tcW w:w="1320" w:type="dxa"/>
            <w:vAlign w:val="top"/>
          </w:tcPr>
          <w:p w14:paraId="5D67F148">
            <w:pPr>
              <w:rPr>
                <w:rFonts w:ascii="Arial"/>
                <w:color w:val="auto"/>
                <w:sz w:val="21"/>
                <w:highlight w:val="none"/>
              </w:rPr>
            </w:pPr>
          </w:p>
        </w:tc>
        <w:tc>
          <w:tcPr>
            <w:tcW w:w="1802" w:type="dxa"/>
            <w:vAlign w:val="top"/>
          </w:tcPr>
          <w:p w14:paraId="7B9A458F">
            <w:pPr>
              <w:rPr>
                <w:rFonts w:ascii="Arial"/>
                <w:color w:val="auto"/>
                <w:sz w:val="21"/>
                <w:highlight w:val="none"/>
              </w:rPr>
            </w:pPr>
          </w:p>
        </w:tc>
        <w:tc>
          <w:tcPr>
            <w:tcW w:w="753" w:type="dxa"/>
            <w:vAlign w:val="top"/>
          </w:tcPr>
          <w:p w14:paraId="773A5862">
            <w:pPr>
              <w:rPr>
                <w:rFonts w:ascii="Arial"/>
                <w:color w:val="auto"/>
                <w:sz w:val="21"/>
                <w:highlight w:val="none"/>
              </w:rPr>
            </w:pPr>
          </w:p>
        </w:tc>
      </w:tr>
      <w:tr w14:paraId="368CD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42075535">
            <w:pPr>
              <w:rPr>
                <w:rFonts w:ascii="Arial"/>
                <w:color w:val="auto"/>
                <w:sz w:val="21"/>
                <w:highlight w:val="none"/>
              </w:rPr>
            </w:pPr>
          </w:p>
        </w:tc>
        <w:tc>
          <w:tcPr>
            <w:tcW w:w="1182" w:type="dxa"/>
            <w:vAlign w:val="top"/>
          </w:tcPr>
          <w:p w14:paraId="51F96AE5">
            <w:pPr>
              <w:rPr>
                <w:rFonts w:ascii="Arial"/>
                <w:color w:val="auto"/>
                <w:sz w:val="21"/>
                <w:highlight w:val="none"/>
              </w:rPr>
            </w:pPr>
          </w:p>
        </w:tc>
        <w:tc>
          <w:tcPr>
            <w:tcW w:w="830" w:type="dxa"/>
            <w:vAlign w:val="top"/>
          </w:tcPr>
          <w:p w14:paraId="093E188E">
            <w:pPr>
              <w:rPr>
                <w:rFonts w:ascii="Arial"/>
                <w:color w:val="auto"/>
                <w:sz w:val="21"/>
                <w:highlight w:val="none"/>
              </w:rPr>
            </w:pPr>
          </w:p>
        </w:tc>
        <w:tc>
          <w:tcPr>
            <w:tcW w:w="1079" w:type="dxa"/>
            <w:vAlign w:val="top"/>
          </w:tcPr>
          <w:p w14:paraId="180572E1">
            <w:pPr>
              <w:rPr>
                <w:rFonts w:ascii="Arial"/>
                <w:color w:val="auto"/>
                <w:sz w:val="21"/>
                <w:highlight w:val="none"/>
              </w:rPr>
            </w:pPr>
          </w:p>
        </w:tc>
        <w:tc>
          <w:tcPr>
            <w:tcW w:w="732" w:type="dxa"/>
            <w:vAlign w:val="top"/>
          </w:tcPr>
          <w:p w14:paraId="48EC58B3">
            <w:pPr>
              <w:rPr>
                <w:rFonts w:ascii="Arial"/>
                <w:color w:val="auto"/>
                <w:sz w:val="21"/>
                <w:highlight w:val="none"/>
              </w:rPr>
            </w:pPr>
          </w:p>
        </w:tc>
        <w:tc>
          <w:tcPr>
            <w:tcW w:w="806" w:type="dxa"/>
            <w:vAlign w:val="top"/>
          </w:tcPr>
          <w:p w14:paraId="2762D6A1">
            <w:pPr>
              <w:rPr>
                <w:rFonts w:ascii="Arial"/>
                <w:color w:val="auto"/>
                <w:sz w:val="21"/>
                <w:highlight w:val="none"/>
              </w:rPr>
            </w:pPr>
          </w:p>
        </w:tc>
        <w:tc>
          <w:tcPr>
            <w:tcW w:w="1320" w:type="dxa"/>
            <w:vAlign w:val="top"/>
          </w:tcPr>
          <w:p w14:paraId="0C725582">
            <w:pPr>
              <w:rPr>
                <w:rFonts w:ascii="Arial"/>
                <w:color w:val="auto"/>
                <w:sz w:val="21"/>
                <w:highlight w:val="none"/>
              </w:rPr>
            </w:pPr>
          </w:p>
        </w:tc>
        <w:tc>
          <w:tcPr>
            <w:tcW w:w="1802" w:type="dxa"/>
            <w:vAlign w:val="top"/>
          </w:tcPr>
          <w:p w14:paraId="58631F07">
            <w:pPr>
              <w:rPr>
                <w:rFonts w:ascii="Arial"/>
                <w:color w:val="auto"/>
                <w:sz w:val="21"/>
                <w:highlight w:val="none"/>
              </w:rPr>
            </w:pPr>
          </w:p>
        </w:tc>
        <w:tc>
          <w:tcPr>
            <w:tcW w:w="753" w:type="dxa"/>
            <w:vAlign w:val="top"/>
          </w:tcPr>
          <w:p w14:paraId="69F23B5B">
            <w:pPr>
              <w:rPr>
                <w:rFonts w:ascii="Arial"/>
                <w:color w:val="auto"/>
                <w:sz w:val="21"/>
                <w:highlight w:val="none"/>
              </w:rPr>
            </w:pPr>
          </w:p>
        </w:tc>
      </w:tr>
      <w:tr w14:paraId="36181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0" w:type="dxa"/>
            <w:vAlign w:val="top"/>
          </w:tcPr>
          <w:p w14:paraId="27BF1967">
            <w:pPr>
              <w:rPr>
                <w:rFonts w:ascii="Arial"/>
                <w:color w:val="auto"/>
                <w:sz w:val="21"/>
                <w:highlight w:val="none"/>
              </w:rPr>
            </w:pPr>
          </w:p>
        </w:tc>
        <w:tc>
          <w:tcPr>
            <w:tcW w:w="1182" w:type="dxa"/>
            <w:vAlign w:val="top"/>
          </w:tcPr>
          <w:p w14:paraId="11092B2B">
            <w:pPr>
              <w:rPr>
                <w:rFonts w:ascii="Arial"/>
                <w:color w:val="auto"/>
                <w:sz w:val="21"/>
                <w:highlight w:val="none"/>
              </w:rPr>
            </w:pPr>
          </w:p>
        </w:tc>
        <w:tc>
          <w:tcPr>
            <w:tcW w:w="830" w:type="dxa"/>
            <w:vAlign w:val="top"/>
          </w:tcPr>
          <w:p w14:paraId="414FCDA1">
            <w:pPr>
              <w:rPr>
                <w:rFonts w:ascii="Arial"/>
                <w:color w:val="auto"/>
                <w:sz w:val="21"/>
                <w:highlight w:val="none"/>
              </w:rPr>
            </w:pPr>
          </w:p>
        </w:tc>
        <w:tc>
          <w:tcPr>
            <w:tcW w:w="1079" w:type="dxa"/>
            <w:vAlign w:val="top"/>
          </w:tcPr>
          <w:p w14:paraId="5C94EEE3">
            <w:pPr>
              <w:rPr>
                <w:rFonts w:ascii="Arial"/>
                <w:color w:val="auto"/>
                <w:sz w:val="21"/>
                <w:highlight w:val="none"/>
              </w:rPr>
            </w:pPr>
          </w:p>
        </w:tc>
        <w:tc>
          <w:tcPr>
            <w:tcW w:w="732" w:type="dxa"/>
            <w:vAlign w:val="top"/>
          </w:tcPr>
          <w:p w14:paraId="0D5A434C">
            <w:pPr>
              <w:rPr>
                <w:rFonts w:ascii="Arial"/>
                <w:color w:val="auto"/>
                <w:sz w:val="21"/>
                <w:highlight w:val="none"/>
              </w:rPr>
            </w:pPr>
          </w:p>
        </w:tc>
        <w:tc>
          <w:tcPr>
            <w:tcW w:w="806" w:type="dxa"/>
            <w:vAlign w:val="top"/>
          </w:tcPr>
          <w:p w14:paraId="3858DB4B">
            <w:pPr>
              <w:rPr>
                <w:rFonts w:ascii="Arial"/>
                <w:color w:val="auto"/>
                <w:sz w:val="21"/>
                <w:highlight w:val="none"/>
              </w:rPr>
            </w:pPr>
          </w:p>
        </w:tc>
        <w:tc>
          <w:tcPr>
            <w:tcW w:w="1320" w:type="dxa"/>
            <w:vAlign w:val="top"/>
          </w:tcPr>
          <w:p w14:paraId="55F6C5AF">
            <w:pPr>
              <w:rPr>
                <w:rFonts w:ascii="Arial"/>
                <w:color w:val="auto"/>
                <w:sz w:val="21"/>
                <w:highlight w:val="none"/>
              </w:rPr>
            </w:pPr>
          </w:p>
        </w:tc>
        <w:tc>
          <w:tcPr>
            <w:tcW w:w="1802" w:type="dxa"/>
            <w:vAlign w:val="top"/>
          </w:tcPr>
          <w:p w14:paraId="69108F8B">
            <w:pPr>
              <w:rPr>
                <w:rFonts w:ascii="Arial"/>
                <w:color w:val="auto"/>
                <w:sz w:val="21"/>
                <w:highlight w:val="none"/>
              </w:rPr>
            </w:pPr>
          </w:p>
        </w:tc>
        <w:tc>
          <w:tcPr>
            <w:tcW w:w="753" w:type="dxa"/>
            <w:vAlign w:val="top"/>
          </w:tcPr>
          <w:p w14:paraId="31FA3747">
            <w:pPr>
              <w:rPr>
                <w:rFonts w:ascii="Arial"/>
                <w:color w:val="auto"/>
                <w:sz w:val="21"/>
                <w:highlight w:val="none"/>
              </w:rPr>
            </w:pPr>
          </w:p>
        </w:tc>
      </w:tr>
      <w:tr w14:paraId="61FEB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18934E1C">
            <w:pPr>
              <w:rPr>
                <w:rFonts w:ascii="Arial"/>
                <w:color w:val="auto"/>
                <w:sz w:val="21"/>
                <w:highlight w:val="none"/>
              </w:rPr>
            </w:pPr>
          </w:p>
        </w:tc>
        <w:tc>
          <w:tcPr>
            <w:tcW w:w="1182" w:type="dxa"/>
            <w:vAlign w:val="top"/>
          </w:tcPr>
          <w:p w14:paraId="2C390DE5">
            <w:pPr>
              <w:rPr>
                <w:rFonts w:ascii="Arial"/>
                <w:color w:val="auto"/>
                <w:sz w:val="21"/>
                <w:highlight w:val="none"/>
              </w:rPr>
            </w:pPr>
          </w:p>
        </w:tc>
        <w:tc>
          <w:tcPr>
            <w:tcW w:w="830" w:type="dxa"/>
            <w:vAlign w:val="top"/>
          </w:tcPr>
          <w:p w14:paraId="034F389C">
            <w:pPr>
              <w:rPr>
                <w:rFonts w:ascii="Arial"/>
                <w:color w:val="auto"/>
                <w:sz w:val="21"/>
                <w:highlight w:val="none"/>
              </w:rPr>
            </w:pPr>
          </w:p>
        </w:tc>
        <w:tc>
          <w:tcPr>
            <w:tcW w:w="1079" w:type="dxa"/>
            <w:vAlign w:val="top"/>
          </w:tcPr>
          <w:p w14:paraId="2FCA21B8">
            <w:pPr>
              <w:rPr>
                <w:rFonts w:ascii="Arial"/>
                <w:color w:val="auto"/>
                <w:sz w:val="21"/>
                <w:highlight w:val="none"/>
              </w:rPr>
            </w:pPr>
          </w:p>
        </w:tc>
        <w:tc>
          <w:tcPr>
            <w:tcW w:w="732" w:type="dxa"/>
            <w:vAlign w:val="top"/>
          </w:tcPr>
          <w:p w14:paraId="0DCE1731">
            <w:pPr>
              <w:rPr>
                <w:rFonts w:ascii="Arial"/>
                <w:color w:val="auto"/>
                <w:sz w:val="21"/>
                <w:highlight w:val="none"/>
              </w:rPr>
            </w:pPr>
          </w:p>
        </w:tc>
        <w:tc>
          <w:tcPr>
            <w:tcW w:w="806" w:type="dxa"/>
            <w:vAlign w:val="top"/>
          </w:tcPr>
          <w:p w14:paraId="676734AF">
            <w:pPr>
              <w:rPr>
                <w:rFonts w:ascii="Arial"/>
                <w:color w:val="auto"/>
                <w:sz w:val="21"/>
                <w:highlight w:val="none"/>
              </w:rPr>
            </w:pPr>
          </w:p>
        </w:tc>
        <w:tc>
          <w:tcPr>
            <w:tcW w:w="1320" w:type="dxa"/>
            <w:vAlign w:val="top"/>
          </w:tcPr>
          <w:p w14:paraId="57C13B60">
            <w:pPr>
              <w:rPr>
                <w:rFonts w:ascii="Arial"/>
                <w:color w:val="auto"/>
                <w:sz w:val="21"/>
                <w:highlight w:val="none"/>
              </w:rPr>
            </w:pPr>
          </w:p>
        </w:tc>
        <w:tc>
          <w:tcPr>
            <w:tcW w:w="1802" w:type="dxa"/>
            <w:vAlign w:val="top"/>
          </w:tcPr>
          <w:p w14:paraId="18AC05FF">
            <w:pPr>
              <w:rPr>
                <w:rFonts w:ascii="Arial"/>
                <w:color w:val="auto"/>
                <w:sz w:val="21"/>
                <w:highlight w:val="none"/>
              </w:rPr>
            </w:pPr>
          </w:p>
        </w:tc>
        <w:tc>
          <w:tcPr>
            <w:tcW w:w="753" w:type="dxa"/>
            <w:vAlign w:val="top"/>
          </w:tcPr>
          <w:p w14:paraId="761652BA">
            <w:pPr>
              <w:rPr>
                <w:rFonts w:ascii="Arial"/>
                <w:color w:val="auto"/>
                <w:sz w:val="21"/>
                <w:highlight w:val="none"/>
              </w:rPr>
            </w:pPr>
          </w:p>
        </w:tc>
      </w:tr>
      <w:tr w14:paraId="2AA26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142B7844">
            <w:pPr>
              <w:rPr>
                <w:rFonts w:ascii="Arial"/>
                <w:color w:val="auto"/>
                <w:sz w:val="21"/>
                <w:highlight w:val="none"/>
              </w:rPr>
            </w:pPr>
          </w:p>
        </w:tc>
        <w:tc>
          <w:tcPr>
            <w:tcW w:w="1182" w:type="dxa"/>
            <w:vAlign w:val="top"/>
          </w:tcPr>
          <w:p w14:paraId="6E046942">
            <w:pPr>
              <w:rPr>
                <w:rFonts w:ascii="Arial"/>
                <w:color w:val="auto"/>
                <w:sz w:val="21"/>
                <w:highlight w:val="none"/>
              </w:rPr>
            </w:pPr>
          </w:p>
        </w:tc>
        <w:tc>
          <w:tcPr>
            <w:tcW w:w="830" w:type="dxa"/>
            <w:vAlign w:val="top"/>
          </w:tcPr>
          <w:p w14:paraId="11FB2810">
            <w:pPr>
              <w:rPr>
                <w:rFonts w:ascii="Arial"/>
                <w:color w:val="auto"/>
                <w:sz w:val="21"/>
                <w:highlight w:val="none"/>
              </w:rPr>
            </w:pPr>
          </w:p>
        </w:tc>
        <w:tc>
          <w:tcPr>
            <w:tcW w:w="1079" w:type="dxa"/>
            <w:vAlign w:val="top"/>
          </w:tcPr>
          <w:p w14:paraId="223E0102">
            <w:pPr>
              <w:rPr>
                <w:rFonts w:ascii="Arial"/>
                <w:color w:val="auto"/>
                <w:sz w:val="21"/>
                <w:highlight w:val="none"/>
              </w:rPr>
            </w:pPr>
          </w:p>
        </w:tc>
        <w:tc>
          <w:tcPr>
            <w:tcW w:w="732" w:type="dxa"/>
            <w:vAlign w:val="top"/>
          </w:tcPr>
          <w:p w14:paraId="473FACAF">
            <w:pPr>
              <w:rPr>
                <w:rFonts w:ascii="Arial"/>
                <w:color w:val="auto"/>
                <w:sz w:val="21"/>
                <w:highlight w:val="none"/>
              </w:rPr>
            </w:pPr>
          </w:p>
        </w:tc>
        <w:tc>
          <w:tcPr>
            <w:tcW w:w="806" w:type="dxa"/>
            <w:vAlign w:val="top"/>
          </w:tcPr>
          <w:p w14:paraId="218B7B9F">
            <w:pPr>
              <w:rPr>
                <w:rFonts w:ascii="Arial"/>
                <w:color w:val="auto"/>
                <w:sz w:val="21"/>
                <w:highlight w:val="none"/>
              </w:rPr>
            </w:pPr>
          </w:p>
        </w:tc>
        <w:tc>
          <w:tcPr>
            <w:tcW w:w="1320" w:type="dxa"/>
            <w:vAlign w:val="top"/>
          </w:tcPr>
          <w:p w14:paraId="048C0D1E">
            <w:pPr>
              <w:rPr>
                <w:rFonts w:ascii="Arial"/>
                <w:color w:val="auto"/>
                <w:sz w:val="21"/>
                <w:highlight w:val="none"/>
              </w:rPr>
            </w:pPr>
          </w:p>
        </w:tc>
        <w:tc>
          <w:tcPr>
            <w:tcW w:w="1802" w:type="dxa"/>
            <w:vAlign w:val="top"/>
          </w:tcPr>
          <w:p w14:paraId="50F076F8">
            <w:pPr>
              <w:rPr>
                <w:rFonts w:ascii="Arial"/>
                <w:color w:val="auto"/>
                <w:sz w:val="21"/>
                <w:highlight w:val="none"/>
              </w:rPr>
            </w:pPr>
          </w:p>
        </w:tc>
        <w:tc>
          <w:tcPr>
            <w:tcW w:w="753" w:type="dxa"/>
            <w:vAlign w:val="top"/>
          </w:tcPr>
          <w:p w14:paraId="09DDC0F2">
            <w:pPr>
              <w:rPr>
                <w:rFonts w:ascii="Arial"/>
                <w:color w:val="auto"/>
                <w:sz w:val="21"/>
                <w:highlight w:val="none"/>
              </w:rPr>
            </w:pPr>
          </w:p>
        </w:tc>
      </w:tr>
      <w:tr w14:paraId="78BE9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32F29D93">
            <w:pPr>
              <w:rPr>
                <w:rFonts w:ascii="Arial"/>
                <w:color w:val="auto"/>
                <w:sz w:val="21"/>
                <w:highlight w:val="none"/>
              </w:rPr>
            </w:pPr>
          </w:p>
        </w:tc>
        <w:tc>
          <w:tcPr>
            <w:tcW w:w="1182" w:type="dxa"/>
            <w:vAlign w:val="top"/>
          </w:tcPr>
          <w:p w14:paraId="18F090E8">
            <w:pPr>
              <w:rPr>
                <w:rFonts w:ascii="Arial"/>
                <w:color w:val="auto"/>
                <w:sz w:val="21"/>
                <w:highlight w:val="none"/>
              </w:rPr>
            </w:pPr>
          </w:p>
        </w:tc>
        <w:tc>
          <w:tcPr>
            <w:tcW w:w="830" w:type="dxa"/>
            <w:vAlign w:val="top"/>
          </w:tcPr>
          <w:p w14:paraId="3A9F2B99">
            <w:pPr>
              <w:rPr>
                <w:rFonts w:ascii="Arial"/>
                <w:color w:val="auto"/>
                <w:sz w:val="21"/>
                <w:highlight w:val="none"/>
              </w:rPr>
            </w:pPr>
          </w:p>
        </w:tc>
        <w:tc>
          <w:tcPr>
            <w:tcW w:w="1079" w:type="dxa"/>
            <w:vAlign w:val="top"/>
          </w:tcPr>
          <w:p w14:paraId="1E9392FC">
            <w:pPr>
              <w:rPr>
                <w:rFonts w:ascii="Arial"/>
                <w:color w:val="auto"/>
                <w:sz w:val="21"/>
                <w:highlight w:val="none"/>
              </w:rPr>
            </w:pPr>
          </w:p>
        </w:tc>
        <w:tc>
          <w:tcPr>
            <w:tcW w:w="732" w:type="dxa"/>
            <w:vAlign w:val="top"/>
          </w:tcPr>
          <w:p w14:paraId="2847D58F">
            <w:pPr>
              <w:rPr>
                <w:rFonts w:ascii="Arial"/>
                <w:color w:val="auto"/>
                <w:sz w:val="21"/>
                <w:highlight w:val="none"/>
              </w:rPr>
            </w:pPr>
          </w:p>
        </w:tc>
        <w:tc>
          <w:tcPr>
            <w:tcW w:w="806" w:type="dxa"/>
            <w:vAlign w:val="top"/>
          </w:tcPr>
          <w:p w14:paraId="6FE490AD">
            <w:pPr>
              <w:rPr>
                <w:rFonts w:ascii="Arial"/>
                <w:color w:val="auto"/>
                <w:sz w:val="21"/>
                <w:highlight w:val="none"/>
              </w:rPr>
            </w:pPr>
          </w:p>
        </w:tc>
        <w:tc>
          <w:tcPr>
            <w:tcW w:w="1320" w:type="dxa"/>
            <w:vAlign w:val="top"/>
          </w:tcPr>
          <w:p w14:paraId="3E8A8102">
            <w:pPr>
              <w:rPr>
                <w:rFonts w:ascii="Arial"/>
                <w:color w:val="auto"/>
                <w:sz w:val="21"/>
                <w:highlight w:val="none"/>
              </w:rPr>
            </w:pPr>
          </w:p>
        </w:tc>
        <w:tc>
          <w:tcPr>
            <w:tcW w:w="1802" w:type="dxa"/>
            <w:vAlign w:val="top"/>
          </w:tcPr>
          <w:p w14:paraId="2ACADF56">
            <w:pPr>
              <w:rPr>
                <w:rFonts w:ascii="Arial"/>
                <w:color w:val="auto"/>
                <w:sz w:val="21"/>
                <w:highlight w:val="none"/>
              </w:rPr>
            </w:pPr>
          </w:p>
        </w:tc>
        <w:tc>
          <w:tcPr>
            <w:tcW w:w="753" w:type="dxa"/>
            <w:vAlign w:val="top"/>
          </w:tcPr>
          <w:p w14:paraId="7CCCA498">
            <w:pPr>
              <w:rPr>
                <w:rFonts w:ascii="Arial"/>
                <w:color w:val="auto"/>
                <w:sz w:val="21"/>
                <w:highlight w:val="none"/>
              </w:rPr>
            </w:pPr>
          </w:p>
        </w:tc>
      </w:tr>
      <w:tr w14:paraId="53A40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79D7B763">
            <w:pPr>
              <w:rPr>
                <w:rFonts w:ascii="Arial"/>
                <w:color w:val="auto"/>
                <w:sz w:val="21"/>
                <w:highlight w:val="none"/>
              </w:rPr>
            </w:pPr>
          </w:p>
        </w:tc>
        <w:tc>
          <w:tcPr>
            <w:tcW w:w="1182" w:type="dxa"/>
            <w:vAlign w:val="top"/>
          </w:tcPr>
          <w:p w14:paraId="792D94DB">
            <w:pPr>
              <w:rPr>
                <w:rFonts w:ascii="Arial"/>
                <w:color w:val="auto"/>
                <w:sz w:val="21"/>
                <w:highlight w:val="none"/>
              </w:rPr>
            </w:pPr>
          </w:p>
        </w:tc>
        <w:tc>
          <w:tcPr>
            <w:tcW w:w="830" w:type="dxa"/>
            <w:vAlign w:val="top"/>
          </w:tcPr>
          <w:p w14:paraId="0B024186">
            <w:pPr>
              <w:rPr>
                <w:rFonts w:ascii="Arial"/>
                <w:color w:val="auto"/>
                <w:sz w:val="21"/>
                <w:highlight w:val="none"/>
              </w:rPr>
            </w:pPr>
          </w:p>
        </w:tc>
        <w:tc>
          <w:tcPr>
            <w:tcW w:w="1079" w:type="dxa"/>
            <w:vAlign w:val="top"/>
          </w:tcPr>
          <w:p w14:paraId="5A39789D">
            <w:pPr>
              <w:rPr>
                <w:rFonts w:ascii="Arial"/>
                <w:color w:val="auto"/>
                <w:sz w:val="21"/>
                <w:highlight w:val="none"/>
              </w:rPr>
            </w:pPr>
          </w:p>
        </w:tc>
        <w:tc>
          <w:tcPr>
            <w:tcW w:w="732" w:type="dxa"/>
            <w:vAlign w:val="top"/>
          </w:tcPr>
          <w:p w14:paraId="37D4822A">
            <w:pPr>
              <w:rPr>
                <w:rFonts w:ascii="Arial"/>
                <w:color w:val="auto"/>
                <w:sz w:val="21"/>
                <w:highlight w:val="none"/>
              </w:rPr>
            </w:pPr>
          </w:p>
        </w:tc>
        <w:tc>
          <w:tcPr>
            <w:tcW w:w="806" w:type="dxa"/>
            <w:vAlign w:val="top"/>
          </w:tcPr>
          <w:p w14:paraId="100944D4">
            <w:pPr>
              <w:rPr>
                <w:rFonts w:ascii="Arial"/>
                <w:color w:val="auto"/>
                <w:sz w:val="21"/>
                <w:highlight w:val="none"/>
              </w:rPr>
            </w:pPr>
          </w:p>
        </w:tc>
        <w:tc>
          <w:tcPr>
            <w:tcW w:w="1320" w:type="dxa"/>
            <w:vAlign w:val="top"/>
          </w:tcPr>
          <w:p w14:paraId="171EDA69">
            <w:pPr>
              <w:rPr>
                <w:rFonts w:ascii="Arial"/>
                <w:color w:val="auto"/>
                <w:sz w:val="21"/>
                <w:highlight w:val="none"/>
              </w:rPr>
            </w:pPr>
          </w:p>
        </w:tc>
        <w:tc>
          <w:tcPr>
            <w:tcW w:w="1802" w:type="dxa"/>
            <w:vAlign w:val="top"/>
          </w:tcPr>
          <w:p w14:paraId="10EF84E4">
            <w:pPr>
              <w:rPr>
                <w:rFonts w:ascii="Arial"/>
                <w:color w:val="auto"/>
                <w:sz w:val="21"/>
                <w:highlight w:val="none"/>
              </w:rPr>
            </w:pPr>
          </w:p>
        </w:tc>
        <w:tc>
          <w:tcPr>
            <w:tcW w:w="753" w:type="dxa"/>
            <w:vAlign w:val="top"/>
          </w:tcPr>
          <w:p w14:paraId="593C85F3">
            <w:pPr>
              <w:rPr>
                <w:rFonts w:ascii="Arial"/>
                <w:color w:val="auto"/>
                <w:sz w:val="21"/>
                <w:highlight w:val="none"/>
              </w:rPr>
            </w:pPr>
          </w:p>
        </w:tc>
      </w:tr>
      <w:tr w14:paraId="3B19F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7220A3A8">
            <w:pPr>
              <w:rPr>
                <w:rFonts w:ascii="Arial"/>
                <w:color w:val="auto"/>
                <w:sz w:val="21"/>
                <w:highlight w:val="none"/>
              </w:rPr>
            </w:pPr>
          </w:p>
        </w:tc>
        <w:tc>
          <w:tcPr>
            <w:tcW w:w="1182" w:type="dxa"/>
            <w:vAlign w:val="top"/>
          </w:tcPr>
          <w:p w14:paraId="6AB19D94">
            <w:pPr>
              <w:rPr>
                <w:rFonts w:ascii="Arial"/>
                <w:color w:val="auto"/>
                <w:sz w:val="21"/>
                <w:highlight w:val="none"/>
              </w:rPr>
            </w:pPr>
          </w:p>
        </w:tc>
        <w:tc>
          <w:tcPr>
            <w:tcW w:w="830" w:type="dxa"/>
            <w:vAlign w:val="top"/>
          </w:tcPr>
          <w:p w14:paraId="6FC1CDD1">
            <w:pPr>
              <w:rPr>
                <w:rFonts w:ascii="Arial"/>
                <w:color w:val="auto"/>
                <w:sz w:val="21"/>
                <w:highlight w:val="none"/>
              </w:rPr>
            </w:pPr>
          </w:p>
        </w:tc>
        <w:tc>
          <w:tcPr>
            <w:tcW w:w="1079" w:type="dxa"/>
            <w:vAlign w:val="top"/>
          </w:tcPr>
          <w:p w14:paraId="34FAAE47">
            <w:pPr>
              <w:rPr>
                <w:rFonts w:ascii="Arial"/>
                <w:color w:val="auto"/>
                <w:sz w:val="21"/>
                <w:highlight w:val="none"/>
              </w:rPr>
            </w:pPr>
          </w:p>
        </w:tc>
        <w:tc>
          <w:tcPr>
            <w:tcW w:w="732" w:type="dxa"/>
            <w:vAlign w:val="top"/>
          </w:tcPr>
          <w:p w14:paraId="3FDACE74">
            <w:pPr>
              <w:rPr>
                <w:rFonts w:ascii="Arial"/>
                <w:color w:val="auto"/>
                <w:sz w:val="21"/>
                <w:highlight w:val="none"/>
              </w:rPr>
            </w:pPr>
          </w:p>
        </w:tc>
        <w:tc>
          <w:tcPr>
            <w:tcW w:w="806" w:type="dxa"/>
            <w:vAlign w:val="top"/>
          </w:tcPr>
          <w:p w14:paraId="2FFE8168">
            <w:pPr>
              <w:rPr>
                <w:rFonts w:ascii="Arial"/>
                <w:color w:val="auto"/>
                <w:sz w:val="21"/>
                <w:highlight w:val="none"/>
              </w:rPr>
            </w:pPr>
          </w:p>
        </w:tc>
        <w:tc>
          <w:tcPr>
            <w:tcW w:w="1320" w:type="dxa"/>
            <w:vAlign w:val="top"/>
          </w:tcPr>
          <w:p w14:paraId="24715DEE">
            <w:pPr>
              <w:rPr>
                <w:rFonts w:ascii="Arial"/>
                <w:color w:val="auto"/>
                <w:sz w:val="21"/>
                <w:highlight w:val="none"/>
              </w:rPr>
            </w:pPr>
          </w:p>
        </w:tc>
        <w:tc>
          <w:tcPr>
            <w:tcW w:w="1802" w:type="dxa"/>
            <w:vAlign w:val="top"/>
          </w:tcPr>
          <w:p w14:paraId="3EF433E2">
            <w:pPr>
              <w:rPr>
                <w:rFonts w:ascii="Arial"/>
                <w:color w:val="auto"/>
                <w:sz w:val="21"/>
                <w:highlight w:val="none"/>
              </w:rPr>
            </w:pPr>
          </w:p>
        </w:tc>
        <w:tc>
          <w:tcPr>
            <w:tcW w:w="753" w:type="dxa"/>
            <w:vAlign w:val="top"/>
          </w:tcPr>
          <w:p w14:paraId="5A2161B4">
            <w:pPr>
              <w:rPr>
                <w:rFonts w:ascii="Arial"/>
                <w:color w:val="auto"/>
                <w:sz w:val="21"/>
                <w:highlight w:val="none"/>
              </w:rPr>
            </w:pPr>
          </w:p>
        </w:tc>
      </w:tr>
      <w:tr w14:paraId="02A95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11ADA3C5">
            <w:pPr>
              <w:rPr>
                <w:rFonts w:ascii="Arial"/>
                <w:color w:val="auto"/>
                <w:sz w:val="21"/>
                <w:highlight w:val="none"/>
              </w:rPr>
            </w:pPr>
          </w:p>
        </w:tc>
        <w:tc>
          <w:tcPr>
            <w:tcW w:w="1182" w:type="dxa"/>
            <w:vAlign w:val="top"/>
          </w:tcPr>
          <w:p w14:paraId="4EEC9A9A">
            <w:pPr>
              <w:rPr>
                <w:rFonts w:ascii="Arial"/>
                <w:color w:val="auto"/>
                <w:sz w:val="21"/>
                <w:highlight w:val="none"/>
              </w:rPr>
            </w:pPr>
          </w:p>
        </w:tc>
        <w:tc>
          <w:tcPr>
            <w:tcW w:w="830" w:type="dxa"/>
            <w:vAlign w:val="top"/>
          </w:tcPr>
          <w:p w14:paraId="28E0640D">
            <w:pPr>
              <w:rPr>
                <w:rFonts w:ascii="Arial"/>
                <w:color w:val="auto"/>
                <w:sz w:val="21"/>
                <w:highlight w:val="none"/>
              </w:rPr>
            </w:pPr>
          </w:p>
        </w:tc>
        <w:tc>
          <w:tcPr>
            <w:tcW w:w="1079" w:type="dxa"/>
            <w:vAlign w:val="top"/>
          </w:tcPr>
          <w:p w14:paraId="0BB54852">
            <w:pPr>
              <w:rPr>
                <w:rFonts w:ascii="Arial"/>
                <w:color w:val="auto"/>
                <w:sz w:val="21"/>
                <w:highlight w:val="none"/>
              </w:rPr>
            </w:pPr>
          </w:p>
        </w:tc>
        <w:tc>
          <w:tcPr>
            <w:tcW w:w="732" w:type="dxa"/>
            <w:vAlign w:val="top"/>
          </w:tcPr>
          <w:p w14:paraId="1BF842CE">
            <w:pPr>
              <w:rPr>
                <w:rFonts w:ascii="Arial"/>
                <w:color w:val="auto"/>
                <w:sz w:val="21"/>
                <w:highlight w:val="none"/>
              </w:rPr>
            </w:pPr>
          </w:p>
        </w:tc>
        <w:tc>
          <w:tcPr>
            <w:tcW w:w="806" w:type="dxa"/>
            <w:vAlign w:val="top"/>
          </w:tcPr>
          <w:p w14:paraId="0FED2434">
            <w:pPr>
              <w:rPr>
                <w:rFonts w:ascii="Arial"/>
                <w:color w:val="auto"/>
                <w:sz w:val="21"/>
                <w:highlight w:val="none"/>
              </w:rPr>
            </w:pPr>
          </w:p>
        </w:tc>
        <w:tc>
          <w:tcPr>
            <w:tcW w:w="1320" w:type="dxa"/>
            <w:vAlign w:val="top"/>
          </w:tcPr>
          <w:p w14:paraId="2B59FA08">
            <w:pPr>
              <w:rPr>
                <w:rFonts w:ascii="Arial"/>
                <w:color w:val="auto"/>
                <w:sz w:val="21"/>
                <w:highlight w:val="none"/>
              </w:rPr>
            </w:pPr>
          </w:p>
        </w:tc>
        <w:tc>
          <w:tcPr>
            <w:tcW w:w="1802" w:type="dxa"/>
            <w:vAlign w:val="top"/>
          </w:tcPr>
          <w:p w14:paraId="3F03733A">
            <w:pPr>
              <w:rPr>
                <w:rFonts w:ascii="Arial"/>
                <w:color w:val="auto"/>
                <w:sz w:val="21"/>
                <w:highlight w:val="none"/>
              </w:rPr>
            </w:pPr>
          </w:p>
        </w:tc>
        <w:tc>
          <w:tcPr>
            <w:tcW w:w="753" w:type="dxa"/>
            <w:vAlign w:val="top"/>
          </w:tcPr>
          <w:p w14:paraId="3F70ACA4">
            <w:pPr>
              <w:rPr>
                <w:rFonts w:ascii="Arial"/>
                <w:color w:val="auto"/>
                <w:sz w:val="21"/>
                <w:highlight w:val="none"/>
              </w:rPr>
            </w:pPr>
          </w:p>
        </w:tc>
      </w:tr>
      <w:tr w14:paraId="13D17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615D1F16">
            <w:pPr>
              <w:rPr>
                <w:rFonts w:ascii="Arial"/>
                <w:color w:val="auto"/>
                <w:sz w:val="21"/>
                <w:highlight w:val="none"/>
              </w:rPr>
            </w:pPr>
          </w:p>
        </w:tc>
        <w:tc>
          <w:tcPr>
            <w:tcW w:w="1182" w:type="dxa"/>
            <w:vAlign w:val="top"/>
          </w:tcPr>
          <w:p w14:paraId="466C903C">
            <w:pPr>
              <w:rPr>
                <w:rFonts w:ascii="Arial"/>
                <w:color w:val="auto"/>
                <w:sz w:val="21"/>
                <w:highlight w:val="none"/>
              </w:rPr>
            </w:pPr>
          </w:p>
        </w:tc>
        <w:tc>
          <w:tcPr>
            <w:tcW w:w="830" w:type="dxa"/>
            <w:vAlign w:val="top"/>
          </w:tcPr>
          <w:p w14:paraId="7D6169BB">
            <w:pPr>
              <w:rPr>
                <w:rFonts w:ascii="Arial"/>
                <w:color w:val="auto"/>
                <w:sz w:val="21"/>
                <w:highlight w:val="none"/>
              </w:rPr>
            </w:pPr>
          </w:p>
        </w:tc>
        <w:tc>
          <w:tcPr>
            <w:tcW w:w="1079" w:type="dxa"/>
            <w:vAlign w:val="top"/>
          </w:tcPr>
          <w:p w14:paraId="5E8433A2">
            <w:pPr>
              <w:rPr>
                <w:rFonts w:ascii="Arial"/>
                <w:color w:val="auto"/>
                <w:sz w:val="21"/>
                <w:highlight w:val="none"/>
              </w:rPr>
            </w:pPr>
          </w:p>
        </w:tc>
        <w:tc>
          <w:tcPr>
            <w:tcW w:w="732" w:type="dxa"/>
            <w:vAlign w:val="top"/>
          </w:tcPr>
          <w:p w14:paraId="698C0CB6">
            <w:pPr>
              <w:rPr>
                <w:rFonts w:ascii="Arial"/>
                <w:color w:val="auto"/>
                <w:sz w:val="21"/>
                <w:highlight w:val="none"/>
              </w:rPr>
            </w:pPr>
          </w:p>
        </w:tc>
        <w:tc>
          <w:tcPr>
            <w:tcW w:w="806" w:type="dxa"/>
            <w:vAlign w:val="top"/>
          </w:tcPr>
          <w:p w14:paraId="225C1D4D">
            <w:pPr>
              <w:rPr>
                <w:rFonts w:ascii="Arial"/>
                <w:color w:val="auto"/>
                <w:sz w:val="21"/>
                <w:highlight w:val="none"/>
              </w:rPr>
            </w:pPr>
          </w:p>
        </w:tc>
        <w:tc>
          <w:tcPr>
            <w:tcW w:w="1320" w:type="dxa"/>
            <w:vAlign w:val="top"/>
          </w:tcPr>
          <w:p w14:paraId="6379F8F7">
            <w:pPr>
              <w:rPr>
                <w:rFonts w:ascii="Arial"/>
                <w:color w:val="auto"/>
                <w:sz w:val="21"/>
                <w:highlight w:val="none"/>
              </w:rPr>
            </w:pPr>
          </w:p>
        </w:tc>
        <w:tc>
          <w:tcPr>
            <w:tcW w:w="1802" w:type="dxa"/>
            <w:vAlign w:val="top"/>
          </w:tcPr>
          <w:p w14:paraId="1766A209">
            <w:pPr>
              <w:rPr>
                <w:rFonts w:ascii="Arial"/>
                <w:color w:val="auto"/>
                <w:sz w:val="21"/>
                <w:highlight w:val="none"/>
              </w:rPr>
            </w:pPr>
          </w:p>
        </w:tc>
        <w:tc>
          <w:tcPr>
            <w:tcW w:w="753" w:type="dxa"/>
            <w:vAlign w:val="top"/>
          </w:tcPr>
          <w:p w14:paraId="57028E49">
            <w:pPr>
              <w:rPr>
                <w:rFonts w:ascii="Arial"/>
                <w:color w:val="auto"/>
                <w:sz w:val="21"/>
                <w:highlight w:val="none"/>
              </w:rPr>
            </w:pPr>
          </w:p>
        </w:tc>
      </w:tr>
      <w:tr w14:paraId="6F159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64DAE56E">
            <w:pPr>
              <w:rPr>
                <w:rFonts w:ascii="Arial"/>
                <w:color w:val="auto"/>
                <w:sz w:val="21"/>
                <w:highlight w:val="none"/>
              </w:rPr>
            </w:pPr>
          </w:p>
        </w:tc>
        <w:tc>
          <w:tcPr>
            <w:tcW w:w="1182" w:type="dxa"/>
            <w:vAlign w:val="top"/>
          </w:tcPr>
          <w:p w14:paraId="05C1CD39">
            <w:pPr>
              <w:rPr>
                <w:rFonts w:ascii="Arial"/>
                <w:color w:val="auto"/>
                <w:sz w:val="21"/>
                <w:highlight w:val="none"/>
              </w:rPr>
            </w:pPr>
          </w:p>
        </w:tc>
        <w:tc>
          <w:tcPr>
            <w:tcW w:w="830" w:type="dxa"/>
            <w:vAlign w:val="top"/>
          </w:tcPr>
          <w:p w14:paraId="26D0FDC9">
            <w:pPr>
              <w:rPr>
                <w:rFonts w:ascii="Arial"/>
                <w:color w:val="auto"/>
                <w:sz w:val="21"/>
                <w:highlight w:val="none"/>
              </w:rPr>
            </w:pPr>
          </w:p>
        </w:tc>
        <w:tc>
          <w:tcPr>
            <w:tcW w:w="1079" w:type="dxa"/>
            <w:vAlign w:val="top"/>
          </w:tcPr>
          <w:p w14:paraId="3DF9337D">
            <w:pPr>
              <w:rPr>
                <w:rFonts w:ascii="Arial"/>
                <w:color w:val="auto"/>
                <w:sz w:val="21"/>
                <w:highlight w:val="none"/>
              </w:rPr>
            </w:pPr>
          </w:p>
        </w:tc>
        <w:tc>
          <w:tcPr>
            <w:tcW w:w="732" w:type="dxa"/>
            <w:vAlign w:val="top"/>
          </w:tcPr>
          <w:p w14:paraId="5F626794">
            <w:pPr>
              <w:rPr>
                <w:rFonts w:ascii="Arial"/>
                <w:color w:val="auto"/>
                <w:sz w:val="21"/>
                <w:highlight w:val="none"/>
              </w:rPr>
            </w:pPr>
          </w:p>
        </w:tc>
        <w:tc>
          <w:tcPr>
            <w:tcW w:w="806" w:type="dxa"/>
            <w:vAlign w:val="top"/>
          </w:tcPr>
          <w:p w14:paraId="4DACA8FA">
            <w:pPr>
              <w:rPr>
                <w:rFonts w:ascii="Arial"/>
                <w:color w:val="auto"/>
                <w:sz w:val="21"/>
                <w:highlight w:val="none"/>
              </w:rPr>
            </w:pPr>
          </w:p>
        </w:tc>
        <w:tc>
          <w:tcPr>
            <w:tcW w:w="1320" w:type="dxa"/>
            <w:vAlign w:val="top"/>
          </w:tcPr>
          <w:p w14:paraId="335B9EC8">
            <w:pPr>
              <w:rPr>
                <w:rFonts w:ascii="Arial"/>
                <w:color w:val="auto"/>
                <w:sz w:val="21"/>
                <w:highlight w:val="none"/>
              </w:rPr>
            </w:pPr>
          </w:p>
        </w:tc>
        <w:tc>
          <w:tcPr>
            <w:tcW w:w="1802" w:type="dxa"/>
            <w:vAlign w:val="top"/>
          </w:tcPr>
          <w:p w14:paraId="14CE9613">
            <w:pPr>
              <w:rPr>
                <w:rFonts w:ascii="Arial"/>
                <w:color w:val="auto"/>
                <w:sz w:val="21"/>
                <w:highlight w:val="none"/>
              </w:rPr>
            </w:pPr>
          </w:p>
        </w:tc>
        <w:tc>
          <w:tcPr>
            <w:tcW w:w="753" w:type="dxa"/>
            <w:vAlign w:val="top"/>
          </w:tcPr>
          <w:p w14:paraId="6E49B386">
            <w:pPr>
              <w:rPr>
                <w:rFonts w:ascii="Arial"/>
                <w:color w:val="auto"/>
                <w:sz w:val="21"/>
                <w:highlight w:val="none"/>
              </w:rPr>
            </w:pPr>
          </w:p>
        </w:tc>
      </w:tr>
      <w:tr w14:paraId="2E1E5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5FA6877E">
            <w:pPr>
              <w:rPr>
                <w:rFonts w:ascii="Arial"/>
                <w:color w:val="auto"/>
                <w:sz w:val="21"/>
                <w:highlight w:val="none"/>
              </w:rPr>
            </w:pPr>
          </w:p>
        </w:tc>
        <w:tc>
          <w:tcPr>
            <w:tcW w:w="1182" w:type="dxa"/>
            <w:vAlign w:val="top"/>
          </w:tcPr>
          <w:p w14:paraId="63302A5C">
            <w:pPr>
              <w:rPr>
                <w:rFonts w:ascii="Arial"/>
                <w:color w:val="auto"/>
                <w:sz w:val="21"/>
                <w:highlight w:val="none"/>
              </w:rPr>
            </w:pPr>
          </w:p>
        </w:tc>
        <w:tc>
          <w:tcPr>
            <w:tcW w:w="830" w:type="dxa"/>
            <w:vAlign w:val="top"/>
          </w:tcPr>
          <w:p w14:paraId="45508193">
            <w:pPr>
              <w:rPr>
                <w:rFonts w:ascii="Arial"/>
                <w:color w:val="auto"/>
                <w:sz w:val="21"/>
                <w:highlight w:val="none"/>
              </w:rPr>
            </w:pPr>
          </w:p>
        </w:tc>
        <w:tc>
          <w:tcPr>
            <w:tcW w:w="1079" w:type="dxa"/>
            <w:vAlign w:val="top"/>
          </w:tcPr>
          <w:p w14:paraId="4CF44C45">
            <w:pPr>
              <w:rPr>
                <w:rFonts w:ascii="Arial"/>
                <w:color w:val="auto"/>
                <w:sz w:val="21"/>
                <w:highlight w:val="none"/>
              </w:rPr>
            </w:pPr>
          </w:p>
        </w:tc>
        <w:tc>
          <w:tcPr>
            <w:tcW w:w="732" w:type="dxa"/>
            <w:vAlign w:val="top"/>
          </w:tcPr>
          <w:p w14:paraId="219A2DB9">
            <w:pPr>
              <w:rPr>
                <w:rFonts w:ascii="Arial"/>
                <w:color w:val="auto"/>
                <w:sz w:val="21"/>
                <w:highlight w:val="none"/>
              </w:rPr>
            </w:pPr>
          </w:p>
        </w:tc>
        <w:tc>
          <w:tcPr>
            <w:tcW w:w="806" w:type="dxa"/>
            <w:vAlign w:val="top"/>
          </w:tcPr>
          <w:p w14:paraId="053F7C31">
            <w:pPr>
              <w:rPr>
                <w:rFonts w:ascii="Arial"/>
                <w:color w:val="auto"/>
                <w:sz w:val="21"/>
                <w:highlight w:val="none"/>
              </w:rPr>
            </w:pPr>
          </w:p>
        </w:tc>
        <w:tc>
          <w:tcPr>
            <w:tcW w:w="1320" w:type="dxa"/>
            <w:vAlign w:val="top"/>
          </w:tcPr>
          <w:p w14:paraId="1EE4C41E">
            <w:pPr>
              <w:rPr>
                <w:rFonts w:ascii="Arial"/>
                <w:color w:val="auto"/>
                <w:sz w:val="21"/>
                <w:highlight w:val="none"/>
              </w:rPr>
            </w:pPr>
          </w:p>
        </w:tc>
        <w:tc>
          <w:tcPr>
            <w:tcW w:w="1802" w:type="dxa"/>
            <w:vAlign w:val="top"/>
          </w:tcPr>
          <w:p w14:paraId="7ADC0C77">
            <w:pPr>
              <w:rPr>
                <w:rFonts w:ascii="Arial"/>
                <w:color w:val="auto"/>
                <w:sz w:val="21"/>
                <w:highlight w:val="none"/>
              </w:rPr>
            </w:pPr>
          </w:p>
        </w:tc>
        <w:tc>
          <w:tcPr>
            <w:tcW w:w="753" w:type="dxa"/>
            <w:vAlign w:val="top"/>
          </w:tcPr>
          <w:p w14:paraId="7AC415EF">
            <w:pPr>
              <w:rPr>
                <w:rFonts w:ascii="Arial"/>
                <w:color w:val="auto"/>
                <w:sz w:val="21"/>
                <w:highlight w:val="none"/>
              </w:rPr>
            </w:pPr>
          </w:p>
        </w:tc>
      </w:tr>
      <w:tr w14:paraId="49C83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2069F528">
            <w:pPr>
              <w:rPr>
                <w:rFonts w:ascii="Arial"/>
                <w:color w:val="auto"/>
                <w:sz w:val="21"/>
                <w:highlight w:val="none"/>
              </w:rPr>
            </w:pPr>
          </w:p>
        </w:tc>
        <w:tc>
          <w:tcPr>
            <w:tcW w:w="1182" w:type="dxa"/>
            <w:vAlign w:val="top"/>
          </w:tcPr>
          <w:p w14:paraId="4CE6E109">
            <w:pPr>
              <w:rPr>
                <w:rFonts w:ascii="Arial"/>
                <w:color w:val="auto"/>
                <w:sz w:val="21"/>
                <w:highlight w:val="none"/>
              </w:rPr>
            </w:pPr>
          </w:p>
        </w:tc>
        <w:tc>
          <w:tcPr>
            <w:tcW w:w="830" w:type="dxa"/>
            <w:vAlign w:val="top"/>
          </w:tcPr>
          <w:p w14:paraId="0FD83EF6">
            <w:pPr>
              <w:rPr>
                <w:rFonts w:ascii="Arial"/>
                <w:color w:val="auto"/>
                <w:sz w:val="21"/>
                <w:highlight w:val="none"/>
              </w:rPr>
            </w:pPr>
          </w:p>
        </w:tc>
        <w:tc>
          <w:tcPr>
            <w:tcW w:w="1079" w:type="dxa"/>
            <w:vAlign w:val="top"/>
          </w:tcPr>
          <w:p w14:paraId="3B437F4C">
            <w:pPr>
              <w:rPr>
                <w:rFonts w:ascii="Arial"/>
                <w:color w:val="auto"/>
                <w:sz w:val="21"/>
                <w:highlight w:val="none"/>
              </w:rPr>
            </w:pPr>
          </w:p>
        </w:tc>
        <w:tc>
          <w:tcPr>
            <w:tcW w:w="732" w:type="dxa"/>
            <w:vAlign w:val="top"/>
          </w:tcPr>
          <w:p w14:paraId="14FC9C41">
            <w:pPr>
              <w:rPr>
                <w:rFonts w:ascii="Arial"/>
                <w:color w:val="auto"/>
                <w:sz w:val="21"/>
                <w:highlight w:val="none"/>
              </w:rPr>
            </w:pPr>
          </w:p>
        </w:tc>
        <w:tc>
          <w:tcPr>
            <w:tcW w:w="806" w:type="dxa"/>
            <w:vAlign w:val="top"/>
          </w:tcPr>
          <w:p w14:paraId="3EE8AA4F">
            <w:pPr>
              <w:rPr>
                <w:rFonts w:ascii="Arial"/>
                <w:color w:val="auto"/>
                <w:sz w:val="21"/>
                <w:highlight w:val="none"/>
              </w:rPr>
            </w:pPr>
          </w:p>
        </w:tc>
        <w:tc>
          <w:tcPr>
            <w:tcW w:w="1320" w:type="dxa"/>
            <w:vAlign w:val="top"/>
          </w:tcPr>
          <w:p w14:paraId="0575417A">
            <w:pPr>
              <w:rPr>
                <w:rFonts w:ascii="Arial"/>
                <w:color w:val="auto"/>
                <w:sz w:val="21"/>
                <w:highlight w:val="none"/>
              </w:rPr>
            </w:pPr>
          </w:p>
        </w:tc>
        <w:tc>
          <w:tcPr>
            <w:tcW w:w="1802" w:type="dxa"/>
            <w:vAlign w:val="top"/>
          </w:tcPr>
          <w:p w14:paraId="40152ED7">
            <w:pPr>
              <w:rPr>
                <w:rFonts w:ascii="Arial"/>
                <w:color w:val="auto"/>
                <w:sz w:val="21"/>
                <w:highlight w:val="none"/>
              </w:rPr>
            </w:pPr>
          </w:p>
        </w:tc>
        <w:tc>
          <w:tcPr>
            <w:tcW w:w="753" w:type="dxa"/>
            <w:vAlign w:val="top"/>
          </w:tcPr>
          <w:p w14:paraId="50623657">
            <w:pPr>
              <w:rPr>
                <w:rFonts w:ascii="Arial"/>
                <w:color w:val="auto"/>
                <w:sz w:val="21"/>
                <w:highlight w:val="none"/>
              </w:rPr>
            </w:pPr>
          </w:p>
        </w:tc>
      </w:tr>
      <w:tr w14:paraId="76501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4D994DBC">
            <w:pPr>
              <w:rPr>
                <w:rFonts w:ascii="Arial"/>
                <w:color w:val="auto"/>
                <w:sz w:val="21"/>
                <w:highlight w:val="none"/>
              </w:rPr>
            </w:pPr>
          </w:p>
        </w:tc>
        <w:tc>
          <w:tcPr>
            <w:tcW w:w="1182" w:type="dxa"/>
            <w:vAlign w:val="top"/>
          </w:tcPr>
          <w:p w14:paraId="3F101474">
            <w:pPr>
              <w:rPr>
                <w:rFonts w:ascii="Arial"/>
                <w:color w:val="auto"/>
                <w:sz w:val="21"/>
                <w:highlight w:val="none"/>
              </w:rPr>
            </w:pPr>
          </w:p>
        </w:tc>
        <w:tc>
          <w:tcPr>
            <w:tcW w:w="830" w:type="dxa"/>
            <w:vAlign w:val="top"/>
          </w:tcPr>
          <w:p w14:paraId="36C26246">
            <w:pPr>
              <w:rPr>
                <w:rFonts w:ascii="Arial"/>
                <w:color w:val="auto"/>
                <w:sz w:val="21"/>
                <w:highlight w:val="none"/>
              </w:rPr>
            </w:pPr>
          </w:p>
        </w:tc>
        <w:tc>
          <w:tcPr>
            <w:tcW w:w="1079" w:type="dxa"/>
            <w:vAlign w:val="top"/>
          </w:tcPr>
          <w:p w14:paraId="2CE9D053">
            <w:pPr>
              <w:rPr>
                <w:rFonts w:ascii="Arial"/>
                <w:color w:val="auto"/>
                <w:sz w:val="21"/>
                <w:highlight w:val="none"/>
              </w:rPr>
            </w:pPr>
          </w:p>
        </w:tc>
        <w:tc>
          <w:tcPr>
            <w:tcW w:w="732" w:type="dxa"/>
            <w:vAlign w:val="top"/>
          </w:tcPr>
          <w:p w14:paraId="2D5650DF">
            <w:pPr>
              <w:rPr>
                <w:rFonts w:ascii="Arial"/>
                <w:color w:val="auto"/>
                <w:sz w:val="21"/>
                <w:highlight w:val="none"/>
              </w:rPr>
            </w:pPr>
          </w:p>
        </w:tc>
        <w:tc>
          <w:tcPr>
            <w:tcW w:w="806" w:type="dxa"/>
            <w:vAlign w:val="top"/>
          </w:tcPr>
          <w:p w14:paraId="0BF005CD">
            <w:pPr>
              <w:rPr>
                <w:rFonts w:ascii="Arial"/>
                <w:color w:val="auto"/>
                <w:sz w:val="21"/>
                <w:highlight w:val="none"/>
              </w:rPr>
            </w:pPr>
          </w:p>
        </w:tc>
        <w:tc>
          <w:tcPr>
            <w:tcW w:w="1320" w:type="dxa"/>
            <w:vAlign w:val="top"/>
          </w:tcPr>
          <w:p w14:paraId="5AAB735A">
            <w:pPr>
              <w:rPr>
                <w:rFonts w:ascii="Arial"/>
                <w:color w:val="auto"/>
                <w:sz w:val="21"/>
                <w:highlight w:val="none"/>
              </w:rPr>
            </w:pPr>
          </w:p>
        </w:tc>
        <w:tc>
          <w:tcPr>
            <w:tcW w:w="1802" w:type="dxa"/>
            <w:vAlign w:val="top"/>
          </w:tcPr>
          <w:p w14:paraId="3816DC3C">
            <w:pPr>
              <w:rPr>
                <w:rFonts w:ascii="Arial"/>
                <w:color w:val="auto"/>
                <w:sz w:val="21"/>
                <w:highlight w:val="none"/>
              </w:rPr>
            </w:pPr>
          </w:p>
        </w:tc>
        <w:tc>
          <w:tcPr>
            <w:tcW w:w="753" w:type="dxa"/>
            <w:vAlign w:val="top"/>
          </w:tcPr>
          <w:p w14:paraId="667112CF">
            <w:pPr>
              <w:rPr>
                <w:rFonts w:ascii="Arial"/>
                <w:color w:val="auto"/>
                <w:sz w:val="21"/>
                <w:highlight w:val="none"/>
              </w:rPr>
            </w:pPr>
          </w:p>
        </w:tc>
      </w:tr>
      <w:tr w14:paraId="394B5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111D6E65">
            <w:pPr>
              <w:rPr>
                <w:rFonts w:ascii="Arial"/>
                <w:color w:val="auto"/>
                <w:sz w:val="21"/>
                <w:highlight w:val="none"/>
              </w:rPr>
            </w:pPr>
          </w:p>
        </w:tc>
        <w:tc>
          <w:tcPr>
            <w:tcW w:w="1182" w:type="dxa"/>
            <w:vAlign w:val="top"/>
          </w:tcPr>
          <w:p w14:paraId="20BCEA6A">
            <w:pPr>
              <w:rPr>
                <w:rFonts w:ascii="Arial"/>
                <w:color w:val="auto"/>
                <w:sz w:val="21"/>
                <w:highlight w:val="none"/>
              </w:rPr>
            </w:pPr>
          </w:p>
        </w:tc>
        <w:tc>
          <w:tcPr>
            <w:tcW w:w="830" w:type="dxa"/>
            <w:vAlign w:val="top"/>
          </w:tcPr>
          <w:p w14:paraId="17CEE6A2">
            <w:pPr>
              <w:rPr>
                <w:rFonts w:ascii="Arial"/>
                <w:color w:val="auto"/>
                <w:sz w:val="21"/>
                <w:highlight w:val="none"/>
              </w:rPr>
            </w:pPr>
          </w:p>
        </w:tc>
        <w:tc>
          <w:tcPr>
            <w:tcW w:w="1079" w:type="dxa"/>
            <w:vAlign w:val="top"/>
          </w:tcPr>
          <w:p w14:paraId="3259D5E7">
            <w:pPr>
              <w:rPr>
                <w:rFonts w:ascii="Arial"/>
                <w:color w:val="auto"/>
                <w:sz w:val="21"/>
                <w:highlight w:val="none"/>
              </w:rPr>
            </w:pPr>
          </w:p>
        </w:tc>
        <w:tc>
          <w:tcPr>
            <w:tcW w:w="732" w:type="dxa"/>
            <w:vAlign w:val="top"/>
          </w:tcPr>
          <w:p w14:paraId="37FFBDEB">
            <w:pPr>
              <w:rPr>
                <w:rFonts w:ascii="Arial"/>
                <w:color w:val="auto"/>
                <w:sz w:val="21"/>
                <w:highlight w:val="none"/>
              </w:rPr>
            </w:pPr>
          </w:p>
        </w:tc>
        <w:tc>
          <w:tcPr>
            <w:tcW w:w="806" w:type="dxa"/>
            <w:vAlign w:val="top"/>
          </w:tcPr>
          <w:p w14:paraId="1CA9B8F4">
            <w:pPr>
              <w:rPr>
                <w:rFonts w:ascii="Arial"/>
                <w:color w:val="auto"/>
                <w:sz w:val="21"/>
                <w:highlight w:val="none"/>
              </w:rPr>
            </w:pPr>
          </w:p>
        </w:tc>
        <w:tc>
          <w:tcPr>
            <w:tcW w:w="1320" w:type="dxa"/>
            <w:vAlign w:val="top"/>
          </w:tcPr>
          <w:p w14:paraId="50C0216E">
            <w:pPr>
              <w:rPr>
                <w:rFonts w:ascii="Arial"/>
                <w:color w:val="auto"/>
                <w:sz w:val="21"/>
                <w:highlight w:val="none"/>
              </w:rPr>
            </w:pPr>
          </w:p>
        </w:tc>
        <w:tc>
          <w:tcPr>
            <w:tcW w:w="1802" w:type="dxa"/>
            <w:vAlign w:val="top"/>
          </w:tcPr>
          <w:p w14:paraId="3C27EA27">
            <w:pPr>
              <w:rPr>
                <w:rFonts w:ascii="Arial"/>
                <w:color w:val="auto"/>
                <w:sz w:val="21"/>
                <w:highlight w:val="none"/>
              </w:rPr>
            </w:pPr>
          </w:p>
        </w:tc>
        <w:tc>
          <w:tcPr>
            <w:tcW w:w="753" w:type="dxa"/>
            <w:vAlign w:val="top"/>
          </w:tcPr>
          <w:p w14:paraId="3CFCC56F">
            <w:pPr>
              <w:rPr>
                <w:rFonts w:ascii="Arial"/>
                <w:color w:val="auto"/>
                <w:sz w:val="21"/>
                <w:highlight w:val="none"/>
              </w:rPr>
            </w:pPr>
          </w:p>
        </w:tc>
      </w:tr>
      <w:tr w14:paraId="20819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5B68F661">
            <w:pPr>
              <w:rPr>
                <w:rFonts w:ascii="Arial"/>
                <w:color w:val="auto"/>
                <w:sz w:val="21"/>
                <w:highlight w:val="none"/>
              </w:rPr>
            </w:pPr>
          </w:p>
        </w:tc>
        <w:tc>
          <w:tcPr>
            <w:tcW w:w="1182" w:type="dxa"/>
            <w:vAlign w:val="top"/>
          </w:tcPr>
          <w:p w14:paraId="56CB052B">
            <w:pPr>
              <w:rPr>
                <w:rFonts w:ascii="Arial"/>
                <w:color w:val="auto"/>
                <w:sz w:val="21"/>
                <w:highlight w:val="none"/>
              </w:rPr>
            </w:pPr>
          </w:p>
        </w:tc>
        <w:tc>
          <w:tcPr>
            <w:tcW w:w="830" w:type="dxa"/>
            <w:vAlign w:val="top"/>
          </w:tcPr>
          <w:p w14:paraId="628D0F11">
            <w:pPr>
              <w:rPr>
                <w:rFonts w:ascii="Arial"/>
                <w:color w:val="auto"/>
                <w:sz w:val="21"/>
                <w:highlight w:val="none"/>
              </w:rPr>
            </w:pPr>
          </w:p>
        </w:tc>
        <w:tc>
          <w:tcPr>
            <w:tcW w:w="1079" w:type="dxa"/>
            <w:vAlign w:val="top"/>
          </w:tcPr>
          <w:p w14:paraId="048E64D6">
            <w:pPr>
              <w:rPr>
                <w:rFonts w:ascii="Arial"/>
                <w:color w:val="auto"/>
                <w:sz w:val="21"/>
                <w:highlight w:val="none"/>
              </w:rPr>
            </w:pPr>
          </w:p>
        </w:tc>
        <w:tc>
          <w:tcPr>
            <w:tcW w:w="732" w:type="dxa"/>
            <w:vAlign w:val="top"/>
          </w:tcPr>
          <w:p w14:paraId="41B46007">
            <w:pPr>
              <w:rPr>
                <w:rFonts w:ascii="Arial"/>
                <w:color w:val="auto"/>
                <w:sz w:val="21"/>
                <w:highlight w:val="none"/>
              </w:rPr>
            </w:pPr>
          </w:p>
        </w:tc>
        <w:tc>
          <w:tcPr>
            <w:tcW w:w="806" w:type="dxa"/>
            <w:vAlign w:val="top"/>
          </w:tcPr>
          <w:p w14:paraId="5AC16E22">
            <w:pPr>
              <w:rPr>
                <w:rFonts w:ascii="Arial"/>
                <w:color w:val="auto"/>
                <w:sz w:val="21"/>
                <w:highlight w:val="none"/>
              </w:rPr>
            </w:pPr>
          </w:p>
        </w:tc>
        <w:tc>
          <w:tcPr>
            <w:tcW w:w="1320" w:type="dxa"/>
            <w:vAlign w:val="top"/>
          </w:tcPr>
          <w:p w14:paraId="41274B46">
            <w:pPr>
              <w:rPr>
                <w:rFonts w:ascii="Arial"/>
                <w:color w:val="auto"/>
                <w:sz w:val="21"/>
                <w:highlight w:val="none"/>
              </w:rPr>
            </w:pPr>
          </w:p>
        </w:tc>
        <w:tc>
          <w:tcPr>
            <w:tcW w:w="1802" w:type="dxa"/>
            <w:vAlign w:val="top"/>
          </w:tcPr>
          <w:p w14:paraId="54C830C7">
            <w:pPr>
              <w:rPr>
                <w:rFonts w:ascii="Arial"/>
                <w:color w:val="auto"/>
                <w:sz w:val="21"/>
                <w:highlight w:val="none"/>
              </w:rPr>
            </w:pPr>
          </w:p>
        </w:tc>
        <w:tc>
          <w:tcPr>
            <w:tcW w:w="753" w:type="dxa"/>
            <w:vAlign w:val="top"/>
          </w:tcPr>
          <w:p w14:paraId="38F0002E">
            <w:pPr>
              <w:rPr>
                <w:rFonts w:ascii="Arial"/>
                <w:color w:val="auto"/>
                <w:sz w:val="21"/>
                <w:highlight w:val="none"/>
              </w:rPr>
            </w:pPr>
          </w:p>
        </w:tc>
      </w:tr>
      <w:tr w14:paraId="1A20B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0" w:type="dxa"/>
            <w:vAlign w:val="top"/>
          </w:tcPr>
          <w:p w14:paraId="4DA1B352">
            <w:pPr>
              <w:rPr>
                <w:rFonts w:ascii="Arial"/>
                <w:color w:val="auto"/>
                <w:sz w:val="21"/>
                <w:highlight w:val="none"/>
              </w:rPr>
            </w:pPr>
          </w:p>
        </w:tc>
        <w:tc>
          <w:tcPr>
            <w:tcW w:w="1182" w:type="dxa"/>
            <w:vAlign w:val="top"/>
          </w:tcPr>
          <w:p w14:paraId="4500A2EE">
            <w:pPr>
              <w:rPr>
                <w:rFonts w:ascii="Arial"/>
                <w:color w:val="auto"/>
                <w:sz w:val="21"/>
                <w:highlight w:val="none"/>
              </w:rPr>
            </w:pPr>
          </w:p>
        </w:tc>
        <w:tc>
          <w:tcPr>
            <w:tcW w:w="830" w:type="dxa"/>
            <w:vAlign w:val="top"/>
          </w:tcPr>
          <w:p w14:paraId="67C93E2B">
            <w:pPr>
              <w:rPr>
                <w:rFonts w:ascii="Arial"/>
                <w:color w:val="auto"/>
                <w:sz w:val="21"/>
                <w:highlight w:val="none"/>
              </w:rPr>
            </w:pPr>
          </w:p>
        </w:tc>
        <w:tc>
          <w:tcPr>
            <w:tcW w:w="1079" w:type="dxa"/>
            <w:vAlign w:val="top"/>
          </w:tcPr>
          <w:p w14:paraId="28C83D02">
            <w:pPr>
              <w:rPr>
                <w:rFonts w:ascii="Arial"/>
                <w:color w:val="auto"/>
                <w:sz w:val="21"/>
                <w:highlight w:val="none"/>
              </w:rPr>
            </w:pPr>
          </w:p>
        </w:tc>
        <w:tc>
          <w:tcPr>
            <w:tcW w:w="732" w:type="dxa"/>
            <w:vAlign w:val="top"/>
          </w:tcPr>
          <w:p w14:paraId="56FA72C4">
            <w:pPr>
              <w:rPr>
                <w:rFonts w:ascii="Arial"/>
                <w:color w:val="auto"/>
                <w:sz w:val="21"/>
                <w:highlight w:val="none"/>
              </w:rPr>
            </w:pPr>
          </w:p>
        </w:tc>
        <w:tc>
          <w:tcPr>
            <w:tcW w:w="806" w:type="dxa"/>
            <w:vAlign w:val="top"/>
          </w:tcPr>
          <w:p w14:paraId="6452E9AB">
            <w:pPr>
              <w:rPr>
                <w:rFonts w:ascii="Arial"/>
                <w:color w:val="auto"/>
                <w:sz w:val="21"/>
                <w:highlight w:val="none"/>
              </w:rPr>
            </w:pPr>
          </w:p>
        </w:tc>
        <w:tc>
          <w:tcPr>
            <w:tcW w:w="1320" w:type="dxa"/>
            <w:vAlign w:val="top"/>
          </w:tcPr>
          <w:p w14:paraId="7E8904DB">
            <w:pPr>
              <w:rPr>
                <w:rFonts w:ascii="Arial"/>
                <w:color w:val="auto"/>
                <w:sz w:val="21"/>
                <w:highlight w:val="none"/>
              </w:rPr>
            </w:pPr>
          </w:p>
        </w:tc>
        <w:tc>
          <w:tcPr>
            <w:tcW w:w="1802" w:type="dxa"/>
            <w:vAlign w:val="top"/>
          </w:tcPr>
          <w:p w14:paraId="1E9120B9">
            <w:pPr>
              <w:rPr>
                <w:rFonts w:ascii="Arial"/>
                <w:color w:val="auto"/>
                <w:sz w:val="21"/>
                <w:highlight w:val="none"/>
              </w:rPr>
            </w:pPr>
          </w:p>
        </w:tc>
        <w:tc>
          <w:tcPr>
            <w:tcW w:w="753" w:type="dxa"/>
            <w:vAlign w:val="top"/>
          </w:tcPr>
          <w:p w14:paraId="726F85C1">
            <w:pPr>
              <w:rPr>
                <w:rFonts w:ascii="Arial"/>
                <w:color w:val="auto"/>
                <w:sz w:val="21"/>
                <w:highlight w:val="none"/>
              </w:rPr>
            </w:pPr>
          </w:p>
        </w:tc>
      </w:tr>
      <w:tr w14:paraId="5C77C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30" w:type="dxa"/>
            <w:vAlign w:val="top"/>
          </w:tcPr>
          <w:p w14:paraId="03EB6614">
            <w:pPr>
              <w:rPr>
                <w:rFonts w:ascii="Arial"/>
                <w:color w:val="auto"/>
                <w:sz w:val="21"/>
                <w:highlight w:val="none"/>
              </w:rPr>
            </w:pPr>
          </w:p>
        </w:tc>
        <w:tc>
          <w:tcPr>
            <w:tcW w:w="1182" w:type="dxa"/>
            <w:vAlign w:val="top"/>
          </w:tcPr>
          <w:p w14:paraId="316E5E5D">
            <w:pPr>
              <w:rPr>
                <w:rFonts w:ascii="Arial"/>
                <w:color w:val="auto"/>
                <w:sz w:val="21"/>
                <w:highlight w:val="none"/>
              </w:rPr>
            </w:pPr>
          </w:p>
        </w:tc>
        <w:tc>
          <w:tcPr>
            <w:tcW w:w="830" w:type="dxa"/>
            <w:vAlign w:val="top"/>
          </w:tcPr>
          <w:p w14:paraId="4A0764BF">
            <w:pPr>
              <w:rPr>
                <w:rFonts w:ascii="Arial"/>
                <w:color w:val="auto"/>
                <w:sz w:val="21"/>
                <w:highlight w:val="none"/>
              </w:rPr>
            </w:pPr>
          </w:p>
        </w:tc>
        <w:tc>
          <w:tcPr>
            <w:tcW w:w="1079" w:type="dxa"/>
            <w:vAlign w:val="top"/>
          </w:tcPr>
          <w:p w14:paraId="14D1EE82">
            <w:pPr>
              <w:rPr>
                <w:rFonts w:ascii="Arial"/>
                <w:color w:val="auto"/>
                <w:sz w:val="21"/>
                <w:highlight w:val="none"/>
              </w:rPr>
            </w:pPr>
          </w:p>
        </w:tc>
        <w:tc>
          <w:tcPr>
            <w:tcW w:w="732" w:type="dxa"/>
            <w:vAlign w:val="top"/>
          </w:tcPr>
          <w:p w14:paraId="4BD3C2A2">
            <w:pPr>
              <w:rPr>
                <w:rFonts w:ascii="Arial"/>
                <w:color w:val="auto"/>
                <w:sz w:val="21"/>
                <w:highlight w:val="none"/>
              </w:rPr>
            </w:pPr>
          </w:p>
        </w:tc>
        <w:tc>
          <w:tcPr>
            <w:tcW w:w="806" w:type="dxa"/>
            <w:vAlign w:val="top"/>
          </w:tcPr>
          <w:p w14:paraId="457A654D">
            <w:pPr>
              <w:rPr>
                <w:rFonts w:ascii="Arial"/>
                <w:color w:val="auto"/>
                <w:sz w:val="21"/>
                <w:highlight w:val="none"/>
              </w:rPr>
            </w:pPr>
          </w:p>
        </w:tc>
        <w:tc>
          <w:tcPr>
            <w:tcW w:w="1320" w:type="dxa"/>
            <w:vAlign w:val="top"/>
          </w:tcPr>
          <w:p w14:paraId="40ABD60F">
            <w:pPr>
              <w:rPr>
                <w:rFonts w:ascii="Arial"/>
                <w:color w:val="auto"/>
                <w:sz w:val="21"/>
                <w:highlight w:val="none"/>
              </w:rPr>
            </w:pPr>
          </w:p>
        </w:tc>
        <w:tc>
          <w:tcPr>
            <w:tcW w:w="1802" w:type="dxa"/>
            <w:vAlign w:val="top"/>
          </w:tcPr>
          <w:p w14:paraId="231B7A5C">
            <w:pPr>
              <w:rPr>
                <w:rFonts w:ascii="Arial"/>
                <w:color w:val="auto"/>
                <w:sz w:val="21"/>
                <w:highlight w:val="none"/>
              </w:rPr>
            </w:pPr>
          </w:p>
        </w:tc>
        <w:tc>
          <w:tcPr>
            <w:tcW w:w="753" w:type="dxa"/>
            <w:vAlign w:val="top"/>
          </w:tcPr>
          <w:p w14:paraId="37AEAE66">
            <w:pPr>
              <w:rPr>
                <w:rFonts w:ascii="Arial"/>
                <w:color w:val="auto"/>
                <w:sz w:val="21"/>
                <w:highlight w:val="none"/>
              </w:rPr>
            </w:pPr>
          </w:p>
        </w:tc>
      </w:tr>
    </w:tbl>
    <w:p w14:paraId="10B58335">
      <w:pPr>
        <w:rPr>
          <w:rFonts w:ascii="Arial"/>
          <w:color w:val="auto"/>
          <w:sz w:val="21"/>
          <w:highlight w:val="none"/>
        </w:rPr>
      </w:pPr>
    </w:p>
    <w:p w14:paraId="6CB5D975">
      <w:pPr>
        <w:spacing w:before="56" w:line="219" w:lineRule="auto"/>
        <w:ind w:left="3345"/>
        <w:rPr>
          <w:rFonts w:ascii="宋体" w:hAnsi="宋体" w:eastAsia="宋体" w:cs="宋体"/>
          <w:b/>
          <w:bCs/>
          <w:color w:val="auto"/>
          <w:spacing w:val="-7"/>
          <w:sz w:val="28"/>
          <w:szCs w:val="28"/>
          <w:highlight w:val="none"/>
        </w:rPr>
      </w:pPr>
    </w:p>
    <w:p w14:paraId="05BC191B">
      <w:pPr>
        <w:spacing w:before="56" w:line="219" w:lineRule="auto"/>
        <w:ind w:left="3345"/>
        <w:rPr>
          <w:rFonts w:ascii="宋体" w:hAnsi="宋体" w:eastAsia="宋体" w:cs="宋体"/>
          <w:b/>
          <w:bCs/>
          <w:color w:val="auto"/>
          <w:spacing w:val="-7"/>
          <w:sz w:val="28"/>
          <w:szCs w:val="28"/>
          <w:highlight w:val="none"/>
        </w:rPr>
      </w:pPr>
    </w:p>
    <w:p w14:paraId="0978DE30">
      <w:pPr>
        <w:spacing w:before="56" w:line="219" w:lineRule="auto"/>
        <w:ind w:left="3345"/>
        <w:rPr>
          <w:rFonts w:ascii="宋体" w:hAnsi="宋体" w:eastAsia="宋体" w:cs="宋体"/>
          <w:b/>
          <w:bCs/>
          <w:color w:val="auto"/>
          <w:spacing w:val="-7"/>
          <w:sz w:val="28"/>
          <w:szCs w:val="28"/>
          <w:highlight w:val="none"/>
        </w:rPr>
      </w:pPr>
    </w:p>
    <w:p w14:paraId="4C24898F">
      <w:pPr>
        <w:spacing w:before="56" w:line="219" w:lineRule="auto"/>
        <w:ind w:left="3345"/>
        <w:rPr>
          <w:rFonts w:ascii="宋体" w:hAnsi="宋体" w:eastAsia="宋体" w:cs="宋体"/>
          <w:b/>
          <w:bCs/>
          <w:color w:val="auto"/>
          <w:spacing w:val="-7"/>
          <w:sz w:val="28"/>
          <w:szCs w:val="28"/>
          <w:highlight w:val="none"/>
        </w:rPr>
      </w:pPr>
    </w:p>
    <w:p w14:paraId="6153F4CA">
      <w:pPr>
        <w:spacing w:before="56" w:line="219" w:lineRule="auto"/>
        <w:ind w:left="3345"/>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附表三：劳动力计划表</w:t>
      </w:r>
    </w:p>
    <w:p w14:paraId="3F1B4481">
      <w:pPr>
        <w:spacing w:before="161" w:line="221" w:lineRule="auto"/>
        <w:jc w:val="right"/>
        <w:rPr>
          <w:rFonts w:ascii="黑体" w:hAnsi="黑体" w:eastAsia="黑体" w:cs="黑体"/>
          <w:color w:val="auto"/>
          <w:sz w:val="21"/>
          <w:szCs w:val="21"/>
          <w:highlight w:val="none"/>
        </w:rPr>
      </w:pPr>
      <w:r>
        <w:rPr>
          <w:rFonts w:ascii="黑体" w:hAnsi="黑体" w:eastAsia="黑体" w:cs="黑体"/>
          <w:color w:val="auto"/>
          <w:spacing w:val="-1"/>
          <w:sz w:val="21"/>
          <w:szCs w:val="21"/>
          <w:highlight w:val="none"/>
        </w:rPr>
        <w:t>单位：人</w:t>
      </w:r>
    </w:p>
    <w:p w14:paraId="5650BF18">
      <w:pPr>
        <w:spacing w:line="16" w:lineRule="exact"/>
        <w:rPr>
          <w:color w:val="auto"/>
          <w:highlight w:val="none"/>
        </w:rPr>
      </w:pPr>
    </w:p>
    <w:tbl>
      <w:tblPr>
        <w:tblStyle w:val="29"/>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420"/>
        <w:gridCol w:w="1159"/>
        <w:gridCol w:w="1161"/>
        <w:gridCol w:w="1161"/>
        <w:gridCol w:w="1161"/>
        <w:gridCol w:w="1159"/>
        <w:gridCol w:w="1163"/>
      </w:tblGrid>
      <w:tr w14:paraId="0B42A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907" w:type="dxa"/>
            <w:vAlign w:val="top"/>
          </w:tcPr>
          <w:p w14:paraId="13B2A7ED">
            <w:pPr>
              <w:pStyle w:val="30"/>
              <w:spacing w:before="178" w:line="221" w:lineRule="auto"/>
              <w:ind w:left="250"/>
              <w:rPr>
                <w:color w:val="auto"/>
                <w:highlight w:val="none"/>
              </w:rPr>
            </w:pPr>
            <w:r>
              <w:rPr>
                <w:color w:val="auto"/>
                <w:spacing w:val="-3"/>
                <w:highlight w:val="none"/>
              </w:rPr>
              <w:t>工种</w:t>
            </w:r>
          </w:p>
        </w:tc>
        <w:tc>
          <w:tcPr>
            <w:tcW w:w="8384" w:type="dxa"/>
            <w:gridSpan w:val="7"/>
            <w:vAlign w:val="top"/>
          </w:tcPr>
          <w:p w14:paraId="4B8CA601">
            <w:pPr>
              <w:pStyle w:val="30"/>
              <w:spacing w:before="177" w:line="221" w:lineRule="auto"/>
              <w:ind w:left="2724"/>
              <w:rPr>
                <w:color w:val="auto"/>
                <w:highlight w:val="none"/>
              </w:rPr>
            </w:pPr>
            <w:r>
              <w:rPr>
                <w:color w:val="auto"/>
                <w:spacing w:val="-1"/>
                <w:highlight w:val="none"/>
              </w:rPr>
              <w:t>按工程施工阶段投入劳动力情况</w:t>
            </w:r>
          </w:p>
        </w:tc>
      </w:tr>
      <w:tr w14:paraId="72380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7" w:type="dxa"/>
            <w:vAlign w:val="top"/>
          </w:tcPr>
          <w:p w14:paraId="4358061F">
            <w:pPr>
              <w:rPr>
                <w:rFonts w:ascii="Arial"/>
                <w:color w:val="auto"/>
                <w:sz w:val="21"/>
                <w:highlight w:val="none"/>
              </w:rPr>
            </w:pPr>
          </w:p>
        </w:tc>
        <w:tc>
          <w:tcPr>
            <w:tcW w:w="1420" w:type="dxa"/>
            <w:vAlign w:val="top"/>
          </w:tcPr>
          <w:p w14:paraId="67ECE6AA">
            <w:pPr>
              <w:rPr>
                <w:rFonts w:ascii="Arial"/>
                <w:color w:val="auto"/>
                <w:sz w:val="21"/>
                <w:highlight w:val="none"/>
              </w:rPr>
            </w:pPr>
          </w:p>
        </w:tc>
        <w:tc>
          <w:tcPr>
            <w:tcW w:w="1159" w:type="dxa"/>
            <w:vAlign w:val="top"/>
          </w:tcPr>
          <w:p w14:paraId="40028024">
            <w:pPr>
              <w:rPr>
                <w:rFonts w:ascii="Arial"/>
                <w:color w:val="auto"/>
                <w:sz w:val="21"/>
                <w:highlight w:val="none"/>
              </w:rPr>
            </w:pPr>
          </w:p>
        </w:tc>
        <w:tc>
          <w:tcPr>
            <w:tcW w:w="1161" w:type="dxa"/>
            <w:vAlign w:val="top"/>
          </w:tcPr>
          <w:p w14:paraId="4160E3B9">
            <w:pPr>
              <w:rPr>
                <w:rFonts w:ascii="Arial"/>
                <w:color w:val="auto"/>
                <w:sz w:val="21"/>
                <w:highlight w:val="none"/>
              </w:rPr>
            </w:pPr>
          </w:p>
        </w:tc>
        <w:tc>
          <w:tcPr>
            <w:tcW w:w="1161" w:type="dxa"/>
            <w:vAlign w:val="top"/>
          </w:tcPr>
          <w:p w14:paraId="340177FD">
            <w:pPr>
              <w:rPr>
                <w:rFonts w:ascii="Arial"/>
                <w:color w:val="auto"/>
                <w:sz w:val="21"/>
                <w:highlight w:val="none"/>
              </w:rPr>
            </w:pPr>
          </w:p>
        </w:tc>
        <w:tc>
          <w:tcPr>
            <w:tcW w:w="1161" w:type="dxa"/>
            <w:vAlign w:val="top"/>
          </w:tcPr>
          <w:p w14:paraId="4AAEE65F">
            <w:pPr>
              <w:rPr>
                <w:rFonts w:ascii="Arial"/>
                <w:color w:val="auto"/>
                <w:sz w:val="21"/>
                <w:highlight w:val="none"/>
              </w:rPr>
            </w:pPr>
          </w:p>
        </w:tc>
        <w:tc>
          <w:tcPr>
            <w:tcW w:w="1159" w:type="dxa"/>
            <w:vAlign w:val="top"/>
          </w:tcPr>
          <w:p w14:paraId="65C1AF3E">
            <w:pPr>
              <w:rPr>
                <w:rFonts w:ascii="Arial"/>
                <w:color w:val="auto"/>
                <w:sz w:val="21"/>
                <w:highlight w:val="none"/>
              </w:rPr>
            </w:pPr>
          </w:p>
        </w:tc>
        <w:tc>
          <w:tcPr>
            <w:tcW w:w="1163" w:type="dxa"/>
            <w:vAlign w:val="top"/>
          </w:tcPr>
          <w:p w14:paraId="2A199343">
            <w:pPr>
              <w:rPr>
                <w:rFonts w:ascii="Arial"/>
                <w:color w:val="auto"/>
                <w:sz w:val="21"/>
                <w:highlight w:val="none"/>
              </w:rPr>
            </w:pPr>
          </w:p>
        </w:tc>
      </w:tr>
      <w:tr w14:paraId="71D0F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066E230B">
            <w:pPr>
              <w:rPr>
                <w:rFonts w:ascii="Arial"/>
                <w:color w:val="auto"/>
                <w:sz w:val="21"/>
                <w:highlight w:val="none"/>
              </w:rPr>
            </w:pPr>
          </w:p>
        </w:tc>
        <w:tc>
          <w:tcPr>
            <w:tcW w:w="1420" w:type="dxa"/>
            <w:vAlign w:val="top"/>
          </w:tcPr>
          <w:p w14:paraId="48541547">
            <w:pPr>
              <w:rPr>
                <w:rFonts w:ascii="Arial"/>
                <w:color w:val="auto"/>
                <w:sz w:val="21"/>
                <w:highlight w:val="none"/>
              </w:rPr>
            </w:pPr>
          </w:p>
        </w:tc>
        <w:tc>
          <w:tcPr>
            <w:tcW w:w="1159" w:type="dxa"/>
            <w:vAlign w:val="top"/>
          </w:tcPr>
          <w:p w14:paraId="67DD8457">
            <w:pPr>
              <w:rPr>
                <w:rFonts w:ascii="Arial"/>
                <w:color w:val="auto"/>
                <w:sz w:val="21"/>
                <w:highlight w:val="none"/>
              </w:rPr>
            </w:pPr>
          </w:p>
        </w:tc>
        <w:tc>
          <w:tcPr>
            <w:tcW w:w="1161" w:type="dxa"/>
            <w:vAlign w:val="top"/>
          </w:tcPr>
          <w:p w14:paraId="2F8FBE2A">
            <w:pPr>
              <w:rPr>
                <w:rFonts w:ascii="Arial"/>
                <w:color w:val="auto"/>
                <w:sz w:val="21"/>
                <w:highlight w:val="none"/>
              </w:rPr>
            </w:pPr>
          </w:p>
        </w:tc>
        <w:tc>
          <w:tcPr>
            <w:tcW w:w="1161" w:type="dxa"/>
            <w:vAlign w:val="top"/>
          </w:tcPr>
          <w:p w14:paraId="22EA152A">
            <w:pPr>
              <w:rPr>
                <w:rFonts w:ascii="Arial"/>
                <w:color w:val="auto"/>
                <w:sz w:val="21"/>
                <w:highlight w:val="none"/>
              </w:rPr>
            </w:pPr>
          </w:p>
        </w:tc>
        <w:tc>
          <w:tcPr>
            <w:tcW w:w="1161" w:type="dxa"/>
            <w:vAlign w:val="top"/>
          </w:tcPr>
          <w:p w14:paraId="12B639D0">
            <w:pPr>
              <w:rPr>
                <w:rFonts w:ascii="Arial"/>
                <w:color w:val="auto"/>
                <w:sz w:val="21"/>
                <w:highlight w:val="none"/>
              </w:rPr>
            </w:pPr>
          </w:p>
        </w:tc>
        <w:tc>
          <w:tcPr>
            <w:tcW w:w="1159" w:type="dxa"/>
            <w:vAlign w:val="top"/>
          </w:tcPr>
          <w:p w14:paraId="036C448A">
            <w:pPr>
              <w:rPr>
                <w:rFonts w:ascii="Arial"/>
                <w:color w:val="auto"/>
                <w:sz w:val="21"/>
                <w:highlight w:val="none"/>
              </w:rPr>
            </w:pPr>
          </w:p>
        </w:tc>
        <w:tc>
          <w:tcPr>
            <w:tcW w:w="1163" w:type="dxa"/>
            <w:vAlign w:val="top"/>
          </w:tcPr>
          <w:p w14:paraId="0A65A0F0">
            <w:pPr>
              <w:rPr>
                <w:rFonts w:ascii="Arial"/>
                <w:color w:val="auto"/>
                <w:sz w:val="21"/>
                <w:highlight w:val="none"/>
              </w:rPr>
            </w:pPr>
          </w:p>
        </w:tc>
      </w:tr>
      <w:tr w14:paraId="53833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7" w:type="dxa"/>
            <w:vAlign w:val="top"/>
          </w:tcPr>
          <w:p w14:paraId="312ABDFD">
            <w:pPr>
              <w:rPr>
                <w:rFonts w:ascii="Arial"/>
                <w:color w:val="auto"/>
                <w:sz w:val="21"/>
                <w:highlight w:val="none"/>
              </w:rPr>
            </w:pPr>
          </w:p>
        </w:tc>
        <w:tc>
          <w:tcPr>
            <w:tcW w:w="1420" w:type="dxa"/>
            <w:vAlign w:val="top"/>
          </w:tcPr>
          <w:p w14:paraId="1C23CD3D">
            <w:pPr>
              <w:rPr>
                <w:rFonts w:ascii="Arial"/>
                <w:color w:val="auto"/>
                <w:sz w:val="21"/>
                <w:highlight w:val="none"/>
              </w:rPr>
            </w:pPr>
          </w:p>
        </w:tc>
        <w:tc>
          <w:tcPr>
            <w:tcW w:w="1159" w:type="dxa"/>
            <w:vAlign w:val="top"/>
          </w:tcPr>
          <w:p w14:paraId="0A022FF3">
            <w:pPr>
              <w:rPr>
                <w:rFonts w:ascii="Arial"/>
                <w:color w:val="auto"/>
                <w:sz w:val="21"/>
                <w:highlight w:val="none"/>
              </w:rPr>
            </w:pPr>
          </w:p>
        </w:tc>
        <w:tc>
          <w:tcPr>
            <w:tcW w:w="1161" w:type="dxa"/>
            <w:vAlign w:val="top"/>
          </w:tcPr>
          <w:p w14:paraId="25754120">
            <w:pPr>
              <w:rPr>
                <w:rFonts w:ascii="Arial"/>
                <w:color w:val="auto"/>
                <w:sz w:val="21"/>
                <w:highlight w:val="none"/>
              </w:rPr>
            </w:pPr>
          </w:p>
        </w:tc>
        <w:tc>
          <w:tcPr>
            <w:tcW w:w="1161" w:type="dxa"/>
            <w:vAlign w:val="top"/>
          </w:tcPr>
          <w:p w14:paraId="64754F64">
            <w:pPr>
              <w:rPr>
                <w:rFonts w:ascii="Arial"/>
                <w:color w:val="auto"/>
                <w:sz w:val="21"/>
                <w:highlight w:val="none"/>
              </w:rPr>
            </w:pPr>
          </w:p>
        </w:tc>
        <w:tc>
          <w:tcPr>
            <w:tcW w:w="1161" w:type="dxa"/>
            <w:vAlign w:val="top"/>
          </w:tcPr>
          <w:p w14:paraId="2F30DF44">
            <w:pPr>
              <w:rPr>
                <w:rFonts w:ascii="Arial"/>
                <w:color w:val="auto"/>
                <w:sz w:val="21"/>
                <w:highlight w:val="none"/>
              </w:rPr>
            </w:pPr>
          </w:p>
        </w:tc>
        <w:tc>
          <w:tcPr>
            <w:tcW w:w="1159" w:type="dxa"/>
            <w:vAlign w:val="top"/>
          </w:tcPr>
          <w:p w14:paraId="0067CAFB">
            <w:pPr>
              <w:rPr>
                <w:rFonts w:ascii="Arial"/>
                <w:color w:val="auto"/>
                <w:sz w:val="21"/>
                <w:highlight w:val="none"/>
              </w:rPr>
            </w:pPr>
          </w:p>
        </w:tc>
        <w:tc>
          <w:tcPr>
            <w:tcW w:w="1163" w:type="dxa"/>
            <w:vAlign w:val="top"/>
          </w:tcPr>
          <w:p w14:paraId="09A0EA6C">
            <w:pPr>
              <w:rPr>
                <w:rFonts w:ascii="Arial"/>
                <w:color w:val="auto"/>
                <w:sz w:val="21"/>
                <w:highlight w:val="none"/>
              </w:rPr>
            </w:pPr>
          </w:p>
        </w:tc>
      </w:tr>
      <w:tr w14:paraId="54D24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612D5932">
            <w:pPr>
              <w:rPr>
                <w:rFonts w:ascii="Arial"/>
                <w:color w:val="auto"/>
                <w:sz w:val="21"/>
                <w:highlight w:val="none"/>
              </w:rPr>
            </w:pPr>
          </w:p>
        </w:tc>
        <w:tc>
          <w:tcPr>
            <w:tcW w:w="1420" w:type="dxa"/>
            <w:vAlign w:val="top"/>
          </w:tcPr>
          <w:p w14:paraId="6C9AFDC7">
            <w:pPr>
              <w:rPr>
                <w:rFonts w:ascii="Arial"/>
                <w:color w:val="auto"/>
                <w:sz w:val="21"/>
                <w:highlight w:val="none"/>
              </w:rPr>
            </w:pPr>
          </w:p>
        </w:tc>
        <w:tc>
          <w:tcPr>
            <w:tcW w:w="1159" w:type="dxa"/>
            <w:vAlign w:val="top"/>
          </w:tcPr>
          <w:p w14:paraId="5028DD5D">
            <w:pPr>
              <w:rPr>
                <w:rFonts w:ascii="Arial"/>
                <w:color w:val="auto"/>
                <w:sz w:val="21"/>
                <w:highlight w:val="none"/>
              </w:rPr>
            </w:pPr>
          </w:p>
        </w:tc>
        <w:tc>
          <w:tcPr>
            <w:tcW w:w="1161" w:type="dxa"/>
            <w:vAlign w:val="top"/>
          </w:tcPr>
          <w:p w14:paraId="64551945">
            <w:pPr>
              <w:rPr>
                <w:rFonts w:ascii="Arial"/>
                <w:color w:val="auto"/>
                <w:sz w:val="21"/>
                <w:highlight w:val="none"/>
              </w:rPr>
            </w:pPr>
          </w:p>
        </w:tc>
        <w:tc>
          <w:tcPr>
            <w:tcW w:w="1161" w:type="dxa"/>
            <w:vAlign w:val="top"/>
          </w:tcPr>
          <w:p w14:paraId="60B6CC32">
            <w:pPr>
              <w:rPr>
                <w:rFonts w:ascii="Arial"/>
                <w:color w:val="auto"/>
                <w:sz w:val="21"/>
                <w:highlight w:val="none"/>
              </w:rPr>
            </w:pPr>
          </w:p>
        </w:tc>
        <w:tc>
          <w:tcPr>
            <w:tcW w:w="1161" w:type="dxa"/>
            <w:vAlign w:val="top"/>
          </w:tcPr>
          <w:p w14:paraId="374896CD">
            <w:pPr>
              <w:rPr>
                <w:rFonts w:ascii="Arial"/>
                <w:color w:val="auto"/>
                <w:sz w:val="21"/>
                <w:highlight w:val="none"/>
              </w:rPr>
            </w:pPr>
          </w:p>
        </w:tc>
        <w:tc>
          <w:tcPr>
            <w:tcW w:w="1159" w:type="dxa"/>
            <w:vAlign w:val="top"/>
          </w:tcPr>
          <w:p w14:paraId="3C62E69E">
            <w:pPr>
              <w:rPr>
                <w:rFonts w:ascii="Arial"/>
                <w:color w:val="auto"/>
                <w:sz w:val="21"/>
                <w:highlight w:val="none"/>
              </w:rPr>
            </w:pPr>
          </w:p>
        </w:tc>
        <w:tc>
          <w:tcPr>
            <w:tcW w:w="1163" w:type="dxa"/>
            <w:vAlign w:val="top"/>
          </w:tcPr>
          <w:p w14:paraId="5C67B9CB">
            <w:pPr>
              <w:rPr>
                <w:rFonts w:ascii="Arial"/>
                <w:color w:val="auto"/>
                <w:sz w:val="21"/>
                <w:highlight w:val="none"/>
              </w:rPr>
            </w:pPr>
          </w:p>
        </w:tc>
      </w:tr>
      <w:tr w14:paraId="64340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7" w:type="dxa"/>
            <w:vAlign w:val="top"/>
          </w:tcPr>
          <w:p w14:paraId="2DD55CF1">
            <w:pPr>
              <w:rPr>
                <w:rFonts w:ascii="Arial"/>
                <w:color w:val="auto"/>
                <w:sz w:val="21"/>
                <w:highlight w:val="none"/>
              </w:rPr>
            </w:pPr>
          </w:p>
        </w:tc>
        <w:tc>
          <w:tcPr>
            <w:tcW w:w="1420" w:type="dxa"/>
            <w:vAlign w:val="top"/>
          </w:tcPr>
          <w:p w14:paraId="056C10D4">
            <w:pPr>
              <w:rPr>
                <w:rFonts w:ascii="Arial"/>
                <w:color w:val="auto"/>
                <w:sz w:val="21"/>
                <w:highlight w:val="none"/>
              </w:rPr>
            </w:pPr>
          </w:p>
        </w:tc>
        <w:tc>
          <w:tcPr>
            <w:tcW w:w="1159" w:type="dxa"/>
            <w:vAlign w:val="top"/>
          </w:tcPr>
          <w:p w14:paraId="2A01AD21">
            <w:pPr>
              <w:rPr>
                <w:rFonts w:ascii="Arial"/>
                <w:color w:val="auto"/>
                <w:sz w:val="21"/>
                <w:highlight w:val="none"/>
              </w:rPr>
            </w:pPr>
          </w:p>
        </w:tc>
        <w:tc>
          <w:tcPr>
            <w:tcW w:w="1161" w:type="dxa"/>
            <w:vAlign w:val="top"/>
          </w:tcPr>
          <w:p w14:paraId="5194102F">
            <w:pPr>
              <w:rPr>
                <w:rFonts w:ascii="Arial"/>
                <w:color w:val="auto"/>
                <w:sz w:val="21"/>
                <w:highlight w:val="none"/>
              </w:rPr>
            </w:pPr>
          </w:p>
        </w:tc>
        <w:tc>
          <w:tcPr>
            <w:tcW w:w="1161" w:type="dxa"/>
            <w:vAlign w:val="top"/>
          </w:tcPr>
          <w:p w14:paraId="3D1E57B1">
            <w:pPr>
              <w:rPr>
                <w:rFonts w:ascii="Arial"/>
                <w:color w:val="auto"/>
                <w:sz w:val="21"/>
                <w:highlight w:val="none"/>
              </w:rPr>
            </w:pPr>
          </w:p>
        </w:tc>
        <w:tc>
          <w:tcPr>
            <w:tcW w:w="1161" w:type="dxa"/>
            <w:vAlign w:val="top"/>
          </w:tcPr>
          <w:p w14:paraId="1A93D5F8">
            <w:pPr>
              <w:rPr>
                <w:rFonts w:ascii="Arial"/>
                <w:color w:val="auto"/>
                <w:sz w:val="21"/>
                <w:highlight w:val="none"/>
              </w:rPr>
            </w:pPr>
          </w:p>
        </w:tc>
        <w:tc>
          <w:tcPr>
            <w:tcW w:w="1159" w:type="dxa"/>
            <w:vAlign w:val="top"/>
          </w:tcPr>
          <w:p w14:paraId="30127C31">
            <w:pPr>
              <w:rPr>
                <w:rFonts w:ascii="Arial"/>
                <w:color w:val="auto"/>
                <w:sz w:val="21"/>
                <w:highlight w:val="none"/>
              </w:rPr>
            </w:pPr>
          </w:p>
        </w:tc>
        <w:tc>
          <w:tcPr>
            <w:tcW w:w="1163" w:type="dxa"/>
            <w:vAlign w:val="top"/>
          </w:tcPr>
          <w:p w14:paraId="6F90ECB0">
            <w:pPr>
              <w:rPr>
                <w:rFonts w:ascii="Arial"/>
                <w:color w:val="auto"/>
                <w:sz w:val="21"/>
                <w:highlight w:val="none"/>
              </w:rPr>
            </w:pPr>
          </w:p>
        </w:tc>
      </w:tr>
      <w:tr w14:paraId="447B8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27BAA04A">
            <w:pPr>
              <w:rPr>
                <w:rFonts w:ascii="Arial"/>
                <w:color w:val="auto"/>
                <w:sz w:val="21"/>
                <w:highlight w:val="none"/>
              </w:rPr>
            </w:pPr>
          </w:p>
        </w:tc>
        <w:tc>
          <w:tcPr>
            <w:tcW w:w="1420" w:type="dxa"/>
            <w:vAlign w:val="top"/>
          </w:tcPr>
          <w:p w14:paraId="0C9C1BD2">
            <w:pPr>
              <w:rPr>
                <w:rFonts w:ascii="Arial"/>
                <w:color w:val="auto"/>
                <w:sz w:val="21"/>
                <w:highlight w:val="none"/>
              </w:rPr>
            </w:pPr>
          </w:p>
        </w:tc>
        <w:tc>
          <w:tcPr>
            <w:tcW w:w="1159" w:type="dxa"/>
            <w:vAlign w:val="top"/>
          </w:tcPr>
          <w:p w14:paraId="51F548C2">
            <w:pPr>
              <w:rPr>
                <w:rFonts w:ascii="Arial"/>
                <w:color w:val="auto"/>
                <w:sz w:val="21"/>
                <w:highlight w:val="none"/>
              </w:rPr>
            </w:pPr>
          </w:p>
        </w:tc>
        <w:tc>
          <w:tcPr>
            <w:tcW w:w="1161" w:type="dxa"/>
            <w:vAlign w:val="top"/>
          </w:tcPr>
          <w:p w14:paraId="4AA3FA87">
            <w:pPr>
              <w:rPr>
                <w:rFonts w:ascii="Arial"/>
                <w:color w:val="auto"/>
                <w:sz w:val="21"/>
                <w:highlight w:val="none"/>
              </w:rPr>
            </w:pPr>
          </w:p>
        </w:tc>
        <w:tc>
          <w:tcPr>
            <w:tcW w:w="1161" w:type="dxa"/>
            <w:vAlign w:val="top"/>
          </w:tcPr>
          <w:p w14:paraId="79C0BD72">
            <w:pPr>
              <w:rPr>
                <w:rFonts w:ascii="Arial"/>
                <w:color w:val="auto"/>
                <w:sz w:val="21"/>
                <w:highlight w:val="none"/>
              </w:rPr>
            </w:pPr>
          </w:p>
        </w:tc>
        <w:tc>
          <w:tcPr>
            <w:tcW w:w="1161" w:type="dxa"/>
            <w:vAlign w:val="top"/>
          </w:tcPr>
          <w:p w14:paraId="20F3B4E5">
            <w:pPr>
              <w:rPr>
                <w:rFonts w:ascii="Arial"/>
                <w:color w:val="auto"/>
                <w:sz w:val="21"/>
                <w:highlight w:val="none"/>
              </w:rPr>
            </w:pPr>
          </w:p>
        </w:tc>
        <w:tc>
          <w:tcPr>
            <w:tcW w:w="1159" w:type="dxa"/>
            <w:vAlign w:val="top"/>
          </w:tcPr>
          <w:p w14:paraId="0DD4CDCF">
            <w:pPr>
              <w:rPr>
                <w:rFonts w:ascii="Arial"/>
                <w:color w:val="auto"/>
                <w:sz w:val="21"/>
                <w:highlight w:val="none"/>
              </w:rPr>
            </w:pPr>
          </w:p>
        </w:tc>
        <w:tc>
          <w:tcPr>
            <w:tcW w:w="1163" w:type="dxa"/>
            <w:vAlign w:val="top"/>
          </w:tcPr>
          <w:p w14:paraId="3332F22C">
            <w:pPr>
              <w:rPr>
                <w:rFonts w:ascii="Arial"/>
                <w:color w:val="auto"/>
                <w:sz w:val="21"/>
                <w:highlight w:val="none"/>
              </w:rPr>
            </w:pPr>
          </w:p>
        </w:tc>
      </w:tr>
      <w:tr w14:paraId="118C1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14:paraId="0CEBA537">
            <w:pPr>
              <w:rPr>
                <w:rFonts w:ascii="Arial"/>
                <w:color w:val="auto"/>
                <w:sz w:val="21"/>
                <w:highlight w:val="none"/>
              </w:rPr>
            </w:pPr>
          </w:p>
        </w:tc>
        <w:tc>
          <w:tcPr>
            <w:tcW w:w="1420" w:type="dxa"/>
            <w:vAlign w:val="top"/>
          </w:tcPr>
          <w:p w14:paraId="41C98840">
            <w:pPr>
              <w:rPr>
                <w:rFonts w:ascii="Arial"/>
                <w:color w:val="auto"/>
                <w:sz w:val="21"/>
                <w:highlight w:val="none"/>
              </w:rPr>
            </w:pPr>
          </w:p>
        </w:tc>
        <w:tc>
          <w:tcPr>
            <w:tcW w:w="1159" w:type="dxa"/>
            <w:vAlign w:val="top"/>
          </w:tcPr>
          <w:p w14:paraId="07438027">
            <w:pPr>
              <w:rPr>
                <w:rFonts w:ascii="Arial"/>
                <w:color w:val="auto"/>
                <w:sz w:val="21"/>
                <w:highlight w:val="none"/>
              </w:rPr>
            </w:pPr>
          </w:p>
        </w:tc>
        <w:tc>
          <w:tcPr>
            <w:tcW w:w="1161" w:type="dxa"/>
            <w:vAlign w:val="top"/>
          </w:tcPr>
          <w:p w14:paraId="63F0C112">
            <w:pPr>
              <w:rPr>
                <w:rFonts w:ascii="Arial"/>
                <w:color w:val="auto"/>
                <w:sz w:val="21"/>
                <w:highlight w:val="none"/>
              </w:rPr>
            </w:pPr>
          </w:p>
        </w:tc>
        <w:tc>
          <w:tcPr>
            <w:tcW w:w="1161" w:type="dxa"/>
            <w:vAlign w:val="top"/>
          </w:tcPr>
          <w:p w14:paraId="2E48416F">
            <w:pPr>
              <w:rPr>
                <w:rFonts w:ascii="Arial"/>
                <w:color w:val="auto"/>
                <w:sz w:val="21"/>
                <w:highlight w:val="none"/>
              </w:rPr>
            </w:pPr>
          </w:p>
        </w:tc>
        <w:tc>
          <w:tcPr>
            <w:tcW w:w="1161" w:type="dxa"/>
            <w:vAlign w:val="top"/>
          </w:tcPr>
          <w:p w14:paraId="1B80B7A8">
            <w:pPr>
              <w:rPr>
                <w:rFonts w:ascii="Arial"/>
                <w:color w:val="auto"/>
                <w:sz w:val="21"/>
                <w:highlight w:val="none"/>
              </w:rPr>
            </w:pPr>
          </w:p>
        </w:tc>
        <w:tc>
          <w:tcPr>
            <w:tcW w:w="1159" w:type="dxa"/>
            <w:vAlign w:val="top"/>
          </w:tcPr>
          <w:p w14:paraId="71FEBF69">
            <w:pPr>
              <w:rPr>
                <w:rFonts w:ascii="Arial"/>
                <w:color w:val="auto"/>
                <w:sz w:val="21"/>
                <w:highlight w:val="none"/>
              </w:rPr>
            </w:pPr>
          </w:p>
        </w:tc>
        <w:tc>
          <w:tcPr>
            <w:tcW w:w="1163" w:type="dxa"/>
            <w:vAlign w:val="top"/>
          </w:tcPr>
          <w:p w14:paraId="66BDD39F">
            <w:pPr>
              <w:rPr>
                <w:rFonts w:ascii="Arial"/>
                <w:color w:val="auto"/>
                <w:sz w:val="21"/>
                <w:highlight w:val="none"/>
              </w:rPr>
            </w:pPr>
          </w:p>
        </w:tc>
      </w:tr>
      <w:tr w14:paraId="405C5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1E95A8CD">
            <w:pPr>
              <w:rPr>
                <w:rFonts w:ascii="Arial"/>
                <w:color w:val="auto"/>
                <w:sz w:val="21"/>
                <w:highlight w:val="none"/>
              </w:rPr>
            </w:pPr>
          </w:p>
        </w:tc>
        <w:tc>
          <w:tcPr>
            <w:tcW w:w="1420" w:type="dxa"/>
            <w:vAlign w:val="top"/>
          </w:tcPr>
          <w:p w14:paraId="6775943C">
            <w:pPr>
              <w:rPr>
                <w:rFonts w:ascii="Arial"/>
                <w:color w:val="auto"/>
                <w:sz w:val="21"/>
                <w:highlight w:val="none"/>
              </w:rPr>
            </w:pPr>
          </w:p>
        </w:tc>
        <w:tc>
          <w:tcPr>
            <w:tcW w:w="1159" w:type="dxa"/>
            <w:vAlign w:val="top"/>
          </w:tcPr>
          <w:p w14:paraId="2AF49D9E">
            <w:pPr>
              <w:rPr>
                <w:rFonts w:ascii="Arial"/>
                <w:color w:val="auto"/>
                <w:sz w:val="21"/>
                <w:highlight w:val="none"/>
              </w:rPr>
            </w:pPr>
          </w:p>
        </w:tc>
        <w:tc>
          <w:tcPr>
            <w:tcW w:w="1161" w:type="dxa"/>
            <w:vAlign w:val="top"/>
          </w:tcPr>
          <w:p w14:paraId="1C63E385">
            <w:pPr>
              <w:rPr>
                <w:rFonts w:ascii="Arial"/>
                <w:color w:val="auto"/>
                <w:sz w:val="21"/>
                <w:highlight w:val="none"/>
              </w:rPr>
            </w:pPr>
          </w:p>
        </w:tc>
        <w:tc>
          <w:tcPr>
            <w:tcW w:w="1161" w:type="dxa"/>
            <w:vAlign w:val="top"/>
          </w:tcPr>
          <w:p w14:paraId="3BB34E9F">
            <w:pPr>
              <w:rPr>
                <w:rFonts w:ascii="Arial"/>
                <w:color w:val="auto"/>
                <w:sz w:val="21"/>
                <w:highlight w:val="none"/>
              </w:rPr>
            </w:pPr>
          </w:p>
        </w:tc>
        <w:tc>
          <w:tcPr>
            <w:tcW w:w="1161" w:type="dxa"/>
            <w:vAlign w:val="top"/>
          </w:tcPr>
          <w:p w14:paraId="05EFEEEE">
            <w:pPr>
              <w:rPr>
                <w:rFonts w:ascii="Arial"/>
                <w:color w:val="auto"/>
                <w:sz w:val="21"/>
                <w:highlight w:val="none"/>
              </w:rPr>
            </w:pPr>
          </w:p>
        </w:tc>
        <w:tc>
          <w:tcPr>
            <w:tcW w:w="1159" w:type="dxa"/>
            <w:vAlign w:val="top"/>
          </w:tcPr>
          <w:p w14:paraId="2FCC28C6">
            <w:pPr>
              <w:rPr>
                <w:rFonts w:ascii="Arial"/>
                <w:color w:val="auto"/>
                <w:sz w:val="21"/>
                <w:highlight w:val="none"/>
              </w:rPr>
            </w:pPr>
          </w:p>
        </w:tc>
        <w:tc>
          <w:tcPr>
            <w:tcW w:w="1163" w:type="dxa"/>
            <w:vAlign w:val="top"/>
          </w:tcPr>
          <w:p w14:paraId="37428C73">
            <w:pPr>
              <w:rPr>
                <w:rFonts w:ascii="Arial"/>
                <w:color w:val="auto"/>
                <w:sz w:val="21"/>
                <w:highlight w:val="none"/>
              </w:rPr>
            </w:pPr>
          </w:p>
        </w:tc>
      </w:tr>
      <w:tr w14:paraId="65E08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14:paraId="7B4258F0">
            <w:pPr>
              <w:rPr>
                <w:rFonts w:ascii="Arial"/>
                <w:color w:val="auto"/>
                <w:sz w:val="21"/>
                <w:highlight w:val="none"/>
              </w:rPr>
            </w:pPr>
          </w:p>
        </w:tc>
        <w:tc>
          <w:tcPr>
            <w:tcW w:w="1420" w:type="dxa"/>
            <w:vAlign w:val="top"/>
          </w:tcPr>
          <w:p w14:paraId="4B1CD6AA">
            <w:pPr>
              <w:rPr>
                <w:rFonts w:ascii="Arial"/>
                <w:color w:val="auto"/>
                <w:sz w:val="21"/>
                <w:highlight w:val="none"/>
              </w:rPr>
            </w:pPr>
          </w:p>
        </w:tc>
        <w:tc>
          <w:tcPr>
            <w:tcW w:w="1159" w:type="dxa"/>
            <w:vAlign w:val="top"/>
          </w:tcPr>
          <w:p w14:paraId="34BC461E">
            <w:pPr>
              <w:rPr>
                <w:rFonts w:ascii="Arial"/>
                <w:color w:val="auto"/>
                <w:sz w:val="21"/>
                <w:highlight w:val="none"/>
              </w:rPr>
            </w:pPr>
          </w:p>
        </w:tc>
        <w:tc>
          <w:tcPr>
            <w:tcW w:w="1161" w:type="dxa"/>
            <w:vAlign w:val="top"/>
          </w:tcPr>
          <w:p w14:paraId="2E45E6FE">
            <w:pPr>
              <w:rPr>
                <w:rFonts w:ascii="Arial"/>
                <w:color w:val="auto"/>
                <w:sz w:val="21"/>
                <w:highlight w:val="none"/>
              </w:rPr>
            </w:pPr>
          </w:p>
        </w:tc>
        <w:tc>
          <w:tcPr>
            <w:tcW w:w="1161" w:type="dxa"/>
            <w:vAlign w:val="top"/>
          </w:tcPr>
          <w:p w14:paraId="6B737FD5">
            <w:pPr>
              <w:rPr>
                <w:rFonts w:ascii="Arial"/>
                <w:color w:val="auto"/>
                <w:sz w:val="21"/>
                <w:highlight w:val="none"/>
              </w:rPr>
            </w:pPr>
          </w:p>
        </w:tc>
        <w:tc>
          <w:tcPr>
            <w:tcW w:w="1161" w:type="dxa"/>
            <w:vAlign w:val="top"/>
          </w:tcPr>
          <w:p w14:paraId="72DD6FB0">
            <w:pPr>
              <w:rPr>
                <w:rFonts w:ascii="Arial"/>
                <w:color w:val="auto"/>
                <w:sz w:val="21"/>
                <w:highlight w:val="none"/>
              </w:rPr>
            </w:pPr>
          </w:p>
        </w:tc>
        <w:tc>
          <w:tcPr>
            <w:tcW w:w="1159" w:type="dxa"/>
            <w:vAlign w:val="top"/>
          </w:tcPr>
          <w:p w14:paraId="1054D11A">
            <w:pPr>
              <w:rPr>
                <w:rFonts w:ascii="Arial"/>
                <w:color w:val="auto"/>
                <w:sz w:val="21"/>
                <w:highlight w:val="none"/>
              </w:rPr>
            </w:pPr>
          </w:p>
        </w:tc>
        <w:tc>
          <w:tcPr>
            <w:tcW w:w="1163" w:type="dxa"/>
            <w:vAlign w:val="top"/>
          </w:tcPr>
          <w:p w14:paraId="0EF0123E">
            <w:pPr>
              <w:rPr>
                <w:rFonts w:ascii="Arial"/>
                <w:color w:val="auto"/>
                <w:sz w:val="21"/>
                <w:highlight w:val="none"/>
              </w:rPr>
            </w:pPr>
          </w:p>
        </w:tc>
      </w:tr>
      <w:tr w14:paraId="3B058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0C40A5FB">
            <w:pPr>
              <w:rPr>
                <w:rFonts w:ascii="Arial"/>
                <w:color w:val="auto"/>
                <w:sz w:val="21"/>
                <w:highlight w:val="none"/>
              </w:rPr>
            </w:pPr>
          </w:p>
        </w:tc>
        <w:tc>
          <w:tcPr>
            <w:tcW w:w="1420" w:type="dxa"/>
            <w:vAlign w:val="top"/>
          </w:tcPr>
          <w:p w14:paraId="2A406DD3">
            <w:pPr>
              <w:rPr>
                <w:rFonts w:ascii="Arial"/>
                <w:color w:val="auto"/>
                <w:sz w:val="21"/>
                <w:highlight w:val="none"/>
              </w:rPr>
            </w:pPr>
          </w:p>
        </w:tc>
        <w:tc>
          <w:tcPr>
            <w:tcW w:w="1159" w:type="dxa"/>
            <w:vAlign w:val="top"/>
          </w:tcPr>
          <w:p w14:paraId="024AFFFC">
            <w:pPr>
              <w:rPr>
                <w:rFonts w:ascii="Arial"/>
                <w:color w:val="auto"/>
                <w:sz w:val="21"/>
                <w:highlight w:val="none"/>
              </w:rPr>
            </w:pPr>
          </w:p>
        </w:tc>
        <w:tc>
          <w:tcPr>
            <w:tcW w:w="1161" w:type="dxa"/>
            <w:vAlign w:val="top"/>
          </w:tcPr>
          <w:p w14:paraId="711FB063">
            <w:pPr>
              <w:rPr>
                <w:rFonts w:ascii="Arial"/>
                <w:color w:val="auto"/>
                <w:sz w:val="21"/>
                <w:highlight w:val="none"/>
              </w:rPr>
            </w:pPr>
          </w:p>
        </w:tc>
        <w:tc>
          <w:tcPr>
            <w:tcW w:w="1161" w:type="dxa"/>
            <w:vAlign w:val="top"/>
          </w:tcPr>
          <w:p w14:paraId="7FCE7A2C">
            <w:pPr>
              <w:rPr>
                <w:rFonts w:ascii="Arial"/>
                <w:color w:val="auto"/>
                <w:sz w:val="21"/>
                <w:highlight w:val="none"/>
              </w:rPr>
            </w:pPr>
          </w:p>
        </w:tc>
        <w:tc>
          <w:tcPr>
            <w:tcW w:w="1161" w:type="dxa"/>
            <w:vAlign w:val="top"/>
          </w:tcPr>
          <w:p w14:paraId="0CA6760F">
            <w:pPr>
              <w:rPr>
                <w:rFonts w:ascii="Arial"/>
                <w:color w:val="auto"/>
                <w:sz w:val="21"/>
                <w:highlight w:val="none"/>
              </w:rPr>
            </w:pPr>
          </w:p>
        </w:tc>
        <w:tc>
          <w:tcPr>
            <w:tcW w:w="1159" w:type="dxa"/>
            <w:vAlign w:val="top"/>
          </w:tcPr>
          <w:p w14:paraId="126DF721">
            <w:pPr>
              <w:rPr>
                <w:rFonts w:ascii="Arial"/>
                <w:color w:val="auto"/>
                <w:sz w:val="21"/>
                <w:highlight w:val="none"/>
              </w:rPr>
            </w:pPr>
          </w:p>
        </w:tc>
        <w:tc>
          <w:tcPr>
            <w:tcW w:w="1163" w:type="dxa"/>
            <w:vAlign w:val="top"/>
          </w:tcPr>
          <w:p w14:paraId="11FE9DA7">
            <w:pPr>
              <w:rPr>
                <w:rFonts w:ascii="Arial"/>
                <w:color w:val="auto"/>
                <w:sz w:val="21"/>
                <w:highlight w:val="none"/>
              </w:rPr>
            </w:pPr>
          </w:p>
        </w:tc>
      </w:tr>
      <w:tr w14:paraId="35C8C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14:paraId="69CAEA55">
            <w:pPr>
              <w:rPr>
                <w:rFonts w:ascii="Arial"/>
                <w:color w:val="auto"/>
                <w:sz w:val="21"/>
                <w:highlight w:val="none"/>
              </w:rPr>
            </w:pPr>
          </w:p>
        </w:tc>
        <w:tc>
          <w:tcPr>
            <w:tcW w:w="1420" w:type="dxa"/>
            <w:vAlign w:val="top"/>
          </w:tcPr>
          <w:p w14:paraId="43AD95AF">
            <w:pPr>
              <w:rPr>
                <w:rFonts w:ascii="Arial"/>
                <w:color w:val="auto"/>
                <w:sz w:val="21"/>
                <w:highlight w:val="none"/>
              </w:rPr>
            </w:pPr>
          </w:p>
        </w:tc>
        <w:tc>
          <w:tcPr>
            <w:tcW w:w="1159" w:type="dxa"/>
            <w:vAlign w:val="top"/>
          </w:tcPr>
          <w:p w14:paraId="728840B1">
            <w:pPr>
              <w:rPr>
                <w:rFonts w:ascii="Arial"/>
                <w:color w:val="auto"/>
                <w:sz w:val="21"/>
                <w:highlight w:val="none"/>
              </w:rPr>
            </w:pPr>
          </w:p>
        </w:tc>
        <w:tc>
          <w:tcPr>
            <w:tcW w:w="1161" w:type="dxa"/>
            <w:vAlign w:val="top"/>
          </w:tcPr>
          <w:p w14:paraId="67D039E2">
            <w:pPr>
              <w:rPr>
                <w:rFonts w:ascii="Arial"/>
                <w:color w:val="auto"/>
                <w:sz w:val="21"/>
                <w:highlight w:val="none"/>
              </w:rPr>
            </w:pPr>
          </w:p>
        </w:tc>
        <w:tc>
          <w:tcPr>
            <w:tcW w:w="1161" w:type="dxa"/>
            <w:vAlign w:val="top"/>
          </w:tcPr>
          <w:p w14:paraId="401A8A34">
            <w:pPr>
              <w:rPr>
                <w:rFonts w:ascii="Arial"/>
                <w:color w:val="auto"/>
                <w:sz w:val="21"/>
                <w:highlight w:val="none"/>
              </w:rPr>
            </w:pPr>
          </w:p>
        </w:tc>
        <w:tc>
          <w:tcPr>
            <w:tcW w:w="1161" w:type="dxa"/>
            <w:vAlign w:val="top"/>
          </w:tcPr>
          <w:p w14:paraId="167A72FD">
            <w:pPr>
              <w:rPr>
                <w:rFonts w:ascii="Arial"/>
                <w:color w:val="auto"/>
                <w:sz w:val="21"/>
                <w:highlight w:val="none"/>
              </w:rPr>
            </w:pPr>
          </w:p>
        </w:tc>
        <w:tc>
          <w:tcPr>
            <w:tcW w:w="1159" w:type="dxa"/>
            <w:vAlign w:val="top"/>
          </w:tcPr>
          <w:p w14:paraId="68CAD747">
            <w:pPr>
              <w:rPr>
                <w:rFonts w:ascii="Arial"/>
                <w:color w:val="auto"/>
                <w:sz w:val="21"/>
                <w:highlight w:val="none"/>
              </w:rPr>
            </w:pPr>
          </w:p>
        </w:tc>
        <w:tc>
          <w:tcPr>
            <w:tcW w:w="1163" w:type="dxa"/>
            <w:vAlign w:val="top"/>
          </w:tcPr>
          <w:p w14:paraId="0DB6E710">
            <w:pPr>
              <w:rPr>
                <w:rFonts w:ascii="Arial"/>
                <w:color w:val="auto"/>
                <w:sz w:val="21"/>
                <w:highlight w:val="none"/>
              </w:rPr>
            </w:pPr>
          </w:p>
        </w:tc>
      </w:tr>
      <w:tr w14:paraId="54E89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791847C7">
            <w:pPr>
              <w:rPr>
                <w:rFonts w:ascii="Arial"/>
                <w:color w:val="auto"/>
                <w:sz w:val="21"/>
                <w:highlight w:val="none"/>
              </w:rPr>
            </w:pPr>
          </w:p>
        </w:tc>
        <w:tc>
          <w:tcPr>
            <w:tcW w:w="1420" w:type="dxa"/>
            <w:vAlign w:val="top"/>
          </w:tcPr>
          <w:p w14:paraId="63CBEB26">
            <w:pPr>
              <w:rPr>
                <w:rFonts w:ascii="Arial"/>
                <w:color w:val="auto"/>
                <w:sz w:val="21"/>
                <w:highlight w:val="none"/>
              </w:rPr>
            </w:pPr>
          </w:p>
        </w:tc>
        <w:tc>
          <w:tcPr>
            <w:tcW w:w="1159" w:type="dxa"/>
            <w:vAlign w:val="top"/>
          </w:tcPr>
          <w:p w14:paraId="77DDE2D3">
            <w:pPr>
              <w:rPr>
                <w:rFonts w:ascii="Arial"/>
                <w:color w:val="auto"/>
                <w:sz w:val="21"/>
                <w:highlight w:val="none"/>
              </w:rPr>
            </w:pPr>
          </w:p>
        </w:tc>
        <w:tc>
          <w:tcPr>
            <w:tcW w:w="1161" w:type="dxa"/>
            <w:vAlign w:val="top"/>
          </w:tcPr>
          <w:p w14:paraId="09718839">
            <w:pPr>
              <w:rPr>
                <w:rFonts w:ascii="Arial"/>
                <w:color w:val="auto"/>
                <w:sz w:val="21"/>
                <w:highlight w:val="none"/>
              </w:rPr>
            </w:pPr>
          </w:p>
        </w:tc>
        <w:tc>
          <w:tcPr>
            <w:tcW w:w="1161" w:type="dxa"/>
            <w:vAlign w:val="top"/>
          </w:tcPr>
          <w:p w14:paraId="1B98FE86">
            <w:pPr>
              <w:rPr>
                <w:rFonts w:ascii="Arial"/>
                <w:color w:val="auto"/>
                <w:sz w:val="21"/>
                <w:highlight w:val="none"/>
              </w:rPr>
            </w:pPr>
          </w:p>
        </w:tc>
        <w:tc>
          <w:tcPr>
            <w:tcW w:w="1161" w:type="dxa"/>
            <w:vAlign w:val="top"/>
          </w:tcPr>
          <w:p w14:paraId="26FE198A">
            <w:pPr>
              <w:rPr>
                <w:rFonts w:ascii="Arial"/>
                <w:color w:val="auto"/>
                <w:sz w:val="21"/>
                <w:highlight w:val="none"/>
              </w:rPr>
            </w:pPr>
          </w:p>
        </w:tc>
        <w:tc>
          <w:tcPr>
            <w:tcW w:w="1159" w:type="dxa"/>
            <w:vAlign w:val="top"/>
          </w:tcPr>
          <w:p w14:paraId="6BCDA039">
            <w:pPr>
              <w:rPr>
                <w:rFonts w:ascii="Arial"/>
                <w:color w:val="auto"/>
                <w:sz w:val="21"/>
                <w:highlight w:val="none"/>
              </w:rPr>
            </w:pPr>
          </w:p>
        </w:tc>
        <w:tc>
          <w:tcPr>
            <w:tcW w:w="1163" w:type="dxa"/>
            <w:vAlign w:val="top"/>
          </w:tcPr>
          <w:p w14:paraId="043720C0">
            <w:pPr>
              <w:rPr>
                <w:rFonts w:ascii="Arial"/>
                <w:color w:val="auto"/>
                <w:sz w:val="21"/>
                <w:highlight w:val="none"/>
              </w:rPr>
            </w:pPr>
          </w:p>
        </w:tc>
      </w:tr>
      <w:tr w14:paraId="0D609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14:paraId="0AC82EC0">
            <w:pPr>
              <w:rPr>
                <w:rFonts w:ascii="Arial"/>
                <w:color w:val="auto"/>
                <w:sz w:val="21"/>
                <w:highlight w:val="none"/>
              </w:rPr>
            </w:pPr>
          </w:p>
        </w:tc>
        <w:tc>
          <w:tcPr>
            <w:tcW w:w="1420" w:type="dxa"/>
            <w:vAlign w:val="top"/>
          </w:tcPr>
          <w:p w14:paraId="742F4786">
            <w:pPr>
              <w:rPr>
                <w:rFonts w:ascii="Arial"/>
                <w:color w:val="auto"/>
                <w:sz w:val="21"/>
                <w:highlight w:val="none"/>
              </w:rPr>
            </w:pPr>
          </w:p>
        </w:tc>
        <w:tc>
          <w:tcPr>
            <w:tcW w:w="1159" w:type="dxa"/>
            <w:vAlign w:val="top"/>
          </w:tcPr>
          <w:p w14:paraId="1C5DF7CC">
            <w:pPr>
              <w:rPr>
                <w:rFonts w:ascii="Arial"/>
                <w:color w:val="auto"/>
                <w:sz w:val="21"/>
                <w:highlight w:val="none"/>
              </w:rPr>
            </w:pPr>
          </w:p>
        </w:tc>
        <w:tc>
          <w:tcPr>
            <w:tcW w:w="1161" w:type="dxa"/>
            <w:vAlign w:val="top"/>
          </w:tcPr>
          <w:p w14:paraId="243AEEF6">
            <w:pPr>
              <w:rPr>
                <w:rFonts w:ascii="Arial"/>
                <w:color w:val="auto"/>
                <w:sz w:val="21"/>
                <w:highlight w:val="none"/>
              </w:rPr>
            </w:pPr>
          </w:p>
        </w:tc>
        <w:tc>
          <w:tcPr>
            <w:tcW w:w="1161" w:type="dxa"/>
            <w:vAlign w:val="top"/>
          </w:tcPr>
          <w:p w14:paraId="3F4F7DCB">
            <w:pPr>
              <w:rPr>
                <w:rFonts w:ascii="Arial"/>
                <w:color w:val="auto"/>
                <w:sz w:val="21"/>
                <w:highlight w:val="none"/>
              </w:rPr>
            </w:pPr>
          </w:p>
        </w:tc>
        <w:tc>
          <w:tcPr>
            <w:tcW w:w="1161" w:type="dxa"/>
            <w:vAlign w:val="top"/>
          </w:tcPr>
          <w:p w14:paraId="73DEC342">
            <w:pPr>
              <w:rPr>
                <w:rFonts w:ascii="Arial"/>
                <w:color w:val="auto"/>
                <w:sz w:val="21"/>
                <w:highlight w:val="none"/>
              </w:rPr>
            </w:pPr>
          </w:p>
        </w:tc>
        <w:tc>
          <w:tcPr>
            <w:tcW w:w="1159" w:type="dxa"/>
            <w:vAlign w:val="top"/>
          </w:tcPr>
          <w:p w14:paraId="2946D10A">
            <w:pPr>
              <w:rPr>
                <w:rFonts w:ascii="Arial"/>
                <w:color w:val="auto"/>
                <w:sz w:val="21"/>
                <w:highlight w:val="none"/>
              </w:rPr>
            </w:pPr>
          </w:p>
        </w:tc>
        <w:tc>
          <w:tcPr>
            <w:tcW w:w="1163" w:type="dxa"/>
            <w:vAlign w:val="top"/>
          </w:tcPr>
          <w:p w14:paraId="3D075389">
            <w:pPr>
              <w:rPr>
                <w:rFonts w:ascii="Arial"/>
                <w:color w:val="auto"/>
                <w:sz w:val="21"/>
                <w:highlight w:val="none"/>
              </w:rPr>
            </w:pPr>
          </w:p>
        </w:tc>
      </w:tr>
      <w:tr w14:paraId="38E8C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7A8A5D00">
            <w:pPr>
              <w:rPr>
                <w:rFonts w:ascii="Arial"/>
                <w:color w:val="auto"/>
                <w:sz w:val="21"/>
                <w:highlight w:val="none"/>
              </w:rPr>
            </w:pPr>
          </w:p>
        </w:tc>
        <w:tc>
          <w:tcPr>
            <w:tcW w:w="1420" w:type="dxa"/>
            <w:vAlign w:val="top"/>
          </w:tcPr>
          <w:p w14:paraId="0EDAB861">
            <w:pPr>
              <w:rPr>
                <w:rFonts w:ascii="Arial"/>
                <w:color w:val="auto"/>
                <w:sz w:val="21"/>
                <w:highlight w:val="none"/>
              </w:rPr>
            </w:pPr>
          </w:p>
        </w:tc>
        <w:tc>
          <w:tcPr>
            <w:tcW w:w="1159" w:type="dxa"/>
            <w:vAlign w:val="top"/>
          </w:tcPr>
          <w:p w14:paraId="1B801C16">
            <w:pPr>
              <w:rPr>
                <w:rFonts w:ascii="Arial"/>
                <w:color w:val="auto"/>
                <w:sz w:val="21"/>
                <w:highlight w:val="none"/>
              </w:rPr>
            </w:pPr>
          </w:p>
        </w:tc>
        <w:tc>
          <w:tcPr>
            <w:tcW w:w="1161" w:type="dxa"/>
            <w:vAlign w:val="top"/>
          </w:tcPr>
          <w:p w14:paraId="665373AD">
            <w:pPr>
              <w:rPr>
                <w:rFonts w:ascii="Arial"/>
                <w:color w:val="auto"/>
                <w:sz w:val="21"/>
                <w:highlight w:val="none"/>
              </w:rPr>
            </w:pPr>
          </w:p>
        </w:tc>
        <w:tc>
          <w:tcPr>
            <w:tcW w:w="1161" w:type="dxa"/>
            <w:vAlign w:val="top"/>
          </w:tcPr>
          <w:p w14:paraId="2A798ADC">
            <w:pPr>
              <w:rPr>
                <w:rFonts w:ascii="Arial"/>
                <w:color w:val="auto"/>
                <w:sz w:val="21"/>
                <w:highlight w:val="none"/>
              </w:rPr>
            </w:pPr>
          </w:p>
        </w:tc>
        <w:tc>
          <w:tcPr>
            <w:tcW w:w="1161" w:type="dxa"/>
            <w:vAlign w:val="top"/>
          </w:tcPr>
          <w:p w14:paraId="0480A72B">
            <w:pPr>
              <w:rPr>
                <w:rFonts w:ascii="Arial"/>
                <w:color w:val="auto"/>
                <w:sz w:val="21"/>
                <w:highlight w:val="none"/>
              </w:rPr>
            </w:pPr>
          </w:p>
        </w:tc>
        <w:tc>
          <w:tcPr>
            <w:tcW w:w="1159" w:type="dxa"/>
            <w:vAlign w:val="top"/>
          </w:tcPr>
          <w:p w14:paraId="20C9B93E">
            <w:pPr>
              <w:rPr>
                <w:rFonts w:ascii="Arial"/>
                <w:color w:val="auto"/>
                <w:sz w:val="21"/>
                <w:highlight w:val="none"/>
              </w:rPr>
            </w:pPr>
          </w:p>
        </w:tc>
        <w:tc>
          <w:tcPr>
            <w:tcW w:w="1163" w:type="dxa"/>
            <w:vAlign w:val="top"/>
          </w:tcPr>
          <w:p w14:paraId="50364C4B">
            <w:pPr>
              <w:rPr>
                <w:rFonts w:ascii="Arial"/>
                <w:color w:val="auto"/>
                <w:sz w:val="21"/>
                <w:highlight w:val="none"/>
              </w:rPr>
            </w:pPr>
          </w:p>
        </w:tc>
      </w:tr>
      <w:tr w14:paraId="3354D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14:paraId="575A6696">
            <w:pPr>
              <w:rPr>
                <w:rFonts w:ascii="Arial"/>
                <w:color w:val="auto"/>
                <w:sz w:val="21"/>
                <w:highlight w:val="none"/>
              </w:rPr>
            </w:pPr>
          </w:p>
        </w:tc>
        <w:tc>
          <w:tcPr>
            <w:tcW w:w="1420" w:type="dxa"/>
            <w:vAlign w:val="top"/>
          </w:tcPr>
          <w:p w14:paraId="1F727EBC">
            <w:pPr>
              <w:rPr>
                <w:rFonts w:ascii="Arial"/>
                <w:color w:val="auto"/>
                <w:sz w:val="21"/>
                <w:highlight w:val="none"/>
              </w:rPr>
            </w:pPr>
          </w:p>
        </w:tc>
        <w:tc>
          <w:tcPr>
            <w:tcW w:w="1159" w:type="dxa"/>
            <w:vAlign w:val="top"/>
          </w:tcPr>
          <w:p w14:paraId="673C5BF5">
            <w:pPr>
              <w:rPr>
                <w:rFonts w:ascii="Arial"/>
                <w:color w:val="auto"/>
                <w:sz w:val="21"/>
                <w:highlight w:val="none"/>
              </w:rPr>
            </w:pPr>
          </w:p>
        </w:tc>
        <w:tc>
          <w:tcPr>
            <w:tcW w:w="1161" w:type="dxa"/>
            <w:vAlign w:val="top"/>
          </w:tcPr>
          <w:p w14:paraId="0C256F5D">
            <w:pPr>
              <w:rPr>
                <w:rFonts w:ascii="Arial"/>
                <w:color w:val="auto"/>
                <w:sz w:val="21"/>
                <w:highlight w:val="none"/>
              </w:rPr>
            </w:pPr>
          </w:p>
        </w:tc>
        <w:tc>
          <w:tcPr>
            <w:tcW w:w="1161" w:type="dxa"/>
            <w:vAlign w:val="top"/>
          </w:tcPr>
          <w:p w14:paraId="371A5CC7">
            <w:pPr>
              <w:rPr>
                <w:rFonts w:ascii="Arial"/>
                <w:color w:val="auto"/>
                <w:sz w:val="21"/>
                <w:highlight w:val="none"/>
              </w:rPr>
            </w:pPr>
          </w:p>
        </w:tc>
        <w:tc>
          <w:tcPr>
            <w:tcW w:w="1161" w:type="dxa"/>
            <w:vAlign w:val="top"/>
          </w:tcPr>
          <w:p w14:paraId="3DE9CA3B">
            <w:pPr>
              <w:rPr>
                <w:rFonts w:ascii="Arial"/>
                <w:color w:val="auto"/>
                <w:sz w:val="21"/>
                <w:highlight w:val="none"/>
              </w:rPr>
            </w:pPr>
          </w:p>
        </w:tc>
        <w:tc>
          <w:tcPr>
            <w:tcW w:w="1159" w:type="dxa"/>
            <w:vAlign w:val="top"/>
          </w:tcPr>
          <w:p w14:paraId="4E87B548">
            <w:pPr>
              <w:rPr>
                <w:rFonts w:ascii="Arial"/>
                <w:color w:val="auto"/>
                <w:sz w:val="21"/>
                <w:highlight w:val="none"/>
              </w:rPr>
            </w:pPr>
          </w:p>
        </w:tc>
        <w:tc>
          <w:tcPr>
            <w:tcW w:w="1163" w:type="dxa"/>
            <w:vAlign w:val="top"/>
          </w:tcPr>
          <w:p w14:paraId="5C4864F2">
            <w:pPr>
              <w:rPr>
                <w:rFonts w:ascii="Arial"/>
                <w:color w:val="auto"/>
                <w:sz w:val="21"/>
                <w:highlight w:val="none"/>
              </w:rPr>
            </w:pPr>
          </w:p>
        </w:tc>
      </w:tr>
      <w:tr w14:paraId="417CB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0F9E9305">
            <w:pPr>
              <w:rPr>
                <w:rFonts w:ascii="Arial"/>
                <w:color w:val="auto"/>
                <w:sz w:val="21"/>
                <w:highlight w:val="none"/>
              </w:rPr>
            </w:pPr>
          </w:p>
        </w:tc>
        <w:tc>
          <w:tcPr>
            <w:tcW w:w="1420" w:type="dxa"/>
            <w:vAlign w:val="top"/>
          </w:tcPr>
          <w:p w14:paraId="40FEFEDE">
            <w:pPr>
              <w:rPr>
                <w:rFonts w:ascii="Arial"/>
                <w:color w:val="auto"/>
                <w:sz w:val="21"/>
                <w:highlight w:val="none"/>
              </w:rPr>
            </w:pPr>
          </w:p>
        </w:tc>
        <w:tc>
          <w:tcPr>
            <w:tcW w:w="1159" w:type="dxa"/>
            <w:vAlign w:val="top"/>
          </w:tcPr>
          <w:p w14:paraId="296086F6">
            <w:pPr>
              <w:rPr>
                <w:rFonts w:ascii="Arial"/>
                <w:color w:val="auto"/>
                <w:sz w:val="21"/>
                <w:highlight w:val="none"/>
              </w:rPr>
            </w:pPr>
          </w:p>
        </w:tc>
        <w:tc>
          <w:tcPr>
            <w:tcW w:w="1161" w:type="dxa"/>
            <w:vAlign w:val="top"/>
          </w:tcPr>
          <w:p w14:paraId="21C45510">
            <w:pPr>
              <w:rPr>
                <w:rFonts w:ascii="Arial"/>
                <w:color w:val="auto"/>
                <w:sz w:val="21"/>
                <w:highlight w:val="none"/>
              </w:rPr>
            </w:pPr>
          </w:p>
        </w:tc>
        <w:tc>
          <w:tcPr>
            <w:tcW w:w="1161" w:type="dxa"/>
            <w:vAlign w:val="top"/>
          </w:tcPr>
          <w:p w14:paraId="36F02954">
            <w:pPr>
              <w:rPr>
                <w:rFonts w:ascii="Arial"/>
                <w:color w:val="auto"/>
                <w:sz w:val="21"/>
                <w:highlight w:val="none"/>
              </w:rPr>
            </w:pPr>
          </w:p>
        </w:tc>
        <w:tc>
          <w:tcPr>
            <w:tcW w:w="1161" w:type="dxa"/>
            <w:vAlign w:val="top"/>
          </w:tcPr>
          <w:p w14:paraId="662EC5B0">
            <w:pPr>
              <w:rPr>
                <w:rFonts w:ascii="Arial"/>
                <w:color w:val="auto"/>
                <w:sz w:val="21"/>
                <w:highlight w:val="none"/>
              </w:rPr>
            </w:pPr>
          </w:p>
        </w:tc>
        <w:tc>
          <w:tcPr>
            <w:tcW w:w="1159" w:type="dxa"/>
            <w:vAlign w:val="top"/>
          </w:tcPr>
          <w:p w14:paraId="50D73205">
            <w:pPr>
              <w:rPr>
                <w:rFonts w:ascii="Arial"/>
                <w:color w:val="auto"/>
                <w:sz w:val="21"/>
                <w:highlight w:val="none"/>
              </w:rPr>
            </w:pPr>
          </w:p>
        </w:tc>
        <w:tc>
          <w:tcPr>
            <w:tcW w:w="1163" w:type="dxa"/>
            <w:vAlign w:val="top"/>
          </w:tcPr>
          <w:p w14:paraId="4AFADDCE">
            <w:pPr>
              <w:rPr>
                <w:rFonts w:ascii="Arial"/>
                <w:color w:val="auto"/>
                <w:sz w:val="21"/>
                <w:highlight w:val="none"/>
              </w:rPr>
            </w:pPr>
          </w:p>
        </w:tc>
      </w:tr>
      <w:tr w14:paraId="1F784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14:paraId="25015071">
            <w:pPr>
              <w:rPr>
                <w:rFonts w:ascii="Arial"/>
                <w:color w:val="auto"/>
                <w:sz w:val="21"/>
                <w:highlight w:val="none"/>
              </w:rPr>
            </w:pPr>
          </w:p>
        </w:tc>
        <w:tc>
          <w:tcPr>
            <w:tcW w:w="1420" w:type="dxa"/>
            <w:vAlign w:val="top"/>
          </w:tcPr>
          <w:p w14:paraId="4010F200">
            <w:pPr>
              <w:rPr>
                <w:rFonts w:ascii="Arial"/>
                <w:color w:val="auto"/>
                <w:sz w:val="21"/>
                <w:highlight w:val="none"/>
              </w:rPr>
            </w:pPr>
          </w:p>
        </w:tc>
        <w:tc>
          <w:tcPr>
            <w:tcW w:w="1159" w:type="dxa"/>
            <w:vAlign w:val="top"/>
          </w:tcPr>
          <w:p w14:paraId="32A8A75C">
            <w:pPr>
              <w:rPr>
                <w:rFonts w:ascii="Arial"/>
                <w:color w:val="auto"/>
                <w:sz w:val="21"/>
                <w:highlight w:val="none"/>
              </w:rPr>
            </w:pPr>
          </w:p>
        </w:tc>
        <w:tc>
          <w:tcPr>
            <w:tcW w:w="1161" w:type="dxa"/>
            <w:vAlign w:val="top"/>
          </w:tcPr>
          <w:p w14:paraId="7155C9BE">
            <w:pPr>
              <w:rPr>
                <w:rFonts w:ascii="Arial"/>
                <w:color w:val="auto"/>
                <w:sz w:val="21"/>
                <w:highlight w:val="none"/>
              </w:rPr>
            </w:pPr>
          </w:p>
        </w:tc>
        <w:tc>
          <w:tcPr>
            <w:tcW w:w="1161" w:type="dxa"/>
            <w:vAlign w:val="top"/>
          </w:tcPr>
          <w:p w14:paraId="3B757C4E">
            <w:pPr>
              <w:rPr>
                <w:rFonts w:ascii="Arial"/>
                <w:color w:val="auto"/>
                <w:sz w:val="21"/>
                <w:highlight w:val="none"/>
              </w:rPr>
            </w:pPr>
          </w:p>
        </w:tc>
        <w:tc>
          <w:tcPr>
            <w:tcW w:w="1161" w:type="dxa"/>
            <w:vAlign w:val="top"/>
          </w:tcPr>
          <w:p w14:paraId="2F594EB5">
            <w:pPr>
              <w:rPr>
                <w:rFonts w:ascii="Arial"/>
                <w:color w:val="auto"/>
                <w:sz w:val="21"/>
                <w:highlight w:val="none"/>
              </w:rPr>
            </w:pPr>
          </w:p>
        </w:tc>
        <w:tc>
          <w:tcPr>
            <w:tcW w:w="1159" w:type="dxa"/>
            <w:vAlign w:val="top"/>
          </w:tcPr>
          <w:p w14:paraId="641053E4">
            <w:pPr>
              <w:rPr>
                <w:rFonts w:ascii="Arial"/>
                <w:color w:val="auto"/>
                <w:sz w:val="21"/>
                <w:highlight w:val="none"/>
              </w:rPr>
            </w:pPr>
          </w:p>
        </w:tc>
        <w:tc>
          <w:tcPr>
            <w:tcW w:w="1163" w:type="dxa"/>
            <w:vAlign w:val="top"/>
          </w:tcPr>
          <w:p w14:paraId="67315F24">
            <w:pPr>
              <w:rPr>
                <w:rFonts w:ascii="Arial"/>
                <w:color w:val="auto"/>
                <w:sz w:val="21"/>
                <w:highlight w:val="none"/>
              </w:rPr>
            </w:pPr>
          </w:p>
        </w:tc>
      </w:tr>
      <w:tr w14:paraId="1F4D5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004BA348">
            <w:pPr>
              <w:rPr>
                <w:rFonts w:ascii="Arial"/>
                <w:color w:val="auto"/>
                <w:sz w:val="21"/>
                <w:highlight w:val="none"/>
              </w:rPr>
            </w:pPr>
          </w:p>
        </w:tc>
        <w:tc>
          <w:tcPr>
            <w:tcW w:w="1420" w:type="dxa"/>
            <w:vAlign w:val="top"/>
          </w:tcPr>
          <w:p w14:paraId="392DB4A3">
            <w:pPr>
              <w:rPr>
                <w:rFonts w:ascii="Arial"/>
                <w:color w:val="auto"/>
                <w:sz w:val="21"/>
                <w:highlight w:val="none"/>
              </w:rPr>
            </w:pPr>
          </w:p>
        </w:tc>
        <w:tc>
          <w:tcPr>
            <w:tcW w:w="1159" w:type="dxa"/>
            <w:vAlign w:val="top"/>
          </w:tcPr>
          <w:p w14:paraId="1A3473A6">
            <w:pPr>
              <w:rPr>
                <w:rFonts w:ascii="Arial"/>
                <w:color w:val="auto"/>
                <w:sz w:val="21"/>
                <w:highlight w:val="none"/>
              </w:rPr>
            </w:pPr>
          </w:p>
        </w:tc>
        <w:tc>
          <w:tcPr>
            <w:tcW w:w="1161" w:type="dxa"/>
            <w:vAlign w:val="top"/>
          </w:tcPr>
          <w:p w14:paraId="7016BAE1">
            <w:pPr>
              <w:rPr>
                <w:rFonts w:ascii="Arial"/>
                <w:color w:val="auto"/>
                <w:sz w:val="21"/>
                <w:highlight w:val="none"/>
              </w:rPr>
            </w:pPr>
          </w:p>
        </w:tc>
        <w:tc>
          <w:tcPr>
            <w:tcW w:w="1161" w:type="dxa"/>
            <w:vAlign w:val="top"/>
          </w:tcPr>
          <w:p w14:paraId="30DF529F">
            <w:pPr>
              <w:rPr>
                <w:rFonts w:ascii="Arial"/>
                <w:color w:val="auto"/>
                <w:sz w:val="21"/>
                <w:highlight w:val="none"/>
              </w:rPr>
            </w:pPr>
          </w:p>
        </w:tc>
        <w:tc>
          <w:tcPr>
            <w:tcW w:w="1161" w:type="dxa"/>
            <w:vAlign w:val="top"/>
          </w:tcPr>
          <w:p w14:paraId="3D962E07">
            <w:pPr>
              <w:rPr>
                <w:rFonts w:ascii="Arial"/>
                <w:color w:val="auto"/>
                <w:sz w:val="21"/>
                <w:highlight w:val="none"/>
              </w:rPr>
            </w:pPr>
          </w:p>
        </w:tc>
        <w:tc>
          <w:tcPr>
            <w:tcW w:w="1159" w:type="dxa"/>
            <w:vAlign w:val="top"/>
          </w:tcPr>
          <w:p w14:paraId="7BD81347">
            <w:pPr>
              <w:rPr>
                <w:rFonts w:ascii="Arial"/>
                <w:color w:val="auto"/>
                <w:sz w:val="21"/>
                <w:highlight w:val="none"/>
              </w:rPr>
            </w:pPr>
          </w:p>
        </w:tc>
        <w:tc>
          <w:tcPr>
            <w:tcW w:w="1163" w:type="dxa"/>
            <w:vAlign w:val="top"/>
          </w:tcPr>
          <w:p w14:paraId="211E397A">
            <w:pPr>
              <w:rPr>
                <w:rFonts w:ascii="Arial"/>
                <w:color w:val="auto"/>
                <w:sz w:val="21"/>
                <w:highlight w:val="none"/>
              </w:rPr>
            </w:pPr>
          </w:p>
        </w:tc>
      </w:tr>
      <w:tr w14:paraId="16A5B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14:paraId="5ABE8B0B">
            <w:pPr>
              <w:rPr>
                <w:rFonts w:ascii="Arial"/>
                <w:color w:val="auto"/>
                <w:sz w:val="21"/>
                <w:highlight w:val="none"/>
              </w:rPr>
            </w:pPr>
          </w:p>
        </w:tc>
        <w:tc>
          <w:tcPr>
            <w:tcW w:w="1420" w:type="dxa"/>
            <w:vAlign w:val="top"/>
          </w:tcPr>
          <w:p w14:paraId="56391009">
            <w:pPr>
              <w:rPr>
                <w:rFonts w:ascii="Arial"/>
                <w:color w:val="auto"/>
                <w:sz w:val="21"/>
                <w:highlight w:val="none"/>
              </w:rPr>
            </w:pPr>
          </w:p>
        </w:tc>
        <w:tc>
          <w:tcPr>
            <w:tcW w:w="1159" w:type="dxa"/>
            <w:vAlign w:val="top"/>
          </w:tcPr>
          <w:p w14:paraId="3FFB9207">
            <w:pPr>
              <w:rPr>
                <w:rFonts w:ascii="Arial"/>
                <w:color w:val="auto"/>
                <w:sz w:val="21"/>
                <w:highlight w:val="none"/>
              </w:rPr>
            </w:pPr>
          </w:p>
        </w:tc>
        <w:tc>
          <w:tcPr>
            <w:tcW w:w="1161" w:type="dxa"/>
            <w:vAlign w:val="top"/>
          </w:tcPr>
          <w:p w14:paraId="2720A516">
            <w:pPr>
              <w:rPr>
                <w:rFonts w:ascii="Arial"/>
                <w:color w:val="auto"/>
                <w:sz w:val="21"/>
                <w:highlight w:val="none"/>
              </w:rPr>
            </w:pPr>
          </w:p>
        </w:tc>
        <w:tc>
          <w:tcPr>
            <w:tcW w:w="1161" w:type="dxa"/>
            <w:vAlign w:val="top"/>
          </w:tcPr>
          <w:p w14:paraId="38C327DE">
            <w:pPr>
              <w:rPr>
                <w:rFonts w:ascii="Arial"/>
                <w:color w:val="auto"/>
                <w:sz w:val="21"/>
                <w:highlight w:val="none"/>
              </w:rPr>
            </w:pPr>
          </w:p>
        </w:tc>
        <w:tc>
          <w:tcPr>
            <w:tcW w:w="1161" w:type="dxa"/>
            <w:vAlign w:val="top"/>
          </w:tcPr>
          <w:p w14:paraId="6CDE1AE2">
            <w:pPr>
              <w:rPr>
                <w:rFonts w:ascii="Arial"/>
                <w:color w:val="auto"/>
                <w:sz w:val="21"/>
                <w:highlight w:val="none"/>
              </w:rPr>
            </w:pPr>
          </w:p>
        </w:tc>
        <w:tc>
          <w:tcPr>
            <w:tcW w:w="1159" w:type="dxa"/>
            <w:vAlign w:val="top"/>
          </w:tcPr>
          <w:p w14:paraId="78D45044">
            <w:pPr>
              <w:rPr>
                <w:rFonts w:ascii="Arial"/>
                <w:color w:val="auto"/>
                <w:sz w:val="21"/>
                <w:highlight w:val="none"/>
              </w:rPr>
            </w:pPr>
          </w:p>
        </w:tc>
        <w:tc>
          <w:tcPr>
            <w:tcW w:w="1163" w:type="dxa"/>
            <w:vAlign w:val="top"/>
          </w:tcPr>
          <w:p w14:paraId="3BB20173">
            <w:pPr>
              <w:rPr>
                <w:rFonts w:ascii="Arial"/>
                <w:color w:val="auto"/>
                <w:sz w:val="21"/>
                <w:highlight w:val="none"/>
              </w:rPr>
            </w:pPr>
          </w:p>
        </w:tc>
      </w:tr>
      <w:tr w14:paraId="657A8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03941B04">
            <w:pPr>
              <w:rPr>
                <w:rFonts w:ascii="Arial"/>
                <w:color w:val="auto"/>
                <w:sz w:val="21"/>
                <w:highlight w:val="none"/>
              </w:rPr>
            </w:pPr>
          </w:p>
        </w:tc>
        <w:tc>
          <w:tcPr>
            <w:tcW w:w="1420" w:type="dxa"/>
            <w:vAlign w:val="top"/>
          </w:tcPr>
          <w:p w14:paraId="1E13A16D">
            <w:pPr>
              <w:rPr>
                <w:rFonts w:ascii="Arial"/>
                <w:color w:val="auto"/>
                <w:sz w:val="21"/>
                <w:highlight w:val="none"/>
              </w:rPr>
            </w:pPr>
          </w:p>
        </w:tc>
        <w:tc>
          <w:tcPr>
            <w:tcW w:w="1159" w:type="dxa"/>
            <w:vAlign w:val="top"/>
          </w:tcPr>
          <w:p w14:paraId="12B609DD">
            <w:pPr>
              <w:rPr>
                <w:rFonts w:ascii="Arial"/>
                <w:color w:val="auto"/>
                <w:sz w:val="21"/>
                <w:highlight w:val="none"/>
              </w:rPr>
            </w:pPr>
          </w:p>
        </w:tc>
        <w:tc>
          <w:tcPr>
            <w:tcW w:w="1161" w:type="dxa"/>
            <w:vAlign w:val="top"/>
          </w:tcPr>
          <w:p w14:paraId="403046A1">
            <w:pPr>
              <w:rPr>
                <w:rFonts w:ascii="Arial"/>
                <w:color w:val="auto"/>
                <w:sz w:val="21"/>
                <w:highlight w:val="none"/>
              </w:rPr>
            </w:pPr>
          </w:p>
        </w:tc>
        <w:tc>
          <w:tcPr>
            <w:tcW w:w="1161" w:type="dxa"/>
            <w:vAlign w:val="top"/>
          </w:tcPr>
          <w:p w14:paraId="4241702F">
            <w:pPr>
              <w:rPr>
                <w:rFonts w:ascii="Arial"/>
                <w:color w:val="auto"/>
                <w:sz w:val="21"/>
                <w:highlight w:val="none"/>
              </w:rPr>
            </w:pPr>
          </w:p>
        </w:tc>
        <w:tc>
          <w:tcPr>
            <w:tcW w:w="1161" w:type="dxa"/>
            <w:vAlign w:val="top"/>
          </w:tcPr>
          <w:p w14:paraId="31EDF2ED">
            <w:pPr>
              <w:rPr>
                <w:rFonts w:ascii="Arial"/>
                <w:color w:val="auto"/>
                <w:sz w:val="21"/>
                <w:highlight w:val="none"/>
              </w:rPr>
            </w:pPr>
          </w:p>
        </w:tc>
        <w:tc>
          <w:tcPr>
            <w:tcW w:w="1159" w:type="dxa"/>
            <w:vAlign w:val="top"/>
          </w:tcPr>
          <w:p w14:paraId="7F31225B">
            <w:pPr>
              <w:rPr>
                <w:rFonts w:ascii="Arial"/>
                <w:color w:val="auto"/>
                <w:sz w:val="21"/>
                <w:highlight w:val="none"/>
              </w:rPr>
            </w:pPr>
          </w:p>
        </w:tc>
        <w:tc>
          <w:tcPr>
            <w:tcW w:w="1163" w:type="dxa"/>
            <w:vAlign w:val="top"/>
          </w:tcPr>
          <w:p w14:paraId="4C29F3E0">
            <w:pPr>
              <w:rPr>
                <w:rFonts w:ascii="Arial"/>
                <w:color w:val="auto"/>
                <w:sz w:val="21"/>
                <w:highlight w:val="none"/>
              </w:rPr>
            </w:pPr>
          </w:p>
        </w:tc>
      </w:tr>
      <w:tr w14:paraId="5BD01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7" w:type="dxa"/>
            <w:vAlign w:val="top"/>
          </w:tcPr>
          <w:p w14:paraId="29EF2E25">
            <w:pPr>
              <w:rPr>
                <w:rFonts w:ascii="Arial"/>
                <w:color w:val="auto"/>
                <w:sz w:val="21"/>
                <w:highlight w:val="none"/>
              </w:rPr>
            </w:pPr>
          </w:p>
        </w:tc>
        <w:tc>
          <w:tcPr>
            <w:tcW w:w="1420" w:type="dxa"/>
            <w:vAlign w:val="top"/>
          </w:tcPr>
          <w:p w14:paraId="51FC8958">
            <w:pPr>
              <w:rPr>
                <w:rFonts w:ascii="Arial"/>
                <w:color w:val="auto"/>
                <w:sz w:val="21"/>
                <w:highlight w:val="none"/>
              </w:rPr>
            </w:pPr>
          </w:p>
        </w:tc>
        <w:tc>
          <w:tcPr>
            <w:tcW w:w="1159" w:type="dxa"/>
            <w:vAlign w:val="top"/>
          </w:tcPr>
          <w:p w14:paraId="58649E71">
            <w:pPr>
              <w:rPr>
                <w:rFonts w:ascii="Arial"/>
                <w:color w:val="auto"/>
                <w:sz w:val="21"/>
                <w:highlight w:val="none"/>
              </w:rPr>
            </w:pPr>
          </w:p>
        </w:tc>
        <w:tc>
          <w:tcPr>
            <w:tcW w:w="1161" w:type="dxa"/>
            <w:vAlign w:val="top"/>
          </w:tcPr>
          <w:p w14:paraId="66E4A3A4">
            <w:pPr>
              <w:rPr>
                <w:rFonts w:ascii="Arial"/>
                <w:color w:val="auto"/>
                <w:sz w:val="21"/>
                <w:highlight w:val="none"/>
              </w:rPr>
            </w:pPr>
          </w:p>
        </w:tc>
        <w:tc>
          <w:tcPr>
            <w:tcW w:w="1161" w:type="dxa"/>
            <w:vAlign w:val="top"/>
          </w:tcPr>
          <w:p w14:paraId="0817FE91">
            <w:pPr>
              <w:rPr>
                <w:rFonts w:ascii="Arial"/>
                <w:color w:val="auto"/>
                <w:sz w:val="21"/>
                <w:highlight w:val="none"/>
              </w:rPr>
            </w:pPr>
          </w:p>
        </w:tc>
        <w:tc>
          <w:tcPr>
            <w:tcW w:w="1161" w:type="dxa"/>
            <w:vAlign w:val="top"/>
          </w:tcPr>
          <w:p w14:paraId="17C72BE1">
            <w:pPr>
              <w:rPr>
                <w:rFonts w:ascii="Arial"/>
                <w:color w:val="auto"/>
                <w:sz w:val="21"/>
                <w:highlight w:val="none"/>
              </w:rPr>
            </w:pPr>
          </w:p>
        </w:tc>
        <w:tc>
          <w:tcPr>
            <w:tcW w:w="1159" w:type="dxa"/>
            <w:vAlign w:val="top"/>
          </w:tcPr>
          <w:p w14:paraId="14B6FFAA">
            <w:pPr>
              <w:rPr>
                <w:rFonts w:ascii="Arial"/>
                <w:color w:val="auto"/>
                <w:sz w:val="21"/>
                <w:highlight w:val="none"/>
              </w:rPr>
            </w:pPr>
          </w:p>
        </w:tc>
        <w:tc>
          <w:tcPr>
            <w:tcW w:w="1163" w:type="dxa"/>
            <w:vAlign w:val="top"/>
          </w:tcPr>
          <w:p w14:paraId="67D80AF1">
            <w:pPr>
              <w:rPr>
                <w:rFonts w:ascii="Arial"/>
                <w:color w:val="auto"/>
                <w:sz w:val="21"/>
                <w:highlight w:val="none"/>
              </w:rPr>
            </w:pPr>
          </w:p>
        </w:tc>
      </w:tr>
      <w:tr w14:paraId="692E3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50F866E6">
            <w:pPr>
              <w:rPr>
                <w:rFonts w:ascii="Arial"/>
                <w:color w:val="auto"/>
                <w:sz w:val="21"/>
                <w:highlight w:val="none"/>
              </w:rPr>
            </w:pPr>
          </w:p>
        </w:tc>
        <w:tc>
          <w:tcPr>
            <w:tcW w:w="1420" w:type="dxa"/>
            <w:vAlign w:val="top"/>
          </w:tcPr>
          <w:p w14:paraId="7BB2DED0">
            <w:pPr>
              <w:rPr>
                <w:rFonts w:ascii="Arial"/>
                <w:color w:val="auto"/>
                <w:sz w:val="21"/>
                <w:highlight w:val="none"/>
              </w:rPr>
            </w:pPr>
          </w:p>
        </w:tc>
        <w:tc>
          <w:tcPr>
            <w:tcW w:w="1159" w:type="dxa"/>
            <w:vAlign w:val="top"/>
          </w:tcPr>
          <w:p w14:paraId="1BBEEA0B">
            <w:pPr>
              <w:rPr>
                <w:rFonts w:ascii="Arial"/>
                <w:color w:val="auto"/>
                <w:sz w:val="21"/>
                <w:highlight w:val="none"/>
              </w:rPr>
            </w:pPr>
          </w:p>
        </w:tc>
        <w:tc>
          <w:tcPr>
            <w:tcW w:w="1161" w:type="dxa"/>
            <w:vAlign w:val="top"/>
          </w:tcPr>
          <w:p w14:paraId="2FDCA426">
            <w:pPr>
              <w:rPr>
                <w:rFonts w:ascii="Arial"/>
                <w:color w:val="auto"/>
                <w:sz w:val="21"/>
                <w:highlight w:val="none"/>
              </w:rPr>
            </w:pPr>
          </w:p>
        </w:tc>
        <w:tc>
          <w:tcPr>
            <w:tcW w:w="1161" w:type="dxa"/>
            <w:vAlign w:val="top"/>
          </w:tcPr>
          <w:p w14:paraId="7D755C69">
            <w:pPr>
              <w:rPr>
                <w:rFonts w:ascii="Arial"/>
                <w:color w:val="auto"/>
                <w:sz w:val="21"/>
                <w:highlight w:val="none"/>
              </w:rPr>
            </w:pPr>
          </w:p>
        </w:tc>
        <w:tc>
          <w:tcPr>
            <w:tcW w:w="1161" w:type="dxa"/>
            <w:vAlign w:val="top"/>
          </w:tcPr>
          <w:p w14:paraId="0FBC0902">
            <w:pPr>
              <w:rPr>
                <w:rFonts w:ascii="Arial"/>
                <w:color w:val="auto"/>
                <w:sz w:val="21"/>
                <w:highlight w:val="none"/>
              </w:rPr>
            </w:pPr>
          </w:p>
        </w:tc>
        <w:tc>
          <w:tcPr>
            <w:tcW w:w="1159" w:type="dxa"/>
            <w:vAlign w:val="top"/>
          </w:tcPr>
          <w:p w14:paraId="5D0DEA8B">
            <w:pPr>
              <w:rPr>
                <w:rFonts w:ascii="Arial"/>
                <w:color w:val="auto"/>
                <w:sz w:val="21"/>
                <w:highlight w:val="none"/>
              </w:rPr>
            </w:pPr>
          </w:p>
        </w:tc>
        <w:tc>
          <w:tcPr>
            <w:tcW w:w="1163" w:type="dxa"/>
            <w:vAlign w:val="top"/>
          </w:tcPr>
          <w:p w14:paraId="4AD48CD1">
            <w:pPr>
              <w:rPr>
                <w:rFonts w:ascii="Arial"/>
                <w:color w:val="auto"/>
                <w:sz w:val="21"/>
                <w:highlight w:val="none"/>
              </w:rPr>
            </w:pPr>
          </w:p>
        </w:tc>
      </w:tr>
      <w:tr w14:paraId="78659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14:paraId="67459C44">
            <w:pPr>
              <w:rPr>
                <w:rFonts w:ascii="Arial"/>
                <w:color w:val="auto"/>
                <w:sz w:val="21"/>
                <w:highlight w:val="none"/>
              </w:rPr>
            </w:pPr>
          </w:p>
        </w:tc>
        <w:tc>
          <w:tcPr>
            <w:tcW w:w="1420" w:type="dxa"/>
            <w:vAlign w:val="top"/>
          </w:tcPr>
          <w:p w14:paraId="57A2B278">
            <w:pPr>
              <w:rPr>
                <w:rFonts w:ascii="Arial"/>
                <w:color w:val="auto"/>
                <w:sz w:val="21"/>
                <w:highlight w:val="none"/>
              </w:rPr>
            </w:pPr>
          </w:p>
        </w:tc>
        <w:tc>
          <w:tcPr>
            <w:tcW w:w="1159" w:type="dxa"/>
            <w:vAlign w:val="top"/>
          </w:tcPr>
          <w:p w14:paraId="5416E41E">
            <w:pPr>
              <w:rPr>
                <w:rFonts w:ascii="Arial"/>
                <w:color w:val="auto"/>
                <w:sz w:val="21"/>
                <w:highlight w:val="none"/>
              </w:rPr>
            </w:pPr>
          </w:p>
        </w:tc>
        <w:tc>
          <w:tcPr>
            <w:tcW w:w="1161" w:type="dxa"/>
            <w:vAlign w:val="top"/>
          </w:tcPr>
          <w:p w14:paraId="66EBEE87">
            <w:pPr>
              <w:rPr>
                <w:rFonts w:ascii="Arial"/>
                <w:color w:val="auto"/>
                <w:sz w:val="21"/>
                <w:highlight w:val="none"/>
              </w:rPr>
            </w:pPr>
          </w:p>
        </w:tc>
        <w:tc>
          <w:tcPr>
            <w:tcW w:w="1161" w:type="dxa"/>
            <w:vAlign w:val="top"/>
          </w:tcPr>
          <w:p w14:paraId="47E871C8">
            <w:pPr>
              <w:rPr>
                <w:rFonts w:ascii="Arial"/>
                <w:color w:val="auto"/>
                <w:sz w:val="21"/>
                <w:highlight w:val="none"/>
              </w:rPr>
            </w:pPr>
          </w:p>
        </w:tc>
        <w:tc>
          <w:tcPr>
            <w:tcW w:w="1161" w:type="dxa"/>
            <w:vAlign w:val="top"/>
          </w:tcPr>
          <w:p w14:paraId="4BB676EA">
            <w:pPr>
              <w:rPr>
                <w:rFonts w:ascii="Arial"/>
                <w:color w:val="auto"/>
                <w:sz w:val="21"/>
                <w:highlight w:val="none"/>
              </w:rPr>
            </w:pPr>
          </w:p>
        </w:tc>
        <w:tc>
          <w:tcPr>
            <w:tcW w:w="1159" w:type="dxa"/>
            <w:vAlign w:val="top"/>
          </w:tcPr>
          <w:p w14:paraId="26BB0AD6">
            <w:pPr>
              <w:rPr>
                <w:rFonts w:ascii="Arial"/>
                <w:color w:val="auto"/>
                <w:sz w:val="21"/>
                <w:highlight w:val="none"/>
              </w:rPr>
            </w:pPr>
          </w:p>
        </w:tc>
        <w:tc>
          <w:tcPr>
            <w:tcW w:w="1163" w:type="dxa"/>
            <w:vAlign w:val="top"/>
          </w:tcPr>
          <w:p w14:paraId="2D1DB92C">
            <w:pPr>
              <w:rPr>
                <w:rFonts w:ascii="Arial"/>
                <w:color w:val="auto"/>
                <w:sz w:val="21"/>
                <w:highlight w:val="none"/>
              </w:rPr>
            </w:pPr>
          </w:p>
        </w:tc>
      </w:tr>
      <w:tr w14:paraId="41B4A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7EBD47EA">
            <w:pPr>
              <w:rPr>
                <w:rFonts w:ascii="Arial"/>
                <w:color w:val="auto"/>
                <w:sz w:val="21"/>
                <w:highlight w:val="none"/>
              </w:rPr>
            </w:pPr>
          </w:p>
        </w:tc>
        <w:tc>
          <w:tcPr>
            <w:tcW w:w="1420" w:type="dxa"/>
            <w:vAlign w:val="top"/>
          </w:tcPr>
          <w:p w14:paraId="4DED8A96">
            <w:pPr>
              <w:rPr>
                <w:rFonts w:ascii="Arial"/>
                <w:color w:val="auto"/>
                <w:sz w:val="21"/>
                <w:highlight w:val="none"/>
              </w:rPr>
            </w:pPr>
          </w:p>
        </w:tc>
        <w:tc>
          <w:tcPr>
            <w:tcW w:w="1159" w:type="dxa"/>
            <w:vAlign w:val="top"/>
          </w:tcPr>
          <w:p w14:paraId="2EE0E36E">
            <w:pPr>
              <w:rPr>
                <w:rFonts w:ascii="Arial"/>
                <w:color w:val="auto"/>
                <w:sz w:val="21"/>
                <w:highlight w:val="none"/>
              </w:rPr>
            </w:pPr>
          </w:p>
        </w:tc>
        <w:tc>
          <w:tcPr>
            <w:tcW w:w="1161" w:type="dxa"/>
            <w:vAlign w:val="top"/>
          </w:tcPr>
          <w:p w14:paraId="77100853">
            <w:pPr>
              <w:rPr>
                <w:rFonts w:ascii="Arial"/>
                <w:color w:val="auto"/>
                <w:sz w:val="21"/>
                <w:highlight w:val="none"/>
              </w:rPr>
            </w:pPr>
          </w:p>
        </w:tc>
        <w:tc>
          <w:tcPr>
            <w:tcW w:w="1161" w:type="dxa"/>
            <w:vAlign w:val="top"/>
          </w:tcPr>
          <w:p w14:paraId="34CE3083">
            <w:pPr>
              <w:rPr>
                <w:rFonts w:ascii="Arial"/>
                <w:color w:val="auto"/>
                <w:sz w:val="21"/>
                <w:highlight w:val="none"/>
              </w:rPr>
            </w:pPr>
          </w:p>
        </w:tc>
        <w:tc>
          <w:tcPr>
            <w:tcW w:w="1161" w:type="dxa"/>
            <w:vAlign w:val="top"/>
          </w:tcPr>
          <w:p w14:paraId="7A6C11E3">
            <w:pPr>
              <w:rPr>
                <w:rFonts w:ascii="Arial"/>
                <w:color w:val="auto"/>
                <w:sz w:val="21"/>
                <w:highlight w:val="none"/>
              </w:rPr>
            </w:pPr>
          </w:p>
        </w:tc>
        <w:tc>
          <w:tcPr>
            <w:tcW w:w="1159" w:type="dxa"/>
            <w:vAlign w:val="top"/>
          </w:tcPr>
          <w:p w14:paraId="2495E3CE">
            <w:pPr>
              <w:rPr>
                <w:rFonts w:ascii="Arial"/>
                <w:color w:val="auto"/>
                <w:sz w:val="21"/>
                <w:highlight w:val="none"/>
              </w:rPr>
            </w:pPr>
          </w:p>
        </w:tc>
        <w:tc>
          <w:tcPr>
            <w:tcW w:w="1163" w:type="dxa"/>
            <w:vAlign w:val="top"/>
          </w:tcPr>
          <w:p w14:paraId="0E94D036">
            <w:pPr>
              <w:rPr>
                <w:rFonts w:ascii="Arial"/>
                <w:color w:val="auto"/>
                <w:sz w:val="21"/>
                <w:highlight w:val="none"/>
              </w:rPr>
            </w:pPr>
          </w:p>
        </w:tc>
      </w:tr>
      <w:tr w14:paraId="7C2F2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907" w:type="dxa"/>
            <w:vAlign w:val="top"/>
          </w:tcPr>
          <w:p w14:paraId="67FD5B58">
            <w:pPr>
              <w:rPr>
                <w:rFonts w:ascii="Arial"/>
                <w:color w:val="auto"/>
                <w:sz w:val="21"/>
                <w:highlight w:val="none"/>
              </w:rPr>
            </w:pPr>
          </w:p>
        </w:tc>
        <w:tc>
          <w:tcPr>
            <w:tcW w:w="1420" w:type="dxa"/>
            <w:vAlign w:val="top"/>
          </w:tcPr>
          <w:p w14:paraId="689CF11B">
            <w:pPr>
              <w:rPr>
                <w:rFonts w:ascii="Arial"/>
                <w:color w:val="auto"/>
                <w:sz w:val="21"/>
                <w:highlight w:val="none"/>
              </w:rPr>
            </w:pPr>
          </w:p>
        </w:tc>
        <w:tc>
          <w:tcPr>
            <w:tcW w:w="1159" w:type="dxa"/>
            <w:vAlign w:val="top"/>
          </w:tcPr>
          <w:p w14:paraId="4598CE6F">
            <w:pPr>
              <w:rPr>
                <w:rFonts w:ascii="Arial"/>
                <w:color w:val="auto"/>
                <w:sz w:val="21"/>
                <w:highlight w:val="none"/>
              </w:rPr>
            </w:pPr>
          </w:p>
        </w:tc>
        <w:tc>
          <w:tcPr>
            <w:tcW w:w="1161" w:type="dxa"/>
            <w:vAlign w:val="top"/>
          </w:tcPr>
          <w:p w14:paraId="1B2F9D05">
            <w:pPr>
              <w:rPr>
                <w:rFonts w:ascii="Arial"/>
                <w:color w:val="auto"/>
                <w:sz w:val="21"/>
                <w:highlight w:val="none"/>
              </w:rPr>
            </w:pPr>
          </w:p>
        </w:tc>
        <w:tc>
          <w:tcPr>
            <w:tcW w:w="1161" w:type="dxa"/>
            <w:vAlign w:val="top"/>
          </w:tcPr>
          <w:p w14:paraId="666E678E">
            <w:pPr>
              <w:rPr>
                <w:rFonts w:ascii="Arial"/>
                <w:color w:val="auto"/>
                <w:sz w:val="21"/>
                <w:highlight w:val="none"/>
              </w:rPr>
            </w:pPr>
          </w:p>
        </w:tc>
        <w:tc>
          <w:tcPr>
            <w:tcW w:w="1161" w:type="dxa"/>
            <w:vAlign w:val="top"/>
          </w:tcPr>
          <w:p w14:paraId="4CD67510">
            <w:pPr>
              <w:rPr>
                <w:rFonts w:ascii="Arial"/>
                <w:color w:val="auto"/>
                <w:sz w:val="21"/>
                <w:highlight w:val="none"/>
              </w:rPr>
            </w:pPr>
          </w:p>
        </w:tc>
        <w:tc>
          <w:tcPr>
            <w:tcW w:w="1159" w:type="dxa"/>
            <w:vAlign w:val="top"/>
          </w:tcPr>
          <w:p w14:paraId="6A87CBD4">
            <w:pPr>
              <w:rPr>
                <w:rFonts w:ascii="Arial"/>
                <w:color w:val="auto"/>
                <w:sz w:val="21"/>
                <w:highlight w:val="none"/>
              </w:rPr>
            </w:pPr>
          </w:p>
        </w:tc>
        <w:tc>
          <w:tcPr>
            <w:tcW w:w="1163" w:type="dxa"/>
            <w:vAlign w:val="top"/>
          </w:tcPr>
          <w:p w14:paraId="181D2639">
            <w:pPr>
              <w:rPr>
                <w:rFonts w:ascii="Arial"/>
                <w:color w:val="auto"/>
                <w:sz w:val="21"/>
                <w:highlight w:val="none"/>
              </w:rPr>
            </w:pPr>
          </w:p>
        </w:tc>
      </w:tr>
    </w:tbl>
    <w:p w14:paraId="387538ED">
      <w:pPr>
        <w:rPr>
          <w:rFonts w:ascii="Arial"/>
          <w:color w:val="auto"/>
          <w:sz w:val="21"/>
          <w:highlight w:val="none"/>
        </w:rPr>
      </w:pPr>
    </w:p>
    <w:p w14:paraId="77274357">
      <w:pPr>
        <w:spacing w:before="56" w:line="219" w:lineRule="auto"/>
        <w:ind w:left="1817"/>
        <w:rPr>
          <w:rFonts w:ascii="宋体" w:hAnsi="宋体" w:eastAsia="宋体" w:cs="宋体"/>
          <w:b/>
          <w:bCs/>
          <w:color w:val="auto"/>
          <w:spacing w:val="-4"/>
          <w:sz w:val="28"/>
          <w:szCs w:val="28"/>
          <w:highlight w:val="none"/>
        </w:rPr>
      </w:pPr>
    </w:p>
    <w:p w14:paraId="5A336BFB">
      <w:pPr>
        <w:spacing w:before="56" w:line="219" w:lineRule="auto"/>
        <w:ind w:left="1817"/>
        <w:rPr>
          <w:rFonts w:ascii="宋体" w:hAnsi="宋体" w:eastAsia="宋体" w:cs="宋体"/>
          <w:b/>
          <w:bCs/>
          <w:color w:val="auto"/>
          <w:spacing w:val="-4"/>
          <w:sz w:val="28"/>
          <w:szCs w:val="28"/>
          <w:highlight w:val="none"/>
        </w:rPr>
      </w:pPr>
    </w:p>
    <w:p w14:paraId="31FD74EF">
      <w:pPr>
        <w:spacing w:before="56" w:line="219" w:lineRule="auto"/>
        <w:ind w:left="1817"/>
        <w:rPr>
          <w:rFonts w:ascii="宋体" w:hAnsi="宋体" w:eastAsia="宋体" w:cs="宋体"/>
          <w:b/>
          <w:bCs/>
          <w:color w:val="auto"/>
          <w:spacing w:val="-4"/>
          <w:sz w:val="28"/>
          <w:szCs w:val="28"/>
          <w:highlight w:val="none"/>
        </w:rPr>
      </w:pPr>
    </w:p>
    <w:p w14:paraId="22B04580">
      <w:pPr>
        <w:spacing w:before="56" w:line="219" w:lineRule="auto"/>
        <w:ind w:left="1817"/>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附表四：计划开、竣工日期和施工进度网络图</w:t>
      </w:r>
    </w:p>
    <w:p w14:paraId="58CCA552">
      <w:pPr>
        <w:spacing w:line="265" w:lineRule="auto"/>
        <w:rPr>
          <w:rFonts w:ascii="Arial"/>
          <w:color w:val="auto"/>
          <w:sz w:val="21"/>
          <w:highlight w:val="none"/>
        </w:rPr>
      </w:pPr>
    </w:p>
    <w:p w14:paraId="7B0FB224">
      <w:pPr>
        <w:spacing w:line="265" w:lineRule="auto"/>
        <w:rPr>
          <w:rFonts w:ascii="Arial"/>
          <w:color w:val="auto"/>
          <w:sz w:val="21"/>
          <w:highlight w:val="none"/>
        </w:rPr>
      </w:pPr>
    </w:p>
    <w:p w14:paraId="6DB8C606">
      <w:pPr>
        <w:spacing w:before="68" w:line="304" w:lineRule="auto"/>
        <w:ind w:firstLine="436"/>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1.  </w:t>
      </w:r>
      <w:r>
        <w:rPr>
          <w:rFonts w:ascii="宋体" w:hAnsi="宋体" w:eastAsia="宋体" w:cs="宋体"/>
          <w:color w:val="auto"/>
          <w:spacing w:val="-1"/>
          <w:sz w:val="21"/>
          <w:szCs w:val="21"/>
          <w:highlight w:val="none"/>
        </w:rPr>
        <w:t>投标人应递交施工进度网络图或施工进度表，说明按招标文件要求的计划工期进行施工的各</w:t>
      </w:r>
      <w:r>
        <w:rPr>
          <w:rFonts w:ascii="宋体" w:hAnsi="宋体" w:eastAsia="宋体" w:cs="宋体"/>
          <w:color w:val="auto"/>
          <w:spacing w:val="9"/>
          <w:sz w:val="21"/>
          <w:szCs w:val="21"/>
          <w:highlight w:val="none"/>
        </w:rPr>
        <w:t xml:space="preserve"> </w:t>
      </w:r>
      <w:r>
        <w:rPr>
          <w:rFonts w:ascii="宋体" w:hAnsi="宋体" w:eastAsia="宋体" w:cs="宋体"/>
          <w:color w:val="auto"/>
          <w:spacing w:val="-1"/>
          <w:sz w:val="21"/>
          <w:szCs w:val="21"/>
          <w:highlight w:val="none"/>
        </w:rPr>
        <w:t>个关键日期。</w:t>
      </w:r>
    </w:p>
    <w:p w14:paraId="5473F67B">
      <w:pPr>
        <w:spacing w:before="188" w:line="220" w:lineRule="auto"/>
        <w:ind w:left="416"/>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2.  </w:t>
      </w:r>
      <w:r>
        <w:rPr>
          <w:rFonts w:ascii="宋体" w:hAnsi="宋体" w:eastAsia="宋体" w:cs="宋体"/>
          <w:color w:val="auto"/>
          <w:sz w:val="21"/>
          <w:szCs w:val="21"/>
          <w:highlight w:val="none"/>
        </w:rPr>
        <w:t>施工进度表可采用网络图（或横道图）</w:t>
      </w:r>
      <w:r>
        <w:rPr>
          <w:rFonts w:ascii="宋体" w:hAnsi="宋体" w:eastAsia="宋体" w:cs="宋体"/>
          <w:color w:val="auto"/>
          <w:spacing w:val="-1"/>
          <w:sz w:val="21"/>
          <w:szCs w:val="21"/>
          <w:highlight w:val="none"/>
        </w:rPr>
        <w:t>表示。</w:t>
      </w:r>
    </w:p>
    <w:p w14:paraId="76771A62">
      <w:pPr>
        <w:spacing w:before="56" w:line="219" w:lineRule="auto"/>
        <w:ind w:left="3224"/>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附表五：施工总平面图</w:t>
      </w:r>
    </w:p>
    <w:p w14:paraId="281384E6">
      <w:pPr>
        <w:spacing w:line="265" w:lineRule="auto"/>
        <w:rPr>
          <w:rFonts w:ascii="Arial"/>
          <w:color w:val="auto"/>
          <w:sz w:val="21"/>
          <w:highlight w:val="none"/>
        </w:rPr>
      </w:pPr>
    </w:p>
    <w:p w14:paraId="4CF8F086">
      <w:pPr>
        <w:spacing w:line="265" w:lineRule="auto"/>
        <w:rPr>
          <w:rFonts w:ascii="Arial"/>
          <w:color w:val="auto"/>
          <w:sz w:val="21"/>
          <w:highlight w:val="none"/>
        </w:rPr>
      </w:pPr>
    </w:p>
    <w:p w14:paraId="0359019C">
      <w:pPr>
        <w:spacing w:before="68" w:line="374" w:lineRule="auto"/>
        <w:ind w:firstLine="422"/>
        <w:rPr>
          <w:rFonts w:ascii="宋体" w:hAnsi="宋体" w:eastAsia="宋体" w:cs="宋体"/>
          <w:color w:val="auto"/>
          <w:sz w:val="21"/>
          <w:szCs w:val="21"/>
          <w:highlight w:val="none"/>
        </w:rPr>
      </w:pPr>
      <w:r>
        <w:rPr>
          <w:rFonts w:ascii="宋体" w:hAnsi="宋体" w:eastAsia="宋体" w:cs="宋体"/>
          <w:color w:val="auto"/>
          <w:sz w:val="21"/>
          <w:szCs w:val="21"/>
          <w:highlight w:val="none"/>
        </w:rPr>
        <w:t>投标人应递交一份施工总平面图，绘出现场临时设施布置图表并附文字说明，说明临时设施、 加工车间、现场办公、设备及仓储、供电、供水、卫生、生活、道路、消防等设施的情况和布置。</w:t>
      </w:r>
    </w:p>
    <w:p w14:paraId="0A00A3EB">
      <w:pPr>
        <w:spacing w:before="56" w:line="219" w:lineRule="auto"/>
        <w:ind w:left="3486"/>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附表六：临时用地表</w:t>
      </w:r>
    </w:p>
    <w:p w14:paraId="5B29845E">
      <w:pPr>
        <w:spacing w:before="188"/>
        <w:rPr>
          <w:color w:val="auto"/>
          <w:highlight w:val="none"/>
        </w:rPr>
      </w:pPr>
    </w:p>
    <w:tbl>
      <w:tblPr>
        <w:tblStyle w:val="29"/>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4"/>
        <w:gridCol w:w="2320"/>
        <w:gridCol w:w="2322"/>
        <w:gridCol w:w="2325"/>
      </w:tblGrid>
      <w:tr w14:paraId="5B8C1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324" w:type="dxa"/>
            <w:vAlign w:val="top"/>
          </w:tcPr>
          <w:p w14:paraId="4EB0F9AF">
            <w:pPr>
              <w:pStyle w:val="30"/>
              <w:spacing w:before="178" w:line="222" w:lineRule="auto"/>
              <w:ind w:left="907"/>
              <w:rPr>
                <w:color w:val="auto"/>
                <w:highlight w:val="none"/>
              </w:rPr>
            </w:pPr>
            <w:r>
              <w:rPr>
                <w:color w:val="auto"/>
                <w:spacing w:val="-5"/>
                <w:highlight w:val="none"/>
              </w:rPr>
              <w:t>用</w:t>
            </w:r>
            <w:r>
              <w:rPr>
                <w:color w:val="auto"/>
                <w:spacing w:val="9"/>
                <w:highlight w:val="none"/>
              </w:rPr>
              <w:t xml:space="preserve"> </w:t>
            </w:r>
            <w:r>
              <w:rPr>
                <w:color w:val="auto"/>
                <w:spacing w:val="-5"/>
                <w:highlight w:val="none"/>
              </w:rPr>
              <w:t>途</w:t>
            </w:r>
          </w:p>
        </w:tc>
        <w:tc>
          <w:tcPr>
            <w:tcW w:w="2320" w:type="dxa"/>
            <w:vAlign w:val="top"/>
          </w:tcPr>
          <w:p w14:paraId="3EB694BB">
            <w:pPr>
              <w:pStyle w:val="30"/>
              <w:spacing w:before="177" w:line="221" w:lineRule="auto"/>
              <w:ind w:left="378"/>
              <w:rPr>
                <w:color w:val="auto"/>
                <w:highlight w:val="none"/>
              </w:rPr>
            </w:pPr>
            <w:r>
              <w:rPr>
                <w:color w:val="auto"/>
                <w:spacing w:val="-1"/>
                <w:highlight w:val="none"/>
              </w:rPr>
              <w:t>面 积（平方米）</w:t>
            </w:r>
          </w:p>
        </w:tc>
        <w:tc>
          <w:tcPr>
            <w:tcW w:w="2322" w:type="dxa"/>
            <w:vAlign w:val="top"/>
          </w:tcPr>
          <w:p w14:paraId="36F4B2DA">
            <w:pPr>
              <w:pStyle w:val="30"/>
              <w:spacing w:before="178" w:line="222" w:lineRule="auto"/>
              <w:ind w:left="904"/>
              <w:rPr>
                <w:color w:val="auto"/>
                <w:highlight w:val="none"/>
              </w:rPr>
            </w:pPr>
            <w:r>
              <w:rPr>
                <w:color w:val="auto"/>
                <w:spacing w:val="-4"/>
                <w:highlight w:val="none"/>
              </w:rPr>
              <w:t>位</w:t>
            </w:r>
            <w:r>
              <w:rPr>
                <w:color w:val="auto"/>
                <w:spacing w:val="7"/>
                <w:highlight w:val="none"/>
              </w:rPr>
              <w:t xml:space="preserve"> </w:t>
            </w:r>
            <w:r>
              <w:rPr>
                <w:color w:val="auto"/>
                <w:spacing w:val="-4"/>
                <w:highlight w:val="none"/>
              </w:rPr>
              <w:t>置</w:t>
            </w:r>
          </w:p>
        </w:tc>
        <w:tc>
          <w:tcPr>
            <w:tcW w:w="2325" w:type="dxa"/>
            <w:vAlign w:val="top"/>
          </w:tcPr>
          <w:p w14:paraId="1EA1A2AF">
            <w:pPr>
              <w:pStyle w:val="30"/>
              <w:spacing w:before="178" w:line="221" w:lineRule="auto"/>
              <w:ind w:left="756"/>
              <w:rPr>
                <w:color w:val="auto"/>
                <w:highlight w:val="none"/>
              </w:rPr>
            </w:pPr>
            <w:r>
              <w:rPr>
                <w:color w:val="auto"/>
                <w:spacing w:val="-4"/>
                <w:highlight w:val="none"/>
              </w:rPr>
              <w:t>需用时间</w:t>
            </w:r>
          </w:p>
        </w:tc>
      </w:tr>
      <w:tr w14:paraId="366C4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324" w:type="dxa"/>
            <w:vAlign w:val="top"/>
          </w:tcPr>
          <w:p w14:paraId="7B5A3D3F">
            <w:pPr>
              <w:rPr>
                <w:rFonts w:ascii="Arial"/>
                <w:color w:val="auto"/>
                <w:sz w:val="21"/>
                <w:highlight w:val="none"/>
              </w:rPr>
            </w:pPr>
          </w:p>
        </w:tc>
        <w:tc>
          <w:tcPr>
            <w:tcW w:w="2320" w:type="dxa"/>
            <w:vAlign w:val="top"/>
          </w:tcPr>
          <w:p w14:paraId="6F491715">
            <w:pPr>
              <w:rPr>
                <w:rFonts w:ascii="Arial"/>
                <w:color w:val="auto"/>
                <w:sz w:val="21"/>
                <w:highlight w:val="none"/>
              </w:rPr>
            </w:pPr>
          </w:p>
        </w:tc>
        <w:tc>
          <w:tcPr>
            <w:tcW w:w="2322" w:type="dxa"/>
            <w:vAlign w:val="top"/>
          </w:tcPr>
          <w:p w14:paraId="285503F3">
            <w:pPr>
              <w:rPr>
                <w:rFonts w:ascii="Arial"/>
                <w:color w:val="auto"/>
                <w:sz w:val="21"/>
                <w:highlight w:val="none"/>
              </w:rPr>
            </w:pPr>
          </w:p>
        </w:tc>
        <w:tc>
          <w:tcPr>
            <w:tcW w:w="2325" w:type="dxa"/>
            <w:vAlign w:val="top"/>
          </w:tcPr>
          <w:p w14:paraId="0EEA2A7A">
            <w:pPr>
              <w:rPr>
                <w:rFonts w:ascii="Arial"/>
                <w:color w:val="auto"/>
                <w:sz w:val="21"/>
                <w:highlight w:val="none"/>
              </w:rPr>
            </w:pPr>
          </w:p>
        </w:tc>
      </w:tr>
      <w:tr w14:paraId="23091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193FB918">
            <w:pPr>
              <w:rPr>
                <w:rFonts w:ascii="Arial"/>
                <w:color w:val="auto"/>
                <w:sz w:val="21"/>
                <w:highlight w:val="none"/>
              </w:rPr>
            </w:pPr>
          </w:p>
        </w:tc>
        <w:tc>
          <w:tcPr>
            <w:tcW w:w="2320" w:type="dxa"/>
            <w:vAlign w:val="top"/>
          </w:tcPr>
          <w:p w14:paraId="1F7B178E">
            <w:pPr>
              <w:rPr>
                <w:rFonts w:ascii="Arial"/>
                <w:color w:val="auto"/>
                <w:sz w:val="21"/>
                <w:highlight w:val="none"/>
              </w:rPr>
            </w:pPr>
          </w:p>
        </w:tc>
        <w:tc>
          <w:tcPr>
            <w:tcW w:w="2322" w:type="dxa"/>
            <w:vAlign w:val="top"/>
          </w:tcPr>
          <w:p w14:paraId="64766A1E">
            <w:pPr>
              <w:rPr>
                <w:rFonts w:ascii="Arial"/>
                <w:color w:val="auto"/>
                <w:sz w:val="21"/>
                <w:highlight w:val="none"/>
              </w:rPr>
            </w:pPr>
          </w:p>
        </w:tc>
        <w:tc>
          <w:tcPr>
            <w:tcW w:w="2325" w:type="dxa"/>
            <w:vAlign w:val="top"/>
          </w:tcPr>
          <w:p w14:paraId="076DC4B4">
            <w:pPr>
              <w:rPr>
                <w:rFonts w:ascii="Arial"/>
                <w:color w:val="auto"/>
                <w:sz w:val="21"/>
                <w:highlight w:val="none"/>
              </w:rPr>
            </w:pPr>
          </w:p>
        </w:tc>
      </w:tr>
      <w:tr w14:paraId="4C9BE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324" w:type="dxa"/>
            <w:vAlign w:val="top"/>
          </w:tcPr>
          <w:p w14:paraId="5A5F256D">
            <w:pPr>
              <w:rPr>
                <w:rFonts w:ascii="Arial"/>
                <w:color w:val="auto"/>
                <w:sz w:val="21"/>
                <w:highlight w:val="none"/>
              </w:rPr>
            </w:pPr>
          </w:p>
        </w:tc>
        <w:tc>
          <w:tcPr>
            <w:tcW w:w="2320" w:type="dxa"/>
            <w:vAlign w:val="top"/>
          </w:tcPr>
          <w:p w14:paraId="6ADE73B9">
            <w:pPr>
              <w:rPr>
                <w:rFonts w:ascii="Arial"/>
                <w:color w:val="auto"/>
                <w:sz w:val="21"/>
                <w:highlight w:val="none"/>
              </w:rPr>
            </w:pPr>
          </w:p>
        </w:tc>
        <w:tc>
          <w:tcPr>
            <w:tcW w:w="2322" w:type="dxa"/>
            <w:vAlign w:val="top"/>
          </w:tcPr>
          <w:p w14:paraId="180C97DB">
            <w:pPr>
              <w:rPr>
                <w:rFonts w:ascii="Arial"/>
                <w:color w:val="auto"/>
                <w:sz w:val="21"/>
                <w:highlight w:val="none"/>
              </w:rPr>
            </w:pPr>
          </w:p>
        </w:tc>
        <w:tc>
          <w:tcPr>
            <w:tcW w:w="2325" w:type="dxa"/>
            <w:vAlign w:val="top"/>
          </w:tcPr>
          <w:p w14:paraId="023F7373">
            <w:pPr>
              <w:rPr>
                <w:rFonts w:ascii="Arial"/>
                <w:color w:val="auto"/>
                <w:sz w:val="21"/>
                <w:highlight w:val="none"/>
              </w:rPr>
            </w:pPr>
          </w:p>
        </w:tc>
      </w:tr>
      <w:tr w14:paraId="4EBD3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19DC5673">
            <w:pPr>
              <w:rPr>
                <w:rFonts w:ascii="Arial"/>
                <w:color w:val="auto"/>
                <w:sz w:val="21"/>
                <w:highlight w:val="none"/>
              </w:rPr>
            </w:pPr>
          </w:p>
        </w:tc>
        <w:tc>
          <w:tcPr>
            <w:tcW w:w="2320" w:type="dxa"/>
            <w:vAlign w:val="top"/>
          </w:tcPr>
          <w:p w14:paraId="67E5AFE7">
            <w:pPr>
              <w:rPr>
                <w:rFonts w:ascii="Arial"/>
                <w:color w:val="auto"/>
                <w:sz w:val="21"/>
                <w:highlight w:val="none"/>
              </w:rPr>
            </w:pPr>
          </w:p>
        </w:tc>
        <w:tc>
          <w:tcPr>
            <w:tcW w:w="2322" w:type="dxa"/>
            <w:vAlign w:val="top"/>
          </w:tcPr>
          <w:p w14:paraId="12FDCD12">
            <w:pPr>
              <w:rPr>
                <w:rFonts w:ascii="Arial"/>
                <w:color w:val="auto"/>
                <w:sz w:val="21"/>
                <w:highlight w:val="none"/>
              </w:rPr>
            </w:pPr>
          </w:p>
        </w:tc>
        <w:tc>
          <w:tcPr>
            <w:tcW w:w="2325" w:type="dxa"/>
            <w:vAlign w:val="top"/>
          </w:tcPr>
          <w:p w14:paraId="3D60D080">
            <w:pPr>
              <w:rPr>
                <w:rFonts w:ascii="Arial"/>
                <w:color w:val="auto"/>
                <w:sz w:val="21"/>
                <w:highlight w:val="none"/>
              </w:rPr>
            </w:pPr>
          </w:p>
        </w:tc>
      </w:tr>
      <w:tr w14:paraId="3BD64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324" w:type="dxa"/>
            <w:vAlign w:val="top"/>
          </w:tcPr>
          <w:p w14:paraId="4CCF0249">
            <w:pPr>
              <w:rPr>
                <w:rFonts w:ascii="Arial"/>
                <w:color w:val="auto"/>
                <w:sz w:val="21"/>
                <w:highlight w:val="none"/>
              </w:rPr>
            </w:pPr>
          </w:p>
        </w:tc>
        <w:tc>
          <w:tcPr>
            <w:tcW w:w="2320" w:type="dxa"/>
            <w:vAlign w:val="top"/>
          </w:tcPr>
          <w:p w14:paraId="5B7B5F57">
            <w:pPr>
              <w:rPr>
                <w:rFonts w:ascii="Arial"/>
                <w:color w:val="auto"/>
                <w:sz w:val="21"/>
                <w:highlight w:val="none"/>
              </w:rPr>
            </w:pPr>
          </w:p>
        </w:tc>
        <w:tc>
          <w:tcPr>
            <w:tcW w:w="2322" w:type="dxa"/>
            <w:vAlign w:val="top"/>
          </w:tcPr>
          <w:p w14:paraId="5FFB6C7D">
            <w:pPr>
              <w:rPr>
                <w:rFonts w:ascii="Arial"/>
                <w:color w:val="auto"/>
                <w:sz w:val="21"/>
                <w:highlight w:val="none"/>
              </w:rPr>
            </w:pPr>
          </w:p>
        </w:tc>
        <w:tc>
          <w:tcPr>
            <w:tcW w:w="2325" w:type="dxa"/>
            <w:vAlign w:val="top"/>
          </w:tcPr>
          <w:p w14:paraId="689E6303">
            <w:pPr>
              <w:rPr>
                <w:rFonts w:ascii="Arial"/>
                <w:color w:val="auto"/>
                <w:sz w:val="21"/>
                <w:highlight w:val="none"/>
              </w:rPr>
            </w:pPr>
          </w:p>
        </w:tc>
      </w:tr>
      <w:tr w14:paraId="25E2C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27078935">
            <w:pPr>
              <w:rPr>
                <w:rFonts w:ascii="Arial"/>
                <w:color w:val="auto"/>
                <w:sz w:val="21"/>
                <w:highlight w:val="none"/>
              </w:rPr>
            </w:pPr>
          </w:p>
        </w:tc>
        <w:tc>
          <w:tcPr>
            <w:tcW w:w="2320" w:type="dxa"/>
            <w:vAlign w:val="top"/>
          </w:tcPr>
          <w:p w14:paraId="03BC2A27">
            <w:pPr>
              <w:rPr>
                <w:rFonts w:ascii="Arial"/>
                <w:color w:val="auto"/>
                <w:sz w:val="21"/>
                <w:highlight w:val="none"/>
              </w:rPr>
            </w:pPr>
          </w:p>
        </w:tc>
        <w:tc>
          <w:tcPr>
            <w:tcW w:w="2322" w:type="dxa"/>
            <w:vAlign w:val="top"/>
          </w:tcPr>
          <w:p w14:paraId="13D158DB">
            <w:pPr>
              <w:rPr>
                <w:rFonts w:ascii="Arial"/>
                <w:color w:val="auto"/>
                <w:sz w:val="21"/>
                <w:highlight w:val="none"/>
              </w:rPr>
            </w:pPr>
          </w:p>
        </w:tc>
        <w:tc>
          <w:tcPr>
            <w:tcW w:w="2325" w:type="dxa"/>
            <w:vAlign w:val="top"/>
          </w:tcPr>
          <w:p w14:paraId="0D8E0E7F">
            <w:pPr>
              <w:rPr>
                <w:rFonts w:ascii="Arial"/>
                <w:color w:val="auto"/>
                <w:sz w:val="21"/>
                <w:highlight w:val="none"/>
              </w:rPr>
            </w:pPr>
          </w:p>
        </w:tc>
      </w:tr>
      <w:tr w14:paraId="21895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14:paraId="2CEC91B8">
            <w:pPr>
              <w:rPr>
                <w:rFonts w:ascii="Arial"/>
                <w:color w:val="auto"/>
                <w:sz w:val="21"/>
                <w:highlight w:val="none"/>
              </w:rPr>
            </w:pPr>
          </w:p>
        </w:tc>
        <w:tc>
          <w:tcPr>
            <w:tcW w:w="2320" w:type="dxa"/>
            <w:vAlign w:val="top"/>
          </w:tcPr>
          <w:p w14:paraId="3BBA6874">
            <w:pPr>
              <w:rPr>
                <w:rFonts w:ascii="Arial"/>
                <w:color w:val="auto"/>
                <w:sz w:val="21"/>
                <w:highlight w:val="none"/>
              </w:rPr>
            </w:pPr>
          </w:p>
        </w:tc>
        <w:tc>
          <w:tcPr>
            <w:tcW w:w="2322" w:type="dxa"/>
            <w:vAlign w:val="top"/>
          </w:tcPr>
          <w:p w14:paraId="56BC2AF8">
            <w:pPr>
              <w:rPr>
                <w:rFonts w:ascii="Arial"/>
                <w:color w:val="auto"/>
                <w:sz w:val="21"/>
                <w:highlight w:val="none"/>
              </w:rPr>
            </w:pPr>
          </w:p>
        </w:tc>
        <w:tc>
          <w:tcPr>
            <w:tcW w:w="2325" w:type="dxa"/>
            <w:vAlign w:val="top"/>
          </w:tcPr>
          <w:p w14:paraId="0EEF1D82">
            <w:pPr>
              <w:rPr>
                <w:rFonts w:ascii="Arial"/>
                <w:color w:val="auto"/>
                <w:sz w:val="21"/>
                <w:highlight w:val="none"/>
              </w:rPr>
            </w:pPr>
          </w:p>
        </w:tc>
      </w:tr>
      <w:tr w14:paraId="71D07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23F37A8C">
            <w:pPr>
              <w:rPr>
                <w:rFonts w:ascii="Arial"/>
                <w:color w:val="auto"/>
                <w:sz w:val="21"/>
                <w:highlight w:val="none"/>
              </w:rPr>
            </w:pPr>
          </w:p>
        </w:tc>
        <w:tc>
          <w:tcPr>
            <w:tcW w:w="2320" w:type="dxa"/>
            <w:vAlign w:val="top"/>
          </w:tcPr>
          <w:p w14:paraId="5E6FB6A8">
            <w:pPr>
              <w:rPr>
                <w:rFonts w:ascii="Arial"/>
                <w:color w:val="auto"/>
                <w:sz w:val="21"/>
                <w:highlight w:val="none"/>
              </w:rPr>
            </w:pPr>
          </w:p>
        </w:tc>
        <w:tc>
          <w:tcPr>
            <w:tcW w:w="2322" w:type="dxa"/>
            <w:vAlign w:val="top"/>
          </w:tcPr>
          <w:p w14:paraId="60592B3F">
            <w:pPr>
              <w:rPr>
                <w:rFonts w:ascii="Arial"/>
                <w:color w:val="auto"/>
                <w:sz w:val="21"/>
                <w:highlight w:val="none"/>
              </w:rPr>
            </w:pPr>
          </w:p>
        </w:tc>
        <w:tc>
          <w:tcPr>
            <w:tcW w:w="2325" w:type="dxa"/>
            <w:vAlign w:val="top"/>
          </w:tcPr>
          <w:p w14:paraId="75C82214">
            <w:pPr>
              <w:rPr>
                <w:rFonts w:ascii="Arial"/>
                <w:color w:val="auto"/>
                <w:sz w:val="21"/>
                <w:highlight w:val="none"/>
              </w:rPr>
            </w:pPr>
          </w:p>
        </w:tc>
      </w:tr>
      <w:tr w14:paraId="01F57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14:paraId="383BF667">
            <w:pPr>
              <w:rPr>
                <w:rFonts w:ascii="Arial"/>
                <w:color w:val="auto"/>
                <w:sz w:val="21"/>
                <w:highlight w:val="none"/>
              </w:rPr>
            </w:pPr>
          </w:p>
        </w:tc>
        <w:tc>
          <w:tcPr>
            <w:tcW w:w="2320" w:type="dxa"/>
            <w:vAlign w:val="top"/>
          </w:tcPr>
          <w:p w14:paraId="1830A4DF">
            <w:pPr>
              <w:rPr>
                <w:rFonts w:ascii="Arial"/>
                <w:color w:val="auto"/>
                <w:sz w:val="21"/>
                <w:highlight w:val="none"/>
              </w:rPr>
            </w:pPr>
          </w:p>
        </w:tc>
        <w:tc>
          <w:tcPr>
            <w:tcW w:w="2322" w:type="dxa"/>
            <w:vAlign w:val="top"/>
          </w:tcPr>
          <w:p w14:paraId="735C7E4A">
            <w:pPr>
              <w:rPr>
                <w:rFonts w:ascii="Arial"/>
                <w:color w:val="auto"/>
                <w:sz w:val="21"/>
                <w:highlight w:val="none"/>
              </w:rPr>
            </w:pPr>
          </w:p>
        </w:tc>
        <w:tc>
          <w:tcPr>
            <w:tcW w:w="2325" w:type="dxa"/>
            <w:vAlign w:val="top"/>
          </w:tcPr>
          <w:p w14:paraId="28D76F76">
            <w:pPr>
              <w:rPr>
                <w:rFonts w:ascii="Arial"/>
                <w:color w:val="auto"/>
                <w:sz w:val="21"/>
                <w:highlight w:val="none"/>
              </w:rPr>
            </w:pPr>
          </w:p>
        </w:tc>
      </w:tr>
      <w:tr w14:paraId="0FCF1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03D20CB7">
            <w:pPr>
              <w:rPr>
                <w:rFonts w:ascii="Arial"/>
                <w:color w:val="auto"/>
                <w:sz w:val="21"/>
                <w:highlight w:val="none"/>
              </w:rPr>
            </w:pPr>
          </w:p>
        </w:tc>
        <w:tc>
          <w:tcPr>
            <w:tcW w:w="2320" w:type="dxa"/>
            <w:vAlign w:val="top"/>
          </w:tcPr>
          <w:p w14:paraId="5B30AA07">
            <w:pPr>
              <w:rPr>
                <w:rFonts w:ascii="Arial"/>
                <w:color w:val="auto"/>
                <w:sz w:val="21"/>
                <w:highlight w:val="none"/>
              </w:rPr>
            </w:pPr>
          </w:p>
        </w:tc>
        <w:tc>
          <w:tcPr>
            <w:tcW w:w="2322" w:type="dxa"/>
            <w:vAlign w:val="top"/>
          </w:tcPr>
          <w:p w14:paraId="0CBB1388">
            <w:pPr>
              <w:rPr>
                <w:rFonts w:ascii="Arial"/>
                <w:color w:val="auto"/>
                <w:sz w:val="21"/>
                <w:highlight w:val="none"/>
              </w:rPr>
            </w:pPr>
          </w:p>
        </w:tc>
        <w:tc>
          <w:tcPr>
            <w:tcW w:w="2325" w:type="dxa"/>
            <w:vAlign w:val="top"/>
          </w:tcPr>
          <w:p w14:paraId="1B5393C8">
            <w:pPr>
              <w:rPr>
                <w:rFonts w:ascii="Arial"/>
                <w:color w:val="auto"/>
                <w:sz w:val="21"/>
                <w:highlight w:val="none"/>
              </w:rPr>
            </w:pPr>
          </w:p>
        </w:tc>
      </w:tr>
      <w:tr w14:paraId="0E97D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14:paraId="20F90FB9">
            <w:pPr>
              <w:rPr>
                <w:rFonts w:ascii="Arial"/>
                <w:color w:val="auto"/>
                <w:sz w:val="21"/>
                <w:highlight w:val="none"/>
              </w:rPr>
            </w:pPr>
          </w:p>
        </w:tc>
        <w:tc>
          <w:tcPr>
            <w:tcW w:w="2320" w:type="dxa"/>
            <w:vAlign w:val="top"/>
          </w:tcPr>
          <w:p w14:paraId="007D050D">
            <w:pPr>
              <w:rPr>
                <w:rFonts w:ascii="Arial"/>
                <w:color w:val="auto"/>
                <w:sz w:val="21"/>
                <w:highlight w:val="none"/>
              </w:rPr>
            </w:pPr>
          </w:p>
        </w:tc>
        <w:tc>
          <w:tcPr>
            <w:tcW w:w="2322" w:type="dxa"/>
            <w:vAlign w:val="top"/>
          </w:tcPr>
          <w:p w14:paraId="2BA1B3CC">
            <w:pPr>
              <w:rPr>
                <w:rFonts w:ascii="Arial"/>
                <w:color w:val="auto"/>
                <w:sz w:val="21"/>
                <w:highlight w:val="none"/>
              </w:rPr>
            </w:pPr>
          </w:p>
        </w:tc>
        <w:tc>
          <w:tcPr>
            <w:tcW w:w="2325" w:type="dxa"/>
            <w:vAlign w:val="top"/>
          </w:tcPr>
          <w:p w14:paraId="7D1FA9F9">
            <w:pPr>
              <w:rPr>
                <w:rFonts w:ascii="Arial"/>
                <w:color w:val="auto"/>
                <w:sz w:val="21"/>
                <w:highlight w:val="none"/>
              </w:rPr>
            </w:pPr>
          </w:p>
        </w:tc>
      </w:tr>
      <w:tr w14:paraId="67F1E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7F0F922F">
            <w:pPr>
              <w:rPr>
                <w:rFonts w:ascii="Arial"/>
                <w:color w:val="auto"/>
                <w:sz w:val="21"/>
                <w:highlight w:val="none"/>
              </w:rPr>
            </w:pPr>
          </w:p>
        </w:tc>
        <w:tc>
          <w:tcPr>
            <w:tcW w:w="2320" w:type="dxa"/>
            <w:vAlign w:val="top"/>
          </w:tcPr>
          <w:p w14:paraId="0D757047">
            <w:pPr>
              <w:rPr>
                <w:rFonts w:ascii="Arial"/>
                <w:color w:val="auto"/>
                <w:sz w:val="21"/>
                <w:highlight w:val="none"/>
              </w:rPr>
            </w:pPr>
          </w:p>
        </w:tc>
        <w:tc>
          <w:tcPr>
            <w:tcW w:w="2322" w:type="dxa"/>
            <w:vAlign w:val="top"/>
          </w:tcPr>
          <w:p w14:paraId="2EF27136">
            <w:pPr>
              <w:rPr>
                <w:rFonts w:ascii="Arial"/>
                <w:color w:val="auto"/>
                <w:sz w:val="21"/>
                <w:highlight w:val="none"/>
              </w:rPr>
            </w:pPr>
          </w:p>
        </w:tc>
        <w:tc>
          <w:tcPr>
            <w:tcW w:w="2325" w:type="dxa"/>
            <w:vAlign w:val="top"/>
          </w:tcPr>
          <w:p w14:paraId="489588CF">
            <w:pPr>
              <w:rPr>
                <w:rFonts w:ascii="Arial"/>
                <w:color w:val="auto"/>
                <w:sz w:val="21"/>
                <w:highlight w:val="none"/>
              </w:rPr>
            </w:pPr>
          </w:p>
        </w:tc>
      </w:tr>
      <w:tr w14:paraId="0697C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14:paraId="03520B15">
            <w:pPr>
              <w:rPr>
                <w:rFonts w:ascii="Arial"/>
                <w:color w:val="auto"/>
                <w:sz w:val="21"/>
                <w:highlight w:val="none"/>
              </w:rPr>
            </w:pPr>
          </w:p>
        </w:tc>
        <w:tc>
          <w:tcPr>
            <w:tcW w:w="2320" w:type="dxa"/>
            <w:vAlign w:val="top"/>
          </w:tcPr>
          <w:p w14:paraId="65600B87">
            <w:pPr>
              <w:rPr>
                <w:rFonts w:ascii="Arial"/>
                <w:color w:val="auto"/>
                <w:sz w:val="21"/>
                <w:highlight w:val="none"/>
              </w:rPr>
            </w:pPr>
          </w:p>
        </w:tc>
        <w:tc>
          <w:tcPr>
            <w:tcW w:w="2322" w:type="dxa"/>
            <w:vAlign w:val="top"/>
          </w:tcPr>
          <w:p w14:paraId="602BFA84">
            <w:pPr>
              <w:rPr>
                <w:rFonts w:ascii="Arial"/>
                <w:color w:val="auto"/>
                <w:sz w:val="21"/>
                <w:highlight w:val="none"/>
              </w:rPr>
            </w:pPr>
          </w:p>
        </w:tc>
        <w:tc>
          <w:tcPr>
            <w:tcW w:w="2325" w:type="dxa"/>
            <w:vAlign w:val="top"/>
          </w:tcPr>
          <w:p w14:paraId="7CA02A5F">
            <w:pPr>
              <w:rPr>
                <w:rFonts w:ascii="Arial"/>
                <w:color w:val="auto"/>
                <w:sz w:val="21"/>
                <w:highlight w:val="none"/>
              </w:rPr>
            </w:pPr>
          </w:p>
        </w:tc>
      </w:tr>
      <w:tr w14:paraId="1AA4D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0D65DCAF">
            <w:pPr>
              <w:rPr>
                <w:rFonts w:ascii="Arial"/>
                <w:color w:val="auto"/>
                <w:sz w:val="21"/>
                <w:highlight w:val="none"/>
              </w:rPr>
            </w:pPr>
          </w:p>
        </w:tc>
        <w:tc>
          <w:tcPr>
            <w:tcW w:w="2320" w:type="dxa"/>
            <w:vAlign w:val="top"/>
          </w:tcPr>
          <w:p w14:paraId="4EEE83E6">
            <w:pPr>
              <w:rPr>
                <w:rFonts w:ascii="Arial"/>
                <w:color w:val="auto"/>
                <w:sz w:val="21"/>
                <w:highlight w:val="none"/>
              </w:rPr>
            </w:pPr>
          </w:p>
        </w:tc>
        <w:tc>
          <w:tcPr>
            <w:tcW w:w="2322" w:type="dxa"/>
            <w:vAlign w:val="top"/>
          </w:tcPr>
          <w:p w14:paraId="38425FEA">
            <w:pPr>
              <w:rPr>
                <w:rFonts w:ascii="Arial"/>
                <w:color w:val="auto"/>
                <w:sz w:val="21"/>
                <w:highlight w:val="none"/>
              </w:rPr>
            </w:pPr>
          </w:p>
        </w:tc>
        <w:tc>
          <w:tcPr>
            <w:tcW w:w="2325" w:type="dxa"/>
            <w:vAlign w:val="top"/>
          </w:tcPr>
          <w:p w14:paraId="7847DEAD">
            <w:pPr>
              <w:rPr>
                <w:rFonts w:ascii="Arial"/>
                <w:color w:val="auto"/>
                <w:sz w:val="21"/>
                <w:highlight w:val="none"/>
              </w:rPr>
            </w:pPr>
          </w:p>
        </w:tc>
      </w:tr>
      <w:tr w14:paraId="655E7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14:paraId="5D95603D">
            <w:pPr>
              <w:rPr>
                <w:rFonts w:ascii="Arial"/>
                <w:color w:val="auto"/>
                <w:sz w:val="21"/>
                <w:highlight w:val="none"/>
              </w:rPr>
            </w:pPr>
          </w:p>
        </w:tc>
        <w:tc>
          <w:tcPr>
            <w:tcW w:w="2320" w:type="dxa"/>
            <w:vAlign w:val="top"/>
          </w:tcPr>
          <w:p w14:paraId="110E62AF">
            <w:pPr>
              <w:rPr>
                <w:rFonts w:ascii="Arial"/>
                <w:color w:val="auto"/>
                <w:sz w:val="21"/>
                <w:highlight w:val="none"/>
              </w:rPr>
            </w:pPr>
          </w:p>
        </w:tc>
        <w:tc>
          <w:tcPr>
            <w:tcW w:w="2322" w:type="dxa"/>
            <w:vAlign w:val="top"/>
          </w:tcPr>
          <w:p w14:paraId="460D3A81">
            <w:pPr>
              <w:rPr>
                <w:rFonts w:ascii="Arial"/>
                <w:color w:val="auto"/>
                <w:sz w:val="21"/>
                <w:highlight w:val="none"/>
              </w:rPr>
            </w:pPr>
          </w:p>
        </w:tc>
        <w:tc>
          <w:tcPr>
            <w:tcW w:w="2325" w:type="dxa"/>
            <w:vAlign w:val="top"/>
          </w:tcPr>
          <w:p w14:paraId="42CE5334">
            <w:pPr>
              <w:rPr>
                <w:rFonts w:ascii="Arial"/>
                <w:color w:val="auto"/>
                <w:sz w:val="21"/>
                <w:highlight w:val="none"/>
              </w:rPr>
            </w:pPr>
          </w:p>
        </w:tc>
      </w:tr>
      <w:tr w14:paraId="26112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3A2A7540">
            <w:pPr>
              <w:rPr>
                <w:rFonts w:ascii="Arial"/>
                <w:color w:val="auto"/>
                <w:sz w:val="21"/>
                <w:highlight w:val="none"/>
              </w:rPr>
            </w:pPr>
          </w:p>
        </w:tc>
        <w:tc>
          <w:tcPr>
            <w:tcW w:w="2320" w:type="dxa"/>
            <w:vAlign w:val="top"/>
          </w:tcPr>
          <w:p w14:paraId="7E1BAF01">
            <w:pPr>
              <w:rPr>
                <w:rFonts w:ascii="Arial"/>
                <w:color w:val="auto"/>
                <w:sz w:val="21"/>
                <w:highlight w:val="none"/>
              </w:rPr>
            </w:pPr>
          </w:p>
        </w:tc>
        <w:tc>
          <w:tcPr>
            <w:tcW w:w="2322" w:type="dxa"/>
            <w:vAlign w:val="top"/>
          </w:tcPr>
          <w:p w14:paraId="49C7B005">
            <w:pPr>
              <w:rPr>
                <w:rFonts w:ascii="Arial"/>
                <w:color w:val="auto"/>
                <w:sz w:val="21"/>
                <w:highlight w:val="none"/>
              </w:rPr>
            </w:pPr>
          </w:p>
        </w:tc>
        <w:tc>
          <w:tcPr>
            <w:tcW w:w="2325" w:type="dxa"/>
            <w:vAlign w:val="top"/>
          </w:tcPr>
          <w:p w14:paraId="388AD85B">
            <w:pPr>
              <w:rPr>
                <w:rFonts w:ascii="Arial"/>
                <w:color w:val="auto"/>
                <w:sz w:val="21"/>
                <w:highlight w:val="none"/>
              </w:rPr>
            </w:pPr>
          </w:p>
        </w:tc>
      </w:tr>
      <w:tr w14:paraId="4A12B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14:paraId="6060833F">
            <w:pPr>
              <w:rPr>
                <w:rFonts w:ascii="Arial"/>
                <w:color w:val="auto"/>
                <w:sz w:val="21"/>
                <w:highlight w:val="none"/>
              </w:rPr>
            </w:pPr>
          </w:p>
        </w:tc>
        <w:tc>
          <w:tcPr>
            <w:tcW w:w="2320" w:type="dxa"/>
            <w:vAlign w:val="top"/>
          </w:tcPr>
          <w:p w14:paraId="6BB56487">
            <w:pPr>
              <w:rPr>
                <w:rFonts w:ascii="Arial"/>
                <w:color w:val="auto"/>
                <w:sz w:val="21"/>
                <w:highlight w:val="none"/>
              </w:rPr>
            </w:pPr>
          </w:p>
        </w:tc>
        <w:tc>
          <w:tcPr>
            <w:tcW w:w="2322" w:type="dxa"/>
            <w:vAlign w:val="top"/>
          </w:tcPr>
          <w:p w14:paraId="20191223">
            <w:pPr>
              <w:rPr>
                <w:rFonts w:ascii="Arial"/>
                <w:color w:val="auto"/>
                <w:sz w:val="21"/>
                <w:highlight w:val="none"/>
              </w:rPr>
            </w:pPr>
          </w:p>
        </w:tc>
        <w:tc>
          <w:tcPr>
            <w:tcW w:w="2325" w:type="dxa"/>
            <w:vAlign w:val="top"/>
          </w:tcPr>
          <w:p w14:paraId="6EA6C4B7">
            <w:pPr>
              <w:rPr>
                <w:rFonts w:ascii="Arial"/>
                <w:color w:val="auto"/>
                <w:sz w:val="21"/>
                <w:highlight w:val="none"/>
              </w:rPr>
            </w:pPr>
          </w:p>
        </w:tc>
      </w:tr>
      <w:tr w14:paraId="7CB34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67DB984E">
            <w:pPr>
              <w:rPr>
                <w:rFonts w:ascii="Arial"/>
                <w:color w:val="auto"/>
                <w:sz w:val="21"/>
                <w:highlight w:val="none"/>
              </w:rPr>
            </w:pPr>
          </w:p>
        </w:tc>
        <w:tc>
          <w:tcPr>
            <w:tcW w:w="2320" w:type="dxa"/>
            <w:vAlign w:val="top"/>
          </w:tcPr>
          <w:p w14:paraId="395A49F3">
            <w:pPr>
              <w:rPr>
                <w:rFonts w:ascii="Arial"/>
                <w:color w:val="auto"/>
                <w:sz w:val="21"/>
                <w:highlight w:val="none"/>
              </w:rPr>
            </w:pPr>
          </w:p>
        </w:tc>
        <w:tc>
          <w:tcPr>
            <w:tcW w:w="2322" w:type="dxa"/>
            <w:vAlign w:val="top"/>
          </w:tcPr>
          <w:p w14:paraId="6616A293">
            <w:pPr>
              <w:rPr>
                <w:rFonts w:ascii="Arial"/>
                <w:color w:val="auto"/>
                <w:sz w:val="21"/>
                <w:highlight w:val="none"/>
              </w:rPr>
            </w:pPr>
          </w:p>
        </w:tc>
        <w:tc>
          <w:tcPr>
            <w:tcW w:w="2325" w:type="dxa"/>
            <w:vAlign w:val="top"/>
          </w:tcPr>
          <w:p w14:paraId="4044AA3E">
            <w:pPr>
              <w:rPr>
                <w:rFonts w:ascii="Arial"/>
                <w:color w:val="auto"/>
                <w:sz w:val="21"/>
                <w:highlight w:val="none"/>
              </w:rPr>
            </w:pPr>
          </w:p>
        </w:tc>
      </w:tr>
    </w:tbl>
    <w:p w14:paraId="7561681B">
      <w:pPr>
        <w:rPr>
          <w:rFonts w:ascii="Arial"/>
          <w:color w:val="auto"/>
          <w:sz w:val="21"/>
          <w:highlight w:val="none"/>
        </w:rPr>
      </w:pPr>
    </w:p>
    <w:p w14:paraId="46B62EDD">
      <w:pPr>
        <w:spacing w:before="64" w:line="224" w:lineRule="auto"/>
        <w:ind w:left="3474"/>
        <w:outlineLvl w:val="2"/>
        <w:rPr>
          <w:rFonts w:ascii="宋体" w:hAnsi="宋体" w:eastAsia="宋体" w:cs="宋体"/>
          <w:color w:val="auto"/>
          <w:sz w:val="31"/>
          <w:szCs w:val="31"/>
          <w:highlight w:val="none"/>
        </w:rPr>
      </w:pPr>
      <w:bookmarkStart w:id="440" w:name="bookmark295"/>
      <w:bookmarkEnd w:id="440"/>
      <w:bookmarkStart w:id="441" w:name="_Toc8921"/>
      <w:r>
        <w:rPr>
          <w:rFonts w:ascii="宋体" w:hAnsi="宋体" w:eastAsia="宋体" w:cs="宋体"/>
          <w:b/>
          <w:bCs/>
          <w:color w:val="auto"/>
          <w:spacing w:val="6"/>
          <w:sz w:val="31"/>
          <w:szCs w:val="31"/>
          <w:highlight w:val="none"/>
        </w:rPr>
        <w:t>七、项目管理机构</w:t>
      </w:r>
      <w:bookmarkEnd w:id="441"/>
    </w:p>
    <w:p w14:paraId="194FB2E6">
      <w:pPr>
        <w:spacing w:before="278" w:line="219" w:lineRule="auto"/>
        <w:ind w:left="47"/>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（一）项目机构组成表</w:t>
      </w:r>
    </w:p>
    <w:p w14:paraId="2FAE514E">
      <w:pPr>
        <w:spacing w:before="14"/>
        <w:rPr>
          <w:color w:val="auto"/>
          <w:highlight w:val="none"/>
        </w:rPr>
      </w:pPr>
    </w:p>
    <w:p w14:paraId="4DFA59F2">
      <w:pPr>
        <w:spacing w:before="14"/>
        <w:rPr>
          <w:color w:val="auto"/>
          <w:highlight w:val="none"/>
        </w:rPr>
      </w:pPr>
    </w:p>
    <w:tbl>
      <w:tblPr>
        <w:tblStyle w:val="29"/>
        <w:tblW w:w="88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070"/>
        <w:gridCol w:w="1080"/>
        <w:gridCol w:w="1144"/>
        <w:gridCol w:w="1144"/>
        <w:gridCol w:w="1142"/>
        <w:gridCol w:w="1144"/>
        <w:gridCol w:w="1447"/>
      </w:tblGrid>
      <w:tr w14:paraId="30C8C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79" w:type="dxa"/>
            <w:vMerge w:val="restart"/>
            <w:tcBorders>
              <w:bottom w:val="nil"/>
            </w:tcBorders>
            <w:vAlign w:val="top"/>
          </w:tcPr>
          <w:p w14:paraId="6649AB44">
            <w:pPr>
              <w:spacing w:line="390" w:lineRule="auto"/>
              <w:rPr>
                <w:rFonts w:ascii="Arial"/>
                <w:color w:val="auto"/>
                <w:sz w:val="21"/>
                <w:highlight w:val="none"/>
              </w:rPr>
            </w:pPr>
          </w:p>
          <w:p w14:paraId="1C59C873">
            <w:pPr>
              <w:pStyle w:val="30"/>
              <w:spacing w:before="68" w:line="221" w:lineRule="auto"/>
              <w:ind w:left="133"/>
              <w:rPr>
                <w:color w:val="auto"/>
                <w:highlight w:val="none"/>
              </w:rPr>
            </w:pPr>
            <w:r>
              <w:rPr>
                <w:color w:val="auto"/>
                <w:spacing w:val="-2"/>
                <w:highlight w:val="none"/>
              </w:rPr>
              <w:t>职务</w:t>
            </w:r>
          </w:p>
        </w:tc>
        <w:tc>
          <w:tcPr>
            <w:tcW w:w="1070" w:type="dxa"/>
            <w:vMerge w:val="restart"/>
            <w:tcBorders>
              <w:bottom w:val="nil"/>
            </w:tcBorders>
            <w:vAlign w:val="top"/>
          </w:tcPr>
          <w:p w14:paraId="7CAE2890">
            <w:pPr>
              <w:spacing w:line="390" w:lineRule="auto"/>
              <w:rPr>
                <w:rFonts w:ascii="Arial"/>
                <w:color w:val="auto"/>
                <w:sz w:val="21"/>
                <w:highlight w:val="none"/>
              </w:rPr>
            </w:pPr>
          </w:p>
          <w:p w14:paraId="4EE61731">
            <w:pPr>
              <w:pStyle w:val="30"/>
              <w:spacing w:before="68" w:line="221" w:lineRule="auto"/>
              <w:ind w:left="327"/>
              <w:rPr>
                <w:color w:val="auto"/>
                <w:highlight w:val="none"/>
              </w:rPr>
            </w:pPr>
            <w:r>
              <w:rPr>
                <w:color w:val="auto"/>
                <w:spacing w:val="-2"/>
                <w:highlight w:val="none"/>
              </w:rPr>
              <w:t>姓名</w:t>
            </w:r>
          </w:p>
        </w:tc>
        <w:tc>
          <w:tcPr>
            <w:tcW w:w="1080" w:type="dxa"/>
            <w:vMerge w:val="restart"/>
            <w:tcBorders>
              <w:bottom w:val="nil"/>
            </w:tcBorders>
            <w:vAlign w:val="top"/>
          </w:tcPr>
          <w:p w14:paraId="4F1D1A9B">
            <w:pPr>
              <w:spacing w:line="390" w:lineRule="auto"/>
              <w:rPr>
                <w:rFonts w:ascii="Arial"/>
                <w:color w:val="auto"/>
                <w:sz w:val="21"/>
                <w:highlight w:val="none"/>
              </w:rPr>
            </w:pPr>
          </w:p>
          <w:p w14:paraId="011C0965">
            <w:pPr>
              <w:pStyle w:val="30"/>
              <w:spacing w:before="68" w:line="223" w:lineRule="auto"/>
              <w:ind w:left="333"/>
              <w:rPr>
                <w:color w:val="auto"/>
                <w:highlight w:val="none"/>
              </w:rPr>
            </w:pPr>
            <w:r>
              <w:rPr>
                <w:color w:val="auto"/>
                <w:spacing w:val="-2"/>
                <w:highlight w:val="none"/>
              </w:rPr>
              <w:t>职称</w:t>
            </w:r>
          </w:p>
        </w:tc>
        <w:tc>
          <w:tcPr>
            <w:tcW w:w="4574" w:type="dxa"/>
            <w:gridSpan w:val="4"/>
            <w:vAlign w:val="top"/>
          </w:tcPr>
          <w:p w14:paraId="1F2679E9">
            <w:pPr>
              <w:pStyle w:val="30"/>
              <w:spacing w:before="175" w:line="221" w:lineRule="auto"/>
              <w:ind w:left="1557"/>
              <w:rPr>
                <w:color w:val="auto"/>
                <w:highlight w:val="none"/>
              </w:rPr>
            </w:pPr>
            <w:r>
              <w:rPr>
                <w:color w:val="auto"/>
                <w:spacing w:val="-1"/>
                <w:highlight w:val="none"/>
              </w:rPr>
              <w:t>执业或职业资格证明</w:t>
            </w:r>
          </w:p>
        </w:tc>
        <w:tc>
          <w:tcPr>
            <w:tcW w:w="1447" w:type="dxa"/>
            <w:vMerge w:val="restart"/>
            <w:tcBorders>
              <w:bottom w:val="nil"/>
            </w:tcBorders>
            <w:vAlign w:val="top"/>
          </w:tcPr>
          <w:p w14:paraId="7C0073F8">
            <w:pPr>
              <w:spacing w:line="390" w:lineRule="auto"/>
              <w:rPr>
                <w:rFonts w:ascii="Arial"/>
                <w:color w:val="auto"/>
                <w:sz w:val="21"/>
                <w:highlight w:val="none"/>
              </w:rPr>
            </w:pPr>
          </w:p>
          <w:p w14:paraId="0BB1A96A">
            <w:pPr>
              <w:pStyle w:val="30"/>
              <w:spacing w:before="69" w:line="222" w:lineRule="auto"/>
              <w:ind w:left="521"/>
              <w:rPr>
                <w:color w:val="auto"/>
                <w:highlight w:val="none"/>
              </w:rPr>
            </w:pPr>
            <w:r>
              <w:rPr>
                <w:color w:val="auto"/>
                <w:spacing w:val="-3"/>
                <w:highlight w:val="none"/>
              </w:rPr>
              <w:t>备注</w:t>
            </w:r>
          </w:p>
        </w:tc>
      </w:tr>
      <w:tr w14:paraId="7F676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Merge w:val="continue"/>
            <w:tcBorders>
              <w:top w:val="nil"/>
            </w:tcBorders>
            <w:vAlign w:val="top"/>
          </w:tcPr>
          <w:p w14:paraId="1F0A042B">
            <w:pPr>
              <w:rPr>
                <w:rFonts w:ascii="Arial"/>
                <w:color w:val="auto"/>
                <w:sz w:val="21"/>
                <w:highlight w:val="none"/>
              </w:rPr>
            </w:pPr>
          </w:p>
        </w:tc>
        <w:tc>
          <w:tcPr>
            <w:tcW w:w="1070" w:type="dxa"/>
            <w:vMerge w:val="continue"/>
            <w:tcBorders>
              <w:top w:val="nil"/>
            </w:tcBorders>
            <w:vAlign w:val="top"/>
          </w:tcPr>
          <w:p w14:paraId="2191D6E6">
            <w:pPr>
              <w:rPr>
                <w:rFonts w:ascii="Arial"/>
                <w:color w:val="auto"/>
                <w:sz w:val="21"/>
                <w:highlight w:val="none"/>
              </w:rPr>
            </w:pPr>
          </w:p>
        </w:tc>
        <w:tc>
          <w:tcPr>
            <w:tcW w:w="1080" w:type="dxa"/>
            <w:vMerge w:val="continue"/>
            <w:tcBorders>
              <w:top w:val="nil"/>
            </w:tcBorders>
            <w:vAlign w:val="top"/>
          </w:tcPr>
          <w:p w14:paraId="76C10E06">
            <w:pPr>
              <w:rPr>
                <w:rFonts w:ascii="Arial"/>
                <w:color w:val="auto"/>
                <w:sz w:val="21"/>
                <w:highlight w:val="none"/>
              </w:rPr>
            </w:pPr>
          </w:p>
        </w:tc>
        <w:tc>
          <w:tcPr>
            <w:tcW w:w="1144" w:type="dxa"/>
            <w:vAlign w:val="top"/>
          </w:tcPr>
          <w:p w14:paraId="7FD19DDB">
            <w:pPr>
              <w:pStyle w:val="30"/>
              <w:spacing w:before="174" w:line="220" w:lineRule="auto"/>
              <w:ind w:left="155"/>
              <w:rPr>
                <w:color w:val="auto"/>
                <w:highlight w:val="none"/>
              </w:rPr>
            </w:pPr>
            <w:r>
              <w:rPr>
                <w:color w:val="auto"/>
                <w:spacing w:val="-2"/>
                <w:highlight w:val="none"/>
              </w:rPr>
              <w:t>证书名称</w:t>
            </w:r>
          </w:p>
        </w:tc>
        <w:tc>
          <w:tcPr>
            <w:tcW w:w="1144" w:type="dxa"/>
            <w:vAlign w:val="top"/>
          </w:tcPr>
          <w:p w14:paraId="1D82C41B">
            <w:pPr>
              <w:pStyle w:val="30"/>
              <w:spacing w:before="174" w:line="221" w:lineRule="auto"/>
              <w:ind w:left="370"/>
              <w:rPr>
                <w:color w:val="auto"/>
                <w:highlight w:val="none"/>
              </w:rPr>
            </w:pPr>
            <w:r>
              <w:rPr>
                <w:color w:val="auto"/>
                <w:spacing w:val="-3"/>
                <w:highlight w:val="none"/>
              </w:rPr>
              <w:t>级别</w:t>
            </w:r>
          </w:p>
        </w:tc>
        <w:tc>
          <w:tcPr>
            <w:tcW w:w="1142" w:type="dxa"/>
            <w:vAlign w:val="top"/>
          </w:tcPr>
          <w:p w14:paraId="0FCF3A86">
            <w:pPr>
              <w:pStyle w:val="30"/>
              <w:spacing w:before="174" w:line="222" w:lineRule="auto"/>
              <w:ind w:left="366"/>
              <w:rPr>
                <w:color w:val="auto"/>
                <w:highlight w:val="none"/>
              </w:rPr>
            </w:pPr>
            <w:r>
              <w:rPr>
                <w:color w:val="auto"/>
                <w:spacing w:val="-2"/>
                <w:highlight w:val="none"/>
              </w:rPr>
              <w:t>证号</w:t>
            </w:r>
          </w:p>
        </w:tc>
        <w:tc>
          <w:tcPr>
            <w:tcW w:w="1144" w:type="dxa"/>
            <w:vAlign w:val="top"/>
          </w:tcPr>
          <w:p w14:paraId="5DB719F9">
            <w:pPr>
              <w:pStyle w:val="30"/>
              <w:spacing w:before="112" w:line="221" w:lineRule="auto"/>
              <w:ind w:left="370"/>
              <w:rPr>
                <w:color w:val="auto"/>
                <w:highlight w:val="none"/>
              </w:rPr>
            </w:pPr>
            <w:r>
              <w:rPr>
                <w:color w:val="auto"/>
                <w:spacing w:val="-2"/>
                <w:highlight w:val="none"/>
              </w:rPr>
              <w:t>专业</w:t>
            </w:r>
          </w:p>
        </w:tc>
        <w:tc>
          <w:tcPr>
            <w:tcW w:w="1447" w:type="dxa"/>
            <w:vMerge w:val="continue"/>
            <w:tcBorders>
              <w:top w:val="nil"/>
            </w:tcBorders>
            <w:vAlign w:val="top"/>
          </w:tcPr>
          <w:p w14:paraId="5407822D">
            <w:pPr>
              <w:rPr>
                <w:rFonts w:ascii="Arial"/>
                <w:color w:val="auto"/>
                <w:sz w:val="21"/>
                <w:highlight w:val="none"/>
              </w:rPr>
            </w:pPr>
          </w:p>
        </w:tc>
      </w:tr>
      <w:tr w14:paraId="124BF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79" w:type="dxa"/>
            <w:vAlign w:val="top"/>
          </w:tcPr>
          <w:p w14:paraId="4F3FA745">
            <w:pPr>
              <w:rPr>
                <w:rFonts w:ascii="Arial"/>
                <w:color w:val="auto"/>
                <w:sz w:val="21"/>
                <w:highlight w:val="none"/>
              </w:rPr>
            </w:pPr>
          </w:p>
        </w:tc>
        <w:tc>
          <w:tcPr>
            <w:tcW w:w="1070" w:type="dxa"/>
            <w:vAlign w:val="top"/>
          </w:tcPr>
          <w:p w14:paraId="6AC3F772">
            <w:pPr>
              <w:rPr>
                <w:rFonts w:ascii="Arial"/>
                <w:color w:val="auto"/>
                <w:sz w:val="21"/>
                <w:highlight w:val="none"/>
              </w:rPr>
            </w:pPr>
          </w:p>
        </w:tc>
        <w:tc>
          <w:tcPr>
            <w:tcW w:w="1080" w:type="dxa"/>
            <w:vAlign w:val="top"/>
          </w:tcPr>
          <w:p w14:paraId="6E71F1C3">
            <w:pPr>
              <w:rPr>
                <w:rFonts w:ascii="Arial"/>
                <w:color w:val="auto"/>
                <w:sz w:val="21"/>
                <w:highlight w:val="none"/>
              </w:rPr>
            </w:pPr>
          </w:p>
        </w:tc>
        <w:tc>
          <w:tcPr>
            <w:tcW w:w="1144" w:type="dxa"/>
            <w:vAlign w:val="top"/>
          </w:tcPr>
          <w:p w14:paraId="1EBC7747">
            <w:pPr>
              <w:rPr>
                <w:rFonts w:ascii="Arial"/>
                <w:color w:val="auto"/>
                <w:sz w:val="21"/>
                <w:highlight w:val="none"/>
              </w:rPr>
            </w:pPr>
          </w:p>
        </w:tc>
        <w:tc>
          <w:tcPr>
            <w:tcW w:w="1144" w:type="dxa"/>
            <w:vAlign w:val="top"/>
          </w:tcPr>
          <w:p w14:paraId="441AAB00">
            <w:pPr>
              <w:rPr>
                <w:rFonts w:ascii="Arial"/>
                <w:color w:val="auto"/>
                <w:sz w:val="21"/>
                <w:highlight w:val="none"/>
              </w:rPr>
            </w:pPr>
          </w:p>
        </w:tc>
        <w:tc>
          <w:tcPr>
            <w:tcW w:w="1142" w:type="dxa"/>
            <w:vAlign w:val="top"/>
          </w:tcPr>
          <w:p w14:paraId="3AE0723E">
            <w:pPr>
              <w:rPr>
                <w:rFonts w:ascii="Arial"/>
                <w:color w:val="auto"/>
                <w:sz w:val="21"/>
                <w:highlight w:val="none"/>
              </w:rPr>
            </w:pPr>
          </w:p>
        </w:tc>
        <w:tc>
          <w:tcPr>
            <w:tcW w:w="1144" w:type="dxa"/>
            <w:vAlign w:val="top"/>
          </w:tcPr>
          <w:p w14:paraId="62EECD54">
            <w:pPr>
              <w:rPr>
                <w:rFonts w:ascii="Arial"/>
                <w:color w:val="auto"/>
                <w:sz w:val="21"/>
                <w:highlight w:val="none"/>
              </w:rPr>
            </w:pPr>
          </w:p>
        </w:tc>
        <w:tc>
          <w:tcPr>
            <w:tcW w:w="1447" w:type="dxa"/>
            <w:vAlign w:val="top"/>
          </w:tcPr>
          <w:p w14:paraId="59664FDA">
            <w:pPr>
              <w:rPr>
                <w:rFonts w:ascii="Arial"/>
                <w:color w:val="auto"/>
                <w:sz w:val="21"/>
                <w:highlight w:val="none"/>
              </w:rPr>
            </w:pPr>
          </w:p>
        </w:tc>
      </w:tr>
      <w:tr w14:paraId="22CC8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14:paraId="001EE4AC">
            <w:pPr>
              <w:rPr>
                <w:rFonts w:ascii="Arial"/>
                <w:color w:val="auto"/>
                <w:sz w:val="21"/>
                <w:highlight w:val="none"/>
              </w:rPr>
            </w:pPr>
          </w:p>
        </w:tc>
        <w:tc>
          <w:tcPr>
            <w:tcW w:w="1070" w:type="dxa"/>
            <w:vAlign w:val="top"/>
          </w:tcPr>
          <w:p w14:paraId="6D333B32">
            <w:pPr>
              <w:rPr>
                <w:rFonts w:ascii="Arial"/>
                <w:color w:val="auto"/>
                <w:sz w:val="21"/>
                <w:highlight w:val="none"/>
              </w:rPr>
            </w:pPr>
          </w:p>
        </w:tc>
        <w:tc>
          <w:tcPr>
            <w:tcW w:w="1080" w:type="dxa"/>
            <w:vAlign w:val="top"/>
          </w:tcPr>
          <w:p w14:paraId="7BF98CFC">
            <w:pPr>
              <w:rPr>
                <w:rFonts w:ascii="Arial"/>
                <w:color w:val="auto"/>
                <w:sz w:val="21"/>
                <w:highlight w:val="none"/>
              </w:rPr>
            </w:pPr>
          </w:p>
        </w:tc>
        <w:tc>
          <w:tcPr>
            <w:tcW w:w="1144" w:type="dxa"/>
            <w:vAlign w:val="top"/>
          </w:tcPr>
          <w:p w14:paraId="01B4AE86">
            <w:pPr>
              <w:rPr>
                <w:rFonts w:ascii="Arial"/>
                <w:color w:val="auto"/>
                <w:sz w:val="21"/>
                <w:highlight w:val="none"/>
              </w:rPr>
            </w:pPr>
          </w:p>
        </w:tc>
        <w:tc>
          <w:tcPr>
            <w:tcW w:w="1144" w:type="dxa"/>
            <w:vAlign w:val="top"/>
          </w:tcPr>
          <w:p w14:paraId="0C96A5A2">
            <w:pPr>
              <w:rPr>
                <w:rFonts w:ascii="Arial"/>
                <w:color w:val="auto"/>
                <w:sz w:val="21"/>
                <w:highlight w:val="none"/>
              </w:rPr>
            </w:pPr>
          </w:p>
        </w:tc>
        <w:tc>
          <w:tcPr>
            <w:tcW w:w="1142" w:type="dxa"/>
            <w:vAlign w:val="top"/>
          </w:tcPr>
          <w:p w14:paraId="79B7E8E1">
            <w:pPr>
              <w:rPr>
                <w:rFonts w:ascii="Arial"/>
                <w:color w:val="auto"/>
                <w:sz w:val="21"/>
                <w:highlight w:val="none"/>
              </w:rPr>
            </w:pPr>
          </w:p>
        </w:tc>
        <w:tc>
          <w:tcPr>
            <w:tcW w:w="1144" w:type="dxa"/>
            <w:vAlign w:val="top"/>
          </w:tcPr>
          <w:p w14:paraId="7D11AA1A">
            <w:pPr>
              <w:rPr>
                <w:rFonts w:ascii="Arial"/>
                <w:color w:val="auto"/>
                <w:sz w:val="21"/>
                <w:highlight w:val="none"/>
              </w:rPr>
            </w:pPr>
          </w:p>
        </w:tc>
        <w:tc>
          <w:tcPr>
            <w:tcW w:w="1447" w:type="dxa"/>
            <w:vAlign w:val="top"/>
          </w:tcPr>
          <w:p w14:paraId="00E30B5E">
            <w:pPr>
              <w:rPr>
                <w:rFonts w:ascii="Arial"/>
                <w:color w:val="auto"/>
                <w:sz w:val="21"/>
                <w:highlight w:val="none"/>
              </w:rPr>
            </w:pPr>
          </w:p>
        </w:tc>
      </w:tr>
      <w:tr w14:paraId="10EA7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14:paraId="2567DB89">
            <w:pPr>
              <w:rPr>
                <w:rFonts w:ascii="Arial"/>
                <w:color w:val="auto"/>
                <w:sz w:val="21"/>
                <w:highlight w:val="none"/>
              </w:rPr>
            </w:pPr>
          </w:p>
        </w:tc>
        <w:tc>
          <w:tcPr>
            <w:tcW w:w="1070" w:type="dxa"/>
            <w:vAlign w:val="top"/>
          </w:tcPr>
          <w:p w14:paraId="50F09BD3">
            <w:pPr>
              <w:rPr>
                <w:rFonts w:ascii="Arial"/>
                <w:color w:val="auto"/>
                <w:sz w:val="21"/>
                <w:highlight w:val="none"/>
              </w:rPr>
            </w:pPr>
          </w:p>
        </w:tc>
        <w:tc>
          <w:tcPr>
            <w:tcW w:w="1080" w:type="dxa"/>
            <w:vAlign w:val="top"/>
          </w:tcPr>
          <w:p w14:paraId="791AFD16">
            <w:pPr>
              <w:rPr>
                <w:rFonts w:ascii="Arial"/>
                <w:color w:val="auto"/>
                <w:sz w:val="21"/>
                <w:highlight w:val="none"/>
              </w:rPr>
            </w:pPr>
          </w:p>
        </w:tc>
        <w:tc>
          <w:tcPr>
            <w:tcW w:w="1144" w:type="dxa"/>
            <w:vAlign w:val="top"/>
          </w:tcPr>
          <w:p w14:paraId="558A1A43">
            <w:pPr>
              <w:rPr>
                <w:rFonts w:ascii="Arial"/>
                <w:color w:val="auto"/>
                <w:sz w:val="21"/>
                <w:highlight w:val="none"/>
              </w:rPr>
            </w:pPr>
          </w:p>
        </w:tc>
        <w:tc>
          <w:tcPr>
            <w:tcW w:w="1144" w:type="dxa"/>
            <w:vAlign w:val="top"/>
          </w:tcPr>
          <w:p w14:paraId="1E738151">
            <w:pPr>
              <w:rPr>
                <w:rFonts w:ascii="Arial"/>
                <w:color w:val="auto"/>
                <w:sz w:val="21"/>
                <w:highlight w:val="none"/>
              </w:rPr>
            </w:pPr>
          </w:p>
        </w:tc>
        <w:tc>
          <w:tcPr>
            <w:tcW w:w="1142" w:type="dxa"/>
            <w:vAlign w:val="top"/>
          </w:tcPr>
          <w:p w14:paraId="78E50776">
            <w:pPr>
              <w:rPr>
                <w:rFonts w:ascii="Arial"/>
                <w:color w:val="auto"/>
                <w:sz w:val="21"/>
                <w:highlight w:val="none"/>
              </w:rPr>
            </w:pPr>
          </w:p>
        </w:tc>
        <w:tc>
          <w:tcPr>
            <w:tcW w:w="1144" w:type="dxa"/>
            <w:vAlign w:val="top"/>
          </w:tcPr>
          <w:p w14:paraId="275938FE">
            <w:pPr>
              <w:rPr>
                <w:rFonts w:ascii="Arial"/>
                <w:color w:val="auto"/>
                <w:sz w:val="21"/>
                <w:highlight w:val="none"/>
              </w:rPr>
            </w:pPr>
          </w:p>
        </w:tc>
        <w:tc>
          <w:tcPr>
            <w:tcW w:w="1447" w:type="dxa"/>
            <w:vAlign w:val="top"/>
          </w:tcPr>
          <w:p w14:paraId="32CB5124">
            <w:pPr>
              <w:rPr>
                <w:rFonts w:ascii="Arial"/>
                <w:color w:val="auto"/>
                <w:sz w:val="21"/>
                <w:highlight w:val="none"/>
              </w:rPr>
            </w:pPr>
          </w:p>
        </w:tc>
      </w:tr>
      <w:tr w14:paraId="5B28F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14:paraId="39760CB4">
            <w:pPr>
              <w:rPr>
                <w:rFonts w:ascii="Arial"/>
                <w:color w:val="auto"/>
                <w:sz w:val="21"/>
                <w:highlight w:val="none"/>
              </w:rPr>
            </w:pPr>
          </w:p>
        </w:tc>
        <w:tc>
          <w:tcPr>
            <w:tcW w:w="1070" w:type="dxa"/>
            <w:vAlign w:val="top"/>
          </w:tcPr>
          <w:p w14:paraId="77E11CED">
            <w:pPr>
              <w:rPr>
                <w:rFonts w:ascii="Arial"/>
                <w:color w:val="auto"/>
                <w:sz w:val="21"/>
                <w:highlight w:val="none"/>
              </w:rPr>
            </w:pPr>
          </w:p>
        </w:tc>
        <w:tc>
          <w:tcPr>
            <w:tcW w:w="1080" w:type="dxa"/>
            <w:vAlign w:val="top"/>
          </w:tcPr>
          <w:p w14:paraId="4AA268DF">
            <w:pPr>
              <w:rPr>
                <w:rFonts w:ascii="Arial"/>
                <w:color w:val="auto"/>
                <w:sz w:val="21"/>
                <w:highlight w:val="none"/>
              </w:rPr>
            </w:pPr>
          </w:p>
        </w:tc>
        <w:tc>
          <w:tcPr>
            <w:tcW w:w="1144" w:type="dxa"/>
            <w:vAlign w:val="top"/>
          </w:tcPr>
          <w:p w14:paraId="3A7D32A1">
            <w:pPr>
              <w:rPr>
                <w:rFonts w:ascii="Arial"/>
                <w:color w:val="auto"/>
                <w:sz w:val="21"/>
                <w:highlight w:val="none"/>
              </w:rPr>
            </w:pPr>
          </w:p>
        </w:tc>
        <w:tc>
          <w:tcPr>
            <w:tcW w:w="1144" w:type="dxa"/>
            <w:vAlign w:val="top"/>
          </w:tcPr>
          <w:p w14:paraId="10089034">
            <w:pPr>
              <w:rPr>
                <w:rFonts w:ascii="Arial"/>
                <w:color w:val="auto"/>
                <w:sz w:val="21"/>
                <w:highlight w:val="none"/>
              </w:rPr>
            </w:pPr>
          </w:p>
        </w:tc>
        <w:tc>
          <w:tcPr>
            <w:tcW w:w="1142" w:type="dxa"/>
            <w:vAlign w:val="top"/>
          </w:tcPr>
          <w:p w14:paraId="098088A4">
            <w:pPr>
              <w:rPr>
                <w:rFonts w:ascii="Arial"/>
                <w:color w:val="auto"/>
                <w:sz w:val="21"/>
                <w:highlight w:val="none"/>
              </w:rPr>
            </w:pPr>
          </w:p>
        </w:tc>
        <w:tc>
          <w:tcPr>
            <w:tcW w:w="1144" w:type="dxa"/>
            <w:vAlign w:val="top"/>
          </w:tcPr>
          <w:p w14:paraId="0A601F30">
            <w:pPr>
              <w:rPr>
                <w:rFonts w:ascii="Arial"/>
                <w:color w:val="auto"/>
                <w:sz w:val="21"/>
                <w:highlight w:val="none"/>
              </w:rPr>
            </w:pPr>
          </w:p>
        </w:tc>
        <w:tc>
          <w:tcPr>
            <w:tcW w:w="1447" w:type="dxa"/>
            <w:vAlign w:val="top"/>
          </w:tcPr>
          <w:p w14:paraId="7A1D3FF8">
            <w:pPr>
              <w:rPr>
                <w:rFonts w:ascii="Arial"/>
                <w:color w:val="auto"/>
                <w:sz w:val="21"/>
                <w:highlight w:val="none"/>
              </w:rPr>
            </w:pPr>
          </w:p>
        </w:tc>
      </w:tr>
      <w:tr w14:paraId="3ADCA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14:paraId="2A852129">
            <w:pPr>
              <w:rPr>
                <w:rFonts w:ascii="Arial"/>
                <w:color w:val="auto"/>
                <w:sz w:val="21"/>
                <w:highlight w:val="none"/>
              </w:rPr>
            </w:pPr>
          </w:p>
        </w:tc>
        <w:tc>
          <w:tcPr>
            <w:tcW w:w="1070" w:type="dxa"/>
            <w:vAlign w:val="top"/>
          </w:tcPr>
          <w:p w14:paraId="6046A80D">
            <w:pPr>
              <w:rPr>
                <w:rFonts w:ascii="Arial"/>
                <w:color w:val="auto"/>
                <w:sz w:val="21"/>
                <w:highlight w:val="none"/>
              </w:rPr>
            </w:pPr>
          </w:p>
        </w:tc>
        <w:tc>
          <w:tcPr>
            <w:tcW w:w="1080" w:type="dxa"/>
            <w:vAlign w:val="top"/>
          </w:tcPr>
          <w:p w14:paraId="45F5AF9A">
            <w:pPr>
              <w:rPr>
                <w:rFonts w:ascii="Arial"/>
                <w:color w:val="auto"/>
                <w:sz w:val="21"/>
                <w:highlight w:val="none"/>
              </w:rPr>
            </w:pPr>
          </w:p>
        </w:tc>
        <w:tc>
          <w:tcPr>
            <w:tcW w:w="1144" w:type="dxa"/>
            <w:vAlign w:val="top"/>
          </w:tcPr>
          <w:p w14:paraId="442824B9">
            <w:pPr>
              <w:rPr>
                <w:rFonts w:ascii="Arial"/>
                <w:color w:val="auto"/>
                <w:sz w:val="21"/>
                <w:highlight w:val="none"/>
              </w:rPr>
            </w:pPr>
          </w:p>
        </w:tc>
        <w:tc>
          <w:tcPr>
            <w:tcW w:w="1144" w:type="dxa"/>
            <w:vAlign w:val="top"/>
          </w:tcPr>
          <w:p w14:paraId="651D9B7A">
            <w:pPr>
              <w:rPr>
                <w:rFonts w:ascii="Arial"/>
                <w:color w:val="auto"/>
                <w:sz w:val="21"/>
                <w:highlight w:val="none"/>
              </w:rPr>
            </w:pPr>
          </w:p>
        </w:tc>
        <w:tc>
          <w:tcPr>
            <w:tcW w:w="1142" w:type="dxa"/>
            <w:vAlign w:val="top"/>
          </w:tcPr>
          <w:p w14:paraId="75C221EA">
            <w:pPr>
              <w:rPr>
                <w:rFonts w:ascii="Arial"/>
                <w:color w:val="auto"/>
                <w:sz w:val="21"/>
                <w:highlight w:val="none"/>
              </w:rPr>
            </w:pPr>
          </w:p>
        </w:tc>
        <w:tc>
          <w:tcPr>
            <w:tcW w:w="1144" w:type="dxa"/>
            <w:vAlign w:val="top"/>
          </w:tcPr>
          <w:p w14:paraId="17349627">
            <w:pPr>
              <w:rPr>
                <w:rFonts w:ascii="Arial"/>
                <w:color w:val="auto"/>
                <w:sz w:val="21"/>
                <w:highlight w:val="none"/>
              </w:rPr>
            </w:pPr>
          </w:p>
        </w:tc>
        <w:tc>
          <w:tcPr>
            <w:tcW w:w="1447" w:type="dxa"/>
            <w:vAlign w:val="top"/>
          </w:tcPr>
          <w:p w14:paraId="0A540B89">
            <w:pPr>
              <w:rPr>
                <w:rFonts w:ascii="Arial"/>
                <w:color w:val="auto"/>
                <w:sz w:val="21"/>
                <w:highlight w:val="none"/>
              </w:rPr>
            </w:pPr>
          </w:p>
        </w:tc>
      </w:tr>
      <w:tr w14:paraId="2A0D0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14:paraId="63C6626B">
            <w:pPr>
              <w:rPr>
                <w:rFonts w:ascii="Arial"/>
                <w:color w:val="auto"/>
                <w:sz w:val="21"/>
                <w:highlight w:val="none"/>
              </w:rPr>
            </w:pPr>
          </w:p>
        </w:tc>
        <w:tc>
          <w:tcPr>
            <w:tcW w:w="1070" w:type="dxa"/>
            <w:vAlign w:val="top"/>
          </w:tcPr>
          <w:p w14:paraId="76809EF8">
            <w:pPr>
              <w:rPr>
                <w:rFonts w:ascii="Arial"/>
                <w:color w:val="auto"/>
                <w:sz w:val="21"/>
                <w:highlight w:val="none"/>
              </w:rPr>
            </w:pPr>
          </w:p>
        </w:tc>
        <w:tc>
          <w:tcPr>
            <w:tcW w:w="1080" w:type="dxa"/>
            <w:vAlign w:val="top"/>
          </w:tcPr>
          <w:p w14:paraId="4D87290B">
            <w:pPr>
              <w:rPr>
                <w:rFonts w:ascii="Arial"/>
                <w:color w:val="auto"/>
                <w:sz w:val="21"/>
                <w:highlight w:val="none"/>
              </w:rPr>
            </w:pPr>
          </w:p>
        </w:tc>
        <w:tc>
          <w:tcPr>
            <w:tcW w:w="1144" w:type="dxa"/>
            <w:vAlign w:val="top"/>
          </w:tcPr>
          <w:p w14:paraId="3934F2BD">
            <w:pPr>
              <w:rPr>
                <w:rFonts w:ascii="Arial"/>
                <w:color w:val="auto"/>
                <w:sz w:val="21"/>
                <w:highlight w:val="none"/>
              </w:rPr>
            </w:pPr>
          </w:p>
        </w:tc>
        <w:tc>
          <w:tcPr>
            <w:tcW w:w="1144" w:type="dxa"/>
            <w:vAlign w:val="top"/>
          </w:tcPr>
          <w:p w14:paraId="01FDD09C">
            <w:pPr>
              <w:rPr>
                <w:rFonts w:ascii="Arial"/>
                <w:color w:val="auto"/>
                <w:sz w:val="21"/>
                <w:highlight w:val="none"/>
              </w:rPr>
            </w:pPr>
          </w:p>
        </w:tc>
        <w:tc>
          <w:tcPr>
            <w:tcW w:w="1142" w:type="dxa"/>
            <w:vAlign w:val="top"/>
          </w:tcPr>
          <w:p w14:paraId="43561519">
            <w:pPr>
              <w:rPr>
                <w:rFonts w:ascii="Arial"/>
                <w:color w:val="auto"/>
                <w:sz w:val="21"/>
                <w:highlight w:val="none"/>
              </w:rPr>
            </w:pPr>
          </w:p>
        </w:tc>
        <w:tc>
          <w:tcPr>
            <w:tcW w:w="1144" w:type="dxa"/>
            <w:vAlign w:val="top"/>
          </w:tcPr>
          <w:p w14:paraId="7D22ABDA">
            <w:pPr>
              <w:rPr>
                <w:rFonts w:ascii="Arial"/>
                <w:color w:val="auto"/>
                <w:sz w:val="21"/>
                <w:highlight w:val="none"/>
              </w:rPr>
            </w:pPr>
          </w:p>
        </w:tc>
        <w:tc>
          <w:tcPr>
            <w:tcW w:w="1447" w:type="dxa"/>
            <w:vAlign w:val="top"/>
          </w:tcPr>
          <w:p w14:paraId="0C13DD5E">
            <w:pPr>
              <w:rPr>
                <w:rFonts w:ascii="Arial"/>
                <w:color w:val="auto"/>
                <w:sz w:val="21"/>
                <w:highlight w:val="none"/>
              </w:rPr>
            </w:pPr>
          </w:p>
        </w:tc>
      </w:tr>
      <w:tr w14:paraId="6993D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14:paraId="10025EB6">
            <w:pPr>
              <w:rPr>
                <w:rFonts w:ascii="Arial"/>
                <w:color w:val="auto"/>
                <w:sz w:val="21"/>
                <w:highlight w:val="none"/>
              </w:rPr>
            </w:pPr>
          </w:p>
        </w:tc>
        <w:tc>
          <w:tcPr>
            <w:tcW w:w="1070" w:type="dxa"/>
            <w:vAlign w:val="top"/>
          </w:tcPr>
          <w:p w14:paraId="1005AA84">
            <w:pPr>
              <w:rPr>
                <w:rFonts w:ascii="Arial"/>
                <w:color w:val="auto"/>
                <w:sz w:val="21"/>
                <w:highlight w:val="none"/>
              </w:rPr>
            </w:pPr>
          </w:p>
        </w:tc>
        <w:tc>
          <w:tcPr>
            <w:tcW w:w="1080" w:type="dxa"/>
            <w:vAlign w:val="top"/>
          </w:tcPr>
          <w:p w14:paraId="0BB21E33">
            <w:pPr>
              <w:rPr>
                <w:rFonts w:ascii="Arial"/>
                <w:color w:val="auto"/>
                <w:sz w:val="21"/>
                <w:highlight w:val="none"/>
              </w:rPr>
            </w:pPr>
          </w:p>
        </w:tc>
        <w:tc>
          <w:tcPr>
            <w:tcW w:w="1144" w:type="dxa"/>
            <w:vAlign w:val="top"/>
          </w:tcPr>
          <w:p w14:paraId="0C7B8815">
            <w:pPr>
              <w:rPr>
                <w:rFonts w:ascii="Arial"/>
                <w:color w:val="auto"/>
                <w:sz w:val="21"/>
                <w:highlight w:val="none"/>
              </w:rPr>
            </w:pPr>
          </w:p>
        </w:tc>
        <w:tc>
          <w:tcPr>
            <w:tcW w:w="1144" w:type="dxa"/>
            <w:vAlign w:val="top"/>
          </w:tcPr>
          <w:p w14:paraId="47701F4D">
            <w:pPr>
              <w:rPr>
                <w:rFonts w:ascii="Arial"/>
                <w:color w:val="auto"/>
                <w:sz w:val="21"/>
                <w:highlight w:val="none"/>
              </w:rPr>
            </w:pPr>
          </w:p>
        </w:tc>
        <w:tc>
          <w:tcPr>
            <w:tcW w:w="1142" w:type="dxa"/>
            <w:vAlign w:val="top"/>
          </w:tcPr>
          <w:p w14:paraId="702E0B63">
            <w:pPr>
              <w:rPr>
                <w:rFonts w:ascii="Arial"/>
                <w:color w:val="auto"/>
                <w:sz w:val="21"/>
                <w:highlight w:val="none"/>
              </w:rPr>
            </w:pPr>
          </w:p>
        </w:tc>
        <w:tc>
          <w:tcPr>
            <w:tcW w:w="1144" w:type="dxa"/>
            <w:vAlign w:val="top"/>
          </w:tcPr>
          <w:p w14:paraId="6E3214C5">
            <w:pPr>
              <w:rPr>
                <w:rFonts w:ascii="Arial"/>
                <w:color w:val="auto"/>
                <w:sz w:val="21"/>
                <w:highlight w:val="none"/>
              </w:rPr>
            </w:pPr>
          </w:p>
        </w:tc>
        <w:tc>
          <w:tcPr>
            <w:tcW w:w="1447" w:type="dxa"/>
            <w:vAlign w:val="top"/>
          </w:tcPr>
          <w:p w14:paraId="3380BFE9">
            <w:pPr>
              <w:rPr>
                <w:rFonts w:ascii="Arial"/>
                <w:color w:val="auto"/>
                <w:sz w:val="21"/>
                <w:highlight w:val="none"/>
              </w:rPr>
            </w:pPr>
          </w:p>
        </w:tc>
      </w:tr>
      <w:tr w14:paraId="39B78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14:paraId="43FF1C1D">
            <w:pPr>
              <w:rPr>
                <w:rFonts w:ascii="Arial"/>
                <w:color w:val="auto"/>
                <w:sz w:val="21"/>
                <w:highlight w:val="none"/>
              </w:rPr>
            </w:pPr>
          </w:p>
        </w:tc>
        <w:tc>
          <w:tcPr>
            <w:tcW w:w="1070" w:type="dxa"/>
            <w:vAlign w:val="top"/>
          </w:tcPr>
          <w:p w14:paraId="2FB5D7A4">
            <w:pPr>
              <w:rPr>
                <w:rFonts w:ascii="Arial"/>
                <w:color w:val="auto"/>
                <w:sz w:val="21"/>
                <w:highlight w:val="none"/>
              </w:rPr>
            </w:pPr>
          </w:p>
        </w:tc>
        <w:tc>
          <w:tcPr>
            <w:tcW w:w="1080" w:type="dxa"/>
            <w:vAlign w:val="top"/>
          </w:tcPr>
          <w:p w14:paraId="0FB03847">
            <w:pPr>
              <w:rPr>
                <w:rFonts w:ascii="Arial"/>
                <w:color w:val="auto"/>
                <w:sz w:val="21"/>
                <w:highlight w:val="none"/>
              </w:rPr>
            </w:pPr>
          </w:p>
        </w:tc>
        <w:tc>
          <w:tcPr>
            <w:tcW w:w="1144" w:type="dxa"/>
            <w:vAlign w:val="top"/>
          </w:tcPr>
          <w:p w14:paraId="6D968858">
            <w:pPr>
              <w:rPr>
                <w:rFonts w:ascii="Arial"/>
                <w:color w:val="auto"/>
                <w:sz w:val="21"/>
                <w:highlight w:val="none"/>
              </w:rPr>
            </w:pPr>
          </w:p>
        </w:tc>
        <w:tc>
          <w:tcPr>
            <w:tcW w:w="1144" w:type="dxa"/>
            <w:vAlign w:val="top"/>
          </w:tcPr>
          <w:p w14:paraId="6DBE30E4">
            <w:pPr>
              <w:rPr>
                <w:rFonts w:ascii="Arial"/>
                <w:color w:val="auto"/>
                <w:sz w:val="21"/>
                <w:highlight w:val="none"/>
              </w:rPr>
            </w:pPr>
          </w:p>
        </w:tc>
        <w:tc>
          <w:tcPr>
            <w:tcW w:w="1142" w:type="dxa"/>
            <w:vAlign w:val="top"/>
          </w:tcPr>
          <w:p w14:paraId="29D146B1">
            <w:pPr>
              <w:rPr>
                <w:rFonts w:ascii="Arial"/>
                <w:color w:val="auto"/>
                <w:sz w:val="21"/>
                <w:highlight w:val="none"/>
              </w:rPr>
            </w:pPr>
          </w:p>
        </w:tc>
        <w:tc>
          <w:tcPr>
            <w:tcW w:w="1144" w:type="dxa"/>
            <w:vAlign w:val="top"/>
          </w:tcPr>
          <w:p w14:paraId="2AFC330A">
            <w:pPr>
              <w:rPr>
                <w:rFonts w:ascii="Arial"/>
                <w:color w:val="auto"/>
                <w:sz w:val="21"/>
                <w:highlight w:val="none"/>
              </w:rPr>
            </w:pPr>
          </w:p>
        </w:tc>
        <w:tc>
          <w:tcPr>
            <w:tcW w:w="1447" w:type="dxa"/>
            <w:vAlign w:val="top"/>
          </w:tcPr>
          <w:p w14:paraId="0A9B258E">
            <w:pPr>
              <w:rPr>
                <w:rFonts w:ascii="Arial"/>
                <w:color w:val="auto"/>
                <w:sz w:val="21"/>
                <w:highlight w:val="none"/>
              </w:rPr>
            </w:pPr>
          </w:p>
        </w:tc>
      </w:tr>
      <w:tr w14:paraId="624CE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14:paraId="3BC87199">
            <w:pPr>
              <w:rPr>
                <w:rFonts w:ascii="Arial"/>
                <w:color w:val="auto"/>
                <w:sz w:val="21"/>
                <w:highlight w:val="none"/>
              </w:rPr>
            </w:pPr>
          </w:p>
        </w:tc>
        <w:tc>
          <w:tcPr>
            <w:tcW w:w="1070" w:type="dxa"/>
            <w:vAlign w:val="top"/>
          </w:tcPr>
          <w:p w14:paraId="168A3879">
            <w:pPr>
              <w:rPr>
                <w:rFonts w:ascii="Arial"/>
                <w:color w:val="auto"/>
                <w:sz w:val="21"/>
                <w:highlight w:val="none"/>
              </w:rPr>
            </w:pPr>
          </w:p>
        </w:tc>
        <w:tc>
          <w:tcPr>
            <w:tcW w:w="1080" w:type="dxa"/>
            <w:vAlign w:val="top"/>
          </w:tcPr>
          <w:p w14:paraId="700E9424">
            <w:pPr>
              <w:rPr>
                <w:rFonts w:ascii="Arial"/>
                <w:color w:val="auto"/>
                <w:sz w:val="21"/>
                <w:highlight w:val="none"/>
              </w:rPr>
            </w:pPr>
          </w:p>
        </w:tc>
        <w:tc>
          <w:tcPr>
            <w:tcW w:w="1144" w:type="dxa"/>
            <w:vAlign w:val="top"/>
          </w:tcPr>
          <w:p w14:paraId="3E05D7B9">
            <w:pPr>
              <w:rPr>
                <w:rFonts w:ascii="Arial"/>
                <w:color w:val="auto"/>
                <w:sz w:val="21"/>
                <w:highlight w:val="none"/>
              </w:rPr>
            </w:pPr>
          </w:p>
        </w:tc>
        <w:tc>
          <w:tcPr>
            <w:tcW w:w="1144" w:type="dxa"/>
            <w:vAlign w:val="top"/>
          </w:tcPr>
          <w:p w14:paraId="73907322">
            <w:pPr>
              <w:rPr>
                <w:rFonts w:ascii="Arial"/>
                <w:color w:val="auto"/>
                <w:sz w:val="21"/>
                <w:highlight w:val="none"/>
              </w:rPr>
            </w:pPr>
          </w:p>
        </w:tc>
        <w:tc>
          <w:tcPr>
            <w:tcW w:w="1142" w:type="dxa"/>
            <w:vAlign w:val="top"/>
          </w:tcPr>
          <w:p w14:paraId="7DFD0B5A">
            <w:pPr>
              <w:rPr>
                <w:rFonts w:ascii="Arial"/>
                <w:color w:val="auto"/>
                <w:sz w:val="21"/>
                <w:highlight w:val="none"/>
              </w:rPr>
            </w:pPr>
          </w:p>
        </w:tc>
        <w:tc>
          <w:tcPr>
            <w:tcW w:w="1144" w:type="dxa"/>
            <w:vAlign w:val="top"/>
          </w:tcPr>
          <w:p w14:paraId="50B1475F">
            <w:pPr>
              <w:rPr>
                <w:rFonts w:ascii="Arial"/>
                <w:color w:val="auto"/>
                <w:sz w:val="21"/>
                <w:highlight w:val="none"/>
              </w:rPr>
            </w:pPr>
          </w:p>
        </w:tc>
        <w:tc>
          <w:tcPr>
            <w:tcW w:w="1447" w:type="dxa"/>
            <w:vAlign w:val="top"/>
          </w:tcPr>
          <w:p w14:paraId="06E702E7">
            <w:pPr>
              <w:rPr>
                <w:rFonts w:ascii="Arial"/>
                <w:color w:val="auto"/>
                <w:sz w:val="21"/>
                <w:highlight w:val="none"/>
              </w:rPr>
            </w:pPr>
          </w:p>
        </w:tc>
      </w:tr>
      <w:tr w14:paraId="179AA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14:paraId="222ABE17">
            <w:pPr>
              <w:rPr>
                <w:rFonts w:ascii="Arial"/>
                <w:color w:val="auto"/>
                <w:sz w:val="21"/>
                <w:highlight w:val="none"/>
              </w:rPr>
            </w:pPr>
          </w:p>
        </w:tc>
        <w:tc>
          <w:tcPr>
            <w:tcW w:w="1070" w:type="dxa"/>
            <w:vAlign w:val="top"/>
          </w:tcPr>
          <w:p w14:paraId="5A37DB57">
            <w:pPr>
              <w:rPr>
                <w:rFonts w:ascii="Arial"/>
                <w:color w:val="auto"/>
                <w:sz w:val="21"/>
                <w:highlight w:val="none"/>
              </w:rPr>
            </w:pPr>
          </w:p>
        </w:tc>
        <w:tc>
          <w:tcPr>
            <w:tcW w:w="1080" w:type="dxa"/>
            <w:vAlign w:val="top"/>
          </w:tcPr>
          <w:p w14:paraId="3098E2E6">
            <w:pPr>
              <w:rPr>
                <w:rFonts w:ascii="Arial"/>
                <w:color w:val="auto"/>
                <w:sz w:val="21"/>
                <w:highlight w:val="none"/>
              </w:rPr>
            </w:pPr>
          </w:p>
        </w:tc>
        <w:tc>
          <w:tcPr>
            <w:tcW w:w="1144" w:type="dxa"/>
            <w:vAlign w:val="top"/>
          </w:tcPr>
          <w:p w14:paraId="048FC04C">
            <w:pPr>
              <w:rPr>
                <w:rFonts w:ascii="Arial"/>
                <w:color w:val="auto"/>
                <w:sz w:val="21"/>
                <w:highlight w:val="none"/>
              </w:rPr>
            </w:pPr>
          </w:p>
        </w:tc>
        <w:tc>
          <w:tcPr>
            <w:tcW w:w="1144" w:type="dxa"/>
            <w:vAlign w:val="top"/>
          </w:tcPr>
          <w:p w14:paraId="1A03FC63">
            <w:pPr>
              <w:rPr>
                <w:rFonts w:ascii="Arial"/>
                <w:color w:val="auto"/>
                <w:sz w:val="21"/>
                <w:highlight w:val="none"/>
              </w:rPr>
            </w:pPr>
          </w:p>
        </w:tc>
        <w:tc>
          <w:tcPr>
            <w:tcW w:w="1142" w:type="dxa"/>
            <w:vAlign w:val="top"/>
          </w:tcPr>
          <w:p w14:paraId="3E250232">
            <w:pPr>
              <w:rPr>
                <w:rFonts w:ascii="Arial"/>
                <w:color w:val="auto"/>
                <w:sz w:val="21"/>
                <w:highlight w:val="none"/>
              </w:rPr>
            </w:pPr>
          </w:p>
        </w:tc>
        <w:tc>
          <w:tcPr>
            <w:tcW w:w="1144" w:type="dxa"/>
            <w:vAlign w:val="top"/>
          </w:tcPr>
          <w:p w14:paraId="07C89E44">
            <w:pPr>
              <w:rPr>
                <w:rFonts w:ascii="Arial"/>
                <w:color w:val="auto"/>
                <w:sz w:val="21"/>
                <w:highlight w:val="none"/>
              </w:rPr>
            </w:pPr>
          </w:p>
        </w:tc>
        <w:tc>
          <w:tcPr>
            <w:tcW w:w="1447" w:type="dxa"/>
            <w:vAlign w:val="top"/>
          </w:tcPr>
          <w:p w14:paraId="156A94B4">
            <w:pPr>
              <w:rPr>
                <w:rFonts w:ascii="Arial"/>
                <w:color w:val="auto"/>
                <w:sz w:val="21"/>
                <w:highlight w:val="none"/>
              </w:rPr>
            </w:pPr>
          </w:p>
        </w:tc>
      </w:tr>
      <w:tr w14:paraId="1068A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14:paraId="6E76FFF0">
            <w:pPr>
              <w:rPr>
                <w:rFonts w:ascii="Arial"/>
                <w:color w:val="auto"/>
                <w:sz w:val="21"/>
                <w:highlight w:val="none"/>
              </w:rPr>
            </w:pPr>
          </w:p>
        </w:tc>
        <w:tc>
          <w:tcPr>
            <w:tcW w:w="1070" w:type="dxa"/>
            <w:vAlign w:val="top"/>
          </w:tcPr>
          <w:p w14:paraId="2E6DB89F">
            <w:pPr>
              <w:rPr>
                <w:rFonts w:ascii="Arial"/>
                <w:color w:val="auto"/>
                <w:sz w:val="21"/>
                <w:highlight w:val="none"/>
              </w:rPr>
            </w:pPr>
          </w:p>
        </w:tc>
        <w:tc>
          <w:tcPr>
            <w:tcW w:w="1080" w:type="dxa"/>
            <w:vAlign w:val="top"/>
          </w:tcPr>
          <w:p w14:paraId="5DCFF522">
            <w:pPr>
              <w:rPr>
                <w:rFonts w:ascii="Arial"/>
                <w:color w:val="auto"/>
                <w:sz w:val="21"/>
                <w:highlight w:val="none"/>
              </w:rPr>
            </w:pPr>
          </w:p>
        </w:tc>
        <w:tc>
          <w:tcPr>
            <w:tcW w:w="1144" w:type="dxa"/>
            <w:vAlign w:val="top"/>
          </w:tcPr>
          <w:p w14:paraId="49710601">
            <w:pPr>
              <w:rPr>
                <w:rFonts w:ascii="Arial"/>
                <w:color w:val="auto"/>
                <w:sz w:val="21"/>
                <w:highlight w:val="none"/>
              </w:rPr>
            </w:pPr>
          </w:p>
        </w:tc>
        <w:tc>
          <w:tcPr>
            <w:tcW w:w="1144" w:type="dxa"/>
            <w:vAlign w:val="top"/>
          </w:tcPr>
          <w:p w14:paraId="26A9EE0E">
            <w:pPr>
              <w:rPr>
                <w:rFonts w:ascii="Arial"/>
                <w:color w:val="auto"/>
                <w:sz w:val="21"/>
                <w:highlight w:val="none"/>
              </w:rPr>
            </w:pPr>
          </w:p>
        </w:tc>
        <w:tc>
          <w:tcPr>
            <w:tcW w:w="1142" w:type="dxa"/>
            <w:vAlign w:val="top"/>
          </w:tcPr>
          <w:p w14:paraId="3DC01853">
            <w:pPr>
              <w:rPr>
                <w:rFonts w:ascii="Arial"/>
                <w:color w:val="auto"/>
                <w:sz w:val="21"/>
                <w:highlight w:val="none"/>
              </w:rPr>
            </w:pPr>
          </w:p>
        </w:tc>
        <w:tc>
          <w:tcPr>
            <w:tcW w:w="1144" w:type="dxa"/>
            <w:vAlign w:val="top"/>
          </w:tcPr>
          <w:p w14:paraId="25ECD087">
            <w:pPr>
              <w:rPr>
                <w:rFonts w:ascii="Arial"/>
                <w:color w:val="auto"/>
                <w:sz w:val="21"/>
                <w:highlight w:val="none"/>
              </w:rPr>
            </w:pPr>
          </w:p>
        </w:tc>
        <w:tc>
          <w:tcPr>
            <w:tcW w:w="1447" w:type="dxa"/>
            <w:vAlign w:val="top"/>
          </w:tcPr>
          <w:p w14:paraId="7D38F324">
            <w:pPr>
              <w:rPr>
                <w:rFonts w:ascii="Arial"/>
                <w:color w:val="auto"/>
                <w:sz w:val="21"/>
                <w:highlight w:val="none"/>
              </w:rPr>
            </w:pPr>
          </w:p>
        </w:tc>
      </w:tr>
      <w:tr w14:paraId="0B637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14:paraId="7A1BC8F6">
            <w:pPr>
              <w:rPr>
                <w:rFonts w:ascii="Arial"/>
                <w:color w:val="auto"/>
                <w:sz w:val="21"/>
                <w:highlight w:val="none"/>
              </w:rPr>
            </w:pPr>
          </w:p>
        </w:tc>
        <w:tc>
          <w:tcPr>
            <w:tcW w:w="1070" w:type="dxa"/>
            <w:vAlign w:val="top"/>
          </w:tcPr>
          <w:p w14:paraId="0613F2E6">
            <w:pPr>
              <w:rPr>
                <w:rFonts w:ascii="Arial"/>
                <w:color w:val="auto"/>
                <w:sz w:val="21"/>
                <w:highlight w:val="none"/>
              </w:rPr>
            </w:pPr>
          </w:p>
        </w:tc>
        <w:tc>
          <w:tcPr>
            <w:tcW w:w="1080" w:type="dxa"/>
            <w:vAlign w:val="top"/>
          </w:tcPr>
          <w:p w14:paraId="75830017">
            <w:pPr>
              <w:rPr>
                <w:rFonts w:ascii="Arial"/>
                <w:color w:val="auto"/>
                <w:sz w:val="21"/>
                <w:highlight w:val="none"/>
              </w:rPr>
            </w:pPr>
          </w:p>
        </w:tc>
        <w:tc>
          <w:tcPr>
            <w:tcW w:w="1144" w:type="dxa"/>
            <w:vAlign w:val="top"/>
          </w:tcPr>
          <w:p w14:paraId="52742FA3">
            <w:pPr>
              <w:rPr>
                <w:rFonts w:ascii="Arial"/>
                <w:color w:val="auto"/>
                <w:sz w:val="21"/>
                <w:highlight w:val="none"/>
              </w:rPr>
            </w:pPr>
          </w:p>
        </w:tc>
        <w:tc>
          <w:tcPr>
            <w:tcW w:w="1144" w:type="dxa"/>
            <w:vAlign w:val="top"/>
          </w:tcPr>
          <w:p w14:paraId="78DE5807">
            <w:pPr>
              <w:rPr>
                <w:rFonts w:ascii="Arial"/>
                <w:color w:val="auto"/>
                <w:sz w:val="21"/>
                <w:highlight w:val="none"/>
              </w:rPr>
            </w:pPr>
          </w:p>
        </w:tc>
        <w:tc>
          <w:tcPr>
            <w:tcW w:w="1142" w:type="dxa"/>
            <w:vAlign w:val="top"/>
          </w:tcPr>
          <w:p w14:paraId="4C31CEC5">
            <w:pPr>
              <w:rPr>
                <w:rFonts w:ascii="Arial"/>
                <w:color w:val="auto"/>
                <w:sz w:val="21"/>
                <w:highlight w:val="none"/>
              </w:rPr>
            </w:pPr>
          </w:p>
        </w:tc>
        <w:tc>
          <w:tcPr>
            <w:tcW w:w="1144" w:type="dxa"/>
            <w:vAlign w:val="top"/>
          </w:tcPr>
          <w:p w14:paraId="32D31426">
            <w:pPr>
              <w:rPr>
                <w:rFonts w:ascii="Arial"/>
                <w:color w:val="auto"/>
                <w:sz w:val="21"/>
                <w:highlight w:val="none"/>
              </w:rPr>
            </w:pPr>
          </w:p>
        </w:tc>
        <w:tc>
          <w:tcPr>
            <w:tcW w:w="1447" w:type="dxa"/>
            <w:vAlign w:val="top"/>
          </w:tcPr>
          <w:p w14:paraId="450B7A4F">
            <w:pPr>
              <w:rPr>
                <w:rFonts w:ascii="Arial"/>
                <w:color w:val="auto"/>
                <w:sz w:val="21"/>
                <w:highlight w:val="none"/>
              </w:rPr>
            </w:pPr>
          </w:p>
        </w:tc>
      </w:tr>
      <w:tr w14:paraId="6A792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14:paraId="3E5394AD">
            <w:pPr>
              <w:rPr>
                <w:rFonts w:ascii="Arial"/>
                <w:color w:val="auto"/>
                <w:sz w:val="21"/>
                <w:highlight w:val="none"/>
              </w:rPr>
            </w:pPr>
          </w:p>
        </w:tc>
        <w:tc>
          <w:tcPr>
            <w:tcW w:w="1070" w:type="dxa"/>
            <w:vAlign w:val="top"/>
          </w:tcPr>
          <w:p w14:paraId="2578260B">
            <w:pPr>
              <w:rPr>
                <w:rFonts w:ascii="Arial"/>
                <w:color w:val="auto"/>
                <w:sz w:val="21"/>
                <w:highlight w:val="none"/>
              </w:rPr>
            </w:pPr>
          </w:p>
        </w:tc>
        <w:tc>
          <w:tcPr>
            <w:tcW w:w="1080" w:type="dxa"/>
            <w:vAlign w:val="top"/>
          </w:tcPr>
          <w:p w14:paraId="37FC45AF">
            <w:pPr>
              <w:rPr>
                <w:rFonts w:ascii="Arial"/>
                <w:color w:val="auto"/>
                <w:sz w:val="21"/>
                <w:highlight w:val="none"/>
              </w:rPr>
            </w:pPr>
          </w:p>
        </w:tc>
        <w:tc>
          <w:tcPr>
            <w:tcW w:w="1144" w:type="dxa"/>
            <w:vAlign w:val="top"/>
          </w:tcPr>
          <w:p w14:paraId="45E66443">
            <w:pPr>
              <w:rPr>
                <w:rFonts w:ascii="Arial"/>
                <w:color w:val="auto"/>
                <w:sz w:val="21"/>
                <w:highlight w:val="none"/>
              </w:rPr>
            </w:pPr>
          </w:p>
        </w:tc>
        <w:tc>
          <w:tcPr>
            <w:tcW w:w="1144" w:type="dxa"/>
            <w:vAlign w:val="top"/>
          </w:tcPr>
          <w:p w14:paraId="57C9B9A9">
            <w:pPr>
              <w:rPr>
                <w:rFonts w:ascii="Arial"/>
                <w:color w:val="auto"/>
                <w:sz w:val="21"/>
                <w:highlight w:val="none"/>
              </w:rPr>
            </w:pPr>
          </w:p>
        </w:tc>
        <w:tc>
          <w:tcPr>
            <w:tcW w:w="1142" w:type="dxa"/>
            <w:vAlign w:val="top"/>
          </w:tcPr>
          <w:p w14:paraId="17A73291">
            <w:pPr>
              <w:rPr>
                <w:rFonts w:ascii="Arial"/>
                <w:color w:val="auto"/>
                <w:sz w:val="21"/>
                <w:highlight w:val="none"/>
              </w:rPr>
            </w:pPr>
          </w:p>
        </w:tc>
        <w:tc>
          <w:tcPr>
            <w:tcW w:w="1144" w:type="dxa"/>
            <w:vAlign w:val="top"/>
          </w:tcPr>
          <w:p w14:paraId="0C5CA1A5">
            <w:pPr>
              <w:rPr>
                <w:rFonts w:ascii="Arial"/>
                <w:color w:val="auto"/>
                <w:sz w:val="21"/>
                <w:highlight w:val="none"/>
              </w:rPr>
            </w:pPr>
          </w:p>
        </w:tc>
        <w:tc>
          <w:tcPr>
            <w:tcW w:w="1447" w:type="dxa"/>
            <w:vAlign w:val="top"/>
          </w:tcPr>
          <w:p w14:paraId="67721D4C">
            <w:pPr>
              <w:rPr>
                <w:rFonts w:ascii="Arial"/>
                <w:color w:val="auto"/>
                <w:sz w:val="21"/>
                <w:highlight w:val="none"/>
              </w:rPr>
            </w:pPr>
          </w:p>
        </w:tc>
      </w:tr>
      <w:tr w14:paraId="2C3B1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14:paraId="63E00401">
            <w:pPr>
              <w:rPr>
                <w:rFonts w:ascii="Arial"/>
                <w:color w:val="auto"/>
                <w:sz w:val="21"/>
                <w:highlight w:val="none"/>
              </w:rPr>
            </w:pPr>
          </w:p>
        </w:tc>
        <w:tc>
          <w:tcPr>
            <w:tcW w:w="1070" w:type="dxa"/>
            <w:vAlign w:val="top"/>
          </w:tcPr>
          <w:p w14:paraId="240AF47A">
            <w:pPr>
              <w:rPr>
                <w:rFonts w:ascii="Arial"/>
                <w:color w:val="auto"/>
                <w:sz w:val="21"/>
                <w:highlight w:val="none"/>
              </w:rPr>
            </w:pPr>
          </w:p>
        </w:tc>
        <w:tc>
          <w:tcPr>
            <w:tcW w:w="1080" w:type="dxa"/>
            <w:vAlign w:val="top"/>
          </w:tcPr>
          <w:p w14:paraId="6C7C9BB5">
            <w:pPr>
              <w:rPr>
                <w:rFonts w:ascii="Arial"/>
                <w:color w:val="auto"/>
                <w:sz w:val="21"/>
                <w:highlight w:val="none"/>
              </w:rPr>
            </w:pPr>
          </w:p>
        </w:tc>
        <w:tc>
          <w:tcPr>
            <w:tcW w:w="1144" w:type="dxa"/>
            <w:vAlign w:val="top"/>
          </w:tcPr>
          <w:p w14:paraId="36100C2F">
            <w:pPr>
              <w:rPr>
                <w:rFonts w:ascii="Arial"/>
                <w:color w:val="auto"/>
                <w:sz w:val="21"/>
                <w:highlight w:val="none"/>
              </w:rPr>
            </w:pPr>
          </w:p>
        </w:tc>
        <w:tc>
          <w:tcPr>
            <w:tcW w:w="1144" w:type="dxa"/>
            <w:vAlign w:val="top"/>
          </w:tcPr>
          <w:p w14:paraId="12C3C0D5">
            <w:pPr>
              <w:rPr>
                <w:rFonts w:ascii="Arial"/>
                <w:color w:val="auto"/>
                <w:sz w:val="21"/>
                <w:highlight w:val="none"/>
              </w:rPr>
            </w:pPr>
          </w:p>
        </w:tc>
        <w:tc>
          <w:tcPr>
            <w:tcW w:w="1142" w:type="dxa"/>
            <w:vAlign w:val="top"/>
          </w:tcPr>
          <w:p w14:paraId="38E3B996">
            <w:pPr>
              <w:rPr>
                <w:rFonts w:ascii="Arial"/>
                <w:color w:val="auto"/>
                <w:sz w:val="21"/>
                <w:highlight w:val="none"/>
              </w:rPr>
            </w:pPr>
          </w:p>
        </w:tc>
        <w:tc>
          <w:tcPr>
            <w:tcW w:w="1144" w:type="dxa"/>
            <w:vAlign w:val="top"/>
          </w:tcPr>
          <w:p w14:paraId="4961F182">
            <w:pPr>
              <w:rPr>
                <w:rFonts w:ascii="Arial"/>
                <w:color w:val="auto"/>
                <w:sz w:val="21"/>
                <w:highlight w:val="none"/>
              </w:rPr>
            </w:pPr>
          </w:p>
        </w:tc>
        <w:tc>
          <w:tcPr>
            <w:tcW w:w="1447" w:type="dxa"/>
            <w:vAlign w:val="top"/>
          </w:tcPr>
          <w:p w14:paraId="3404E567">
            <w:pPr>
              <w:rPr>
                <w:rFonts w:ascii="Arial"/>
                <w:color w:val="auto"/>
                <w:sz w:val="21"/>
                <w:highlight w:val="none"/>
              </w:rPr>
            </w:pPr>
          </w:p>
        </w:tc>
      </w:tr>
      <w:tr w14:paraId="11B21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79" w:type="dxa"/>
            <w:vAlign w:val="top"/>
          </w:tcPr>
          <w:p w14:paraId="3D64BB49">
            <w:pPr>
              <w:rPr>
                <w:rFonts w:ascii="Arial"/>
                <w:color w:val="auto"/>
                <w:sz w:val="21"/>
                <w:highlight w:val="none"/>
              </w:rPr>
            </w:pPr>
          </w:p>
        </w:tc>
        <w:tc>
          <w:tcPr>
            <w:tcW w:w="1070" w:type="dxa"/>
            <w:vAlign w:val="top"/>
          </w:tcPr>
          <w:p w14:paraId="3C17285D">
            <w:pPr>
              <w:rPr>
                <w:rFonts w:ascii="Arial"/>
                <w:color w:val="auto"/>
                <w:sz w:val="21"/>
                <w:highlight w:val="none"/>
              </w:rPr>
            </w:pPr>
          </w:p>
        </w:tc>
        <w:tc>
          <w:tcPr>
            <w:tcW w:w="1080" w:type="dxa"/>
            <w:vAlign w:val="top"/>
          </w:tcPr>
          <w:p w14:paraId="45424EA4">
            <w:pPr>
              <w:rPr>
                <w:rFonts w:ascii="Arial"/>
                <w:color w:val="auto"/>
                <w:sz w:val="21"/>
                <w:highlight w:val="none"/>
              </w:rPr>
            </w:pPr>
          </w:p>
        </w:tc>
        <w:tc>
          <w:tcPr>
            <w:tcW w:w="1144" w:type="dxa"/>
            <w:vAlign w:val="top"/>
          </w:tcPr>
          <w:p w14:paraId="325DAE0B">
            <w:pPr>
              <w:rPr>
                <w:rFonts w:ascii="Arial"/>
                <w:color w:val="auto"/>
                <w:sz w:val="21"/>
                <w:highlight w:val="none"/>
              </w:rPr>
            </w:pPr>
          </w:p>
        </w:tc>
        <w:tc>
          <w:tcPr>
            <w:tcW w:w="1144" w:type="dxa"/>
            <w:vAlign w:val="top"/>
          </w:tcPr>
          <w:p w14:paraId="17B95CC8">
            <w:pPr>
              <w:rPr>
                <w:rFonts w:ascii="Arial"/>
                <w:color w:val="auto"/>
                <w:sz w:val="21"/>
                <w:highlight w:val="none"/>
              </w:rPr>
            </w:pPr>
          </w:p>
        </w:tc>
        <w:tc>
          <w:tcPr>
            <w:tcW w:w="1142" w:type="dxa"/>
            <w:vAlign w:val="top"/>
          </w:tcPr>
          <w:p w14:paraId="4633A5CD">
            <w:pPr>
              <w:rPr>
                <w:rFonts w:ascii="Arial"/>
                <w:color w:val="auto"/>
                <w:sz w:val="21"/>
                <w:highlight w:val="none"/>
              </w:rPr>
            </w:pPr>
          </w:p>
        </w:tc>
        <w:tc>
          <w:tcPr>
            <w:tcW w:w="1144" w:type="dxa"/>
            <w:vAlign w:val="top"/>
          </w:tcPr>
          <w:p w14:paraId="5284327E">
            <w:pPr>
              <w:rPr>
                <w:rFonts w:ascii="Arial"/>
                <w:color w:val="auto"/>
                <w:sz w:val="21"/>
                <w:highlight w:val="none"/>
              </w:rPr>
            </w:pPr>
          </w:p>
        </w:tc>
        <w:tc>
          <w:tcPr>
            <w:tcW w:w="1447" w:type="dxa"/>
            <w:vAlign w:val="top"/>
          </w:tcPr>
          <w:p w14:paraId="028A2A56">
            <w:pPr>
              <w:rPr>
                <w:rFonts w:ascii="Arial"/>
                <w:color w:val="auto"/>
                <w:sz w:val="21"/>
                <w:highlight w:val="none"/>
              </w:rPr>
            </w:pPr>
          </w:p>
        </w:tc>
      </w:tr>
      <w:tr w14:paraId="11D6D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14:paraId="5A3CAC09">
            <w:pPr>
              <w:rPr>
                <w:rFonts w:ascii="Arial"/>
                <w:color w:val="auto"/>
                <w:sz w:val="21"/>
                <w:highlight w:val="none"/>
              </w:rPr>
            </w:pPr>
          </w:p>
        </w:tc>
        <w:tc>
          <w:tcPr>
            <w:tcW w:w="1070" w:type="dxa"/>
            <w:vAlign w:val="top"/>
          </w:tcPr>
          <w:p w14:paraId="0E58997C">
            <w:pPr>
              <w:rPr>
                <w:rFonts w:ascii="Arial"/>
                <w:color w:val="auto"/>
                <w:sz w:val="21"/>
                <w:highlight w:val="none"/>
              </w:rPr>
            </w:pPr>
          </w:p>
        </w:tc>
        <w:tc>
          <w:tcPr>
            <w:tcW w:w="1080" w:type="dxa"/>
            <w:vAlign w:val="top"/>
          </w:tcPr>
          <w:p w14:paraId="15316578">
            <w:pPr>
              <w:rPr>
                <w:rFonts w:ascii="Arial"/>
                <w:color w:val="auto"/>
                <w:sz w:val="21"/>
                <w:highlight w:val="none"/>
              </w:rPr>
            </w:pPr>
          </w:p>
        </w:tc>
        <w:tc>
          <w:tcPr>
            <w:tcW w:w="1144" w:type="dxa"/>
            <w:vAlign w:val="top"/>
          </w:tcPr>
          <w:p w14:paraId="4B8D7BCF">
            <w:pPr>
              <w:rPr>
                <w:rFonts w:ascii="Arial"/>
                <w:color w:val="auto"/>
                <w:sz w:val="21"/>
                <w:highlight w:val="none"/>
              </w:rPr>
            </w:pPr>
          </w:p>
        </w:tc>
        <w:tc>
          <w:tcPr>
            <w:tcW w:w="1144" w:type="dxa"/>
            <w:vAlign w:val="top"/>
          </w:tcPr>
          <w:p w14:paraId="307BCC6F">
            <w:pPr>
              <w:rPr>
                <w:rFonts w:ascii="Arial"/>
                <w:color w:val="auto"/>
                <w:sz w:val="21"/>
                <w:highlight w:val="none"/>
              </w:rPr>
            </w:pPr>
          </w:p>
        </w:tc>
        <w:tc>
          <w:tcPr>
            <w:tcW w:w="1142" w:type="dxa"/>
            <w:vAlign w:val="top"/>
          </w:tcPr>
          <w:p w14:paraId="207D2293">
            <w:pPr>
              <w:rPr>
                <w:rFonts w:ascii="Arial"/>
                <w:color w:val="auto"/>
                <w:sz w:val="21"/>
                <w:highlight w:val="none"/>
              </w:rPr>
            </w:pPr>
          </w:p>
        </w:tc>
        <w:tc>
          <w:tcPr>
            <w:tcW w:w="1144" w:type="dxa"/>
            <w:vAlign w:val="top"/>
          </w:tcPr>
          <w:p w14:paraId="0D832E41">
            <w:pPr>
              <w:rPr>
                <w:rFonts w:ascii="Arial"/>
                <w:color w:val="auto"/>
                <w:sz w:val="21"/>
                <w:highlight w:val="none"/>
              </w:rPr>
            </w:pPr>
          </w:p>
        </w:tc>
        <w:tc>
          <w:tcPr>
            <w:tcW w:w="1447" w:type="dxa"/>
            <w:vAlign w:val="top"/>
          </w:tcPr>
          <w:p w14:paraId="7D97DCAE">
            <w:pPr>
              <w:rPr>
                <w:rFonts w:ascii="Arial"/>
                <w:color w:val="auto"/>
                <w:sz w:val="21"/>
                <w:highlight w:val="none"/>
              </w:rPr>
            </w:pPr>
          </w:p>
        </w:tc>
      </w:tr>
      <w:tr w14:paraId="0D4C5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79" w:type="dxa"/>
            <w:vAlign w:val="top"/>
          </w:tcPr>
          <w:p w14:paraId="054C77AF">
            <w:pPr>
              <w:rPr>
                <w:rFonts w:ascii="Arial"/>
                <w:color w:val="auto"/>
                <w:sz w:val="21"/>
                <w:highlight w:val="none"/>
              </w:rPr>
            </w:pPr>
          </w:p>
        </w:tc>
        <w:tc>
          <w:tcPr>
            <w:tcW w:w="1070" w:type="dxa"/>
            <w:vAlign w:val="top"/>
          </w:tcPr>
          <w:p w14:paraId="7EB43AEB">
            <w:pPr>
              <w:rPr>
                <w:rFonts w:ascii="Arial"/>
                <w:color w:val="auto"/>
                <w:sz w:val="21"/>
                <w:highlight w:val="none"/>
              </w:rPr>
            </w:pPr>
          </w:p>
        </w:tc>
        <w:tc>
          <w:tcPr>
            <w:tcW w:w="1080" w:type="dxa"/>
            <w:vAlign w:val="top"/>
          </w:tcPr>
          <w:p w14:paraId="44E69108">
            <w:pPr>
              <w:rPr>
                <w:rFonts w:ascii="Arial"/>
                <w:color w:val="auto"/>
                <w:sz w:val="21"/>
                <w:highlight w:val="none"/>
              </w:rPr>
            </w:pPr>
          </w:p>
        </w:tc>
        <w:tc>
          <w:tcPr>
            <w:tcW w:w="1144" w:type="dxa"/>
            <w:vAlign w:val="top"/>
          </w:tcPr>
          <w:p w14:paraId="21E2A5A7">
            <w:pPr>
              <w:rPr>
                <w:rFonts w:ascii="Arial"/>
                <w:color w:val="auto"/>
                <w:sz w:val="21"/>
                <w:highlight w:val="none"/>
              </w:rPr>
            </w:pPr>
          </w:p>
        </w:tc>
        <w:tc>
          <w:tcPr>
            <w:tcW w:w="1144" w:type="dxa"/>
            <w:vAlign w:val="top"/>
          </w:tcPr>
          <w:p w14:paraId="47216DD7">
            <w:pPr>
              <w:rPr>
                <w:rFonts w:ascii="Arial"/>
                <w:color w:val="auto"/>
                <w:sz w:val="21"/>
                <w:highlight w:val="none"/>
              </w:rPr>
            </w:pPr>
          </w:p>
        </w:tc>
        <w:tc>
          <w:tcPr>
            <w:tcW w:w="1142" w:type="dxa"/>
            <w:vAlign w:val="top"/>
          </w:tcPr>
          <w:p w14:paraId="0E4F3BB5">
            <w:pPr>
              <w:rPr>
                <w:rFonts w:ascii="Arial"/>
                <w:color w:val="auto"/>
                <w:sz w:val="21"/>
                <w:highlight w:val="none"/>
              </w:rPr>
            </w:pPr>
          </w:p>
        </w:tc>
        <w:tc>
          <w:tcPr>
            <w:tcW w:w="1144" w:type="dxa"/>
            <w:vAlign w:val="top"/>
          </w:tcPr>
          <w:p w14:paraId="2C4B6D69">
            <w:pPr>
              <w:rPr>
                <w:rFonts w:ascii="Arial"/>
                <w:color w:val="auto"/>
                <w:sz w:val="21"/>
                <w:highlight w:val="none"/>
              </w:rPr>
            </w:pPr>
          </w:p>
        </w:tc>
        <w:tc>
          <w:tcPr>
            <w:tcW w:w="1447" w:type="dxa"/>
            <w:vAlign w:val="top"/>
          </w:tcPr>
          <w:p w14:paraId="0C0A5669">
            <w:pPr>
              <w:rPr>
                <w:rFonts w:ascii="Arial"/>
                <w:color w:val="auto"/>
                <w:sz w:val="21"/>
                <w:highlight w:val="none"/>
              </w:rPr>
            </w:pPr>
          </w:p>
        </w:tc>
      </w:tr>
      <w:tr w14:paraId="139A5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79" w:type="dxa"/>
            <w:vAlign w:val="top"/>
          </w:tcPr>
          <w:p w14:paraId="04E6B8FD">
            <w:pPr>
              <w:rPr>
                <w:rFonts w:ascii="Arial"/>
                <w:color w:val="auto"/>
                <w:sz w:val="21"/>
                <w:highlight w:val="none"/>
              </w:rPr>
            </w:pPr>
          </w:p>
        </w:tc>
        <w:tc>
          <w:tcPr>
            <w:tcW w:w="1070" w:type="dxa"/>
            <w:vAlign w:val="top"/>
          </w:tcPr>
          <w:p w14:paraId="241B09A7">
            <w:pPr>
              <w:rPr>
                <w:rFonts w:ascii="Arial"/>
                <w:color w:val="auto"/>
                <w:sz w:val="21"/>
                <w:highlight w:val="none"/>
              </w:rPr>
            </w:pPr>
          </w:p>
        </w:tc>
        <w:tc>
          <w:tcPr>
            <w:tcW w:w="1080" w:type="dxa"/>
            <w:vAlign w:val="top"/>
          </w:tcPr>
          <w:p w14:paraId="15DBC6FC">
            <w:pPr>
              <w:rPr>
                <w:rFonts w:ascii="Arial"/>
                <w:color w:val="auto"/>
                <w:sz w:val="21"/>
                <w:highlight w:val="none"/>
              </w:rPr>
            </w:pPr>
          </w:p>
        </w:tc>
        <w:tc>
          <w:tcPr>
            <w:tcW w:w="1144" w:type="dxa"/>
            <w:vAlign w:val="top"/>
          </w:tcPr>
          <w:p w14:paraId="04F1A7D5">
            <w:pPr>
              <w:rPr>
                <w:rFonts w:ascii="Arial"/>
                <w:color w:val="auto"/>
                <w:sz w:val="21"/>
                <w:highlight w:val="none"/>
              </w:rPr>
            </w:pPr>
          </w:p>
        </w:tc>
        <w:tc>
          <w:tcPr>
            <w:tcW w:w="1144" w:type="dxa"/>
            <w:vAlign w:val="top"/>
          </w:tcPr>
          <w:p w14:paraId="7F6770BF">
            <w:pPr>
              <w:rPr>
                <w:rFonts w:ascii="Arial"/>
                <w:color w:val="auto"/>
                <w:sz w:val="21"/>
                <w:highlight w:val="none"/>
              </w:rPr>
            </w:pPr>
          </w:p>
        </w:tc>
        <w:tc>
          <w:tcPr>
            <w:tcW w:w="1142" w:type="dxa"/>
            <w:vAlign w:val="top"/>
          </w:tcPr>
          <w:p w14:paraId="429B375D">
            <w:pPr>
              <w:rPr>
                <w:rFonts w:ascii="Arial"/>
                <w:color w:val="auto"/>
                <w:sz w:val="21"/>
                <w:highlight w:val="none"/>
              </w:rPr>
            </w:pPr>
          </w:p>
        </w:tc>
        <w:tc>
          <w:tcPr>
            <w:tcW w:w="1144" w:type="dxa"/>
            <w:vAlign w:val="top"/>
          </w:tcPr>
          <w:p w14:paraId="3573FE19">
            <w:pPr>
              <w:rPr>
                <w:rFonts w:ascii="Arial"/>
                <w:color w:val="auto"/>
                <w:sz w:val="21"/>
                <w:highlight w:val="none"/>
              </w:rPr>
            </w:pPr>
          </w:p>
        </w:tc>
        <w:tc>
          <w:tcPr>
            <w:tcW w:w="1447" w:type="dxa"/>
            <w:vAlign w:val="top"/>
          </w:tcPr>
          <w:p w14:paraId="04378BEB">
            <w:pPr>
              <w:rPr>
                <w:rFonts w:ascii="Arial"/>
                <w:color w:val="auto"/>
                <w:sz w:val="21"/>
                <w:highlight w:val="none"/>
              </w:rPr>
            </w:pPr>
          </w:p>
        </w:tc>
      </w:tr>
    </w:tbl>
    <w:p w14:paraId="3474FFA8">
      <w:pPr>
        <w:rPr>
          <w:rFonts w:ascii="Arial"/>
          <w:color w:val="auto"/>
          <w:sz w:val="21"/>
          <w:highlight w:val="none"/>
        </w:rPr>
      </w:pPr>
    </w:p>
    <w:p w14:paraId="1247F3F5">
      <w:pPr>
        <w:spacing w:before="56" w:line="219" w:lineRule="auto"/>
        <w:ind w:left="268"/>
        <w:rPr>
          <w:rFonts w:ascii="宋体" w:hAnsi="宋体" w:eastAsia="宋体" w:cs="宋体"/>
          <w:b/>
          <w:bCs/>
          <w:color w:val="auto"/>
          <w:spacing w:val="-5"/>
          <w:sz w:val="28"/>
          <w:szCs w:val="28"/>
          <w:highlight w:val="none"/>
        </w:rPr>
      </w:pPr>
    </w:p>
    <w:p w14:paraId="5451D2AD">
      <w:pPr>
        <w:spacing w:before="56" w:line="219" w:lineRule="auto"/>
        <w:ind w:left="268"/>
        <w:rPr>
          <w:rFonts w:ascii="宋体" w:hAnsi="宋体" w:eastAsia="宋体" w:cs="宋体"/>
          <w:b/>
          <w:bCs/>
          <w:color w:val="auto"/>
          <w:spacing w:val="-5"/>
          <w:sz w:val="28"/>
          <w:szCs w:val="28"/>
          <w:highlight w:val="none"/>
        </w:rPr>
      </w:pPr>
    </w:p>
    <w:p w14:paraId="79F5DC4E">
      <w:pPr>
        <w:spacing w:before="56" w:line="219" w:lineRule="auto"/>
        <w:ind w:left="268"/>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（二）主要人员简历表</w:t>
      </w:r>
    </w:p>
    <w:p w14:paraId="240CC2AA">
      <w:pPr>
        <w:spacing w:before="14"/>
        <w:rPr>
          <w:color w:val="auto"/>
          <w:highlight w:val="none"/>
        </w:rPr>
      </w:pPr>
    </w:p>
    <w:p w14:paraId="407D6137">
      <w:pPr>
        <w:spacing w:before="14"/>
        <w:rPr>
          <w:color w:val="auto"/>
          <w:highlight w:val="none"/>
        </w:rPr>
      </w:pPr>
    </w:p>
    <w:tbl>
      <w:tblPr>
        <w:tblStyle w:val="29"/>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2"/>
        <w:gridCol w:w="1545"/>
        <w:gridCol w:w="1547"/>
        <w:gridCol w:w="1548"/>
        <w:gridCol w:w="1547"/>
        <w:gridCol w:w="1552"/>
      </w:tblGrid>
      <w:tr w14:paraId="00E35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552" w:type="dxa"/>
            <w:vAlign w:val="top"/>
          </w:tcPr>
          <w:p w14:paraId="75C78A09">
            <w:pPr>
              <w:pStyle w:val="30"/>
              <w:spacing w:before="249" w:line="220" w:lineRule="auto"/>
              <w:ind w:left="541"/>
              <w:rPr>
                <w:color w:val="auto"/>
                <w:sz w:val="24"/>
                <w:szCs w:val="24"/>
                <w:highlight w:val="none"/>
              </w:rPr>
            </w:pPr>
            <w:r>
              <w:rPr>
                <w:color w:val="auto"/>
                <w:spacing w:val="-3"/>
                <w:sz w:val="24"/>
                <w:szCs w:val="24"/>
                <w:highlight w:val="none"/>
              </w:rPr>
              <w:t>姓名</w:t>
            </w:r>
          </w:p>
        </w:tc>
        <w:tc>
          <w:tcPr>
            <w:tcW w:w="1545" w:type="dxa"/>
            <w:vAlign w:val="top"/>
          </w:tcPr>
          <w:p w14:paraId="248CE22F">
            <w:pPr>
              <w:rPr>
                <w:rFonts w:ascii="Arial"/>
                <w:color w:val="auto"/>
                <w:sz w:val="21"/>
                <w:highlight w:val="none"/>
              </w:rPr>
            </w:pPr>
          </w:p>
        </w:tc>
        <w:tc>
          <w:tcPr>
            <w:tcW w:w="1547" w:type="dxa"/>
            <w:vAlign w:val="top"/>
          </w:tcPr>
          <w:p w14:paraId="419DA0EE">
            <w:pPr>
              <w:pStyle w:val="30"/>
              <w:spacing w:before="249" w:line="220" w:lineRule="auto"/>
              <w:ind w:left="540"/>
              <w:rPr>
                <w:color w:val="auto"/>
                <w:sz w:val="24"/>
                <w:szCs w:val="24"/>
                <w:highlight w:val="none"/>
              </w:rPr>
            </w:pPr>
            <w:r>
              <w:rPr>
                <w:color w:val="auto"/>
                <w:spacing w:val="-3"/>
                <w:sz w:val="24"/>
                <w:szCs w:val="24"/>
                <w:highlight w:val="none"/>
              </w:rPr>
              <w:t>年龄</w:t>
            </w:r>
          </w:p>
        </w:tc>
        <w:tc>
          <w:tcPr>
            <w:tcW w:w="1548" w:type="dxa"/>
            <w:vAlign w:val="top"/>
          </w:tcPr>
          <w:p w14:paraId="0DD78150">
            <w:pPr>
              <w:rPr>
                <w:rFonts w:ascii="Arial"/>
                <w:color w:val="auto"/>
                <w:sz w:val="21"/>
                <w:highlight w:val="none"/>
              </w:rPr>
            </w:pPr>
          </w:p>
        </w:tc>
        <w:tc>
          <w:tcPr>
            <w:tcW w:w="1547" w:type="dxa"/>
            <w:vAlign w:val="top"/>
          </w:tcPr>
          <w:p w14:paraId="7D7A21C8">
            <w:pPr>
              <w:pStyle w:val="30"/>
              <w:spacing w:before="249" w:line="221" w:lineRule="auto"/>
              <w:ind w:left="545"/>
              <w:rPr>
                <w:color w:val="auto"/>
                <w:sz w:val="24"/>
                <w:szCs w:val="24"/>
                <w:highlight w:val="none"/>
              </w:rPr>
            </w:pPr>
            <w:r>
              <w:rPr>
                <w:color w:val="auto"/>
                <w:spacing w:val="-4"/>
                <w:sz w:val="24"/>
                <w:szCs w:val="24"/>
                <w:highlight w:val="none"/>
              </w:rPr>
              <w:t>学历</w:t>
            </w:r>
          </w:p>
        </w:tc>
        <w:tc>
          <w:tcPr>
            <w:tcW w:w="1552" w:type="dxa"/>
            <w:vAlign w:val="top"/>
          </w:tcPr>
          <w:p w14:paraId="4D04020D">
            <w:pPr>
              <w:rPr>
                <w:rFonts w:ascii="Arial"/>
                <w:color w:val="auto"/>
                <w:sz w:val="21"/>
                <w:highlight w:val="none"/>
              </w:rPr>
            </w:pPr>
          </w:p>
        </w:tc>
      </w:tr>
      <w:tr w14:paraId="3500B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7" w:hRule="atLeast"/>
        </w:trPr>
        <w:tc>
          <w:tcPr>
            <w:tcW w:w="1552" w:type="dxa"/>
            <w:vAlign w:val="center"/>
          </w:tcPr>
          <w:p w14:paraId="060B2F8B">
            <w:pPr>
              <w:spacing w:line="253" w:lineRule="auto"/>
              <w:jc w:val="center"/>
              <w:rPr>
                <w:rFonts w:ascii="Arial"/>
                <w:color w:val="auto"/>
                <w:sz w:val="21"/>
                <w:highlight w:val="none"/>
              </w:rPr>
            </w:pPr>
          </w:p>
          <w:p w14:paraId="08FA8DE8">
            <w:pPr>
              <w:spacing w:line="253" w:lineRule="auto"/>
              <w:jc w:val="center"/>
              <w:rPr>
                <w:rFonts w:ascii="Arial"/>
                <w:color w:val="auto"/>
                <w:sz w:val="21"/>
                <w:highlight w:val="none"/>
              </w:rPr>
            </w:pPr>
          </w:p>
          <w:p w14:paraId="1E913D7D">
            <w:pPr>
              <w:pStyle w:val="30"/>
              <w:spacing w:before="78" w:line="220" w:lineRule="auto"/>
              <w:ind w:left="301"/>
              <w:jc w:val="center"/>
              <w:rPr>
                <w:color w:val="auto"/>
                <w:sz w:val="24"/>
                <w:szCs w:val="24"/>
                <w:highlight w:val="none"/>
              </w:rPr>
            </w:pPr>
            <w:r>
              <w:rPr>
                <w:color w:val="auto"/>
                <w:spacing w:val="-2"/>
                <w:sz w:val="24"/>
                <w:szCs w:val="24"/>
                <w:highlight w:val="none"/>
              </w:rPr>
              <w:t>执业资格</w:t>
            </w:r>
          </w:p>
        </w:tc>
        <w:tc>
          <w:tcPr>
            <w:tcW w:w="4640" w:type="dxa"/>
            <w:gridSpan w:val="3"/>
            <w:vAlign w:val="center"/>
          </w:tcPr>
          <w:p w14:paraId="73A115C9">
            <w:pPr>
              <w:jc w:val="center"/>
              <w:rPr>
                <w:rFonts w:ascii="Arial"/>
                <w:color w:val="auto"/>
                <w:sz w:val="21"/>
                <w:highlight w:val="none"/>
              </w:rPr>
            </w:pPr>
          </w:p>
        </w:tc>
        <w:tc>
          <w:tcPr>
            <w:tcW w:w="1547" w:type="dxa"/>
            <w:vAlign w:val="center"/>
          </w:tcPr>
          <w:p w14:paraId="761519F5">
            <w:pPr>
              <w:pStyle w:val="30"/>
              <w:spacing w:before="65" w:line="247" w:lineRule="auto"/>
              <w:ind w:right="170"/>
              <w:jc w:val="center"/>
              <w:rPr>
                <w:color w:val="auto"/>
                <w:sz w:val="24"/>
                <w:szCs w:val="24"/>
                <w:highlight w:val="none"/>
              </w:rPr>
            </w:pPr>
            <w:r>
              <w:rPr>
                <w:color w:val="auto"/>
                <w:spacing w:val="-5"/>
                <w:sz w:val="24"/>
                <w:szCs w:val="24"/>
                <w:highlight w:val="none"/>
              </w:rPr>
              <w:t>安全生</w:t>
            </w:r>
            <w:r>
              <w:rPr>
                <w:color w:val="auto"/>
                <w:sz w:val="24"/>
                <w:szCs w:val="24"/>
                <w:highlight w:val="none"/>
              </w:rPr>
              <w:t>产</w:t>
            </w:r>
            <w:r>
              <w:rPr>
                <w:color w:val="auto"/>
                <w:spacing w:val="-4"/>
                <w:sz w:val="24"/>
                <w:szCs w:val="24"/>
                <w:highlight w:val="none"/>
              </w:rPr>
              <w:t>考核合</w:t>
            </w:r>
            <w:r>
              <w:rPr>
                <w:color w:val="auto"/>
                <w:spacing w:val="-3"/>
                <w:sz w:val="24"/>
                <w:szCs w:val="24"/>
                <w:highlight w:val="none"/>
              </w:rPr>
              <w:t>格证书</w:t>
            </w:r>
          </w:p>
        </w:tc>
        <w:tc>
          <w:tcPr>
            <w:tcW w:w="1552" w:type="dxa"/>
            <w:vAlign w:val="top"/>
          </w:tcPr>
          <w:p w14:paraId="429F4094">
            <w:pPr>
              <w:rPr>
                <w:rFonts w:ascii="Arial"/>
                <w:color w:val="auto"/>
                <w:sz w:val="21"/>
                <w:highlight w:val="none"/>
              </w:rPr>
            </w:pPr>
          </w:p>
        </w:tc>
      </w:tr>
      <w:tr w14:paraId="1CBE1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52" w:type="dxa"/>
            <w:vAlign w:val="top"/>
          </w:tcPr>
          <w:p w14:paraId="361828D0">
            <w:pPr>
              <w:pStyle w:val="30"/>
              <w:spacing w:before="190" w:line="222" w:lineRule="auto"/>
              <w:ind w:left="542"/>
              <w:rPr>
                <w:color w:val="auto"/>
                <w:sz w:val="24"/>
                <w:szCs w:val="24"/>
                <w:highlight w:val="none"/>
              </w:rPr>
            </w:pPr>
            <w:r>
              <w:rPr>
                <w:color w:val="auto"/>
                <w:spacing w:val="-3"/>
                <w:sz w:val="24"/>
                <w:szCs w:val="24"/>
                <w:highlight w:val="none"/>
              </w:rPr>
              <w:t>职称</w:t>
            </w:r>
          </w:p>
        </w:tc>
        <w:tc>
          <w:tcPr>
            <w:tcW w:w="1545" w:type="dxa"/>
            <w:vAlign w:val="top"/>
          </w:tcPr>
          <w:p w14:paraId="6ADF3C1B">
            <w:pPr>
              <w:rPr>
                <w:rFonts w:ascii="Arial"/>
                <w:color w:val="auto"/>
                <w:sz w:val="21"/>
                <w:highlight w:val="none"/>
              </w:rPr>
            </w:pPr>
          </w:p>
        </w:tc>
        <w:tc>
          <w:tcPr>
            <w:tcW w:w="1547" w:type="dxa"/>
            <w:vAlign w:val="top"/>
          </w:tcPr>
          <w:p w14:paraId="081FB680">
            <w:pPr>
              <w:pStyle w:val="30"/>
              <w:spacing w:before="190" w:line="220" w:lineRule="auto"/>
              <w:ind w:left="540"/>
              <w:rPr>
                <w:color w:val="auto"/>
                <w:sz w:val="24"/>
                <w:szCs w:val="24"/>
                <w:highlight w:val="none"/>
              </w:rPr>
            </w:pPr>
            <w:r>
              <w:rPr>
                <w:color w:val="auto"/>
                <w:spacing w:val="-3"/>
                <w:sz w:val="24"/>
                <w:szCs w:val="24"/>
                <w:highlight w:val="none"/>
              </w:rPr>
              <w:t>职务</w:t>
            </w:r>
          </w:p>
        </w:tc>
        <w:tc>
          <w:tcPr>
            <w:tcW w:w="1548" w:type="dxa"/>
            <w:vAlign w:val="top"/>
          </w:tcPr>
          <w:p w14:paraId="6FE604A8">
            <w:pPr>
              <w:rPr>
                <w:rFonts w:ascii="Arial"/>
                <w:color w:val="auto"/>
                <w:sz w:val="21"/>
                <w:highlight w:val="none"/>
              </w:rPr>
            </w:pPr>
          </w:p>
        </w:tc>
        <w:tc>
          <w:tcPr>
            <w:tcW w:w="1547" w:type="dxa"/>
            <w:vAlign w:val="top"/>
          </w:tcPr>
          <w:p w14:paraId="09A345B4">
            <w:pPr>
              <w:pStyle w:val="30"/>
              <w:spacing w:before="33" w:line="224" w:lineRule="auto"/>
              <w:ind w:left="539" w:right="170" w:hanging="359"/>
              <w:rPr>
                <w:color w:val="auto"/>
                <w:sz w:val="24"/>
                <w:szCs w:val="24"/>
                <w:highlight w:val="none"/>
              </w:rPr>
            </w:pPr>
            <w:r>
              <w:rPr>
                <w:color w:val="auto"/>
                <w:spacing w:val="-2"/>
                <w:sz w:val="24"/>
                <w:szCs w:val="24"/>
                <w:highlight w:val="none"/>
              </w:rPr>
              <w:t>拟在本合同</w:t>
            </w:r>
            <w:r>
              <w:rPr>
                <w:color w:val="auto"/>
                <w:sz w:val="24"/>
                <w:szCs w:val="24"/>
                <w:highlight w:val="none"/>
              </w:rPr>
              <w:t xml:space="preserve"> </w:t>
            </w:r>
            <w:r>
              <w:rPr>
                <w:color w:val="auto"/>
                <w:spacing w:val="-3"/>
                <w:sz w:val="24"/>
                <w:szCs w:val="24"/>
                <w:highlight w:val="none"/>
              </w:rPr>
              <w:t>任职</w:t>
            </w:r>
          </w:p>
        </w:tc>
        <w:tc>
          <w:tcPr>
            <w:tcW w:w="1552" w:type="dxa"/>
            <w:vAlign w:val="top"/>
          </w:tcPr>
          <w:p w14:paraId="5F9F3FCA">
            <w:pPr>
              <w:rPr>
                <w:rFonts w:ascii="Arial"/>
                <w:color w:val="auto"/>
                <w:sz w:val="21"/>
                <w:highlight w:val="none"/>
              </w:rPr>
            </w:pPr>
          </w:p>
        </w:tc>
      </w:tr>
      <w:tr w14:paraId="710A3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552" w:type="dxa"/>
            <w:vAlign w:val="top"/>
          </w:tcPr>
          <w:p w14:paraId="1A601A27">
            <w:pPr>
              <w:pStyle w:val="30"/>
              <w:spacing w:before="212" w:line="220" w:lineRule="auto"/>
              <w:ind w:left="306"/>
              <w:rPr>
                <w:color w:val="auto"/>
                <w:sz w:val="24"/>
                <w:szCs w:val="24"/>
                <w:highlight w:val="none"/>
              </w:rPr>
            </w:pPr>
            <w:r>
              <w:rPr>
                <w:color w:val="auto"/>
                <w:spacing w:val="-3"/>
                <w:sz w:val="24"/>
                <w:szCs w:val="24"/>
                <w:highlight w:val="none"/>
              </w:rPr>
              <w:t>毕业学校</w:t>
            </w:r>
          </w:p>
        </w:tc>
        <w:tc>
          <w:tcPr>
            <w:tcW w:w="7739" w:type="dxa"/>
            <w:gridSpan w:val="5"/>
            <w:vAlign w:val="top"/>
          </w:tcPr>
          <w:p w14:paraId="07A3C7B4">
            <w:pPr>
              <w:pStyle w:val="30"/>
              <w:spacing w:before="212" w:line="220" w:lineRule="auto"/>
              <w:ind w:left="2253"/>
              <w:rPr>
                <w:color w:val="auto"/>
                <w:sz w:val="24"/>
                <w:szCs w:val="24"/>
                <w:highlight w:val="none"/>
              </w:rPr>
            </w:pPr>
            <w:r>
              <w:rPr>
                <w:color w:val="auto"/>
                <w:spacing w:val="-2"/>
                <w:sz w:val="24"/>
                <w:szCs w:val="24"/>
                <w:highlight w:val="none"/>
              </w:rPr>
              <w:t>年毕业于</w:t>
            </w:r>
            <w:r>
              <w:rPr>
                <w:color w:val="auto"/>
                <w:spacing w:val="4"/>
                <w:sz w:val="24"/>
                <w:szCs w:val="24"/>
                <w:highlight w:val="none"/>
              </w:rPr>
              <w:t xml:space="preserve">     </w:t>
            </w:r>
            <w:r>
              <w:rPr>
                <w:color w:val="auto"/>
                <w:spacing w:val="-2"/>
                <w:sz w:val="24"/>
                <w:szCs w:val="24"/>
                <w:highlight w:val="none"/>
              </w:rPr>
              <w:t>学校      专业</w:t>
            </w:r>
          </w:p>
        </w:tc>
      </w:tr>
      <w:tr w14:paraId="068FD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9291" w:type="dxa"/>
            <w:gridSpan w:val="6"/>
            <w:vAlign w:val="top"/>
          </w:tcPr>
          <w:p w14:paraId="2D2FB779">
            <w:pPr>
              <w:pStyle w:val="30"/>
              <w:spacing w:before="231" w:line="220" w:lineRule="auto"/>
              <w:ind w:left="3693"/>
              <w:rPr>
                <w:color w:val="auto"/>
                <w:sz w:val="24"/>
                <w:szCs w:val="24"/>
                <w:highlight w:val="none"/>
              </w:rPr>
            </w:pPr>
            <w:r>
              <w:rPr>
                <w:color w:val="auto"/>
                <w:spacing w:val="-2"/>
                <w:sz w:val="24"/>
                <w:szCs w:val="24"/>
                <w:highlight w:val="none"/>
              </w:rPr>
              <w:t>主要施工管理经历</w:t>
            </w:r>
          </w:p>
        </w:tc>
      </w:tr>
      <w:tr w14:paraId="2599D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52" w:type="dxa"/>
            <w:vAlign w:val="top"/>
          </w:tcPr>
          <w:p w14:paraId="05EF1568">
            <w:pPr>
              <w:pStyle w:val="30"/>
              <w:spacing w:before="191" w:line="222" w:lineRule="auto"/>
              <w:ind w:left="553"/>
              <w:rPr>
                <w:color w:val="auto"/>
                <w:sz w:val="24"/>
                <w:szCs w:val="24"/>
                <w:highlight w:val="none"/>
              </w:rPr>
            </w:pPr>
            <w:r>
              <w:rPr>
                <w:color w:val="auto"/>
                <w:spacing w:val="-6"/>
                <w:sz w:val="24"/>
                <w:szCs w:val="24"/>
                <w:highlight w:val="none"/>
              </w:rPr>
              <w:t>时间</w:t>
            </w:r>
          </w:p>
        </w:tc>
        <w:tc>
          <w:tcPr>
            <w:tcW w:w="4640" w:type="dxa"/>
            <w:gridSpan w:val="3"/>
            <w:vAlign w:val="top"/>
          </w:tcPr>
          <w:p w14:paraId="3B22AC20">
            <w:pPr>
              <w:pStyle w:val="30"/>
              <w:spacing w:before="191" w:line="220" w:lineRule="auto"/>
              <w:ind w:left="1365"/>
              <w:rPr>
                <w:color w:val="auto"/>
                <w:sz w:val="24"/>
                <w:szCs w:val="24"/>
                <w:highlight w:val="none"/>
              </w:rPr>
            </w:pPr>
            <w:r>
              <w:rPr>
                <w:color w:val="auto"/>
                <w:spacing w:val="-2"/>
                <w:sz w:val="24"/>
                <w:szCs w:val="24"/>
                <w:highlight w:val="none"/>
              </w:rPr>
              <w:t>参加过的类似项目</w:t>
            </w:r>
          </w:p>
        </w:tc>
        <w:tc>
          <w:tcPr>
            <w:tcW w:w="1547" w:type="dxa"/>
            <w:vAlign w:val="top"/>
          </w:tcPr>
          <w:p w14:paraId="3F233855">
            <w:pPr>
              <w:pStyle w:val="30"/>
              <w:spacing w:before="191" w:line="220" w:lineRule="auto"/>
              <w:ind w:left="301"/>
              <w:rPr>
                <w:color w:val="auto"/>
                <w:sz w:val="24"/>
                <w:szCs w:val="24"/>
                <w:highlight w:val="none"/>
              </w:rPr>
            </w:pPr>
            <w:r>
              <w:rPr>
                <w:color w:val="auto"/>
                <w:spacing w:val="-2"/>
                <w:sz w:val="24"/>
                <w:szCs w:val="24"/>
                <w:highlight w:val="none"/>
              </w:rPr>
              <w:t>担任职务</w:t>
            </w:r>
          </w:p>
        </w:tc>
        <w:tc>
          <w:tcPr>
            <w:tcW w:w="1552" w:type="dxa"/>
            <w:vAlign w:val="top"/>
          </w:tcPr>
          <w:p w14:paraId="06E0A7F5">
            <w:pPr>
              <w:pStyle w:val="30"/>
              <w:spacing w:before="35" w:line="224" w:lineRule="auto"/>
              <w:ind w:left="426" w:right="174" w:hanging="241"/>
              <w:rPr>
                <w:color w:val="auto"/>
                <w:sz w:val="24"/>
                <w:szCs w:val="24"/>
                <w:highlight w:val="none"/>
              </w:rPr>
            </w:pPr>
            <w:r>
              <w:rPr>
                <w:color w:val="auto"/>
                <w:spacing w:val="-3"/>
                <w:sz w:val="24"/>
                <w:szCs w:val="24"/>
                <w:highlight w:val="none"/>
              </w:rPr>
              <w:t>发包人及联</w:t>
            </w:r>
            <w:r>
              <w:rPr>
                <w:color w:val="auto"/>
                <w:sz w:val="24"/>
                <w:szCs w:val="24"/>
                <w:highlight w:val="none"/>
              </w:rPr>
              <w:t xml:space="preserve"> </w:t>
            </w:r>
            <w:r>
              <w:rPr>
                <w:color w:val="auto"/>
                <w:spacing w:val="-4"/>
                <w:sz w:val="24"/>
                <w:szCs w:val="24"/>
                <w:highlight w:val="none"/>
              </w:rPr>
              <w:t>系电话</w:t>
            </w:r>
          </w:p>
        </w:tc>
      </w:tr>
      <w:tr w14:paraId="6065B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14:paraId="6BA52115">
            <w:pPr>
              <w:rPr>
                <w:rFonts w:ascii="Arial"/>
                <w:color w:val="auto"/>
                <w:sz w:val="21"/>
                <w:highlight w:val="none"/>
              </w:rPr>
            </w:pPr>
          </w:p>
        </w:tc>
        <w:tc>
          <w:tcPr>
            <w:tcW w:w="1545" w:type="dxa"/>
            <w:vAlign w:val="top"/>
          </w:tcPr>
          <w:p w14:paraId="229EC886">
            <w:pPr>
              <w:rPr>
                <w:rFonts w:ascii="Arial"/>
                <w:color w:val="auto"/>
                <w:sz w:val="21"/>
                <w:highlight w:val="none"/>
              </w:rPr>
            </w:pPr>
          </w:p>
        </w:tc>
        <w:tc>
          <w:tcPr>
            <w:tcW w:w="1547" w:type="dxa"/>
            <w:vAlign w:val="top"/>
          </w:tcPr>
          <w:p w14:paraId="343EECE6">
            <w:pPr>
              <w:rPr>
                <w:rFonts w:ascii="Arial"/>
                <w:color w:val="auto"/>
                <w:sz w:val="21"/>
                <w:highlight w:val="none"/>
              </w:rPr>
            </w:pPr>
          </w:p>
        </w:tc>
        <w:tc>
          <w:tcPr>
            <w:tcW w:w="1548" w:type="dxa"/>
            <w:vAlign w:val="top"/>
          </w:tcPr>
          <w:p w14:paraId="01D85420">
            <w:pPr>
              <w:rPr>
                <w:rFonts w:ascii="Arial"/>
                <w:color w:val="auto"/>
                <w:sz w:val="21"/>
                <w:highlight w:val="none"/>
              </w:rPr>
            </w:pPr>
          </w:p>
        </w:tc>
        <w:tc>
          <w:tcPr>
            <w:tcW w:w="1547" w:type="dxa"/>
            <w:vAlign w:val="top"/>
          </w:tcPr>
          <w:p w14:paraId="54F177CB">
            <w:pPr>
              <w:rPr>
                <w:rFonts w:ascii="Arial"/>
                <w:color w:val="auto"/>
                <w:sz w:val="21"/>
                <w:highlight w:val="none"/>
              </w:rPr>
            </w:pPr>
          </w:p>
        </w:tc>
        <w:tc>
          <w:tcPr>
            <w:tcW w:w="1552" w:type="dxa"/>
            <w:vAlign w:val="top"/>
          </w:tcPr>
          <w:p w14:paraId="1551AE9E">
            <w:pPr>
              <w:rPr>
                <w:rFonts w:ascii="Arial"/>
                <w:color w:val="auto"/>
                <w:sz w:val="21"/>
                <w:highlight w:val="none"/>
              </w:rPr>
            </w:pPr>
          </w:p>
        </w:tc>
      </w:tr>
      <w:tr w14:paraId="28D38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14:paraId="4A31DB9E">
            <w:pPr>
              <w:rPr>
                <w:rFonts w:ascii="Arial"/>
                <w:color w:val="auto"/>
                <w:sz w:val="21"/>
                <w:highlight w:val="none"/>
              </w:rPr>
            </w:pPr>
          </w:p>
        </w:tc>
        <w:tc>
          <w:tcPr>
            <w:tcW w:w="1545" w:type="dxa"/>
            <w:vAlign w:val="top"/>
          </w:tcPr>
          <w:p w14:paraId="5318922F">
            <w:pPr>
              <w:rPr>
                <w:rFonts w:ascii="Arial"/>
                <w:color w:val="auto"/>
                <w:sz w:val="21"/>
                <w:highlight w:val="none"/>
              </w:rPr>
            </w:pPr>
          </w:p>
        </w:tc>
        <w:tc>
          <w:tcPr>
            <w:tcW w:w="1547" w:type="dxa"/>
            <w:vAlign w:val="top"/>
          </w:tcPr>
          <w:p w14:paraId="1939BB47">
            <w:pPr>
              <w:rPr>
                <w:rFonts w:ascii="Arial"/>
                <w:color w:val="auto"/>
                <w:sz w:val="21"/>
                <w:highlight w:val="none"/>
              </w:rPr>
            </w:pPr>
          </w:p>
        </w:tc>
        <w:tc>
          <w:tcPr>
            <w:tcW w:w="1548" w:type="dxa"/>
            <w:vAlign w:val="top"/>
          </w:tcPr>
          <w:p w14:paraId="568F18E9">
            <w:pPr>
              <w:rPr>
                <w:rFonts w:ascii="Arial"/>
                <w:color w:val="auto"/>
                <w:sz w:val="21"/>
                <w:highlight w:val="none"/>
              </w:rPr>
            </w:pPr>
          </w:p>
        </w:tc>
        <w:tc>
          <w:tcPr>
            <w:tcW w:w="1547" w:type="dxa"/>
            <w:vAlign w:val="top"/>
          </w:tcPr>
          <w:p w14:paraId="32353C3A">
            <w:pPr>
              <w:rPr>
                <w:rFonts w:ascii="Arial"/>
                <w:color w:val="auto"/>
                <w:sz w:val="21"/>
                <w:highlight w:val="none"/>
              </w:rPr>
            </w:pPr>
          </w:p>
        </w:tc>
        <w:tc>
          <w:tcPr>
            <w:tcW w:w="1552" w:type="dxa"/>
            <w:vAlign w:val="top"/>
          </w:tcPr>
          <w:p w14:paraId="1A295B4D">
            <w:pPr>
              <w:rPr>
                <w:rFonts w:ascii="Arial"/>
                <w:color w:val="auto"/>
                <w:sz w:val="21"/>
                <w:highlight w:val="none"/>
              </w:rPr>
            </w:pPr>
          </w:p>
        </w:tc>
      </w:tr>
      <w:tr w14:paraId="65FE1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552" w:type="dxa"/>
            <w:vAlign w:val="top"/>
          </w:tcPr>
          <w:p w14:paraId="2C5E676E">
            <w:pPr>
              <w:rPr>
                <w:rFonts w:ascii="Arial"/>
                <w:color w:val="auto"/>
                <w:sz w:val="21"/>
                <w:highlight w:val="none"/>
              </w:rPr>
            </w:pPr>
          </w:p>
        </w:tc>
        <w:tc>
          <w:tcPr>
            <w:tcW w:w="1545" w:type="dxa"/>
            <w:vAlign w:val="top"/>
          </w:tcPr>
          <w:p w14:paraId="2C86E39C">
            <w:pPr>
              <w:rPr>
                <w:rFonts w:ascii="Arial"/>
                <w:color w:val="auto"/>
                <w:sz w:val="21"/>
                <w:highlight w:val="none"/>
              </w:rPr>
            </w:pPr>
          </w:p>
        </w:tc>
        <w:tc>
          <w:tcPr>
            <w:tcW w:w="1547" w:type="dxa"/>
            <w:vAlign w:val="top"/>
          </w:tcPr>
          <w:p w14:paraId="15A8C909">
            <w:pPr>
              <w:rPr>
                <w:rFonts w:ascii="Arial"/>
                <w:color w:val="auto"/>
                <w:sz w:val="21"/>
                <w:highlight w:val="none"/>
              </w:rPr>
            </w:pPr>
          </w:p>
        </w:tc>
        <w:tc>
          <w:tcPr>
            <w:tcW w:w="1548" w:type="dxa"/>
            <w:vAlign w:val="top"/>
          </w:tcPr>
          <w:p w14:paraId="3AF64E17">
            <w:pPr>
              <w:rPr>
                <w:rFonts w:ascii="Arial"/>
                <w:color w:val="auto"/>
                <w:sz w:val="21"/>
                <w:highlight w:val="none"/>
              </w:rPr>
            </w:pPr>
          </w:p>
        </w:tc>
        <w:tc>
          <w:tcPr>
            <w:tcW w:w="1547" w:type="dxa"/>
            <w:vAlign w:val="top"/>
          </w:tcPr>
          <w:p w14:paraId="41F55EF7">
            <w:pPr>
              <w:rPr>
                <w:rFonts w:ascii="Arial"/>
                <w:color w:val="auto"/>
                <w:sz w:val="21"/>
                <w:highlight w:val="none"/>
              </w:rPr>
            </w:pPr>
          </w:p>
        </w:tc>
        <w:tc>
          <w:tcPr>
            <w:tcW w:w="1552" w:type="dxa"/>
            <w:vAlign w:val="top"/>
          </w:tcPr>
          <w:p w14:paraId="71F003A2">
            <w:pPr>
              <w:rPr>
                <w:rFonts w:ascii="Arial"/>
                <w:color w:val="auto"/>
                <w:sz w:val="21"/>
                <w:highlight w:val="none"/>
              </w:rPr>
            </w:pPr>
          </w:p>
        </w:tc>
      </w:tr>
      <w:tr w14:paraId="2825E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14:paraId="68CE1B63">
            <w:pPr>
              <w:rPr>
                <w:rFonts w:ascii="Arial"/>
                <w:color w:val="auto"/>
                <w:sz w:val="21"/>
                <w:highlight w:val="none"/>
              </w:rPr>
            </w:pPr>
          </w:p>
        </w:tc>
        <w:tc>
          <w:tcPr>
            <w:tcW w:w="1545" w:type="dxa"/>
            <w:vAlign w:val="top"/>
          </w:tcPr>
          <w:p w14:paraId="57C4F8CC">
            <w:pPr>
              <w:rPr>
                <w:rFonts w:ascii="Arial"/>
                <w:color w:val="auto"/>
                <w:sz w:val="21"/>
                <w:highlight w:val="none"/>
              </w:rPr>
            </w:pPr>
          </w:p>
        </w:tc>
        <w:tc>
          <w:tcPr>
            <w:tcW w:w="1547" w:type="dxa"/>
            <w:vAlign w:val="top"/>
          </w:tcPr>
          <w:p w14:paraId="5D970A33">
            <w:pPr>
              <w:rPr>
                <w:rFonts w:ascii="Arial"/>
                <w:color w:val="auto"/>
                <w:sz w:val="21"/>
                <w:highlight w:val="none"/>
              </w:rPr>
            </w:pPr>
          </w:p>
        </w:tc>
        <w:tc>
          <w:tcPr>
            <w:tcW w:w="1548" w:type="dxa"/>
            <w:vAlign w:val="top"/>
          </w:tcPr>
          <w:p w14:paraId="68DA06FA">
            <w:pPr>
              <w:rPr>
                <w:rFonts w:ascii="Arial"/>
                <w:color w:val="auto"/>
                <w:sz w:val="21"/>
                <w:highlight w:val="none"/>
              </w:rPr>
            </w:pPr>
          </w:p>
        </w:tc>
        <w:tc>
          <w:tcPr>
            <w:tcW w:w="1547" w:type="dxa"/>
            <w:vAlign w:val="top"/>
          </w:tcPr>
          <w:p w14:paraId="4FF32EDA">
            <w:pPr>
              <w:rPr>
                <w:rFonts w:ascii="Arial"/>
                <w:color w:val="auto"/>
                <w:sz w:val="21"/>
                <w:highlight w:val="none"/>
              </w:rPr>
            </w:pPr>
          </w:p>
        </w:tc>
        <w:tc>
          <w:tcPr>
            <w:tcW w:w="1552" w:type="dxa"/>
            <w:vAlign w:val="top"/>
          </w:tcPr>
          <w:p w14:paraId="3D0ACDE9">
            <w:pPr>
              <w:rPr>
                <w:rFonts w:ascii="Arial"/>
                <w:color w:val="auto"/>
                <w:sz w:val="21"/>
                <w:highlight w:val="none"/>
              </w:rPr>
            </w:pPr>
          </w:p>
        </w:tc>
      </w:tr>
      <w:tr w14:paraId="4E5CE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14:paraId="54A0E0B3">
            <w:pPr>
              <w:rPr>
                <w:rFonts w:ascii="Arial"/>
                <w:color w:val="auto"/>
                <w:sz w:val="21"/>
                <w:highlight w:val="none"/>
              </w:rPr>
            </w:pPr>
          </w:p>
        </w:tc>
        <w:tc>
          <w:tcPr>
            <w:tcW w:w="1545" w:type="dxa"/>
            <w:vAlign w:val="top"/>
          </w:tcPr>
          <w:p w14:paraId="5340FCC8">
            <w:pPr>
              <w:rPr>
                <w:rFonts w:ascii="Arial"/>
                <w:color w:val="auto"/>
                <w:sz w:val="21"/>
                <w:highlight w:val="none"/>
              </w:rPr>
            </w:pPr>
          </w:p>
        </w:tc>
        <w:tc>
          <w:tcPr>
            <w:tcW w:w="1547" w:type="dxa"/>
            <w:vAlign w:val="top"/>
          </w:tcPr>
          <w:p w14:paraId="24AEC00B">
            <w:pPr>
              <w:rPr>
                <w:rFonts w:ascii="Arial"/>
                <w:color w:val="auto"/>
                <w:sz w:val="21"/>
                <w:highlight w:val="none"/>
              </w:rPr>
            </w:pPr>
          </w:p>
        </w:tc>
        <w:tc>
          <w:tcPr>
            <w:tcW w:w="1548" w:type="dxa"/>
            <w:vAlign w:val="top"/>
          </w:tcPr>
          <w:p w14:paraId="13BFACBF">
            <w:pPr>
              <w:rPr>
                <w:rFonts w:ascii="Arial"/>
                <w:color w:val="auto"/>
                <w:sz w:val="21"/>
                <w:highlight w:val="none"/>
              </w:rPr>
            </w:pPr>
          </w:p>
        </w:tc>
        <w:tc>
          <w:tcPr>
            <w:tcW w:w="1547" w:type="dxa"/>
            <w:vAlign w:val="top"/>
          </w:tcPr>
          <w:p w14:paraId="29DD5A30">
            <w:pPr>
              <w:rPr>
                <w:rFonts w:ascii="Arial"/>
                <w:color w:val="auto"/>
                <w:sz w:val="21"/>
                <w:highlight w:val="none"/>
              </w:rPr>
            </w:pPr>
          </w:p>
        </w:tc>
        <w:tc>
          <w:tcPr>
            <w:tcW w:w="1552" w:type="dxa"/>
            <w:vAlign w:val="top"/>
          </w:tcPr>
          <w:p w14:paraId="7378DB03">
            <w:pPr>
              <w:rPr>
                <w:rFonts w:ascii="Arial"/>
                <w:color w:val="auto"/>
                <w:sz w:val="21"/>
                <w:highlight w:val="none"/>
              </w:rPr>
            </w:pPr>
          </w:p>
        </w:tc>
      </w:tr>
      <w:tr w14:paraId="3A35F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552" w:type="dxa"/>
            <w:vAlign w:val="top"/>
          </w:tcPr>
          <w:p w14:paraId="452AB83B">
            <w:pPr>
              <w:rPr>
                <w:rFonts w:ascii="Arial"/>
                <w:color w:val="auto"/>
                <w:sz w:val="21"/>
                <w:highlight w:val="none"/>
              </w:rPr>
            </w:pPr>
          </w:p>
        </w:tc>
        <w:tc>
          <w:tcPr>
            <w:tcW w:w="1545" w:type="dxa"/>
            <w:vAlign w:val="top"/>
          </w:tcPr>
          <w:p w14:paraId="3C0EDE27">
            <w:pPr>
              <w:rPr>
                <w:rFonts w:ascii="Arial"/>
                <w:color w:val="auto"/>
                <w:sz w:val="21"/>
                <w:highlight w:val="none"/>
              </w:rPr>
            </w:pPr>
          </w:p>
        </w:tc>
        <w:tc>
          <w:tcPr>
            <w:tcW w:w="1547" w:type="dxa"/>
            <w:vAlign w:val="top"/>
          </w:tcPr>
          <w:p w14:paraId="7BB93ADB">
            <w:pPr>
              <w:rPr>
                <w:rFonts w:ascii="Arial"/>
                <w:color w:val="auto"/>
                <w:sz w:val="21"/>
                <w:highlight w:val="none"/>
              </w:rPr>
            </w:pPr>
          </w:p>
        </w:tc>
        <w:tc>
          <w:tcPr>
            <w:tcW w:w="1548" w:type="dxa"/>
            <w:vAlign w:val="top"/>
          </w:tcPr>
          <w:p w14:paraId="2E7D060E">
            <w:pPr>
              <w:rPr>
                <w:rFonts w:ascii="Arial"/>
                <w:color w:val="auto"/>
                <w:sz w:val="21"/>
                <w:highlight w:val="none"/>
              </w:rPr>
            </w:pPr>
          </w:p>
        </w:tc>
        <w:tc>
          <w:tcPr>
            <w:tcW w:w="1547" w:type="dxa"/>
            <w:vAlign w:val="top"/>
          </w:tcPr>
          <w:p w14:paraId="6DE0FF93">
            <w:pPr>
              <w:rPr>
                <w:rFonts w:ascii="Arial"/>
                <w:color w:val="auto"/>
                <w:sz w:val="21"/>
                <w:highlight w:val="none"/>
              </w:rPr>
            </w:pPr>
          </w:p>
        </w:tc>
        <w:tc>
          <w:tcPr>
            <w:tcW w:w="1552" w:type="dxa"/>
            <w:vAlign w:val="top"/>
          </w:tcPr>
          <w:p w14:paraId="1186555E">
            <w:pPr>
              <w:rPr>
                <w:rFonts w:ascii="Arial"/>
                <w:color w:val="auto"/>
                <w:sz w:val="21"/>
                <w:highlight w:val="none"/>
              </w:rPr>
            </w:pPr>
          </w:p>
        </w:tc>
      </w:tr>
      <w:tr w14:paraId="1BCA6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14:paraId="16CEEAB3">
            <w:pPr>
              <w:rPr>
                <w:rFonts w:ascii="Arial"/>
                <w:color w:val="auto"/>
                <w:sz w:val="21"/>
                <w:highlight w:val="none"/>
              </w:rPr>
            </w:pPr>
          </w:p>
        </w:tc>
        <w:tc>
          <w:tcPr>
            <w:tcW w:w="1545" w:type="dxa"/>
            <w:vAlign w:val="top"/>
          </w:tcPr>
          <w:p w14:paraId="41339EAB">
            <w:pPr>
              <w:rPr>
                <w:rFonts w:ascii="Arial"/>
                <w:color w:val="auto"/>
                <w:sz w:val="21"/>
                <w:highlight w:val="none"/>
              </w:rPr>
            </w:pPr>
          </w:p>
        </w:tc>
        <w:tc>
          <w:tcPr>
            <w:tcW w:w="1547" w:type="dxa"/>
            <w:vAlign w:val="top"/>
          </w:tcPr>
          <w:p w14:paraId="1E54F694">
            <w:pPr>
              <w:rPr>
                <w:rFonts w:ascii="Arial"/>
                <w:color w:val="auto"/>
                <w:sz w:val="21"/>
                <w:highlight w:val="none"/>
              </w:rPr>
            </w:pPr>
          </w:p>
        </w:tc>
        <w:tc>
          <w:tcPr>
            <w:tcW w:w="1548" w:type="dxa"/>
            <w:vAlign w:val="top"/>
          </w:tcPr>
          <w:p w14:paraId="2CB5AC54">
            <w:pPr>
              <w:rPr>
                <w:rFonts w:ascii="Arial"/>
                <w:color w:val="auto"/>
                <w:sz w:val="21"/>
                <w:highlight w:val="none"/>
              </w:rPr>
            </w:pPr>
          </w:p>
        </w:tc>
        <w:tc>
          <w:tcPr>
            <w:tcW w:w="1547" w:type="dxa"/>
            <w:vAlign w:val="top"/>
          </w:tcPr>
          <w:p w14:paraId="6F209E90">
            <w:pPr>
              <w:rPr>
                <w:rFonts w:ascii="Arial"/>
                <w:color w:val="auto"/>
                <w:sz w:val="21"/>
                <w:highlight w:val="none"/>
              </w:rPr>
            </w:pPr>
          </w:p>
        </w:tc>
        <w:tc>
          <w:tcPr>
            <w:tcW w:w="1552" w:type="dxa"/>
            <w:vAlign w:val="top"/>
          </w:tcPr>
          <w:p w14:paraId="38E510CB">
            <w:pPr>
              <w:rPr>
                <w:rFonts w:ascii="Arial"/>
                <w:color w:val="auto"/>
                <w:sz w:val="21"/>
                <w:highlight w:val="none"/>
              </w:rPr>
            </w:pPr>
          </w:p>
        </w:tc>
      </w:tr>
      <w:tr w14:paraId="767DE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552" w:type="dxa"/>
            <w:vAlign w:val="top"/>
          </w:tcPr>
          <w:p w14:paraId="636ECF4E">
            <w:pPr>
              <w:rPr>
                <w:rFonts w:ascii="Arial"/>
                <w:color w:val="auto"/>
                <w:sz w:val="21"/>
                <w:highlight w:val="none"/>
              </w:rPr>
            </w:pPr>
          </w:p>
        </w:tc>
        <w:tc>
          <w:tcPr>
            <w:tcW w:w="1545" w:type="dxa"/>
            <w:vAlign w:val="top"/>
          </w:tcPr>
          <w:p w14:paraId="5F830854">
            <w:pPr>
              <w:rPr>
                <w:rFonts w:ascii="Arial"/>
                <w:color w:val="auto"/>
                <w:sz w:val="21"/>
                <w:highlight w:val="none"/>
              </w:rPr>
            </w:pPr>
          </w:p>
        </w:tc>
        <w:tc>
          <w:tcPr>
            <w:tcW w:w="1547" w:type="dxa"/>
            <w:vAlign w:val="top"/>
          </w:tcPr>
          <w:p w14:paraId="227F7CDA">
            <w:pPr>
              <w:rPr>
                <w:rFonts w:ascii="Arial"/>
                <w:color w:val="auto"/>
                <w:sz w:val="21"/>
                <w:highlight w:val="none"/>
              </w:rPr>
            </w:pPr>
          </w:p>
        </w:tc>
        <w:tc>
          <w:tcPr>
            <w:tcW w:w="1548" w:type="dxa"/>
            <w:vAlign w:val="top"/>
          </w:tcPr>
          <w:p w14:paraId="44BF3F44">
            <w:pPr>
              <w:rPr>
                <w:rFonts w:ascii="Arial"/>
                <w:color w:val="auto"/>
                <w:sz w:val="21"/>
                <w:highlight w:val="none"/>
              </w:rPr>
            </w:pPr>
          </w:p>
        </w:tc>
        <w:tc>
          <w:tcPr>
            <w:tcW w:w="1547" w:type="dxa"/>
            <w:vAlign w:val="top"/>
          </w:tcPr>
          <w:p w14:paraId="49DAC441">
            <w:pPr>
              <w:rPr>
                <w:rFonts w:ascii="Arial"/>
                <w:color w:val="auto"/>
                <w:sz w:val="21"/>
                <w:highlight w:val="none"/>
              </w:rPr>
            </w:pPr>
          </w:p>
        </w:tc>
        <w:tc>
          <w:tcPr>
            <w:tcW w:w="1552" w:type="dxa"/>
            <w:vAlign w:val="top"/>
          </w:tcPr>
          <w:p w14:paraId="4BDAAD64">
            <w:pPr>
              <w:rPr>
                <w:rFonts w:ascii="Arial"/>
                <w:color w:val="auto"/>
                <w:sz w:val="21"/>
                <w:highlight w:val="none"/>
              </w:rPr>
            </w:pPr>
          </w:p>
        </w:tc>
      </w:tr>
    </w:tbl>
    <w:p w14:paraId="52E8CE12">
      <w:pPr>
        <w:spacing w:before="273" w:line="226" w:lineRule="auto"/>
        <w:ind w:left="121" w:right="118" w:firstLine="420"/>
        <w:rPr>
          <w:rFonts w:ascii="宋体" w:hAnsi="宋体" w:eastAsia="宋体" w:cs="宋体"/>
          <w:color w:val="auto"/>
          <w:sz w:val="22"/>
          <w:szCs w:val="22"/>
          <w:highlight w:val="none"/>
        </w:rPr>
      </w:pPr>
      <w:r>
        <w:rPr>
          <w:rFonts w:ascii="宋体" w:hAnsi="宋体" w:eastAsia="宋体" w:cs="宋体"/>
          <w:color w:val="auto"/>
          <w:spacing w:val="-1"/>
          <w:sz w:val="21"/>
          <w:szCs w:val="21"/>
          <w:highlight w:val="none"/>
        </w:rPr>
        <w:t xml:space="preserve">注：主要人员指投标人须知前附表第 </w:t>
      </w:r>
      <w:r>
        <w:rPr>
          <w:rFonts w:ascii="Arial" w:hAnsi="Arial" w:eastAsia="Arial" w:cs="Arial"/>
          <w:color w:val="auto"/>
          <w:spacing w:val="-1"/>
          <w:sz w:val="21"/>
          <w:szCs w:val="21"/>
          <w:highlight w:val="none"/>
        </w:rPr>
        <w:t xml:space="preserve">1.4.1 </w:t>
      </w:r>
      <w:r>
        <w:rPr>
          <w:rFonts w:ascii="宋体" w:hAnsi="宋体" w:eastAsia="宋体" w:cs="宋体"/>
          <w:color w:val="auto"/>
          <w:spacing w:val="-1"/>
          <w:sz w:val="21"/>
          <w:szCs w:val="21"/>
          <w:highlight w:val="none"/>
        </w:rPr>
        <w:t>项要求的人员及其他主要人员。表后附项目经理：</w:t>
      </w:r>
      <w:r>
        <w:rPr>
          <w:rFonts w:ascii="宋体" w:hAnsi="宋体" w:eastAsia="宋体" w:cs="宋体"/>
          <w:color w:val="auto"/>
          <w:spacing w:val="13"/>
          <w:sz w:val="21"/>
          <w:szCs w:val="21"/>
          <w:highlight w:val="none"/>
        </w:rPr>
        <w:t xml:space="preserve"> </w:t>
      </w:r>
      <w:r>
        <w:rPr>
          <w:rFonts w:ascii="宋体" w:hAnsi="宋体" w:eastAsia="宋体" w:cs="宋体"/>
          <w:color w:val="auto"/>
          <w:spacing w:val="-1"/>
          <w:sz w:val="21"/>
          <w:szCs w:val="21"/>
          <w:highlight w:val="none"/>
        </w:rPr>
        <w:t>注册建造师证、安全生产考核合格证书、身份证、</w:t>
      </w:r>
      <w:r>
        <w:rPr>
          <w:rFonts w:ascii="宋体" w:hAnsi="宋体" w:eastAsia="宋体" w:cs="宋体"/>
          <w:color w:val="auto"/>
          <w:spacing w:val="-2"/>
          <w:sz w:val="21"/>
          <w:szCs w:val="21"/>
          <w:highlight w:val="none"/>
        </w:rPr>
        <w:t>职称证</w:t>
      </w:r>
      <w:r>
        <w:rPr>
          <w:rFonts w:ascii="宋体" w:hAnsi="宋体" w:eastAsia="宋体" w:cs="宋体"/>
          <w:i/>
          <w:iCs/>
          <w:color w:val="auto"/>
          <w:spacing w:val="-2"/>
          <w:sz w:val="22"/>
          <w:szCs w:val="22"/>
          <w:highlight w:val="none"/>
        </w:rPr>
        <w:t>（如要求）</w:t>
      </w:r>
      <w:r>
        <w:rPr>
          <w:rFonts w:ascii="宋体" w:hAnsi="宋体" w:eastAsia="宋体" w:cs="宋体"/>
          <w:color w:val="auto"/>
          <w:spacing w:val="-2"/>
          <w:sz w:val="21"/>
          <w:szCs w:val="21"/>
          <w:highlight w:val="none"/>
        </w:rPr>
        <w:t>、个人业绩</w:t>
      </w:r>
      <w:r>
        <w:rPr>
          <w:rFonts w:ascii="宋体" w:hAnsi="宋体" w:eastAsia="宋体" w:cs="宋体"/>
          <w:i/>
          <w:iCs/>
          <w:color w:val="auto"/>
          <w:spacing w:val="-2"/>
          <w:sz w:val="22"/>
          <w:szCs w:val="22"/>
          <w:highlight w:val="none"/>
        </w:rPr>
        <w:t>（如要求</w:t>
      </w:r>
      <w:r>
        <w:rPr>
          <w:rFonts w:ascii="宋体" w:hAnsi="宋体" w:eastAsia="宋体" w:cs="宋体"/>
          <w:i/>
          <w:iCs/>
          <w:color w:val="auto"/>
          <w:spacing w:val="-8"/>
          <w:sz w:val="22"/>
          <w:szCs w:val="22"/>
          <w:highlight w:val="none"/>
        </w:rPr>
        <w:t>）</w:t>
      </w:r>
      <w:r>
        <w:rPr>
          <w:rFonts w:ascii="宋体" w:hAnsi="宋体" w:eastAsia="宋体" w:cs="宋体"/>
          <w:color w:val="auto"/>
          <w:spacing w:val="-8"/>
          <w:sz w:val="21"/>
          <w:szCs w:val="21"/>
          <w:highlight w:val="none"/>
        </w:rPr>
        <w:t>；</w:t>
      </w:r>
      <w:r>
        <w:rPr>
          <w:rFonts w:ascii="宋体" w:hAnsi="宋体" w:eastAsia="宋体" w:cs="宋体"/>
          <w:color w:val="auto"/>
          <w:spacing w:val="-2"/>
          <w:sz w:val="21"/>
          <w:szCs w:val="21"/>
          <w:highlight w:val="none"/>
        </w:rPr>
        <w:t>主要</w:t>
      </w:r>
      <w:r>
        <w:rPr>
          <w:rFonts w:ascii="宋体" w:hAnsi="宋体" w:eastAsia="宋体" w:cs="宋体"/>
          <w:color w:val="auto"/>
          <w:spacing w:val="-4"/>
          <w:sz w:val="21"/>
          <w:szCs w:val="21"/>
          <w:highlight w:val="none"/>
        </w:rPr>
        <w:t>人员：身份证、职称证、个人业绩</w:t>
      </w:r>
      <w:r>
        <w:rPr>
          <w:rFonts w:ascii="宋体" w:hAnsi="宋体" w:eastAsia="宋体" w:cs="宋体"/>
          <w:i/>
          <w:iCs/>
          <w:color w:val="auto"/>
          <w:spacing w:val="-4"/>
          <w:sz w:val="22"/>
          <w:szCs w:val="22"/>
          <w:highlight w:val="none"/>
        </w:rPr>
        <w:t>（如要求）。（说明：以上资料仅为列举）</w:t>
      </w:r>
    </w:p>
    <w:p w14:paraId="19932D77">
      <w:pPr>
        <w:spacing w:before="153" w:line="224" w:lineRule="auto"/>
        <w:ind w:left="3380"/>
        <w:rPr>
          <w:rFonts w:ascii="宋体" w:hAnsi="宋体" w:eastAsia="宋体" w:cs="宋体"/>
          <w:b/>
          <w:bCs/>
          <w:color w:val="auto"/>
          <w:spacing w:val="5"/>
          <w:sz w:val="31"/>
          <w:szCs w:val="31"/>
          <w:highlight w:val="none"/>
        </w:rPr>
      </w:pPr>
      <w:bookmarkStart w:id="442" w:name="bookmark296"/>
      <w:bookmarkEnd w:id="442"/>
    </w:p>
    <w:p w14:paraId="57A0C1B5">
      <w:pPr>
        <w:spacing w:before="64" w:line="224" w:lineRule="auto"/>
        <w:ind w:left="3474"/>
        <w:outlineLvl w:val="2"/>
        <w:rPr>
          <w:rFonts w:ascii="宋体" w:hAnsi="宋体" w:eastAsia="宋体" w:cs="宋体"/>
          <w:b/>
          <w:bCs/>
          <w:color w:val="auto"/>
          <w:spacing w:val="6"/>
          <w:sz w:val="31"/>
          <w:szCs w:val="31"/>
          <w:highlight w:val="none"/>
        </w:rPr>
      </w:pPr>
      <w:bookmarkStart w:id="443" w:name="_Toc625"/>
      <w:r>
        <w:rPr>
          <w:rFonts w:ascii="宋体" w:hAnsi="宋体" w:eastAsia="宋体" w:cs="宋体"/>
          <w:b/>
          <w:bCs/>
          <w:color w:val="auto"/>
          <w:spacing w:val="6"/>
          <w:sz w:val="31"/>
          <w:szCs w:val="31"/>
          <w:highlight w:val="none"/>
        </w:rPr>
        <w:t>八、拟分包项目情况表</w:t>
      </w:r>
      <w:bookmarkEnd w:id="443"/>
    </w:p>
    <w:p w14:paraId="2B497CA3">
      <w:pPr>
        <w:spacing w:before="169"/>
        <w:rPr>
          <w:color w:val="auto"/>
          <w:highlight w:val="none"/>
        </w:rPr>
      </w:pPr>
    </w:p>
    <w:tbl>
      <w:tblPr>
        <w:tblStyle w:val="29"/>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2"/>
        <w:gridCol w:w="2565"/>
        <w:gridCol w:w="1943"/>
        <w:gridCol w:w="2701"/>
      </w:tblGrid>
      <w:tr w14:paraId="220A9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082" w:type="dxa"/>
            <w:vAlign w:val="top"/>
          </w:tcPr>
          <w:p w14:paraId="5B263799">
            <w:pPr>
              <w:pStyle w:val="30"/>
              <w:spacing w:before="178" w:line="220" w:lineRule="auto"/>
              <w:ind w:left="207"/>
              <w:rPr>
                <w:color w:val="auto"/>
                <w:highlight w:val="none"/>
              </w:rPr>
            </w:pPr>
            <w:r>
              <w:rPr>
                <w:color w:val="auto"/>
                <w:spacing w:val="-1"/>
                <w:highlight w:val="none"/>
              </w:rPr>
              <w:t>拟分包的工程项目</w:t>
            </w:r>
          </w:p>
        </w:tc>
        <w:tc>
          <w:tcPr>
            <w:tcW w:w="2565" w:type="dxa"/>
            <w:vAlign w:val="top"/>
          </w:tcPr>
          <w:p w14:paraId="5DB21718">
            <w:pPr>
              <w:pStyle w:val="30"/>
              <w:spacing w:before="177" w:line="221" w:lineRule="auto"/>
              <w:ind w:left="659"/>
              <w:rPr>
                <w:color w:val="auto"/>
                <w:highlight w:val="none"/>
              </w:rPr>
            </w:pPr>
            <w:r>
              <w:rPr>
                <w:color w:val="auto"/>
                <w:spacing w:val="-2"/>
                <w:highlight w:val="none"/>
              </w:rPr>
              <w:t>主要工程内容</w:t>
            </w:r>
          </w:p>
        </w:tc>
        <w:tc>
          <w:tcPr>
            <w:tcW w:w="1943" w:type="dxa"/>
            <w:vAlign w:val="top"/>
          </w:tcPr>
          <w:p w14:paraId="4D5BA31F">
            <w:pPr>
              <w:pStyle w:val="30"/>
              <w:spacing w:before="178" w:line="219" w:lineRule="auto"/>
              <w:ind w:left="136"/>
              <w:rPr>
                <w:color w:val="auto"/>
                <w:highlight w:val="none"/>
              </w:rPr>
            </w:pPr>
            <w:r>
              <w:rPr>
                <w:color w:val="auto"/>
                <w:spacing w:val="-1"/>
                <w:highlight w:val="none"/>
              </w:rPr>
              <w:t>预计造价（万元）</w:t>
            </w:r>
          </w:p>
        </w:tc>
        <w:tc>
          <w:tcPr>
            <w:tcW w:w="2701" w:type="dxa"/>
            <w:vAlign w:val="top"/>
          </w:tcPr>
          <w:p w14:paraId="23F8E2D9">
            <w:pPr>
              <w:pStyle w:val="30"/>
              <w:spacing w:before="178" w:line="222" w:lineRule="auto"/>
              <w:ind w:left="1094"/>
              <w:rPr>
                <w:color w:val="auto"/>
                <w:highlight w:val="none"/>
              </w:rPr>
            </w:pPr>
            <w:r>
              <w:rPr>
                <w:color w:val="auto"/>
                <w:spacing w:val="-5"/>
                <w:highlight w:val="none"/>
              </w:rPr>
              <w:t>备</w:t>
            </w:r>
            <w:r>
              <w:rPr>
                <w:color w:val="auto"/>
                <w:spacing w:val="9"/>
                <w:highlight w:val="none"/>
              </w:rPr>
              <w:t xml:space="preserve"> </w:t>
            </w:r>
            <w:r>
              <w:rPr>
                <w:color w:val="auto"/>
                <w:spacing w:val="-5"/>
                <w:highlight w:val="none"/>
              </w:rPr>
              <w:t>注</w:t>
            </w:r>
          </w:p>
        </w:tc>
      </w:tr>
      <w:tr w14:paraId="49F97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82" w:type="dxa"/>
            <w:vAlign w:val="top"/>
          </w:tcPr>
          <w:p w14:paraId="009CBCFB">
            <w:pPr>
              <w:rPr>
                <w:rFonts w:ascii="Arial"/>
                <w:color w:val="auto"/>
                <w:sz w:val="21"/>
                <w:highlight w:val="none"/>
              </w:rPr>
            </w:pPr>
          </w:p>
        </w:tc>
        <w:tc>
          <w:tcPr>
            <w:tcW w:w="2565" w:type="dxa"/>
            <w:vAlign w:val="top"/>
          </w:tcPr>
          <w:p w14:paraId="7873CD71">
            <w:pPr>
              <w:rPr>
                <w:rFonts w:ascii="Arial"/>
                <w:color w:val="auto"/>
                <w:sz w:val="21"/>
                <w:highlight w:val="none"/>
              </w:rPr>
            </w:pPr>
          </w:p>
        </w:tc>
        <w:tc>
          <w:tcPr>
            <w:tcW w:w="1943" w:type="dxa"/>
            <w:vAlign w:val="top"/>
          </w:tcPr>
          <w:p w14:paraId="57446EF4">
            <w:pPr>
              <w:rPr>
                <w:rFonts w:ascii="Arial"/>
                <w:color w:val="auto"/>
                <w:sz w:val="21"/>
                <w:highlight w:val="none"/>
              </w:rPr>
            </w:pPr>
          </w:p>
        </w:tc>
        <w:tc>
          <w:tcPr>
            <w:tcW w:w="2701" w:type="dxa"/>
            <w:vMerge w:val="restart"/>
            <w:tcBorders>
              <w:bottom w:val="nil"/>
            </w:tcBorders>
            <w:vAlign w:val="top"/>
          </w:tcPr>
          <w:p w14:paraId="2A039F86">
            <w:pPr>
              <w:spacing w:line="241" w:lineRule="auto"/>
              <w:rPr>
                <w:rFonts w:ascii="Arial"/>
                <w:color w:val="auto"/>
                <w:sz w:val="21"/>
                <w:highlight w:val="none"/>
              </w:rPr>
            </w:pPr>
          </w:p>
          <w:p w14:paraId="74C8CCC3">
            <w:pPr>
              <w:spacing w:line="241" w:lineRule="auto"/>
              <w:rPr>
                <w:rFonts w:ascii="Arial"/>
                <w:color w:val="auto"/>
                <w:sz w:val="21"/>
                <w:highlight w:val="none"/>
              </w:rPr>
            </w:pPr>
          </w:p>
          <w:p w14:paraId="1ED08148">
            <w:pPr>
              <w:spacing w:line="241" w:lineRule="auto"/>
              <w:rPr>
                <w:rFonts w:ascii="Arial"/>
                <w:color w:val="auto"/>
                <w:sz w:val="21"/>
                <w:highlight w:val="none"/>
              </w:rPr>
            </w:pPr>
          </w:p>
          <w:p w14:paraId="52C5A99E">
            <w:pPr>
              <w:spacing w:line="241" w:lineRule="auto"/>
              <w:rPr>
                <w:rFonts w:ascii="Arial"/>
                <w:color w:val="auto"/>
                <w:sz w:val="21"/>
                <w:highlight w:val="none"/>
              </w:rPr>
            </w:pPr>
          </w:p>
          <w:p w14:paraId="3400D93F">
            <w:pPr>
              <w:spacing w:line="241" w:lineRule="auto"/>
              <w:rPr>
                <w:rFonts w:ascii="Arial"/>
                <w:color w:val="auto"/>
                <w:sz w:val="21"/>
                <w:highlight w:val="none"/>
              </w:rPr>
            </w:pPr>
          </w:p>
          <w:p w14:paraId="7F7A4E80">
            <w:pPr>
              <w:spacing w:line="241" w:lineRule="auto"/>
              <w:rPr>
                <w:rFonts w:ascii="Arial"/>
                <w:color w:val="auto"/>
                <w:sz w:val="21"/>
                <w:highlight w:val="none"/>
              </w:rPr>
            </w:pPr>
          </w:p>
          <w:p w14:paraId="7471BFD8">
            <w:pPr>
              <w:spacing w:line="241" w:lineRule="auto"/>
              <w:rPr>
                <w:rFonts w:ascii="Arial"/>
                <w:color w:val="auto"/>
                <w:sz w:val="21"/>
                <w:highlight w:val="none"/>
              </w:rPr>
            </w:pPr>
          </w:p>
          <w:p w14:paraId="6C046940">
            <w:pPr>
              <w:spacing w:line="241" w:lineRule="auto"/>
              <w:rPr>
                <w:rFonts w:ascii="Arial"/>
                <w:color w:val="auto"/>
                <w:sz w:val="21"/>
                <w:highlight w:val="none"/>
              </w:rPr>
            </w:pPr>
          </w:p>
          <w:p w14:paraId="2D08C2D5">
            <w:pPr>
              <w:spacing w:line="241" w:lineRule="auto"/>
              <w:rPr>
                <w:rFonts w:ascii="Arial"/>
                <w:color w:val="auto"/>
                <w:sz w:val="21"/>
                <w:highlight w:val="none"/>
              </w:rPr>
            </w:pPr>
          </w:p>
          <w:p w14:paraId="5FB3B364">
            <w:pPr>
              <w:spacing w:line="242" w:lineRule="auto"/>
              <w:rPr>
                <w:rFonts w:ascii="Arial"/>
                <w:color w:val="auto"/>
                <w:sz w:val="21"/>
                <w:highlight w:val="none"/>
              </w:rPr>
            </w:pPr>
          </w:p>
          <w:p w14:paraId="18A01C00">
            <w:pPr>
              <w:spacing w:line="242" w:lineRule="auto"/>
              <w:rPr>
                <w:rFonts w:ascii="Arial"/>
                <w:color w:val="auto"/>
                <w:sz w:val="21"/>
                <w:highlight w:val="none"/>
              </w:rPr>
            </w:pPr>
          </w:p>
          <w:p w14:paraId="344A02A7">
            <w:pPr>
              <w:spacing w:line="242" w:lineRule="auto"/>
              <w:rPr>
                <w:rFonts w:ascii="Arial"/>
                <w:color w:val="auto"/>
                <w:sz w:val="21"/>
                <w:highlight w:val="none"/>
              </w:rPr>
            </w:pPr>
          </w:p>
          <w:p w14:paraId="3B3E57DE">
            <w:pPr>
              <w:spacing w:line="242" w:lineRule="auto"/>
              <w:rPr>
                <w:rFonts w:ascii="Arial"/>
                <w:color w:val="auto"/>
                <w:sz w:val="21"/>
                <w:highlight w:val="none"/>
              </w:rPr>
            </w:pPr>
          </w:p>
          <w:p w14:paraId="369F0121">
            <w:pPr>
              <w:spacing w:line="242" w:lineRule="auto"/>
              <w:rPr>
                <w:rFonts w:ascii="Arial"/>
                <w:color w:val="auto"/>
                <w:sz w:val="21"/>
                <w:highlight w:val="none"/>
              </w:rPr>
            </w:pPr>
          </w:p>
          <w:p w14:paraId="71D2B634">
            <w:pPr>
              <w:spacing w:line="242" w:lineRule="auto"/>
              <w:rPr>
                <w:rFonts w:ascii="Arial"/>
                <w:color w:val="auto"/>
                <w:sz w:val="21"/>
                <w:highlight w:val="none"/>
              </w:rPr>
            </w:pPr>
          </w:p>
          <w:p w14:paraId="74B7ECF8">
            <w:pPr>
              <w:spacing w:line="242" w:lineRule="auto"/>
              <w:rPr>
                <w:rFonts w:ascii="Arial"/>
                <w:color w:val="auto"/>
                <w:sz w:val="21"/>
                <w:highlight w:val="none"/>
              </w:rPr>
            </w:pPr>
          </w:p>
          <w:p w14:paraId="45866A66">
            <w:pPr>
              <w:spacing w:line="242" w:lineRule="auto"/>
              <w:rPr>
                <w:rFonts w:ascii="Arial"/>
                <w:color w:val="auto"/>
                <w:sz w:val="21"/>
                <w:highlight w:val="none"/>
              </w:rPr>
            </w:pPr>
          </w:p>
          <w:p w14:paraId="09C06EBC">
            <w:pPr>
              <w:spacing w:line="242" w:lineRule="auto"/>
              <w:rPr>
                <w:rFonts w:ascii="Arial"/>
                <w:color w:val="auto"/>
                <w:sz w:val="21"/>
                <w:highlight w:val="none"/>
              </w:rPr>
            </w:pPr>
          </w:p>
          <w:p w14:paraId="6880AAC9">
            <w:pPr>
              <w:pStyle w:val="30"/>
              <w:spacing w:before="68" w:line="374" w:lineRule="auto"/>
              <w:ind w:left="115" w:right="115" w:hanging="1"/>
              <w:rPr>
                <w:rFonts w:ascii="Times New Roman" w:hAnsi="Times New Roman" w:eastAsia="Times New Roman" w:cs="Times New Roman"/>
                <w:color w:val="auto"/>
                <w:highlight w:val="none"/>
              </w:rPr>
            </w:pPr>
            <w:r>
              <w:rPr>
                <w:color w:val="auto"/>
                <w:spacing w:val="-5"/>
                <w:highlight w:val="none"/>
              </w:rPr>
              <w:t>注：若无分包计划，则投标</w:t>
            </w:r>
            <w:r>
              <w:rPr>
                <w:color w:val="auto"/>
                <w:spacing w:val="4"/>
                <w:highlight w:val="none"/>
              </w:rPr>
              <w:t xml:space="preserve"> 人应在本表填写</w:t>
            </w:r>
            <w:r>
              <w:rPr>
                <w:rFonts w:ascii="Times New Roman" w:hAnsi="Times New Roman" w:eastAsia="Times New Roman" w:cs="Times New Roman"/>
                <w:color w:val="auto"/>
                <w:spacing w:val="4"/>
                <w:highlight w:val="none"/>
              </w:rPr>
              <w:t>“</w:t>
            </w:r>
            <w:r>
              <w:rPr>
                <w:color w:val="auto"/>
                <w:spacing w:val="4"/>
                <w:highlight w:val="none"/>
              </w:rPr>
              <w:t>无</w:t>
            </w:r>
            <w:r>
              <w:rPr>
                <w:rFonts w:ascii="Times New Roman" w:hAnsi="Times New Roman" w:eastAsia="Times New Roman" w:cs="Times New Roman"/>
                <w:color w:val="auto"/>
                <w:spacing w:val="4"/>
                <w:highlight w:val="none"/>
              </w:rPr>
              <w:t>”</w:t>
            </w:r>
          </w:p>
        </w:tc>
      </w:tr>
      <w:tr w14:paraId="3C42B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082" w:type="dxa"/>
            <w:vAlign w:val="top"/>
          </w:tcPr>
          <w:p w14:paraId="50C5FF0C">
            <w:pPr>
              <w:rPr>
                <w:rFonts w:ascii="Arial"/>
                <w:color w:val="auto"/>
                <w:sz w:val="21"/>
                <w:highlight w:val="none"/>
              </w:rPr>
            </w:pPr>
          </w:p>
        </w:tc>
        <w:tc>
          <w:tcPr>
            <w:tcW w:w="2565" w:type="dxa"/>
            <w:vAlign w:val="top"/>
          </w:tcPr>
          <w:p w14:paraId="1DA4FE5F">
            <w:pPr>
              <w:rPr>
                <w:rFonts w:ascii="Arial"/>
                <w:color w:val="auto"/>
                <w:sz w:val="21"/>
                <w:highlight w:val="none"/>
              </w:rPr>
            </w:pPr>
          </w:p>
        </w:tc>
        <w:tc>
          <w:tcPr>
            <w:tcW w:w="1943" w:type="dxa"/>
            <w:vAlign w:val="top"/>
          </w:tcPr>
          <w:p w14:paraId="0E10FAB5">
            <w:pPr>
              <w:rPr>
                <w:rFonts w:ascii="Arial"/>
                <w:color w:val="auto"/>
                <w:sz w:val="21"/>
                <w:highlight w:val="none"/>
              </w:rPr>
            </w:pPr>
          </w:p>
        </w:tc>
        <w:tc>
          <w:tcPr>
            <w:tcW w:w="2701" w:type="dxa"/>
            <w:vMerge w:val="continue"/>
            <w:tcBorders>
              <w:top w:val="nil"/>
              <w:bottom w:val="nil"/>
            </w:tcBorders>
            <w:vAlign w:val="top"/>
          </w:tcPr>
          <w:p w14:paraId="3C32CD65">
            <w:pPr>
              <w:rPr>
                <w:rFonts w:ascii="Arial"/>
                <w:color w:val="auto"/>
                <w:sz w:val="21"/>
                <w:highlight w:val="none"/>
              </w:rPr>
            </w:pPr>
          </w:p>
        </w:tc>
      </w:tr>
      <w:tr w14:paraId="0D0E6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082" w:type="dxa"/>
            <w:vAlign w:val="top"/>
          </w:tcPr>
          <w:p w14:paraId="67449EB9">
            <w:pPr>
              <w:rPr>
                <w:rFonts w:ascii="Arial"/>
                <w:color w:val="auto"/>
                <w:sz w:val="21"/>
                <w:highlight w:val="none"/>
              </w:rPr>
            </w:pPr>
          </w:p>
        </w:tc>
        <w:tc>
          <w:tcPr>
            <w:tcW w:w="2565" w:type="dxa"/>
            <w:vAlign w:val="top"/>
          </w:tcPr>
          <w:p w14:paraId="2FE574A6">
            <w:pPr>
              <w:rPr>
                <w:rFonts w:ascii="Arial"/>
                <w:color w:val="auto"/>
                <w:sz w:val="21"/>
                <w:highlight w:val="none"/>
              </w:rPr>
            </w:pPr>
          </w:p>
        </w:tc>
        <w:tc>
          <w:tcPr>
            <w:tcW w:w="1943" w:type="dxa"/>
            <w:vAlign w:val="top"/>
          </w:tcPr>
          <w:p w14:paraId="3B74BB5C">
            <w:pPr>
              <w:rPr>
                <w:rFonts w:ascii="Arial"/>
                <w:color w:val="auto"/>
                <w:sz w:val="21"/>
                <w:highlight w:val="none"/>
              </w:rPr>
            </w:pPr>
          </w:p>
        </w:tc>
        <w:tc>
          <w:tcPr>
            <w:tcW w:w="2701" w:type="dxa"/>
            <w:vMerge w:val="continue"/>
            <w:tcBorders>
              <w:top w:val="nil"/>
              <w:bottom w:val="nil"/>
            </w:tcBorders>
            <w:vAlign w:val="top"/>
          </w:tcPr>
          <w:p w14:paraId="153E8021">
            <w:pPr>
              <w:rPr>
                <w:rFonts w:ascii="Arial"/>
                <w:color w:val="auto"/>
                <w:sz w:val="21"/>
                <w:highlight w:val="none"/>
              </w:rPr>
            </w:pPr>
          </w:p>
        </w:tc>
      </w:tr>
      <w:tr w14:paraId="4FB4E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82" w:type="dxa"/>
            <w:vAlign w:val="top"/>
          </w:tcPr>
          <w:p w14:paraId="7153580B">
            <w:pPr>
              <w:rPr>
                <w:rFonts w:ascii="Arial"/>
                <w:color w:val="auto"/>
                <w:sz w:val="21"/>
                <w:highlight w:val="none"/>
              </w:rPr>
            </w:pPr>
          </w:p>
        </w:tc>
        <w:tc>
          <w:tcPr>
            <w:tcW w:w="2565" w:type="dxa"/>
            <w:vAlign w:val="top"/>
          </w:tcPr>
          <w:p w14:paraId="502D9BAB">
            <w:pPr>
              <w:rPr>
                <w:rFonts w:ascii="Arial"/>
                <w:color w:val="auto"/>
                <w:sz w:val="21"/>
                <w:highlight w:val="none"/>
              </w:rPr>
            </w:pPr>
          </w:p>
        </w:tc>
        <w:tc>
          <w:tcPr>
            <w:tcW w:w="1943" w:type="dxa"/>
            <w:vAlign w:val="top"/>
          </w:tcPr>
          <w:p w14:paraId="4FD55E27">
            <w:pPr>
              <w:rPr>
                <w:rFonts w:ascii="Arial"/>
                <w:color w:val="auto"/>
                <w:sz w:val="21"/>
                <w:highlight w:val="none"/>
              </w:rPr>
            </w:pPr>
          </w:p>
        </w:tc>
        <w:tc>
          <w:tcPr>
            <w:tcW w:w="2701" w:type="dxa"/>
            <w:vMerge w:val="continue"/>
            <w:tcBorders>
              <w:top w:val="nil"/>
              <w:bottom w:val="nil"/>
            </w:tcBorders>
            <w:vAlign w:val="top"/>
          </w:tcPr>
          <w:p w14:paraId="6463ECC4">
            <w:pPr>
              <w:rPr>
                <w:rFonts w:ascii="Arial"/>
                <w:color w:val="auto"/>
                <w:sz w:val="21"/>
                <w:highlight w:val="none"/>
              </w:rPr>
            </w:pPr>
          </w:p>
        </w:tc>
      </w:tr>
      <w:tr w14:paraId="235F4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082" w:type="dxa"/>
            <w:vAlign w:val="top"/>
          </w:tcPr>
          <w:p w14:paraId="39ABE1E7">
            <w:pPr>
              <w:rPr>
                <w:rFonts w:ascii="Arial"/>
                <w:color w:val="auto"/>
                <w:sz w:val="21"/>
                <w:highlight w:val="none"/>
              </w:rPr>
            </w:pPr>
          </w:p>
        </w:tc>
        <w:tc>
          <w:tcPr>
            <w:tcW w:w="2565" w:type="dxa"/>
            <w:vAlign w:val="top"/>
          </w:tcPr>
          <w:p w14:paraId="0499EEFC">
            <w:pPr>
              <w:rPr>
                <w:rFonts w:ascii="Arial"/>
                <w:color w:val="auto"/>
                <w:sz w:val="21"/>
                <w:highlight w:val="none"/>
              </w:rPr>
            </w:pPr>
          </w:p>
        </w:tc>
        <w:tc>
          <w:tcPr>
            <w:tcW w:w="1943" w:type="dxa"/>
            <w:vAlign w:val="top"/>
          </w:tcPr>
          <w:p w14:paraId="725FF599">
            <w:pPr>
              <w:rPr>
                <w:rFonts w:ascii="Arial"/>
                <w:color w:val="auto"/>
                <w:sz w:val="21"/>
                <w:highlight w:val="none"/>
              </w:rPr>
            </w:pPr>
          </w:p>
        </w:tc>
        <w:tc>
          <w:tcPr>
            <w:tcW w:w="2701" w:type="dxa"/>
            <w:vMerge w:val="continue"/>
            <w:tcBorders>
              <w:top w:val="nil"/>
              <w:bottom w:val="nil"/>
            </w:tcBorders>
            <w:vAlign w:val="top"/>
          </w:tcPr>
          <w:p w14:paraId="21FC6712">
            <w:pPr>
              <w:rPr>
                <w:rFonts w:ascii="Arial"/>
                <w:color w:val="auto"/>
                <w:sz w:val="21"/>
                <w:highlight w:val="none"/>
              </w:rPr>
            </w:pPr>
          </w:p>
        </w:tc>
      </w:tr>
      <w:tr w14:paraId="682D7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14:paraId="05937F68">
            <w:pPr>
              <w:rPr>
                <w:rFonts w:ascii="Arial"/>
                <w:color w:val="auto"/>
                <w:sz w:val="21"/>
                <w:highlight w:val="none"/>
              </w:rPr>
            </w:pPr>
          </w:p>
        </w:tc>
        <w:tc>
          <w:tcPr>
            <w:tcW w:w="2565" w:type="dxa"/>
            <w:vAlign w:val="top"/>
          </w:tcPr>
          <w:p w14:paraId="4C41460C">
            <w:pPr>
              <w:rPr>
                <w:rFonts w:ascii="Arial"/>
                <w:color w:val="auto"/>
                <w:sz w:val="21"/>
                <w:highlight w:val="none"/>
              </w:rPr>
            </w:pPr>
          </w:p>
        </w:tc>
        <w:tc>
          <w:tcPr>
            <w:tcW w:w="1943" w:type="dxa"/>
            <w:vAlign w:val="top"/>
          </w:tcPr>
          <w:p w14:paraId="379C29E1">
            <w:pPr>
              <w:rPr>
                <w:rFonts w:ascii="Arial"/>
                <w:color w:val="auto"/>
                <w:sz w:val="21"/>
                <w:highlight w:val="none"/>
              </w:rPr>
            </w:pPr>
          </w:p>
        </w:tc>
        <w:tc>
          <w:tcPr>
            <w:tcW w:w="2701" w:type="dxa"/>
            <w:vMerge w:val="continue"/>
            <w:tcBorders>
              <w:top w:val="nil"/>
              <w:bottom w:val="nil"/>
            </w:tcBorders>
            <w:vAlign w:val="top"/>
          </w:tcPr>
          <w:p w14:paraId="142401E4">
            <w:pPr>
              <w:rPr>
                <w:rFonts w:ascii="Arial"/>
                <w:color w:val="auto"/>
                <w:sz w:val="21"/>
                <w:highlight w:val="none"/>
              </w:rPr>
            </w:pPr>
          </w:p>
        </w:tc>
      </w:tr>
      <w:tr w14:paraId="3A28F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14:paraId="302C3DC3">
            <w:pPr>
              <w:rPr>
                <w:rFonts w:ascii="Arial"/>
                <w:color w:val="auto"/>
                <w:sz w:val="21"/>
                <w:highlight w:val="none"/>
              </w:rPr>
            </w:pPr>
          </w:p>
        </w:tc>
        <w:tc>
          <w:tcPr>
            <w:tcW w:w="2565" w:type="dxa"/>
            <w:vAlign w:val="top"/>
          </w:tcPr>
          <w:p w14:paraId="365C1EA5">
            <w:pPr>
              <w:rPr>
                <w:rFonts w:ascii="Arial"/>
                <w:color w:val="auto"/>
                <w:sz w:val="21"/>
                <w:highlight w:val="none"/>
              </w:rPr>
            </w:pPr>
          </w:p>
        </w:tc>
        <w:tc>
          <w:tcPr>
            <w:tcW w:w="1943" w:type="dxa"/>
            <w:vAlign w:val="top"/>
          </w:tcPr>
          <w:p w14:paraId="163981E7">
            <w:pPr>
              <w:rPr>
                <w:rFonts w:ascii="Arial"/>
                <w:color w:val="auto"/>
                <w:sz w:val="21"/>
                <w:highlight w:val="none"/>
              </w:rPr>
            </w:pPr>
          </w:p>
        </w:tc>
        <w:tc>
          <w:tcPr>
            <w:tcW w:w="2701" w:type="dxa"/>
            <w:vMerge w:val="continue"/>
            <w:tcBorders>
              <w:top w:val="nil"/>
              <w:bottom w:val="nil"/>
            </w:tcBorders>
            <w:vAlign w:val="top"/>
          </w:tcPr>
          <w:p w14:paraId="18142760">
            <w:pPr>
              <w:rPr>
                <w:rFonts w:ascii="Arial"/>
                <w:color w:val="auto"/>
                <w:sz w:val="21"/>
                <w:highlight w:val="none"/>
              </w:rPr>
            </w:pPr>
          </w:p>
        </w:tc>
      </w:tr>
      <w:tr w14:paraId="16916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14:paraId="4B0F707C">
            <w:pPr>
              <w:rPr>
                <w:rFonts w:ascii="Arial"/>
                <w:color w:val="auto"/>
                <w:sz w:val="21"/>
                <w:highlight w:val="none"/>
              </w:rPr>
            </w:pPr>
          </w:p>
        </w:tc>
        <w:tc>
          <w:tcPr>
            <w:tcW w:w="2565" w:type="dxa"/>
            <w:vAlign w:val="top"/>
          </w:tcPr>
          <w:p w14:paraId="203BC104">
            <w:pPr>
              <w:rPr>
                <w:rFonts w:ascii="Arial"/>
                <w:color w:val="auto"/>
                <w:sz w:val="21"/>
                <w:highlight w:val="none"/>
              </w:rPr>
            </w:pPr>
          </w:p>
        </w:tc>
        <w:tc>
          <w:tcPr>
            <w:tcW w:w="1943" w:type="dxa"/>
            <w:vAlign w:val="top"/>
          </w:tcPr>
          <w:p w14:paraId="0A50C33D">
            <w:pPr>
              <w:rPr>
                <w:rFonts w:ascii="Arial"/>
                <w:color w:val="auto"/>
                <w:sz w:val="21"/>
                <w:highlight w:val="none"/>
              </w:rPr>
            </w:pPr>
          </w:p>
        </w:tc>
        <w:tc>
          <w:tcPr>
            <w:tcW w:w="2701" w:type="dxa"/>
            <w:vMerge w:val="continue"/>
            <w:tcBorders>
              <w:top w:val="nil"/>
              <w:bottom w:val="nil"/>
            </w:tcBorders>
            <w:vAlign w:val="top"/>
          </w:tcPr>
          <w:p w14:paraId="678F4BCA">
            <w:pPr>
              <w:rPr>
                <w:rFonts w:ascii="Arial"/>
                <w:color w:val="auto"/>
                <w:sz w:val="21"/>
                <w:highlight w:val="none"/>
              </w:rPr>
            </w:pPr>
          </w:p>
        </w:tc>
      </w:tr>
      <w:tr w14:paraId="287AE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14:paraId="04EDF357">
            <w:pPr>
              <w:rPr>
                <w:rFonts w:ascii="Arial"/>
                <w:color w:val="auto"/>
                <w:sz w:val="21"/>
                <w:highlight w:val="none"/>
              </w:rPr>
            </w:pPr>
          </w:p>
        </w:tc>
        <w:tc>
          <w:tcPr>
            <w:tcW w:w="2565" w:type="dxa"/>
            <w:vAlign w:val="top"/>
          </w:tcPr>
          <w:p w14:paraId="651504CD">
            <w:pPr>
              <w:rPr>
                <w:rFonts w:ascii="Arial"/>
                <w:color w:val="auto"/>
                <w:sz w:val="21"/>
                <w:highlight w:val="none"/>
              </w:rPr>
            </w:pPr>
          </w:p>
        </w:tc>
        <w:tc>
          <w:tcPr>
            <w:tcW w:w="1943" w:type="dxa"/>
            <w:vAlign w:val="top"/>
          </w:tcPr>
          <w:p w14:paraId="049E23B5">
            <w:pPr>
              <w:rPr>
                <w:rFonts w:ascii="Arial"/>
                <w:color w:val="auto"/>
                <w:sz w:val="21"/>
                <w:highlight w:val="none"/>
              </w:rPr>
            </w:pPr>
          </w:p>
        </w:tc>
        <w:tc>
          <w:tcPr>
            <w:tcW w:w="2701" w:type="dxa"/>
            <w:vMerge w:val="continue"/>
            <w:tcBorders>
              <w:top w:val="nil"/>
              <w:bottom w:val="nil"/>
            </w:tcBorders>
            <w:vAlign w:val="top"/>
          </w:tcPr>
          <w:p w14:paraId="34E2D9E7">
            <w:pPr>
              <w:rPr>
                <w:rFonts w:ascii="Arial"/>
                <w:color w:val="auto"/>
                <w:sz w:val="21"/>
                <w:highlight w:val="none"/>
              </w:rPr>
            </w:pPr>
          </w:p>
        </w:tc>
      </w:tr>
      <w:tr w14:paraId="7B5E4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14:paraId="7FF5A1BC">
            <w:pPr>
              <w:rPr>
                <w:rFonts w:ascii="Arial"/>
                <w:color w:val="auto"/>
                <w:sz w:val="21"/>
                <w:highlight w:val="none"/>
              </w:rPr>
            </w:pPr>
          </w:p>
        </w:tc>
        <w:tc>
          <w:tcPr>
            <w:tcW w:w="2565" w:type="dxa"/>
            <w:vAlign w:val="top"/>
          </w:tcPr>
          <w:p w14:paraId="69830D7A">
            <w:pPr>
              <w:rPr>
                <w:rFonts w:ascii="Arial"/>
                <w:color w:val="auto"/>
                <w:sz w:val="21"/>
                <w:highlight w:val="none"/>
              </w:rPr>
            </w:pPr>
          </w:p>
        </w:tc>
        <w:tc>
          <w:tcPr>
            <w:tcW w:w="1943" w:type="dxa"/>
            <w:vAlign w:val="top"/>
          </w:tcPr>
          <w:p w14:paraId="03F38C18">
            <w:pPr>
              <w:rPr>
                <w:rFonts w:ascii="Arial"/>
                <w:color w:val="auto"/>
                <w:sz w:val="21"/>
                <w:highlight w:val="none"/>
              </w:rPr>
            </w:pPr>
          </w:p>
        </w:tc>
        <w:tc>
          <w:tcPr>
            <w:tcW w:w="2701" w:type="dxa"/>
            <w:vMerge w:val="continue"/>
            <w:tcBorders>
              <w:top w:val="nil"/>
              <w:bottom w:val="nil"/>
            </w:tcBorders>
            <w:vAlign w:val="top"/>
          </w:tcPr>
          <w:p w14:paraId="2A0A5F77">
            <w:pPr>
              <w:rPr>
                <w:rFonts w:ascii="Arial"/>
                <w:color w:val="auto"/>
                <w:sz w:val="21"/>
                <w:highlight w:val="none"/>
              </w:rPr>
            </w:pPr>
          </w:p>
        </w:tc>
      </w:tr>
      <w:tr w14:paraId="3A67A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14:paraId="7B6D70CC">
            <w:pPr>
              <w:rPr>
                <w:rFonts w:ascii="Arial"/>
                <w:color w:val="auto"/>
                <w:sz w:val="21"/>
                <w:highlight w:val="none"/>
              </w:rPr>
            </w:pPr>
          </w:p>
        </w:tc>
        <w:tc>
          <w:tcPr>
            <w:tcW w:w="2565" w:type="dxa"/>
            <w:vAlign w:val="top"/>
          </w:tcPr>
          <w:p w14:paraId="55DA0D6B">
            <w:pPr>
              <w:rPr>
                <w:rFonts w:ascii="Arial"/>
                <w:color w:val="auto"/>
                <w:sz w:val="21"/>
                <w:highlight w:val="none"/>
              </w:rPr>
            </w:pPr>
          </w:p>
        </w:tc>
        <w:tc>
          <w:tcPr>
            <w:tcW w:w="1943" w:type="dxa"/>
            <w:vAlign w:val="top"/>
          </w:tcPr>
          <w:p w14:paraId="23BAFDB9">
            <w:pPr>
              <w:rPr>
                <w:rFonts w:ascii="Arial"/>
                <w:color w:val="auto"/>
                <w:sz w:val="21"/>
                <w:highlight w:val="none"/>
              </w:rPr>
            </w:pPr>
          </w:p>
        </w:tc>
        <w:tc>
          <w:tcPr>
            <w:tcW w:w="2701" w:type="dxa"/>
            <w:vMerge w:val="continue"/>
            <w:tcBorders>
              <w:top w:val="nil"/>
              <w:bottom w:val="nil"/>
            </w:tcBorders>
            <w:vAlign w:val="top"/>
          </w:tcPr>
          <w:p w14:paraId="15B9B8D0">
            <w:pPr>
              <w:rPr>
                <w:rFonts w:ascii="Arial"/>
                <w:color w:val="auto"/>
                <w:sz w:val="21"/>
                <w:highlight w:val="none"/>
              </w:rPr>
            </w:pPr>
          </w:p>
        </w:tc>
      </w:tr>
      <w:tr w14:paraId="0BEDC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14:paraId="19949A52">
            <w:pPr>
              <w:rPr>
                <w:rFonts w:ascii="Arial"/>
                <w:color w:val="auto"/>
                <w:sz w:val="21"/>
                <w:highlight w:val="none"/>
              </w:rPr>
            </w:pPr>
          </w:p>
        </w:tc>
        <w:tc>
          <w:tcPr>
            <w:tcW w:w="2565" w:type="dxa"/>
            <w:vAlign w:val="top"/>
          </w:tcPr>
          <w:p w14:paraId="4AB6EC9E">
            <w:pPr>
              <w:rPr>
                <w:rFonts w:ascii="Arial"/>
                <w:color w:val="auto"/>
                <w:sz w:val="21"/>
                <w:highlight w:val="none"/>
              </w:rPr>
            </w:pPr>
          </w:p>
        </w:tc>
        <w:tc>
          <w:tcPr>
            <w:tcW w:w="1943" w:type="dxa"/>
            <w:vAlign w:val="top"/>
          </w:tcPr>
          <w:p w14:paraId="657C278A">
            <w:pPr>
              <w:rPr>
                <w:rFonts w:ascii="Arial"/>
                <w:color w:val="auto"/>
                <w:sz w:val="21"/>
                <w:highlight w:val="none"/>
              </w:rPr>
            </w:pPr>
          </w:p>
        </w:tc>
        <w:tc>
          <w:tcPr>
            <w:tcW w:w="2701" w:type="dxa"/>
            <w:vMerge w:val="continue"/>
            <w:tcBorders>
              <w:top w:val="nil"/>
              <w:bottom w:val="nil"/>
            </w:tcBorders>
            <w:vAlign w:val="top"/>
          </w:tcPr>
          <w:p w14:paraId="682ABCB6">
            <w:pPr>
              <w:rPr>
                <w:rFonts w:ascii="Arial"/>
                <w:color w:val="auto"/>
                <w:sz w:val="21"/>
                <w:highlight w:val="none"/>
              </w:rPr>
            </w:pPr>
          </w:p>
        </w:tc>
      </w:tr>
      <w:tr w14:paraId="23D96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14:paraId="5EA10992">
            <w:pPr>
              <w:rPr>
                <w:rFonts w:ascii="Arial"/>
                <w:color w:val="auto"/>
                <w:sz w:val="21"/>
                <w:highlight w:val="none"/>
              </w:rPr>
            </w:pPr>
          </w:p>
        </w:tc>
        <w:tc>
          <w:tcPr>
            <w:tcW w:w="2565" w:type="dxa"/>
            <w:vAlign w:val="top"/>
          </w:tcPr>
          <w:p w14:paraId="3CD16A56">
            <w:pPr>
              <w:rPr>
                <w:rFonts w:ascii="Arial"/>
                <w:color w:val="auto"/>
                <w:sz w:val="21"/>
                <w:highlight w:val="none"/>
              </w:rPr>
            </w:pPr>
          </w:p>
        </w:tc>
        <w:tc>
          <w:tcPr>
            <w:tcW w:w="1943" w:type="dxa"/>
            <w:vAlign w:val="top"/>
          </w:tcPr>
          <w:p w14:paraId="32F3809F">
            <w:pPr>
              <w:rPr>
                <w:rFonts w:ascii="Arial"/>
                <w:color w:val="auto"/>
                <w:sz w:val="21"/>
                <w:highlight w:val="none"/>
              </w:rPr>
            </w:pPr>
          </w:p>
        </w:tc>
        <w:tc>
          <w:tcPr>
            <w:tcW w:w="2701" w:type="dxa"/>
            <w:vMerge w:val="continue"/>
            <w:tcBorders>
              <w:top w:val="nil"/>
              <w:bottom w:val="nil"/>
            </w:tcBorders>
            <w:vAlign w:val="top"/>
          </w:tcPr>
          <w:p w14:paraId="50BDEBAA">
            <w:pPr>
              <w:rPr>
                <w:rFonts w:ascii="Arial"/>
                <w:color w:val="auto"/>
                <w:sz w:val="21"/>
                <w:highlight w:val="none"/>
              </w:rPr>
            </w:pPr>
          </w:p>
        </w:tc>
      </w:tr>
      <w:tr w14:paraId="4CC9D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14:paraId="528D32A0">
            <w:pPr>
              <w:rPr>
                <w:rFonts w:ascii="Arial"/>
                <w:color w:val="auto"/>
                <w:sz w:val="21"/>
                <w:highlight w:val="none"/>
              </w:rPr>
            </w:pPr>
          </w:p>
        </w:tc>
        <w:tc>
          <w:tcPr>
            <w:tcW w:w="2565" w:type="dxa"/>
            <w:vAlign w:val="top"/>
          </w:tcPr>
          <w:p w14:paraId="0F9CE1BC">
            <w:pPr>
              <w:rPr>
                <w:rFonts w:ascii="Arial"/>
                <w:color w:val="auto"/>
                <w:sz w:val="21"/>
                <w:highlight w:val="none"/>
              </w:rPr>
            </w:pPr>
          </w:p>
        </w:tc>
        <w:tc>
          <w:tcPr>
            <w:tcW w:w="1943" w:type="dxa"/>
            <w:vAlign w:val="top"/>
          </w:tcPr>
          <w:p w14:paraId="068850A5">
            <w:pPr>
              <w:rPr>
                <w:rFonts w:ascii="Arial"/>
                <w:color w:val="auto"/>
                <w:sz w:val="21"/>
                <w:highlight w:val="none"/>
              </w:rPr>
            </w:pPr>
          </w:p>
        </w:tc>
        <w:tc>
          <w:tcPr>
            <w:tcW w:w="2701" w:type="dxa"/>
            <w:vMerge w:val="continue"/>
            <w:tcBorders>
              <w:top w:val="nil"/>
              <w:bottom w:val="nil"/>
            </w:tcBorders>
            <w:vAlign w:val="top"/>
          </w:tcPr>
          <w:p w14:paraId="5B6B4C71">
            <w:pPr>
              <w:rPr>
                <w:rFonts w:ascii="Arial"/>
                <w:color w:val="auto"/>
                <w:sz w:val="21"/>
                <w:highlight w:val="none"/>
              </w:rPr>
            </w:pPr>
          </w:p>
        </w:tc>
      </w:tr>
      <w:tr w14:paraId="4FB98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082" w:type="dxa"/>
            <w:vAlign w:val="top"/>
          </w:tcPr>
          <w:p w14:paraId="13BDB353">
            <w:pPr>
              <w:rPr>
                <w:rFonts w:ascii="Arial"/>
                <w:color w:val="auto"/>
                <w:sz w:val="21"/>
                <w:highlight w:val="none"/>
              </w:rPr>
            </w:pPr>
          </w:p>
        </w:tc>
        <w:tc>
          <w:tcPr>
            <w:tcW w:w="2565" w:type="dxa"/>
            <w:vAlign w:val="top"/>
          </w:tcPr>
          <w:p w14:paraId="669CF8D8">
            <w:pPr>
              <w:rPr>
                <w:rFonts w:ascii="Arial"/>
                <w:color w:val="auto"/>
                <w:sz w:val="21"/>
                <w:highlight w:val="none"/>
              </w:rPr>
            </w:pPr>
          </w:p>
        </w:tc>
        <w:tc>
          <w:tcPr>
            <w:tcW w:w="1943" w:type="dxa"/>
            <w:vAlign w:val="top"/>
          </w:tcPr>
          <w:p w14:paraId="77E67CB4">
            <w:pPr>
              <w:rPr>
                <w:rFonts w:ascii="Arial"/>
                <w:color w:val="auto"/>
                <w:sz w:val="21"/>
                <w:highlight w:val="none"/>
              </w:rPr>
            </w:pPr>
          </w:p>
        </w:tc>
        <w:tc>
          <w:tcPr>
            <w:tcW w:w="2701" w:type="dxa"/>
            <w:vMerge w:val="continue"/>
            <w:tcBorders>
              <w:top w:val="nil"/>
              <w:bottom w:val="nil"/>
            </w:tcBorders>
            <w:vAlign w:val="top"/>
          </w:tcPr>
          <w:p w14:paraId="67BDCC39">
            <w:pPr>
              <w:rPr>
                <w:rFonts w:ascii="Arial"/>
                <w:color w:val="auto"/>
                <w:sz w:val="21"/>
                <w:highlight w:val="none"/>
              </w:rPr>
            </w:pPr>
          </w:p>
        </w:tc>
      </w:tr>
      <w:tr w14:paraId="64C94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14:paraId="12BECE20">
            <w:pPr>
              <w:rPr>
                <w:rFonts w:ascii="Arial"/>
                <w:color w:val="auto"/>
                <w:sz w:val="21"/>
                <w:highlight w:val="none"/>
              </w:rPr>
            </w:pPr>
          </w:p>
        </w:tc>
        <w:tc>
          <w:tcPr>
            <w:tcW w:w="2565" w:type="dxa"/>
            <w:vAlign w:val="top"/>
          </w:tcPr>
          <w:p w14:paraId="17EA9726">
            <w:pPr>
              <w:rPr>
                <w:rFonts w:ascii="Arial"/>
                <w:color w:val="auto"/>
                <w:sz w:val="21"/>
                <w:highlight w:val="none"/>
              </w:rPr>
            </w:pPr>
          </w:p>
        </w:tc>
        <w:tc>
          <w:tcPr>
            <w:tcW w:w="1943" w:type="dxa"/>
            <w:vAlign w:val="top"/>
          </w:tcPr>
          <w:p w14:paraId="5C2DB123">
            <w:pPr>
              <w:rPr>
                <w:rFonts w:ascii="Arial"/>
                <w:color w:val="auto"/>
                <w:sz w:val="21"/>
                <w:highlight w:val="none"/>
              </w:rPr>
            </w:pPr>
          </w:p>
        </w:tc>
        <w:tc>
          <w:tcPr>
            <w:tcW w:w="2701" w:type="dxa"/>
            <w:vMerge w:val="continue"/>
            <w:tcBorders>
              <w:top w:val="nil"/>
              <w:bottom w:val="nil"/>
            </w:tcBorders>
            <w:vAlign w:val="top"/>
          </w:tcPr>
          <w:p w14:paraId="2F4D39C5">
            <w:pPr>
              <w:rPr>
                <w:rFonts w:ascii="Arial"/>
                <w:color w:val="auto"/>
                <w:sz w:val="21"/>
                <w:highlight w:val="none"/>
              </w:rPr>
            </w:pPr>
          </w:p>
        </w:tc>
      </w:tr>
      <w:tr w14:paraId="67E65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082" w:type="dxa"/>
            <w:vAlign w:val="top"/>
          </w:tcPr>
          <w:p w14:paraId="43C2CE23">
            <w:pPr>
              <w:rPr>
                <w:rFonts w:ascii="Arial"/>
                <w:color w:val="auto"/>
                <w:sz w:val="21"/>
                <w:highlight w:val="none"/>
              </w:rPr>
            </w:pPr>
          </w:p>
        </w:tc>
        <w:tc>
          <w:tcPr>
            <w:tcW w:w="2565" w:type="dxa"/>
            <w:vAlign w:val="top"/>
          </w:tcPr>
          <w:p w14:paraId="7D2E7308">
            <w:pPr>
              <w:rPr>
                <w:rFonts w:ascii="Arial"/>
                <w:color w:val="auto"/>
                <w:sz w:val="21"/>
                <w:highlight w:val="none"/>
              </w:rPr>
            </w:pPr>
          </w:p>
        </w:tc>
        <w:tc>
          <w:tcPr>
            <w:tcW w:w="1943" w:type="dxa"/>
            <w:vAlign w:val="top"/>
          </w:tcPr>
          <w:p w14:paraId="10ED56B4">
            <w:pPr>
              <w:rPr>
                <w:rFonts w:ascii="Arial"/>
                <w:color w:val="auto"/>
                <w:sz w:val="21"/>
                <w:highlight w:val="none"/>
              </w:rPr>
            </w:pPr>
          </w:p>
        </w:tc>
        <w:tc>
          <w:tcPr>
            <w:tcW w:w="2701" w:type="dxa"/>
            <w:vMerge w:val="continue"/>
            <w:tcBorders>
              <w:top w:val="nil"/>
              <w:bottom w:val="nil"/>
            </w:tcBorders>
            <w:vAlign w:val="top"/>
          </w:tcPr>
          <w:p w14:paraId="71FC9918">
            <w:pPr>
              <w:rPr>
                <w:rFonts w:ascii="Arial"/>
                <w:color w:val="auto"/>
                <w:sz w:val="21"/>
                <w:highlight w:val="none"/>
              </w:rPr>
            </w:pPr>
          </w:p>
        </w:tc>
      </w:tr>
      <w:tr w14:paraId="2FEED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082" w:type="dxa"/>
            <w:vAlign w:val="top"/>
          </w:tcPr>
          <w:p w14:paraId="1622FA65">
            <w:pPr>
              <w:rPr>
                <w:rFonts w:ascii="Arial"/>
                <w:color w:val="auto"/>
                <w:sz w:val="21"/>
                <w:highlight w:val="none"/>
              </w:rPr>
            </w:pPr>
          </w:p>
        </w:tc>
        <w:tc>
          <w:tcPr>
            <w:tcW w:w="2565" w:type="dxa"/>
            <w:vAlign w:val="top"/>
          </w:tcPr>
          <w:p w14:paraId="0228B076">
            <w:pPr>
              <w:rPr>
                <w:rFonts w:ascii="Arial"/>
                <w:color w:val="auto"/>
                <w:sz w:val="21"/>
                <w:highlight w:val="none"/>
              </w:rPr>
            </w:pPr>
          </w:p>
        </w:tc>
        <w:tc>
          <w:tcPr>
            <w:tcW w:w="1943" w:type="dxa"/>
            <w:vAlign w:val="top"/>
          </w:tcPr>
          <w:p w14:paraId="4A604854">
            <w:pPr>
              <w:rPr>
                <w:rFonts w:ascii="Arial"/>
                <w:color w:val="auto"/>
                <w:sz w:val="21"/>
                <w:highlight w:val="none"/>
              </w:rPr>
            </w:pPr>
          </w:p>
        </w:tc>
        <w:tc>
          <w:tcPr>
            <w:tcW w:w="2701" w:type="dxa"/>
            <w:vMerge w:val="continue"/>
            <w:tcBorders>
              <w:top w:val="nil"/>
              <w:bottom w:val="nil"/>
            </w:tcBorders>
            <w:vAlign w:val="top"/>
          </w:tcPr>
          <w:p w14:paraId="67FEA812">
            <w:pPr>
              <w:rPr>
                <w:rFonts w:ascii="Arial"/>
                <w:color w:val="auto"/>
                <w:sz w:val="21"/>
                <w:highlight w:val="none"/>
              </w:rPr>
            </w:pPr>
          </w:p>
        </w:tc>
      </w:tr>
      <w:tr w14:paraId="46F49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14:paraId="151A4967">
            <w:pPr>
              <w:rPr>
                <w:rFonts w:ascii="Arial"/>
                <w:color w:val="auto"/>
                <w:sz w:val="21"/>
                <w:highlight w:val="none"/>
              </w:rPr>
            </w:pPr>
          </w:p>
        </w:tc>
        <w:tc>
          <w:tcPr>
            <w:tcW w:w="2565" w:type="dxa"/>
            <w:vAlign w:val="top"/>
          </w:tcPr>
          <w:p w14:paraId="6338B122">
            <w:pPr>
              <w:rPr>
                <w:rFonts w:ascii="Arial"/>
                <w:color w:val="auto"/>
                <w:sz w:val="21"/>
                <w:highlight w:val="none"/>
              </w:rPr>
            </w:pPr>
          </w:p>
        </w:tc>
        <w:tc>
          <w:tcPr>
            <w:tcW w:w="1943" w:type="dxa"/>
            <w:vAlign w:val="top"/>
          </w:tcPr>
          <w:p w14:paraId="03937A35">
            <w:pPr>
              <w:rPr>
                <w:rFonts w:ascii="Arial"/>
                <w:color w:val="auto"/>
                <w:sz w:val="21"/>
                <w:highlight w:val="none"/>
              </w:rPr>
            </w:pPr>
          </w:p>
        </w:tc>
        <w:tc>
          <w:tcPr>
            <w:tcW w:w="2701" w:type="dxa"/>
            <w:vMerge w:val="continue"/>
            <w:tcBorders>
              <w:top w:val="nil"/>
              <w:bottom w:val="nil"/>
            </w:tcBorders>
            <w:vAlign w:val="top"/>
          </w:tcPr>
          <w:p w14:paraId="31D2E553">
            <w:pPr>
              <w:rPr>
                <w:rFonts w:ascii="Arial"/>
                <w:color w:val="auto"/>
                <w:sz w:val="21"/>
                <w:highlight w:val="none"/>
              </w:rPr>
            </w:pPr>
          </w:p>
        </w:tc>
      </w:tr>
      <w:tr w14:paraId="0E5F0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647" w:type="dxa"/>
            <w:gridSpan w:val="2"/>
            <w:vAlign w:val="top"/>
          </w:tcPr>
          <w:p w14:paraId="300C4DE5">
            <w:pPr>
              <w:pStyle w:val="30"/>
              <w:spacing w:before="183" w:line="219" w:lineRule="auto"/>
              <w:ind w:left="963"/>
              <w:rPr>
                <w:color w:val="auto"/>
                <w:highlight w:val="none"/>
              </w:rPr>
            </w:pPr>
            <w:r>
              <w:rPr>
                <w:color w:val="auto"/>
                <w:spacing w:val="-2"/>
                <w:highlight w:val="none"/>
              </w:rPr>
              <w:t>拟分包工程造价合计（万元）</w:t>
            </w:r>
          </w:p>
        </w:tc>
        <w:tc>
          <w:tcPr>
            <w:tcW w:w="1943" w:type="dxa"/>
            <w:vAlign w:val="top"/>
          </w:tcPr>
          <w:p w14:paraId="726FC816">
            <w:pPr>
              <w:rPr>
                <w:rFonts w:ascii="Arial"/>
                <w:color w:val="auto"/>
                <w:sz w:val="21"/>
                <w:highlight w:val="none"/>
              </w:rPr>
            </w:pPr>
          </w:p>
        </w:tc>
        <w:tc>
          <w:tcPr>
            <w:tcW w:w="2701" w:type="dxa"/>
            <w:vMerge w:val="continue"/>
            <w:tcBorders>
              <w:top w:val="nil"/>
            </w:tcBorders>
            <w:vAlign w:val="top"/>
          </w:tcPr>
          <w:p w14:paraId="78590643">
            <w:pPr>
              <w:rPr>
                <w:rFonts w:ascii="Arial"/>
                <w:color w:val="auto"/>
                <w:sz w:val="21"/>
                <w:highlight w:val="none"/>
              </w:rPr>
            </w:pPr>
          </w:p>
        </w:tc>
      </w:tr>
    </w:tbl>
    <w:p w14:paraId="02A61EFB">
      <w:pPr>
        <w:rPr>
          <w:rFonts w:ascii="Arial"/>
          <w:color w:val="auto"/>
          <w:sz w:val="21"/>
          <w:highlight w:val="none"/>
        </w:rPr>
      </w:pPr>
    </w:p>
    <w:p w14:paraId="27330AC3">
      <w:pPr>
        <w:spacing w:before="64" w:line="224" w:lineRule="auto"/>
        <w:ind w:left="3668"/>
        <w:rPr>
          <w:rFonts w:ascii="宋体" w:hAnsi="宋体" w:eastAsia="宋体" w:cs="宋体"/>
          <w:b/>
          <w:bCs/>
          <w:color w:val="auto"/>
          <w:spacing w:val="5"/>
          <w:sz w:val="31"/>
          <w:szCs w:val="31"/>
          <w:highlight w:val="none"/>
        </w:rPr>
      </w:pPr>
      <w:bookmarkStart w:id="444" w:name="bookmark297"/>
      <w:bookmarkEnd w:id="444"/>
    </w:p>
    <w:p w14:paraId="109BBD44">
      <w:pPr>
        <w:spacing w:before="64" w:line="224" w:lineRule="auto"/>
        <w:ind w:left="3668"/>
        <w:rPr>
          <w:rFonts w:ascii="宋体" w:hAnsi="宋体" w:eastAsia="宋体" w:cs="宋体"/>
          <w:b/>
          <w:bCs/>
          <w:color w:val="auto"/>
          <w:spacing w:val="5"/>
          <w:sz w:val="31"/>
          <w:szCs w:val="31"/>
          <w:highlight w:val="none"/>
        </w:rPr>
      </w:pPr>
    </w:p>
    <w:p w14:paraId="2AF5B102">
      <w:pPr>
        <w:spacing w:before="64" w:line="224" w:lineRule="auto"/>
        <w:ind w:left="3668"/>
        <w:rPr>
          <w:rFonts w:ascii="宋体" w:hAnsi="宋体" w:eastAsia="宋体" w:cs="宋体"/>
          <w:b/>
          <w:bCs/>
          <w:color w:val="auto"/>
          <w:spacing w:val="5"/>
          <w:sz w:val="31"/>
          <w:szCs w:val="31"/>
          <w:highlight w:val="none"/>
        </w:rPr>
      </w:pPr>
    </w:p>
    <w:p w14:paraId="2A65A5C0">
      <w:pPr>
        <w:spacing w:before="64" w:line="224" w:lineRule="auto"/>
        <w:ind w:left="3668"/>
        <w:rPr>
          <w:rFonts w:ascii="宋体" w:hAnsi="宋体" w:eastAsia="宋体" w:cs="宋体"/>
          <w:b/>
          <w:bCs/>
          <w:color w:val="auto"/>
          <w:spacing w:val="5"/>
          <w:sz w:val="31"/>
          <w:szCs w:val="31"/>
          <w:highlight w:val="none"/>
        </w:rPr>
      </w:pPr>
    </w:p>
    <w:p w14:paraId="043379B8">
      <w:pPr>
        <w:spacing w:before="64" w:line="224" w:lineRule="auto"/>
        <w:ind w:left="3668"/>
        <w:rPr>
          <w:rFonts w:ascii="宋体" w:hAnsi="宋体" w:eastAsia="宋体" w:cs="宋体"/>
          <w:b/>
          <w:bCs/>
          <w:color w:val="auto"/>
          <w:spacing w:val="5"/>
          <w:sz w:val="31"/>
          <w:szCs w:val="31"/>
          <w:highlight w:val="none"/>
        </w:rPr>
      </w:pPr>
    </w:p>
    <w:p w14:paraId="2422E080">
      <w:pPr>
        <w:spacing w:before="64" w:line="224" w:lineRule="auto"/>
        <w:ind w:left="3668"/>
        <w:rPr>
          <w:rFonts w:ascii="宋体" w:hAnsi="宋体" w:eastAsia="宋体" w:cs="宋体"/>
          <w:b/>
          <w:bCs/>
          <w:color w:val="auto"/>
          <w:spacing w:val="5"/>
          <w:sz w:val="31"/>
          <w:szCs w:val="31"/>
          <w:highlight w:val="none"/>
        </w:rPr>
      </w:pPr>
    </w:p>
    <w:p w14:paraId="2979F9B7">
      <w:pPr>
        <w:spacing w:before="64" w:line="224" w:lineRule="auto"/>
        <w:ind w:left="3474"/>
        <w:outlineLvl w:val="2"/>
        <w:rPr>
          <w:rFonts w:ascii="宋体" w:hAnsi="宋体" w:eastAsia="宋体" w:cs="宋体"/>
          <w:b/>
          <w:bCs/>
          <w:color w:val="auto"/>
          <w:spacing w:val="6"/>
          <w:sz w:val="31"/>
          <w:szCs w:val="31"/>
          <w:highlight w:val="none"/>
        </w:rPr>
      </w:pPr>
      <w:bookmarkStart w:id="445" w:name="_Toc15317"/>
      <w:r>
        <w:rPr>
          <w:rFonts w:ascii="宋体" w:hAnsi="宋体" w:eastAsia="宋体" w:cs="宋体"/>
          <w:b/>
          <w:bCs/>
          <w:color w:val="auto"/>
          <w:spacing w:val="6"/>
          <w:sz w:val="31"/>
          <w:szCs w:val="31"/>
          <w:highlight w:val="none"/>
        </w:rPr>
        <w:t>九、资格审查材料</w:t>
      </w:r>
      <w:bookmarkEnd w:id="445"/>
    </w:p>
    <w:p w14:paraId="6B961821">
      <w:pPr>
        <w:spacing w:line="249" w:lineRule="auto"/>
        <w:rPr>
          <w:rFonts w:ascii="Arial"/>
          <w:color w:val="auto"/>
          <w:sz w:val="21"/>
          <w:highlight w:val="none"/>
        </w:rPr>
      </w:pPr>
    </w:p>
    <w:p w14:paraId="70C89663">
      <w:pPr>
        <w:spacing w:line="250" w:lineRule="auto"/>
        <w:rPr>
          <w:rFonts w:ascii="Arial"/>
          <w:color w:val="auto"/>
          <w:sz w:val="21"/>
          <w:highlight w:val="none"/>
        </w:rPr>
      </w:pPr>
    </w:p>
    <w:p w14:paraId="5D6E1B15">
      <w:pPr>
        <w:spacing w:before="91" w:line="219" w:lineRule="auto"/>
        <w:ind w:left="232"/>
        <w:outlineLvl w:val="9"/>
        <w:rPr>
          <w:rFonts w:ascii="宋体" w:hAnsi="宋体" w:eastAsia="宋体" w:cs="宋体"/>
          <w:color w:val="auto"/>
          <w:sz w:val="28"/>
          <w:szCs w:val="28"/>
          <w:highlight w:val="none"/>
        </w:rPr>
      </w:pPr>
      <w:bookmarkStart w:id="446" w:name="_Toc17402"/>
      <w:r>
        <w:rPr>
          <w:rFonts w:ascii="宋体" w:hAnsi="宋体" w:eastAsia="宋体" w:cs="宋体"/>
          <w:b/>
          <w:bCs/>
          <w:color w:val="auto"/>
          <w:spacing w:val="-5"/>
          <w:sz w:val="28"/>
          <w:szCs w:val="28"/>
          <w:highlight w:val="none"/>
        </w:rPr>
        <w:t>（一）投标人基本情况表</w:t>
      </w:r>
      <w:bookmarkEnd w:id="446"/>
    </w:p>
    <w:p w14:paraId="08E0AD6F">
      <w:pPr>
        <w:spacing w:before="14"/>
        <w:rPr>
          <w:color w:val="auto"/>
          <w:highlight w:val="none"/>
        </w:rPr>
      </w:pPr>
    </w:p>
    <w:p w14:paraId="44A8BE95">
      <w:pPr>
        <w:spacing w:before="14"/>
        <w:rPr>
          <w:color w:val="auto"/>
          <w:highlight w:val="none"/>
        </w:rPr>
      </w:pPr>
    </w:p>
    <w:tbl>
      <w:tblPr>
        <w:tblStyle w:val="29"/>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8"/>
        <w:gridCol w:w="931"/>
        <w:gridCol w:w="1310"/>
        <w:gridCol w:w="465"/>
        <w:gridCol w:w="1080"/>
        <w:gridCol w:w="1329"/>
        <w:gridCol w:w="1080"/>
        <w:gridCol w:w="1086"/>
      </w:tblGrid>
      <w:tr w14:paraId="351DB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38" w:type="dxa"/>
            <w:vAlign w:val="top"/>
          </w:tcPr>
          <w:p w14:paraId="2483BA5C">
            <w:pPr>
              <w:pStyle w:val="30"/>
              <w:spacing w:before="118" w:line="221" w:lineRule="auto"/>
              <w:ind w:left="118"/>
              <w:rPr>
                <w:color w:val="auto"/>
                <w:highlight w:val="none"/>
              </w:rPr>
            </w:pPr>
            <w:r>
              <w:rPr>
                <w:color w:val="auto"/>
                <w:spacing w:val="-2"/>
                <w:highlight w:val="none"/>
              </w:rPr>
              <w:t>投标人名称</w:t>
            </w:r>
          </w:p>
        </w:tc>
        <w:tc>
          <w:tcPr>
            <w:tcW w:w="7281" w:type="dxa"/>
            <w:gridSpan w:val="7"/>
            <w:vAlign w:val="top"/>
          </w:tcPr>
          <w:p w14:paraId="082FC061">
            <w:pPr>
              <w:rPr>
                <w:rFonts w:ascii="Arial"/>
                <w:color w:val="auto"/>
                <w:sz w:val="21"/>
                <w:highlight w:val="none"/>
              </w:rPr>
            </w:pPr>
          </w:p>
        </w:tc>
      </w:tr>
      <w:tr w14:paraId="59AB4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Align w:val="top"/>
          </w:tcPr>
          <w:p w14:paraId="040ECB36">
            <w:pPr>
              <w:pStyle w:val="30"/>
              <w:spacing w:before="171" w:line="222" w:lineRule="auto"/>
              <w:ind w:left="116"/>
              <w:rPr>
                <w:color w:val="auto"/>
                <w:highlight w:val="none"/>
              </w:rPr>
            </w:pPr>
            <w:r>
              <w:rPr>
                <w:color w:val="auto"/>
                <w:spacing w:val="-2"/>
                <w:highlight w:val="none"/>
              </w:rPr>
              <w:t>注册地址</w:t>
            </w:r>
          </w:p>
        </w:tc>
        <w:tc>
          <w:tcPr>
            <w:tcW w:w="3786" w:type="dxa"/>
            <w:gridSpan w:val="4"/>
            <w:vAlign w:val="top"/>
          </w:tcPr>
          <w:p w14:paraId="49B0C9AE">
            <w:pPr>
              <w:rPr>
                <w:rFonts w:ascii="Arial"/>
                <w:color w:val="auto"/>
                <w:sz w:val="21"/>
                <w:highlight w:val="none"/>
              </w:rPr>
            </w:pPr>
          </w:p>
        </w:tc>
        <w:tc>
          <w:tcPr>
            <w:tcW w:w="1329" w:type="dxa"/>
            <w:vAlign w:val="top"/>
          </w:tcPr>
          <w:p w14:paraId="5C792DF5">
            <w:pPr>
              <w:pStyle w:val="30"/>
              <w:spacing w:before="113" w:line="221" w:lineRule="auto"/>
              <w:ind w:left="130"/>
              <w:rPr>
                <w:color w:val="auto"/>
                <w:highlight w:val="none"/>
              </w:rPr>
            </w:pPr>
            <w:r>
              <w:rPr>
                <w:color w:val="auto"/>
                <w:spacing w:val="-6"/>
                <w:highlight w:val="none"/>
              </w:rPr>
              <w:t>邮政编码</w:t>
            </w:r>
          </w:p>
        </w:tc>
        <w:tc>
          <w:tcPr>
            <w:tcW w:w="1080" w:type="dxa"/>
            <w:vAlign w:val="top"/>
          </w:tcPr>
          <w:p w14:paraId="4577D70E">
            <w:pPr>
              <w:rPr>
                <w:rFonts w:ascii="Arial"/>
                <w:color w:val="auto"/>
                <w:sz w:val="21"/>
                <w:highlight w:val="none"/>
              </w:rPr>
            </w:pPr>
          </w:p>
        </w:tc>
        <w:tc>
          <w:tcPr>
            <w:tcW w:w="1086" w:type="dxa"/>
            <w:vAlign w:val="top"/>
          </w:tcPr>
          <w:p w14:paraId="7FB0196E">
            <w:pPr>
              <w:rPr>
                <w:rFonts w:ascii="Arial"/>
                <w:color w:val="auto"/>
                <w:sz w:val="21"/>
                <w:highlight w:val="none"/>
              </w:rPr>
            </w:pPr>
          </w:p>
        </w:tc>
      </w:tr>
      <w:tr w14:paraId="390E8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938" w:type="dxa"/>
            <w:vMerge w:val="restart"/>
            <w:tcBorders>
              <w:bottom w:val="nil"/>
            </w:tcBorders>
            <w:vAlign w:val="top"/>
          </w:tcPr>
          <w:p w14:paraId="2310586C">
            <w:pPr>
              <w:spacing w:line="386" w:lineRule="auto"/>
              <w:rPr>
                <w:rFonts w:ascii="Arial"/>
                <w:color w:val="auto"/>
                <w:sz w:val="21"/>
                <w:highlight w:val="none"/>
              </w:rPr>
            </w:pPr>
          </w:p>
          <w:p w14:paraId="474651AD">
            <w:pPr>
              <w:pStyle w:val="30"/>
              <w:spacing w:before="69" w:line="222" w:lineRule="auto"/>
              <w:ind w:left="116"/>
              <w:rPr>
                <w:color w:val="auto"/>
                <w:highlight w:val="none"/>
              </w:rPr>
            </w:pPr>
            <w:r>
              <w:rPr>
                <w:color w:val="auto"/>
                <w:spacing w:val="-2"/>
                <w:highlight w:val="none"/>
              </w:rPr>
              <w:t>联系方式</w:t>
            </w:r>
          </w:p>
        </w:tc>
        <w:tc>
          <w:tcPr>
            <w:tcW w:w="931" w:type="dxa"/>
            <w:vAlign w:val="top"/>
          </w:tcPr>
          <w:p w14:paraId="2E1E204D">
            <w:pPr>
              <w:pStyle w:val="30"/>
              <w:spacing w:before="171" w:line="223" w:lineRule="auto"/>
              <w:ind w:left="113"/>
              <w:rPr>
                <w:color w:val="auto"/>
                <w:highlight w:val="none"/>
              </w:rPr>
            </w:pPr>
            <w:r>
              <w:rPr>
                <w:color w:val="auto"/>
                <w:spacing w:val="-2"/>
                <w:highlight w:val="none"/>
              </w:rPr>
              <w:t>联系人</w:t>
            </w:r>
          </w:p>
        </w:tc>
        <w:tc>
          <w:tcPr>
            <w:tcW w:w="2855" w:type="dxa"/>
            <w:gridSpan w:val="3"/>
            <w:vAlign w:val="top"/>
          </w:tcPr>
          <w:p w14:paraId="7A92F7E1">
            <w:pPr>
              <w:rPr>
                <w:rFonts w:ascii="Arial"/>
                <w:color w:val="auto"/>
                <w:sz w:val="21"/>
                <w:highlight w:val="none"/>
              </w:rPr>
            </w:pPr>
          </w:p>
        </w:tc>
        <w:tc>
          <w:tcPr>
            <w:tcW w:w="1329" w:type="dxa"/>
            <w:vAlign w:val="top"/>
          </w:tcPr>
          <w:p w14:paraId="636DF402">
            <w:pPr>
              <w:pStyle w:val="30"/>
              <w:spacing w:before="114" w:line="223" w:lineRule="auto"/>
              <w:ind w:left="139"/>
              <w:rPr>
                <w:color w:val="auto"/>
                <w:highlight w:val="none"/>
              </w:rPr>
            </w:pPr>
            <w:r>
              <w:rPr>
                <w:color w:val="auto"/>
                <w:spacing w:val="-8"/>
                <w:highlight w:val="none"/>
              </w:rPr>
              <w:t>电话</w:t>
            </w:r>
          </w:p>
        </w:tc>
        <w:tc>
          <w:tcPr>
            <w:tcW w:w="1080" w:type="dxa"/>
            <w:vAlign w:val="top"/>
          </w:tcPr>
          <w:p w14:paraId="289B54DA">
            <w:pPr>
              <w:rPr>
                <w:rFonts w:ascii="Arial"/>
                <w:color w:val="auto"/>
                <w:sz w:val="21"/>
                <w:highlight w:val="none"/>
              </w:rPr>
            </w:pPr>
          </w:p>
        </w:tc>
        <w:tc>
          <w:tcPr>
            <w:tcW w:w="1086" w:type="dxa"/>
            <w:vAlign w:val="top"/>
          </w:tcPr>
          <w:p w14:paraId="4FFE5D4B">
            <w:pPr>
              <w:rPr>
                <w:rFonts w:ascii="Arial"/>
                <w:color w:val="auto"/>
                <w:sz w:val="21"/>
                <w:highlight w:val="none"/>
              </w:rPr>
            </w:pPr>
          </w:p>
        </w:tc>
      </w:tr>
      <w:tr w14:paraId="7BB8C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Merge w:val="continue"/>
            <w:tcBorders>
              <w:top w:val="nil"/>
            </w:tcBorders>
            <w:vAlign w:val="top"/>
          </w:tcPr>
          <w:p w14:paraId="42148882">
            <w:pPr>
              <w:rPr>
                <w:rFonts w:ascii="Arial"/>
                <w:color w:val="auto"/>
                <w:sz w:val="21"/>
                <w:highlight w:val="none"/>
              </w:rPr>
            </w:pPr>
          </w:p>
        </w:tc>
        <w:tc>
          <w:tcPr>
            <w:tcW w:w="931" w:type="dxa"/>
            <w:vAlign w:val="top"/>
          </w:tcPr>
          <w:p w14:paraId="37E3EEC2">
            <w:pPr>
              <w:pStyle w:val="30"/>
              <w:spacing w:before="172" w:line="220" w:lineRule="auto"/>
              <w:ind w:left="110"/>
              <w:rPr>
                <w:color w:val="auto"/>
                <w:highlight w:val="none"/>
              </w:rPr>
            </w:pPr>
            <w:r>
              <w:rPr>
                <w:color w:val="auto"/>
                <w:spacing w:val="-2"/>
                <w:highlight w:val="none"/>
              </w:rPr>
              <w:t>传真</w:t>
            </w:r>
          </w:p>
        </w:tc>
        <w:tc>
          <w:tcPr>
            <w:tcW w:w="2855" w:type="dxa"/>
            <w:gridSpan w:val="3"/>
            <w:vAlign w:val="top"/>
          </w:tcPr>
          <w:p w14:paraId="5B673CDA">
            <w:pPr>
              <w:rPr>
                <w:rFonts w:ascii="Arial"/>
                <w:color w:val="auto"/>
                <w:sz w:val="21"/>
                <w:highlight w:val="none"/>
              </w:rPr>
            </w:pPr>
          </w:p>
        </w:tc>
        <w:tc>
          <w:tcPr>
            <w:tcW w:w="1329" w:type="dxa"/>
            <w:vAlign w:val="top"/>
          </w:tcPr>
          <w:p w14:paraId="4520B70C">
            <w:pPr>
              <w:pStyle w:val="30"/>
              <w:spacing w:before="114" w:line="226" w:lineRule="auto"/>
              <w:ind w:left="131"/>
              <w:rPr>
                <w:color w:val="auto"/>
                <w:highlight w:val="none"/>
              </w:rPr>
            </w:pPr>
            <w:r>
              <w:rPr>
                <w:color w:val="auto"/>
                <w:spacing w:val="-6"/>
                <w:highlight w:val="none"/>
              </w:rPr>
              <w:t>网址</w:t>
            </w:r>
          </w:p>
        </w:tc>
        <w:tc>
          <w:tcPr>
            <w:tcW w:w="1080" w:type="dxa"/>
            <w:vAlign w:val="top"/>
          </w:tcPr>
          <w:p w14:paraId="4FEC9FC0">
            <w:pPr>
              <w:rPr>
                <w:rFonts w:ascii="Arial"/>
                <w:color w:val="auto"/>
                <w:sz w:val="21"/>
                <w:highlight w:val="none"/>
              </w:rPr>
            </w:pPr>
          </w:p>
        </w:tc>
        <w:tc>
          <w:tcPr>
            <w:tcW w:w="1086" w:type="dxa"/>
            <w:vAlign w:val="top"/>
          </w:tcPr>
          <w:p w14:paraId="419FC58E">
            <w:pPr>
              <w:rPr>
                <w:rFonts w:ascii="Arial"/>
                <w:color w:val="auto"/>
                <w:sz w:val="21"/>
                <w:highlight w:val="none"/>
              </w:rPr>
            </w:pPr>
          </w:p>
        </w:tc>
      </w:tr>
      <w:tr w14:paraId="30201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38" w:type="dxa"/>
            <w:vAlign w:val="top"/>
          </w:tcPr>
          <w:p w14:paraId="13A2B550">
            <w:pPr>
              <w:pStyle w:val="30"/>
              <w:spacing w:before="116" w:line="221" w:lineRule="auto"/>
              <w:ind w:left="118"/>
              <w:rPr>
                <w:color w:val="auto"/>
                <w:highlight w:val="none"/>
              </w:rPr>
            </w:pPr>
            <w:r>
              <w:rPr>
                <w:color w:val="auto"/>
                <w:spacing w:val="-2"/>
                <w:highlight w:val="none"/>
              </w:rPr>
              <w:t>组织结构</w:t>
            </w:r>
          </w:p>
        </w:tc>
        <w:tc>
          <w:tcPr>
            <w:tcW w:w="7281" w:type="dxa"/>
            <w:gridSpan w:val="7"/>
            <w:vAlign w:val="top"/>
          </w:tcPr>
          <w:p w14:paraId="35ACB4DC">
            <w:pPr>
              <w:rPr>
                <w:rFonts w:ascii="Arial"/>
                <w:color w:val="auto"/>
                <w:sz w:val="21"/>
                <w:highlight w:val="none"/>
              </w:rPr>
            </w:pPr>
          </w:p>
        </w:tc>
      </w:tr>
      <w:tr w14:paraId="13CAA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Align w:val="top"/>
          </w:tcPr>
          <w:p w14:paraId="628B96C6">
            <w:pPr>
              <w:pStyle w:val="30"/>
              <w:spacing w:before="172" w:line="221" w:lineRule="auto"/>
              <w:ind w:left="116"/>
              <w:rPr>
                <w:color w:val="auto"/>
                <w:highlight w:val="none"/>
              </w:rPr>
            </w:pPr>
            <w:r>
              <w:rPr>
                <w:color w:val="auto"/>
                <w:spacing w:val="-2"/>
                <w:highlight w:val="none"/>
              </w:rPr>
              <w:t>法定代表人</w:t>
            </w:r>
          </w:p>
        </w:tc>
        <w:tc>
          <w:tcPr>
            <w:tcW w:w="931" w:type="dxa"/>
            <w:vAlign w:val="top"/>
          </w:tcPr>
          <w:p w14:paraId="42C968C8">
            <w:pPr>
              <w:pStyle w:val="30"/>
              <w:spacing w:before="172" w:line="221" w:lineRule="auto"/>
              <w:ind w:left="112"/>
              <w:rPr>
                <w:color w:val="auto"/>
                <w:highlight w:val="none"/>
              </w:rPr>
            </w:pPr>
            <w:r>
              <w:rPr>
                <w:color w:val="auto"/>
                <w:spacing w:val="-2"/>
                <w:highlight w:val="none"/>
              </w:rPr>
              <w:t>姓名</w:t>
            </w:r>
          </w:p>
        </w:tc>
        <w:tc>
          <w:tcPr>
            <w:tcW w:w="1310" w:type="dxa"/>
            <w:vAlign w:val="top"/>
          </w:tcPr>
          <w:p w14:paraId="0630206F">
            <w:pPr>
              <w:rPr>
                <w:rFonts w:ascii="Arial"/>
                <w:color w:val="auto"/>
                <w:sz w:val="21"/>
                <w:highlight w:val="none"/>
              </w:rPr>
            </w:pPr>
          </w:p>
        </w:tc>
        <w:tc>
          <w:tcPr>
            <w:tcW w:w="1545" w:type="dxa"/>
            <w:gridSpan w:val="2"/>
            <w:vAlign w:val="top"/>
          </w:tcPr>
          <w:p w14:paraId="0B00DDD2">
            <w:pPr>
              <w:pStyle w:val="30"/>
              <w:spacing w:before="172" w:line="221" w:lineRule="auto"/>
              <w:ind w:left="114"/>
              <w:rPr>
                <w:color w:val="auto"/>
                <w:highlight w:val="none"/>
              </w:rPr>
            </w:pPr>
            <w:r>
              <w:rPr>
                <w:color w:val="auto"/>
                <w:spacing w:val="-2"/>
                <w:highlight w:val="none"/>
              </w:rPr>
              <w:t>技术职称</w:t>
            </w:r>
          </w:p>
        </w:tc>
        <w:tc>
          <w:tcPr>
            <w:tcW w:w="1329" w:type="dxa"/>
            <w:vAlign w:val="top"/>
          </w:tcPr>
          <w:p w14:paraId="60A08CCD">
            <w:pPr>
              <w:rPr>
                <w:rFonts w:ascii="Arial"/>
                <w:color w:val="auto"/>
                <w:sz w:val="21"/>
                <w:highlight w:val="none"/>
              </w:rPr>
            </w:pPr>
          </w:p>
        </w:tc>
        <w:tc>
          <w:tcPr>
            <w:tcW w:w="1080" w:type="dxa"/>
            <w:vAlign w:val="top"/>
          </w:tcPr>
          <w:p w14:paraId="085E210C">
            <w:pPr>
              <w:pStyle w:val="30"/>
              <w:spacing w:before="115" w:line="223" w:lineRule="auto"/>
              <w:ind w:left="139"/>
              <w:rPr>
                <w:color w:val="auto"/>
                <w:highlight w:val="none"/>
              </w:rPr>
            </w:pPr>
            <w:r>
              <w:rPr>
                <w:color w:val="auto"/>
                <w:spacing w:val="-8"/>
                <w:highlight w:val="none"/>
              </w:rPr>
              <w:t>电话</w:t>
            </w:r>
          </w:p>
        </w:tc>
        <w:tc>
          <w:tcPr>
            <w:tcW w:w="1086" w:type="dxa"/>
            <w:vAlign w:val="top"/>
          </w:tcPr>
          <w:p w14:paraId="69A0A62A">
            <w:pPr>
              <w:rPr>
                <w:rFonts w:ascii="Arial"/>
                <w:color w:val="auto"/>
                <w:sz w:val="21"/>
                <w:highlight w:val="none"/>
              </w:rPr>
            </w:pPr>
          </w:p>
        </w:tc>
      </w:tr>
      <w:tr w14:paraId="490AF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938" w:type="dxa"/>
            <w:vAlign w:val="top"/>
          </w:tcPr>
          <w:p w14:paraId="4CC93DFC">
            <w:pPr>
              <w:pStyle w:val="30"/>
              <w:spacing w:before="173" w:line="221" w:lineRule="auto"/>
              <w:ind w:left="116"/>
              <w:rPr>
                <w:color w:val="auto"/>
                <w:highlight w:val="none"/>
              </w:rPr>
            </w:pPr>
            <w:r>
              <w:rPr>
                <w:color w:val="auto"/>
                <w:spacing w:val="-2"/>
                <w:highlight w:val="none"/>
              </w:rPr>
              <w:t>技术负责人</w:t>
            </w:r>
          </w:p>
        </w:tc>
        <w:tc>
          <w:tcPr>
            <w:tcW w:w="931" w:type="dxa"/>
            <w:vAlign w:val="top"/>
          </w:tcPr>
          <w:p w14:paraId="2255CA44">
            <w:pPr>
              <w:pStyle w:val="30"/>
              <w:spacing w:before="173" w:line="221" w:lineRule="auto"/>
              <w:ind w:left="112"/>
              <w:rPr>
                <w:color w:val="auto"/>
                <w:highlight w:val="none"/>
              </w:rPr>
            </w:pPr>
            <w:r>
              <w:rPr>
                <w:color w:val="auto"/>
                <w:spacing w:val="-2"/>
                <w:highlight w:val="none"/>
              </w:rPr>
              <w:t>姓名</w:t>
            </w:r>
          </w:p>
        </w:tc>
        <w:tc>
          <w:tcPr>
            <w:tcW w:w="1310" w:type="dxa"/>
            <w:vAlign w:val="top"/>
          </w:tcPr>
          <w:p w14:paraId="2EDF71B2">
            <w:pPr>
              <w:rPr>
                <w:rFonts w:ascii="Arial"/>
                <w:color w:val="auto"/>
                <w:sz w:val="21"/>
                <w:highlight w:val="none"/>
              </w:rPr>
            </w:pPr>
          </w:p>
        </w:tc>
        <w:tc>
          <w:tcPr>
            <w:tcW w:w="1545" w:type="dxa"/>
            <w:gridSpan w:val="2"/>
            <w:vAlign w:val="top"/>
          </w:tcPr>
          <w:p w14:paraId="657F4803">
            <w:pPr>
              <w:pStyle w:val="30"/>
              <w:spacing w:before="173" w:line="221" w:lineRule="auto"/>
              <w:ind w:left="114"/>
              <w:rPr>
                <w:color w:val="auto"/>
                <w:highlight w:val="none"/>
              </w:rPr>
            </w:pPr>
            <w:r>
              <w:rPr>
                <w:color w:val="auto"/>
                <w:spacing w:val="-2"/>
                <w:highlight w:val="none"/>
              </w:rPr>
              <w:t>技术职称</w:t>
            </w:r>
          </w:p>
        </w:tc>
        <w:tc>
          <w:tcPr>
            <w:tcW w:w="1329" w:type="dxa"/>
            <w:vAlign w:val="top"/>
          </w:tcPr>
          <w:p w14:paraId="1A9060AB">
            <w:pPr>
              <w:rPr>
                <w:rFonts w:ascii="Arial"/>
                <w:color w:val="auto"/>
                <w:sz w:val="21"/>
                <w:highlight w:val="none"/>
              </w:rPr>
            </w:pPr>
          </w:p>
        </w:tc>
        <w:tc>
          <w:tcPr>
            <w:tcW w:w="1080" w:type="dxa"/>
            <w:vAlign w:val="top"/>
          </w:tcPr>
          <w:p w14:paraId="7ECD5789">
            <w:pPr>
              <w:pStyle w:val="30"/>
              <w:spacing w:before="115" w:line="223" w:lineRule="auto"/>
              <w:ind w:left="139"/>
              <w:rPr>
                <w:color w:val="auto"/>
                <w:highlight w:val="none"/>
              </w:rPr>
            </w:pPr>
            <w:r>
              <w:rPr>
                <w:color w:val="auto"/>
                <w:spacing w:val="-8"/>
                <w:highlight w:val="none"/>
              </w:rPr>
              <w:t>电话</w:t>
            </w:r>
          </w:p>
        </w:tc>
        <w:tc>
          <w:tcPr>
            <w:tcW w:w="1086" w:type="dxa"/>
            <w:vAlign w:val="top"/>
          </w:tcPr>
          <w:p w14:paraId="0FB69044">
            <w:pPr>
              <w:rPr>
                <w:rFonts w:ascii="Arial"/>
                <w:color w:val="auto"/>
                <w:sz w:val="21"/>
                <w:highlight w:val="none"/>
              </w:rPr>
            </w:pPr>
          </w:p>
        </w:tc>
      </w:tr>
      <w:tr w14:paraId="4CE6A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Align w:val="top"/>
          </w:tcPr>
          <w:p w14:paraId="4FFDBE25">
            <w:pPr>
              <w:pStyle w:val="30"/>
              <w:spacing w:before="174" w:line="222" w:lineRule="auto"/>
              <w:ind w:left="117"/>
              <w:rPr>
                <w:color w:val="auto"/>
                <w:highlight w:val="none"/>
              </w:rPr>
            </w:pPr>
            <w:r>
              <w:rPr>
                <w:color w:val="auto"/>
                <w:spacing w:val="-2"/>
                <w:highlight w:val="none"/>
              </w:rPr>
              <w:t>成立时间</w:t>
            </w:r>
          </w:p>
        </w:tc>
        <w:tc>
          <w:tcPr>
            <w:tcW w:w="2241" w:type="dxa"/>
            <w:gridSpan w:val="2"/>
            <w:vAlign w:val="top"/>
          </w:tcPr>
          <w:p w14:paraId="667E396A">
            <w:pPr>
              <w:rPr>
                <w:rFonts w:ascii="Arial"/>
                <w:color w:val="auto"/>
                <w:sz w:val="21"/>
                <w:highlight w:val="none"/>
              </w:rPr>
            </w:pPr>
          </w:p>
        </w:tc>
        <w:tc>
          <w:tcPr>
            <w:tcW w:w="2874" w:type="dxa"/>
            <w:gridSpan w:val="3"/>
            <w:vAlign w:val="top"/>
          </w:tcPr>
          <w:p w14:paraId="7F5EB5F4">
            <w:pPr>
              <w:pStyle w:val="30"/>
              <w:spacing w:before="116" w:line="221" w:lineRule="auto"/>
              <w:ind w:left="121"/>
              <w:rPr>
                <w:color w:val="auto"/>
                <w:highlight w:val="none"/>
              </w:rPr>
            </w:pPr>
            <w:r>
              <w:rPr>
                <w:color w:val="auto"/>
                <w:spacing w:val="-3"/>
                <w:highlight w:val="none"/>
              </w:rPr>
              <w:t>员工总人数</w:t>
            </w:r>
          </w:p>
        </w:tc>
        <w:tc>
          <w:tcPr>
            <w:tcW w:w="1080" w:type="dxa"/>
            <w:vAlign w:val="top"/>
          </w:tcPr>
          <w:p w14:paraId="06D1F97F">
            <w:pPr>
              <w:rPr>
                <w:rFonts w:ascii="Arial"/>
                <w:color w:val="auto"/>
                <w:sz w:val="21"/>
                <w:highlight w:val="none"/>
              </w:rPr>
            </w:pPr>
          </w:p>
        </w:tc>
        <w:tc>
          <w:tcPr>
            <w:tcW w:w="1086" w:type="dxa"/>
            <w:vAlign w:val="top"/>
          </w:tcPr>
          <w:p w14:paraId="086CBD0F">
            <w:pPr>
              <w:rPr>
                <w:rFonts w:ascii="Arial"/>
                <w:color w:val="auto"/>
                <w:sz w:val="21"/>
                <w:highlight w:val="none"/>
              </w:rPr>
            </w:pPr>
          </w:p>
        </w:tc>
      </w:tr>
      <w:tr w14:paraId="7606D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38" w:type="dxa"/>
            <w:vAlign w:val="top"/>
          </w:tcPr>
          <w:p w14:paraId="0564FFF5">
            <w:pPr>
              <w:pStyle w:val="30"/>
              <w:spacing w:before="116" w:line="221" w:lineRule="auto"/>
              <w:ind w:left="119"/>
              <w:rPr>
                <w:color w:val="auto"/>
                <w:highlight w:val="none"/>
              </w:rPr>
            </w:pPr>
            <w:r>
              <w:rPr>
                <w:color w:val="auto"/>
                <w:spacing w:val="-2"/>
                <w:highlight w:val="none"/>
              </w:rPr>
              <w:t>企业资质等级</w:t>
            </w:r>
          </w:p>
        </w:tc>
        <w:tc>
          <w:tcPr>
            <w:tcW w:w="2241" w:type="dxa"/>
            <w:gridSpan w:val="2"/>
            <w:vAlign w:val="top"/>
          </w:tcPr>
          <w:p w14:paraId="628613D9">
            <w:pPr>
              <w:rPr>
                <w:rFonts w:ascii="Arial"/>
                <w:color w:val="auto"/>
                <w:sz w:val="21"/>
                <w:highlight w:val="none"/>
              </w:rPr>
            </w:pPr>
          </w:p>
        </w:tc>
        <w:tc>
          <w:tcPr>
            <w:tcW w:w="465" w:type="dxa"/>
            <w:vMerge w:val="restart"/>
            <w:tcBorders>
              <w:bottom w:val="nil"/>
            </w:tcBorders>
            <w:textDirection w:val="tbRlV"/>
            <w:vAlign w:val="top"/>
          </w:tcPr>
          <w:p w14:paraId="518729A4">
            <w:pPr>
              <w:pStyle w:val="30"/>
              <w:spacing w:before="143" w:line="209" w:lineRule="auto"/>
              <w:ind w:left="1120"/>
              <w:rPr>
                <w:color w:val="auto"/>
                <w:highlight w:val="none"/>
              </w:rPr>
            </w:pPr>
            <w:r>
              <w:rPr>
                <w:color w:val="auto"/>
                <w:spacing w:val="1"/>
                <w:highlight w:val="none"/>
              </w:rPr>
              <w:t>其</w:t>
            </w:r>
            <w:r>
              <w:rPr>
                <w:color w:val="auto"/>
                <w:spacing w:val="-43"/>
                <w:highlight w:val="none"/>
              </w:rPr>
              <w:t xml:space="preserve"> </w:t>
            </w:r>
            <w:r>
              <w:rPr>
                <w:color w:val="auto"/>
                <w:spacing w:val="1"/>
                <w:highlight w:val="none"/>
              </w:rPr>
              <w:t>中</w:t>
            </w:r>
          </w:p>
        </w:tc>
        <w:tc>
          <w:tcPr>
            <w:tcW w:w="2409" w:type="dxa"/>
            <w:gridSpan w:val="2"/>
            <w:vAlign w:val="top"/>
          </w:tcPr>
          <w:p w14:paraId="0D40734F">
            <w:pPr>
              <w:pStyle w:val="30"/>
              <w:spacing w:before="117" w:line="221" w:lineRule="auto"/>
              <w:ind w:left="117"/>
              <w:rPr>
                <w:color w:val="auto"/>
                <w:highlight w:val="none"/>
              </w:rPr>
            </w:pPr>
            <w:r>
              <w:rPr>
                <w:color w:val="auto"/>
                <w:spacing w:val="-3"/>
                <w:highlight w:val="none"/>
              </w:rPr>
              <w:t>项目经理</w:t>
            </w:r>
          </w:p>
        </w:tc>
        <w:tc>
          <w:tcPr>
            <w:tcW w:w="1080" w:type="dxa"/>
            <w:vAlign w:val="top"/>
          </w:tcPr>
          <w:p w14:paraId="50DFD341">
            <w:pPr>
              <w:rPr>
                <w:rFonts w:ascii="Arial"/>
                <w:color w:val="auto"/>
                <w:sz w:val="21"/>
                <w:highlight w:val="none"/>
              </w:rPr>
            </w:pPr>
          </w:p>
        </w:tc>
        <w:tc>
          <w:tcPr>
            <w:tcW w:w="1086" w:type="dxa"/>
            <w:vAlign w:val="top"/>
          </w:tcPr>
          <w:p w14:paraId="5969AC97">
            <w:pPr>
              <w:rPr>
                <w:rFonts w:ascii="Arial"/>
                <w:color w:val="auto"/>
                <w:sz w:val="21"/>
                <w:highlight w:val="none"/>
              </w:rPr>
            </w:pPr>
          </w:p>
        </w:tc>
      </w:tr>
      <w:tr w14:paraId="0EBD0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Align w:val="top"/>
          </w:tcPr>
          <w:p w14:paraId="253585FE">
            <w:pPr>
              <w:pStyle w:val="30"/>
              <w:spacing w:before="116" w:line="221" w:lineRule="auto"/>
              <w:ind w:left="122"/>
              <w:rPr>
                <w:color w:val="auto"/>
                <w:highlight w:val="none"/>
              </w:rPr>
            </w:pPr>
            <w:r>
              <w:rPr>
                <w:color w:val="auto"/>
                <w:spacing w:val="-3"/>
                <w:highlight w:val="none"/>
              </w:rPr>
              <w:t>营业执照号</w:t>
            </w:r>
          </w:p>
        </w:tc>
        <w:tc>
          <w:tcPr>
            <w:tcW w:w="2241" w:type="dxa"/>
            <w:gridSpan w:val="2"/>
            <w:vAlign w:val="top"/>
          </w:tcPr>
          <w:p w14:paraId="03AF921A">
            <w:pPr>
              <w:rPr>
                <w:rFonts w:ascii="Arial"/>
                <w:color w:val="auto"/>
                <w:sz w:val="21"/>
                <w:highlight w:val="none"/>
              </w:rPr>
            </w:pPr>
          </w:p>
        </w:tc>
        <w:tc>
          <w:tcPr>
            <w:tcW w:w="465" w:type="dxa"/>
            <w:vMerge w:val="continue"/>
            <w:tcBorders>
              <w:top w:val="nil"/>
              <w:bottom w:val="nil"/>
            </w:tcBorders>
            <w:textDirection w:val="tbRlV"/>
            <w:vAlign w:val="top"/>
          </w:tcPr>
          <w:p w14:paraId="7AB9CCAA">
            <w:pPr>
              <w:rPr>
                <w:rFonts w:ascii="Arial"/>
                <w:color w:val="auto"/>
                <w:sz w:val="21"/>
                <w:highlight w:val="none"/>
              </w:rPr>
            </w:pPr>
          </w:p>
        </w:tc>
        <w:tc>
          <w:tcPr>
            <w:tcW w:w="2409" w:type="dxa"/>
            <w:gridSpan w:val="2"/>
            <w:vAlign w:val="top"/>
          </w:tcPr>
          <w:p w14:paraId="481E0E5E">
            <w:pPr>
              <w:pStyle w:val="30"/>
              <w:spacing w:before="116" w:line="221" w:lineRule="auto"/>
              <w:ind w:left="119"/>
              <w:rPr>
                <w:color w:val="auto"/>
                <w:highlight w:val="none"/>
              </w:rPr>
            </w:pPr>
            <w:r>
              <w:rPr>
                <w:color w:val="auto"/>
                <w:spacing w:val="-2"/>
                <w:highlight w:val="none"/>
              </w:rPr>
              <w:t>高级职称人员</w:t>
            </w:r>
          </w:p>
        </w:tc>
        <w:tc>
          <w:tcPr>
            <w:tcW w:w="1080" w:type="dxa"/>
            <w:vAlign w:val="top"/>
          </w:tcPr>
          <w:p w14:paraId="528D0478">
            <w:pPr>
              <w:rPr>
                <w:rFonts w:ascii="Arial"/>
                <w:color w:val="auto"/>
                <w:sz w:val="21"/>
                <w:highlight w:val="none"/>
              </w:rPr>
            </w:pPr>
          </w:p>
        </w:tc>
        <w:tc>
          <w:tcPr>
            <w:tcW w:w="1086" w:type="dxa"/>
            <w:vAlign w:val="top"/>
          </w:tcPr>
          <w:p w14:paraId="0E967128">
            <w:pPr>
              <w:rPr>
                <w:rFonts w:ascii="Arial"/>
                <w:color w:val="auto"/>
                <w:sz w:val="21"/>
                <w:highlight w:val="none"/>
              </w:rPr>
            </w:pPr>
          </w:p>
        </w:tc>
      </w:tr>
      <w:tr w14:paraId="5A403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38" w:type="dxa"/>
            <w:vAlign w:val="top"/>
          </w:tcPr>
          <w:p w14:paraId="69C95FB7">
            <w:pPr>
              <w:pStyle w:val="30"/>
              <w:spacing w:before="116" w:line="222" w:lineRule="auto"/>
              <w:ind w:left="116"/>
              <w:rPr>
                <w:color w:val="auto"/>
                <w:highlight w:val="none"/>
              </w:rPr>
            </w:pPr>
            <w:r>
              <w:rPr>
                <w:color w:val="auto"/>
                <w:spacing w:val="-2"/>
                <w:highlight w:val="none"/>
              </w:rPr>
              <w:t>注册资金</w:t>
            </w:r>
          </w:p>
        </w:tc>
        <w:tc>
          <w:tcPr>
            <w:tcW w:w="2241" w:type="dxa"/>
            <w:gridSpan w:val="2"/>
            <w:vAlign w:val="top"/>
          </w:tcPr>
          <w:p w14:paraId="2B177A94">
            <w:pPr>
              <w:rPr>
                <w:rFonts w:ascii="Arial"/>
                <w:color w:val="auto"/>
                <w:sz w:val="21"/>
                <w:highlight w:val="none"/>
              </w:rPr>
            </w:pPr>
          </w:p>
        </w:tc>
        <w:tc>
          <w:tcPr>
            <w:tcW w:w="465" w:type="dxa"/>
            <w:vMerge w:val="continue"/>
            <w:tcBorders>
              <w:top w:val="nil"/>
              <w:bottom w:val="nil"/>
            </w:tcBorders>
            <w:textDirection w:val="tbRlV"/>
            <w:vAlign w:val="top"/>
          </w:tcPr>
          <w:p w14:paraId="3C4D2223">
            <w:pPr>
              <w:rPr>
                <w:rFonts w:ascii="Arial"/>
                <w:color w:val="auto"/>
                <w:sz w:val="21"/>
                <w:highlight w:val="none"/>
              </w:rPr>
            </w:pPr>
          </w:p>
        </w:tc>
        <w:tc>
          <w:tcPr>
            <w:tcW w:w="2409" w:type="dxa"/>
            <w:gridSpan w:val="2"/>
            <w:vAlign w:val="top"/>
          </w:tcPr>
          <w:p w14:paraId="0B3D3D26">
            <w:pPr>
              <w:pStyle w:val="30"/>
              <w:spacing w:before="175" w:line="221" w:lineRule="auto"/>
              <w:ind w:left="134"/>
              <w:rPr>
                <w:color w:val="auto"/>
                <w:highlight w:val="none"/>
              </w:rPr>
            </w:pPr>
            <w:r>
              <w:rPr>
                <w:color w:val="auto"/>
                <w:spacing w:val="-5"/>
                <w:highlight w:val="none"/>
              </w:rPr>
              <w:t>中级职称人员</w:t>
            </w:r>
          </w:p>
        </w:tc>
        <w:tc>
          <w:tcPr>
            <w:tcW w:w="1080" w:type="dxa"/>
            <w:vAlign w:val="top"/>
          </w:tcPr>
          <w:p w14:paraId="1EA87592">
            <w:pPr>
              <w:rPr>
                <w:rFonts w:ascii="Arial"/>
                <w:color w:val="auto"/>
                <w:sz w:val="21"/>
                <w:highlight w:val="none"/>
              </w:rPr>
            </w:pPr>
          </w:p>
        </w:tc>
        <w:tc>
          <w:tcPr>
            <w:tcW w:w="1086" w:type="dxa"/>
            <w:vAlign w:val="top"/>
          </w:tcPr>
          <w:p w14:paraId="5B66CA4B">
            <w:pPr>
              <w:rPr>
                <w:rFonts w:ascii="Arial"/>
                <w:color w:val="auto"/>
                <w:sz w:val="21"/>
                <w:highlight w:val="none"/>
              </w:rPr>
            </w:pPr>
          </w:p>
        </w:tc>
      </w:tr>
      <w:tr w14:paraId="7B00A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Align w:val="top"/>
          </w:tcPr>
          <w:p w14:paraId="55DAD2F5">
            <w:pPr>
              <w:pStyle w:val="30"/>
              <w:spacing w:before="175" w:line="221" w:lineRule="auto"/>
              <w:ind w:left="116"/>
              <w:rPr>
                <w:color w:val="auto"/>
                <w:highlight w:val="none"/>
              </w:rPr>
            </w:pPr>
            <w:r>
              <w:rPr>
                <w:color w:val="auto"/>
                <w:spacing w:val="-2"/>
                <w:highlight w:val="none"/>
              </w:rPr>
              <w:t>开户银行</w:t>
            </w:r>
          </w:p>
        </w:tc>
        <w:tc>
          <w:tcPr>
            <w:tcW w:w="2241" w:type="dxa"/>
            <w:gridSpan w:val="2"/>
            <w:vAlign w:val="top"/>
          </w:tcPr>
          <w:p w14:paraId="39CB3A2D">
            <w:pPr>
              <w:rPr>
                <w:rFonts w:ascii="Arial"/>
                <w:color w:val="auto"/>
                <w:sz w:val="21"/>
                <w:highlight w:val="none"/>
              </w:rPr>
            </w:pPr>
          </w:p>
        </w:tc>
        <w:tc>
          <w:tcPr>
            <w:tcW w:w="465" w:type="dxa"/>
            <w:vMerge w:val="continue"/>
            <w:tcBorders>
              <w:top w:val="nil"/>
              <w:bottom w:val="nil"/>
            </w:tcBorders>
            <w:textDirection w:val="tbRlV"/>
            <w:vAlign w:val="top"/>
          </w:tcPr>
          <w:p w14:paraId="29DF7C42">
            <w:pPr>
              <w:rPr>
                <w:rFonts w:ascii="Arial"/>
                <w:color w:val="auto"/>
                <w:sz w:val="21"/>
                <w:highlight w:val="none"/>
              </w:rPr>
            </w:pPr>
          </w:p>
        </w:tc>
        <w:tc>
          <w:tcPr>
            <w:tcW w:w="2409" w:type="dxa"/>
            <w:gridSpan w:val="2"/>
            <w:vAlign w:val="top"/>
          </w:tcPr>
          <w:p w14:paraId="3CE392A5">
            <w:pPr>
              <w:pStyle w:val="30"/>
              <w:spacing w:before="117" w:line="222" w:lineRule="auto"/>
              <w:ind w:left="113"/>
              <w:rPr>
                <w:color w:val="auto"/>
                <w:highlight w:val="none"/>
              </w:rPr>
            </w:pPr>
            <w:r>
              <w:rPr>
                <w:color w:val="auto"/>
                <w:spacing w:val="-1"/>
                <w:highlight w:val="none"/>
              </w:rPr>
              <w:t>初级职称人员</w:t>
            </w:r>
          </w:p>
        </w:tc>
        <w:tc>
          <w:tcPr>
            <w:tcW w:w="1080" w:type="dxa"/>
            <w:vAlign w:val="top"/>
          </w:tcPr>
          <w:p w14:paraId="1A6F354F">
            <w:pPr>
              <w:rPr>
                <w:rFonts w:ascii="Arial"/>
                <w:color w:val="auto"/>
                <w:sz w:val="21"/>
                <w:highlight w:val="none"/>
              </w:rPr>
            </w:pPr>
          </w:p>
        </w:tc>
        <w:tc>
          <w:tcPr>
            <w:tcW w:w="1086" w:type="dxa"/>
            <w:vAlign w:val="top"/>
          </w:tcPr>
          <w:p w14:paraId="3ED37C88">
            <w:pPr>
              <w:rPr>
                <w:rFonts w:ascii="Arial"/>
                <w:color w:val="auto"/>
                <w:sz w:val="21"/>
                <w:highlight w:val="none"/>
              </w:rPr>
            </w:pPr>
          </w:p>
        </w:tc>
      </w:tr>
      <w:tr w14:paraId="13DC4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38" w:type="dxa"/>
            <w:vAlign w:val="top"/>
          </w:tcPr>
          <w:p w14:paraId="60060BF7">
            <w:pPr>
              <w:pStyle w:val="30"/>
              <w:spacing w:before="117" w:line="222" w:lineRule="auto"/>
              <w:ind w:left="119"/>
              <w:rPr>
                <w:color w:val="auto"/>
                <w:highlight w:val="none"/>
              </w:rPr>
            </w:pPr>
            <w:r>
              <w:rPr>
                <w:color w:val="auto"/>
                <w:spacing w:val="-3"/>
                <w:highlight w:val="none"/>
              </w:rPr>
              <w:t>账号</w:t>
            </w:r>
          </w:p>
        </w:tc>
        <w:tc>
          <w:tcPr>
            <w:tcW w:w="2241" w:type="dxa"/>
            <w:gridSpan w:val="2"/>
            <w:vAlign w:val="top"/>
          </w:tcPr>
          <w:p w14:paraId="013AE420">
            <w:pPr>
              <w:rPr>
                <w:rFonts w:ascii="Arial"/>
                <w:color w:val="auto"/>
                <w:sz w:val="21"/>
                <w:highlight w:val="none"/>
              </w:rPr>
            </w:pPr>
          </w:p>
        </w:tc>
        <w:tc>
          <w:tcPr>
            <w:tcW w:w="465" w:type="dxa"/>
            <w:vMerge w:val="continue"/>
            <w:tcBorders>
              <w:top w:val="nil"/>
            </w:tcBorders>
            <w:textDirection w:val="tbRlV"/>
            <w:vAlign w:val="top"/>
          </w:tcPr>
          <w:p w14:paraId="25F4A36E">
            <w:pPr>
              <w:rPr>
                <w:rFonts w:ascii="Arial"/>
                <w:color w:val="auto"/>
                <w:sz w:val="21"/>
                <w:highlight w:val="none"/>
              </w:rPr>
            </w:pPr>
          </w:p>
        </w:tc>
        <w:tc>
          <w:tcPr>
            <w:tcW w:w="2409" w:type="dxa"/>
            <w:gridSpan w:val="2"/>
            <w:vAlign w:val="top"/>
          </w:tcPr>
          <w:p w14:paraId="3DFB4E9D">
            <w:pPr>
              <w:pStyle w:val="30"/>
              <w:spacing w:before="117" w:line="222" w:lineRule="auto"/>
              <w:ind w:left="115"/>
              <w:rPr>
                <w:color w:val="auto"/>
                <w:highlight w:val="none"/>
              </w:rPr>
            </w:pPr>
            <w:r>
              <w:rPr>
                <w:color w:val="auto"/>
                <w:spacing w:val="-2"/>
                <w:highlight w:val="none"/>
              </w:rPr>
              <w:t>技工</w:t>
            </w:r>
          </w:p>
        </w:tc>
        <w:tc>
          <w:tcPr>
            <w:tcW w:w="1080" w:type="dxa"/>
            <w:vAlign w:val="top"/>
          </w:tcPr>
          <w:p w14:paraId="1B1DDDB8">
            <w:pPr>
              <w:rPr>
                <w:rFonts w:ascii="Arial"/>
                <w:color w:val="auto"/>
                <w:sz w:val="21"/>
                <w:highlight w:val="none"/>
              </w:rPr>
            </w:pPr>
          </w:p>
        </w:tc>
        <w:tc>
          <w:tcPr>
            <w:tcW w:w="1086" w:type="dxa"/>
            <w:vAlign w:val="top"/>
          </w:tcPr>
          <w:p w14:paraId="224180BA">
            <w:pPr>
              <w:rPr>
                <w:rFonts w:ascii="Arial"/>
                <w:color w:val="auto"/>
                <w:sz w:val="21"/>
                <w:highlight w:val="none"/>
              </w:rPr>
            </w:pPr>
          </w:p>
        </w:tc>
      </w:tr>
      <w:tr w14:paraId="79203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9" w:hRule="atLeast"/>
        </w:trPr>
        <w:tc>
          <w:tcPr>
            <w:tcW w:w="1938" w:type="dxa"/>
            <w:vAlign w:val="top"/>
          </w:tcPr>
          <w:p w14:paraId="6D71F254">
            <w:pPr>
              <w:spacing w:line="251" w:lineRule="auto"/>
              <w:rPr>
                <w:rFonts w:ascii="Arial"/>
                <w:color w:val="auto"/>
                <w:sz w:val="21"/>
                <w:highlight w:val="none"/>
              </w:rPr>
            </w:pPr>
          </w:p>
          <w:p w14:paraId="7C304CB2">
            <w:pPr>
              <w:spacing w:line="252" w:lineRule="auto"/>
              <w:rPr>
                <w:rFonts w:ascii="Arial"/>
                <w:color w:val="auto"/>
                <w:sz w:val="21"/>
                <w:highlight w:val="none"/>
              </w:rPr>
            </w:pPr>
          </w:p>
          <w:p w14:paraId="25357A53">
            <w:pPr>
              <w:spacing w:line="252" w:lineRule="auto"/>
              <w:rPr>
                <w:rFonts w:ascii="Arial"/>
                <w:color w:val="auto"/>
                <w:sz w:val="21"/>
                <w:highlight w:val="none"/>
              </w:rPr>
            </w:pPr>
          </w:p>
          <w:p w14:paraId="4EC95CE3">
            <w:pPr>
              <w:spacing w:line="252" w:lineRule="auto"/>
              <w:rPr>
                <w:rFonts w:ascii="Arial"/>
                <w:color w:val="auto"/>
                <w:sz w:val="21"/>
                <w:highlight w:val="none"/>
              </w:rPr>
            </w:pPr>
          </w:p>
          <w:p w14:paraId="73EB69F7">
            <w:pPr>
              <w:spacing w:line="252" w:lineRule="auto"/>
              <w:rPr>
                <w:rFonts w:ascii="Arial"/>
                <w:color w:val="auto"/>
                <w:sz w:val="21"/>
                <w:highlight w:val="none"/>
              </w:rPr>
            </w:pPr>
          </w:p>
          <w:p w14:paraId="696CF290">
            <w:pPr>
              <w:spacing w:line="252" w:lineRule="auto"/>
              <w:rPr>
                <w:rFonts w:ascii="Arial"/>
                <w:color w:val="auto"/>
                <w:sz w:val="21"/>
                <w:highlight w:val="none"/>
              </w:rPr>
            </w:pPr>
          </w:p>
          <w:p w14:paraId="174D7408">
            <w:pPr>
              <w:spacing w:line="252" w:lineRule="auto"/>
              <w:rPr>
                <w:rFonts w:ascii="Arial"/>
                <w:color w:val="auto"/>
                <w:sz w:val="21"/>
                <w:highlight w:val="none"/>
              </w:rPr>
            </w:pPr>
          </w:p>
          <w:p w14:paraId="720846EB">
            <w:pPr>
              <w:pStyle w:val="30"/>
              <w:spacing w:before="69" w:line="221" w:lineRule="auto"/>
              <w:ind w:left="537"/>
              <w:rPr>
                <w:color w:val="auto"/>
                <w:highlight w:val="none"/>
              </w:rPr>
            </w:pPr>
            <w:r>
              <w:rPr>
                <w:color w:val="auto"/>
                <w:spacing w:val="-2"/>
                <w:highlight w:val="none"/>
              </w:rPr>
              <w:t>经营范围</w:t>
            </w:r>
          </w:p>
        </w:tc>
        <w:tc>
          <w:tcPr>
            <w:tcW w:w="7281" w:type="dxa"/>
            <w:gridSpan w:val="7"/>
            <w:vAlign w:val="top"/>
          </w:tcPr>
          <w:p w14:paraId="6823437F">
            <w:pPr>
              <w:rPr>
                <w:rFonts w:ascii="Arial"/>
                <w:color w:val="auto"/>
                <w:sz w:val="21"/>
                <w:highlight w:val="none"/>
              </w:rPr>
            </w:pPr>
          </w:p>
        </w:tc>
      </w:tr>
      <w:tr w14:paraId="4D511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vAlign w:val="top"/>
          </w:tcPr>
          <w:p w14:paraId="2411351F">
            <w:pPr>
              <w:pStyle w:val="30"/>
              <w:spacing w:before="118" w:line="222" w:lineRule="auto"/>
              <w:ind w:left="766"/>
              <w:rPr>
                <w:color w:val="auto"/>
                <w:highlight w:val="none"/>
              </w:rPr>
            </w:pPr>
            <w:r>
              <w:rPr>
                <w:color w:val="auto"/>
                <w:spacing w:val="-3"/>
                <w:highlight w:val="none"/>
              </w:rPr>
              <w:t>备注</w:t>
            </w:r>
          </w:p>
        </w:tc>
        <w:tc>
          <w:tcPr>
            <w:tcW w:w="7281" w:type="dxa"/>
            <w:gridSpan w:val="7"/>
            <w:vAlign w:val="top"/>
          </w:tcPr>
          <w:p w14:paraId="4BD50636">
            <w:pPr>
              <w:rPr>
                <w:rFonts w:ascii="Arial"/>
                <w:color w:val="auto"/>
                <w:sz w:val="21"/>
                <w:highlight w:val="none"/>
              </w:rPr>
            </w:pPr>
          </w:p>
        </w:tc>
      </w:tr>
    </w:tbl>
    <w:p w14:paraId="711E8ECF">
      <w:pPr>
        <w:spacing w:before="29" w:line="220" w:lineRule="auto"/>
        <w:ind w:left="716"/>
        <w:rPr>
          <w:rFonts w:ascii="宋体" w:hAnsi="宋体" w:eastAsia="宋体" w:cs="宋体"/>
          <w:color w:val="auto"/>
          <w:sz w:val="21"/>
          <w:szCs w:val="21"/>
          <w:highlight w:val="none"/>
        </w:rPr>
      </w:pPr>
      <w:r>
        <w:rPr>
          <w:rFonts w:ascii="宋体" w:hAnsi="宋体" w:eastAsia="宋体" w:cs="宋体"/>
          <w:color w:val="auto"/>
          <w:sz w:val="21"/>
          <w:szCs w:val="21"/>
          <w:highlight w:val="none"/>
        </w:rPr>
        <w:t>注：</w:t>
      </w:r>
      <w:r>
        <w:rPr>
          <w:rFonts w:ascii="Arial" w:hAnsi="Arial" w:eastAsia="Arial" w:cs="Arial"/>
          <w:color w:val="auto"/>
          <w:sz w:val="21"/>
          <w:szCs w:val="21"/>
          <w:highlight w:val="none"/>
        </w:rPr>
        <w:t>1.</w:t>
      </w:r>
      <w:r>
        <w:rPr>
          <w:rFonts w:ascii="宋体" w:hAnsi="宋体" w:eastAsia="宋体" w:cs="宋体"/>
          <w:color w:val="auto"/>
          <w:sz w:val="21"/>
          <w:szCs w:val="21"/>
          <w:highlight w:val="none"/>
        </w:rPr>
        <w:t>应附营业执照、安全生产许可证、资质证书等相关证明材</w:t>
      </w:r>
      <w:r>
        <w:rPr>
          <w:rFonts w:ascii="宋体" w:hAnsi="宋体" w:eastAsia="宋体" w:cs="宋体"/>
          <w:color w:val="auto"/>
          <w:spacing w:val="-1"/>
          <w:sz w:val="21"/>
          <w:szCs w:val="21"/>
          <w:highlight w:val="none"/>
        </w:rPr>
        <w:t>料扫描件；</w:t>
      </w:r>
    </w:p>
    <w:p w14:paraId="18697B52">
      <w:pPr>
        <w:spacing w:before="21" w:line="229" w:lineRule="auto"/>
        <w:ind w:left="85" w:right="146" w:firstLine="1045"/>
        <w:rPr>
          <w:rFonts w:ascii="宋体" w:hAnsi="宋体" w:eastAsia="宋体" w:cs="宋体"/>
          <w:color w:val="auto"/>
          <w:sz w:val="21"/>
          <w:szCs w:val="21"/>
          <w:highlight w:val="none"/>
        </w:rPr>
      </w:pPr>
      <w:r>
        <w:rPr>
          <w:rFonts w:ascii="Arial" w:hAnsi="Arial" w:eastAsia="Arial" w:cs="Arial"/>
          <w:color w:val="auto"/>
          <w:sz w:val="21"/>
          <w:szCs w:val="21"/>
          <w:highlight w:val="none"/>
        </w:rPr>
        <w:t>2.</w:t>
      </w:r>
      <w:r>
        <w:rPr>
          <w:rFonts w:ascii="宋体" w:hAnsi="宋体" w:eastAsia="宋体" w:cs="宋体"/>
          <w:color w:val="auto"/>
          <w:sz w:val="21"/>
          <w:szCs w:val="21"/>
          <w:highlight w:val="none"/>
        </w:rPr>
        <w:t>近年来，投标人法人机构如发生合法变更、重组、法人名称变更，应提供相关部门的 合法审批件等相关证明材料，证明其业绩、奖项等具备</w:t>
      </w:r>
      <w:r>
        <w:rPr>
          <w:rFonts w:ascii="宋体" w:hAnsi="宋体" w:eastAsia="宋体" w:cs="宋体"/>
          <w:color w:val="auto"/>
          <w:spacing w:val="-1"/>
          <w:sz w:val="21"/>
          <w:szCs w:val="21"/>
          <w:highlight w:val="none"/>
        </w:rPr>
        <w:t>继承性。</w:t>
      </w:r>
    </w:p>
    <w:p w14:paraId="5E0B5DAE">
      <w:pPr>
        <w:spacing w:before="56" w:line="220" w:lineRule="auto"/>
        <w:outlineLvl w:val="9"/>
        <w:rPr>
          <w:rFonts w:ascii="宋体" w:hAnsi="宋体" w:eastAsia="宋体" w:cs="宋体"/>
          <w:color w:val="auto"/>
          <w:sz w:val="28"/>
          <w:szCs w:val="28"/>
          <w:highlight w:val="none"/>
        </w:rPr>
      </w:pPr>
      <w:bookmarkStart w:id="447" w:name="_Toc19980"/>
      <w:r>
        <w:rPr>
          <w:rFonts w:ascii="宋体" w:hAnsi="宋体" w:eastAsia="宋体" w:cs="宋体"/>
          <w:b/>
          <w:bCs/>
          <w:color w:val="auto"/>
          <w:spacing w:val="-6"/>
          <w:sz w:val="28"/>
          <w:szCs w:val="28"/>
          <w:highlight w:val="none"/>
        </w:rPr>
        <w:t>（二）近年财务状况</w:t>
      </w:r>
      <w:bookmarkEnd w:id="447"/>
    </w:p>
    <w:p w14:paraId="00FE25AB">
      <w:pPr>
        <w:spacing w:before="14"/>
        <w:rPr>
          <w:color w:val="auto"/>
          <w:highlight w:val="none"/>
        </w:rPr>
      </w:pPr>
    </w:p>
    <w:p w14:paraId="43C625DA">
      <w:pPr>
        <w:spacing w:before="13"/>
        <w:rPr>
          <w:color w:val="auto"/>
          <w:highlight w:val="none"/>
        </w:rPr>
      </w:pPr>
    </w:p>
    <w:tbl>
      <w:tblPr>
        <w:tblStyle w:val="29"/>
        <w:tblW w:w="8533"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7"/>
        <w:gridCol w:w="1706"/>
        <w:gridCol w:w="1706"/>
        <w:gridCol w:w="1703"/>
        <w:gridCol w:w="1711"/>
      </w:tblGrid>
      <w:tr w14:paraId="28450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07" w:type="dxa"/>
            <w:vAlign w:val="top"/>
          </w:tcPr>
          <w:p w14:paraId="7E860A5E">
            <w:pPr>
              <w:pStyle w:val="30"/>
              <w:spacing w:before="254" w:line="223" w:lineRule="auto"/>
              <w:ind w:left="442"/>
              <w:rPr>
                <w:color w:val="auto"/>
                <w:highlight w:val="none"/>
              </w:rPr>
            </w:pPr>
            <w:r>
              <w:rPr>
                <w:color w:val="auto"/>
                <w:spacing w:val="-5"/>
                <w:highlight w:val="none"/>
              </w:rPr>
              <w:t>名</w:t>
            </w:r>
            <w:r>
              <w:rPr>
                <w:color w:val="auto"/>
                <w:spacing w:val="1"/>
                <w:highlight w:val="none"/>
              </w:rPr>
              <w:t xml:space="preserve">    </w:t>
            </w:r>
            <w:r>
              <w:rPr>
                <w:color w:val="auto"/>
                <w:spacing w:val="-5"/>
                <w:highlight w:val="none"/>
              </w:rPr>
              <w:t>称</w:t>
            </w:r>
          </w:p>
        </w:tc>
        <w:tc>
          <w:tcPr>
            <w:tcW w:w="1706" w:type="dxa"/>
            <w:vAlign w:val="top"/>
          </w:tcPr>
          <w:p w14:paraId="00E32BCE">
            <w:pPr>
              <w:pStyle w:val="30"/>
              <w:spacing w:before="255" w:line="221" w:lineRule="auto"/>
              <w:ind w:left="542"/>
              <w:rPr>
                <w:color w:val="auto"/>
                <w:highlight w:val="none"/>
              </w:rPr>
            </w:pPr>
            <w:r>
              <w:rPr>
                <w:color w:val="auto"/>
                <w:spacing w:val="-5"/>
                <w:highlight w:val="none"/>
              </w:rPr>
              <w:t>单</w:t>
            </w:r>
            <w:r>
              <w:rPr>
                <w:color w:val="auto"/>
                <w:spacing w:val="4"/>
                <w:highlight w:val="none"/>
              </w:rPr>
              <w:t xml:space="preserve">  </w:t>
            </w:r>
            <w:r>
              <w:rPr>
                <w:color w:val="auto"/>
                <w:spacing w:val="-5"/>
                <w:highlight w:val="none"/>
              </w:rPr>
              <w:t>位</w:t>
            </w:r>
          </w:p>
        </w:tc>
        <w:tc>
          <w:tcPr>
            <w:tcW w:w="1706" w:type="dxa"/>
            <w:vAlign w:val="top"/>
          </w:tcPr>
          <w:p w14:paraId="126DB12C">
            <w:pPr>
              <w:pStyle w:val="30"/>
              <w:spacing w:before="254" w:line="221" w:lineRule="auto"/>
              <w:ind w:left="753"/>
              <w:rPr>
                <w:color w:val="auto"/>
                <w:highlight w:val="none"/>
              </w:rPr>
            </w:pPr>
            <w:r>
              <w:rPr>
                <w:color w:val="auto"/>
                <w:highlight w:val="none"/>
              </w:rPr>
              <w:t>年</w:t>
            </w:r>
          </w:p>
        </w:tc>
        <w:tc>
          <w:tcPr>
            <w:tcW w:w="1703" w:type="dxa"/>
            <w:vAlign w:val="top"/>
          </w:tcPr>
          <w:p w14:paraId="27FD86A4">
            <w:pPr>
              <w:pStyle w:val="30"/>
              <w:spacing w:before="254" w:line="221" w:lineRule="auto"/>
              <w:ind w:left="751"/>
              <w:rPr>
                <w:color w:val="auto"/>
                <w:highlight w:val="none"/>
              </w:rPr>
            </w:pPr>
            <w:r>
              <w:rPr>
                <w:color w:val="auto"/>
                <w:highlight w:val="none"/>
              </w:rPr>
              <w:t>年</w:t>
            </w:r>
          </w:p>
        </w:tc>
        <w:tc>
          <w:tcPr>
            <w:tcW w:w="1711" w:type="dxa"/>
            <w:vAlign w:val="top"/>
          </w:tcPr>
          <w:p w14:paraId="679E202E">
            <w:pPr>
              <w:pStyle w:val="30"/>
              <w:spacing w:before="254" w:line="221" w:lineRule="auto"/>
              <w:ind w:left="755"/>
              <w:rPr>
                <w:color w:val="auto"/>
                <w:highlight w:val="none"/>
              </w:rPr>
            </w:pPr>
            <w:r>
              <w:rPr>
                <w:color w:val="auto"/>
                <w:highlight w:val="none"/>
              </w:rPr>
              <w:t>年</w:t>
            </w:r>
          </w:p>
        </w:tc>
      </w:tr>
      <w:tr w14:paraId="56802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14:paraId="09BE6490">
            <w:pPr>
              <w:pStyle w:val="30"/>
              <w:spacing w:before="113" w:line="222" w:lineRule="auto"/>
              <w:ind w:left="119"/>
              <w:rPr>
                <w:color w:val="auto"/>
                <w:highlight w:val="none"/>
              </w:rPr>
            </w:pPr>
            <w:r>
              <w:rPr>
                <w:color w:val="auto"/>
                <w:spacing w:val="-2"/>
                <w:highlight w:val="none"/>
              </w:rPr>
              <w:t>一、注册资金</w:t>
            </w:r>
          </w:p>
        </w:tc>
        <w:tc>
          <w:tcPr>
            <w:tcW w:w="1706" w:type="dxa"/>
            <w:vAlign w:val="top"/>
          </w:tcPr>
          <w:p w14:paraId="3F18E43F">
            <w:pPr>
              <w:rPr>
                <w:rFonts w:ascii="Arial"/>
                <w:color w:val="auto"/>
                <w:sz w:val="21"/>
                <w:highlight w:val="none"/>
              </w:rPr>
            </w:pPr>
          </w:p>
        </w:tc>
        <w:tc>
          <w:tcPr>
            <w:tcW w:w="1706" w:type="dxa"/>
            <w:vAlign w:val="top"/>
          </w:tcPr>
          <w:p w14:paraId="71FA2FE3">
            <w:pPr>
              <w:rPr>
                <w:rFonts w:ascii="Arial"/>
                <w:color w:val="auto"/>
                <w:sz w:val="21"/>
                <w:highlight w:val="none"/>
              </w:rPr>
            </w:pPr>
          </w:p>
        </w:tc>
        <w:tc>
          <w:tcPr>
            <w:tcW w:w="1703" w:type="dxa"/>
            <w:vAlign w:val="top"/>
          </w:tcPr>
          <w:p w14:paraId="4CBE9C34">
            <w:pPr>
              <w:rPr>
                <w:rFonts w:ascii="Arial"/>
                <w:color w:val="auto"/>
                <w:sz w:val="21"/>
                <w:highlight w:val="none"/>
              </w:rPr>
            </w:pPr>
          </w:p>
        </w:tc>
        <w:tc>
          <w:tcPr>
            <w:tcW w:w="1711" w:type="dxa"/>
            <w:vAlign w:val="top"/>
          </w:tcPr>
          <w:p w14:paraId="67C9A990">
            <w:pPr>
              <w:rPr>
                <w:rFonts w:ascii="Arial"/>
                <w:color w:val="auto"/>
                <w:sz w:val="21"/>
                <w:highlight w:val="none"/>
              </w:rPr>
            </w:pPr>
          </w:p>
        </w:tc>
      </w:tr>
      <w:tr w14:paraId="169B2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707" w:type="dxa"/>
            <w:vAlign w:val="top"/>
          </w:tcPr>
          <w:p w14:paraId="2E82F354">
            <w:pPr>
              <w:pStyle w:val="30"/>
              <w:spacing w:before="113" w:line="221" w:lineRule="auto"/>
              <w:ind w:left="119"/>
              <w:rPr>
                <w:color w:val="auto"/>
                <w:highlight w:val="none"/>
              </w:rPr>
            </w:pPr>
            <w:r>
              <w:rPr>
                <w:color w:val="auto"/>
                <w:spacing w:val="-2"/>
                <w:highlight w:val="none"/>
              </w:rPr>
              <w:t>二、净资产</w:t>
            </w:r>
          </w:p>
        </w:tc>
        <w:tc>
          <w:tcPr>
            <w:tcW w:w="1706" w:type="dxa"/>
            <w:vAlign w:val="top"/>
          </w:tcPr>
          <w:p w14:paraId="72F5D03E">
            <w:pPr>
              <w:rPr>
                <w:rFonts w:ascii="Arial"/>
                <w:color w:val="auto"/>
                <w:sz w:val="21"/>
                <w:highlight w:val="none"/>
              </w:rPr>
            </w:pPr>
          </w:p>
        </w:tc>
        <w:tc>
          <w:tcPr>
            <w:tcW w:w="1706" w:type="dxa"/>
            <w:vAlign w:val="top"/>
          </w:tcPr>
          <w:p w14:paraId="07E8B99D">
            <w:pPr>
              <w:rPr>
                <w:rFonts w:ascii="Arial"/>
                <w:color w:val="auto"/>
                <w:sz w:val="21"/>
                <w:highlight w:val="none"/>
              </w:rPr>
            </w:pPr>
          </w:p>
        </w:tc>
        <w:tc>
          <w:tcPr>
            <w:tcW w:w="1703" w:type="dxa"/>
            <w:vAlign w:val="top"/>
          </w:tcPr>
          <w:p w14:paraId="64840E27">
            <w:pPr>
              <w:rPr>
                <w:rFonts w:ascii="Arial"/>
                <w:color w:val="auto"/>
                <w:sz w:val="21"/>
                <w:highlight w:val="none"/>
              </w:rPr>
            </w:pPr>
          </w:p>
        </w:tc>
        <w:tc>
          <w:tcPr>
            <w:tcW w:w="1711" w:type="dxa"/>
            <w:vAlign w:val="top"/>
          </w:tcPr>
          <w:p w14:paraId="6EF5AB30">
            <w:pPr>
              <w:rPr>
                <w:rFonts w:ascii="Arial"/>
                <w:color w:val="auto"/>
                <w:sz w:val="21"/>
                <w:highlight w:val="none"/>
              </w:rPr>
            </w:pPr>
          </w:p>
        </w:tc>
      </w:tr>
      <w:tr w14:paraId="2A693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14:paraId="496D40D3">
            <w:pPr>
              <w:pStyle w:val="30"/>
              <w:spacing w:before="112" w:line="221" w:lineRule="auto"/>
              <w:ind w:left="116"/>
              <w:rPr>
                <w:color w:val="auto"/>
                <w:highlight w:val="none"/>
              </w:rPr>
            </w:pPr>
            <w:r>
              <w:rPr>
                <w:color w:val="auto"/>
                <w:spacing w:val="-1"/>
                <w:highlight w:val="none"/>
              </w:rPr>
              <w:t>三、总资产</w:t>
            </w:r>
          </w:p>
        </w:tc>
        <w:tc>
          <w:tcPr>
            <w:tcW w:w="1706" w:type="dxa"/>
            <w:vAlign w:val="top"/>
          </w:tcPr>
          <w:p w14:paraId="217DCF55">
            <w:pPr>
              <w:rPr>
                <w:rFonts w:ascii="Arial"/>
                <w:color w:val="auto"/>
                <w:sz w:val="21"/>
                <w:highlight w:val="none"/>
              </w:rPr>
            </w:pPr>
          </w:p>
        </w:tc>
        <w:tc>
          <w:tcPr>
            <w:tcW w:w="1706" w:type="dxa"/>
            <w:vAlign w:val="top"/>
          </w:tcPr>
          <w:p w14:paraId="2B63A9EE">
            <w:pPr>
              <w:rPr>
                <w:rFonts w:ascii="Arial"/>
                <w:color w:val="auto"/>
                <w:sz w:val="21"/>
                <w:highlight w:val="none"/>
              </w:rPr>
            </w:pPr>
          </w:p>
        </w:tc>
        <w:tc>
          <w:tcPr>
            <w:tcW w:w="1703" w:type="dxa"/>
            <w:vAlign w:val="top"/>
          </w:tcPr>
          <w:p w14:paraId="66FF7D7D">
            <w:pPr>
              <w:rPr>
                <w:rFonts w:ascii="Arial"/>
                <w:color w:val="auto"/>
                <w:sz w:val="21"/>
                <w:highlight w:val="none"/>
              </w:rPr>
            </w:pPr>
          </w:p>
        </w:tc>
        <w:tc>
          <w:tcPr>
            <w:tcW w:w="1711" w:type="dxa"/>
            <w:vAlign w:val="top"/>
          </w:tcPr>
          <w:p w14:paraId="738A01B7">
            <w:pPr>
              <w:rPr>
                <w:rFonts w:ascii="Arial"/>
                <w:color w:val="auto"/>
                <w:sz w:val="21"/>
                <w:highlight w:val="none"/>
              </w:rPr>
            </w:pPr>
          </w:p>
        </w:tc>
      </w:tr>
      <w:tr w14:paraId="65782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14:paraId="7D6B39C3">
            <w:pPr>
              <w:pStyle w:val="30"/>
              <w:spacing w:before="112" w:line="221" w:lineRule="auto"/>
              <w:ind w:left="135"/>
              <w:rPr>
                <w:color w:val="auto"/>
                <w:highlight w:val="none"/>
              </w:rPr>
            </w:pPr>
            <w:r>
              <w:rPr>
                <w:color w:val="auto"/>
                <w:spacing w:val="-5"/>
                <w:highlight w:val="none"/>
              </w:rPr>
              <w:t>四、固定资产</w:t>
            </w:r>
          </w:p>
        </w:tc>
        <w:tc>
          <w:tcPr>
            <w:tcW w:w="1706" w:type="dxa"/>
            <w:vAlign w:val="top"/>
          </w:tcPr>
          <w:p w14:paraId="3DA49714">
            <w:pPr>
              <w:rPr>
                <w:rFonts w:ascii="Arial"/>
                <w:color w:val="auto"/>
                <w:sz w:val="21"/>
                <w:highlight w:val="none"/>
              </w:rPr>
            </w:pPr>
          </w:p>
        </w:tc>
        <w:tc>
          <w:tcPr>
            <w:tcW w:w="1706" w:type="dxa"/>
            <w:vAlign w:val="top"/>
          </w:tcPr>
          <w:p w14:paraId="20F43A5A">
            <w:pPr>
              <w:rPr>
                <w:rFonts w:ascii="Arial"/>
                <w:color w:val="auto"/>
                <w:sz w:val="21"/>
                <w:highlight w:val="none"/>
              </w:rPr>
            </w:pPr>
          </w:p>
        </w:tc>
        <w:tc>
          <w:tcPr>
            <w:tcW w:w="1703" w:type="dxa"/>
            <w:vAlign w:val="top"/>
          </w:tcPr>
          <w:p w14:paraId="31EA3130">
            <w:pPr>
              <w:rPr>
                <w:rFonts w:ascii="Arial"/>
                <w:color w:val="auto"/>
                <w:sz w:val="21"/>
                <w:highlight w:val="none"/>
              </w:rPr>
            </w:pPr>
          </w:p>
        </w:tc>
        <w:tc>
          <w:tcPr>
            <w:tcW w:w="1711" w:type="dxa"/>
            <w:vAlign w:val="top"/>
          </w:tcPr>
          <w:p w14:paraId="4FE1CE02">
            <w:pPr>
              <w:rPr>
                <w:rFonts w:ascii="Arial"/>
                <w:color w:val="auto"/>
                <w:sz w:val="21"/>
                <w:highlight w:val="none"/>
              </w:rPr>
            </w:pPr>
          </w:p>
        </w:tc>
      </w:tr>
      <w:tr w14:paraId="57251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14:paraId="2A9A561E">
            <w:pPr>
              <w:pStyle w:val="30"/>
              <w:spacing w:before="252" w:line="221" w:lineRule="auto"/>
              <w:ind w:left="119"/>
              <w:rPr>
                <w:color w:val="auto"/>
                <w:highlight w:val="none"/>
              </w:rPr>
            </w:pPr>
            <w:r>
              <w:rPr>
                <w:color w:val="auto"/>
                <w:spacing w:val="-2"/>
                <w:highlight w:val="none"/>
              </w:rPr>
              <w:t>五、流动资产</w:t>
            </w:r>
          </w:p>
        </w:tc>
        <w:tc>
          <w:tcPr>
            <w:tcW w:w="1706" w:type="dxa"/>
            <w:vAlign w:val="top"/>
          </w:tcPr>
          <w:p w14:paraId="48C38B63">
            <w:pPr>
              <w:rPr>
                <w:rFonts w:ascii="Arial"/>
                <w:color w:val="auto"/>
                <w:sz w:val="21"/>
                <w:highlight w:val="none"/>
              </w:rPr>
            </w:pPr>
          </w:p>
        </w:tc>
        <w:tc>
          <w:tcPr>
            <w:tcW w:w="1706" w:type="dxa"/>
            <w:vAlign w:val="top"/>
          </w:tcPr>
          <w:p w14:paraId="7D664825">
            <w:pPr>
              <w:rPr>
                <w:rFonts w:ascii="Arial"/>
                <w:color w:val="auto"/>
                <w:sz w:val="21"/>
                <w:highlight w:val="none"/>
              </w:rPr>
            </w:pPr>
          </w:p>
        </w:tc>
        <w:tc>
          <w:tcPr>
            <w:tcW w:w="1703" w:type="dxa"/>
            <w:vAlign w:val="top"/>
          </w:tcPr>
          <w:p w14:paraId="34383EB4">
            <w:pPr>
              <w:rPr>
                <w:rFonts w:ascii="Arial"/>
                <w:color w:val="auto"/>
                <w:sz w:val="21"/>
                <w:highlight w:val="none"/>
              </w:rPr>
            </w:pPr>
          </w:p>
        </w:tc>
        <w:tc>
          <w:tcPr>
            <w:tcW w:w="1711" w:type="dxa"/>
            <w:vAlign w:val="top"/>
          </w:tcPr>
          <w:p w14:paraId="6ABB822E">
            <w:pPr>
              <w:rPr>
                <w:rFonts w:ascii="Arial"/>
                <w:color w:val="auto"/>
                <w:sz w:val="21"/>
                <w:highlight w:val="none"/>
              </w:rPr>
            </w:pPr>
          </w:p>
        </w:tc>
      </w:tr>
      <w:tr w14:paraId="1AC0A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707" w:type="dxa"/>
            <w:vAlign w:val="top"/>
          </w:tcPr>
          <w:p w14:paraId="7CD23E17">
            <w:pPr>
              <w:pStyle w:val="30"/>
              <w:spacing w:before="116" w:line="221" w:lineRule="auto"/>
              <w:ind w:left="117"/>
              <w:rPr>
                <w:color w:val="auto"/>
                <w:highlight w:val="none"/>
              </w:rPr>
            </w:pPr>
            <w:r>
              <w:rPr>
                <w:color w:val="auto"/>
                <w:spacing w:val="-2"/>
                <w:highlight w:val="none"/>
              </w:rPr>
              <w:t>六、流动负债</w:t>
            </w:r>
          </w:p>
        </w:tc>
        <w:tc>
          <w:tcPr>
            <w:tcW w:w="1706" w:type="dxa"/>
            <w:vAlign w:val="top"/>
          </w:tcPr>
          <w:p w14:paraId="44AABE07">
            <w:pPr>
              <w:rPr>
                <w:rFonts w:ascii="Arial"/>
                <w:color w:val="auto"/>
                <w:sz w:val="21"/>
                <w:highlight w:val="none"/>
              </w:rPr>
            </w:pPr>
          </w:p>
        </w:tc>
        <w:tc>
          <w:tcPr>
            <w:tcW w:w="1706" w:type="dxa"/>
            <w:vAlign w:val="top"/>
          </w:tcPr>
          <w:p w14:paraId="2EB528CC">
            <w:pPr>
              <w:rPr>
                <w:rFonts w:ascii="Arial"/>
                <w:color w:val="auto"/>
                <w:sz w:val="21"/>
                <w:highlight w:val="none"/>
              </w:rPr>
            </w:pPr>
          </w:p>
        </w:tc>
        <w:tc>
          <w:tcPr>
            <w:tcW w:w="1703" w:type="dxa"/>
            <w:vAlign w:val="top"/>
          </w:tcPr>
          <w:p w14:paraId="009696B4">
            <w:pPr>
              <w:rPr>
                <w:rFonts w:ascii="Arial"/>
                <w:color w:val="auto"/>
                <w:sz w:val="21"/>
                <w:highlight w:val="none"/>
              </w:rPr>
            </w:pPr>
          </w:p>
        </w:tc>
        <w:tc>
          <w:tcPr>
            <w:tcW w:w="1711" w:type="dxa"/>
            <w:vAlign w:val="top"/>
          </w:tcPr>
          <w:p w14:paraId="1A805799">
            <w:pPr>
              <w:rPr>
                <w:rFonts w:ascii="Arial"/>
                <w:color w:val="auto"/>
                <w:sz w:val="21"/>
                <w:highlight w:val="none"/>
              </w:rPr>
            </w:pPr>
          </w:p>
        </w:tc>
      </w:tr>
      <w:tr w14:paraId="21B8C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14:paraId="17AEE3E7">
            <w:pPr>
              <w:pStyle w:val="30"/>
              <w:spacing w:before="114" w:line="221" w:lineRule="auto"/>
              <w:ind w:left="115"/>
              <w:rPr>
                <w:color w:val="auto"/>
                <w:highlight w:val="none"/>
              </w:rPr>
            </w:pPr>
            <w:r>
              <w:rPr>
                <w:color w:val="auto"/>
                <w:spacing w:val="-1"/>
                <w:highlight w:val="none"/>
              </w:rPr>
              <w:t>七、负债合计</w:t>
            </w:r>
          </w:p>
        </w:tc>
        <w:tc>
          <w:tcPr>
            <w:tcW w:w="1706" w:type="dxa"/>
            <w:vAlign w:val="top"/>
          </w:tcPr>
          <w:p w14:paraId="2E15F778">
            <w:pPr>
              <w:rPr>
                <w:rFonts w:ascii="Arial"/>
                <w:color w:val="auto"/>
                <w:sz w:val="21"/>
                <w:highlight w:val="none"/>
              </w:rPr>
            </w:pPr>
          </w:p>
        </w:tc>
        <w:tc>
          <w:tcPr>
            <w:tcW w:w="1706" w:type="dxa"/>
            <w:vAlign w:val="top"/>
          </w:tcPr>
          <w:p w14:paraId="65E068B3">
            <w:pPr>
              <w:rPr>
                <w:rFonts w:ascii="Arial"/>
                <w:color w:val="auto"/>
                <w:sz w:val="21"/>
                <w:highlight w:val="none"/>
              </w:rPr>
            </w:pPr>
          </w:p>
        </w:tc>
        <w:tc>
          <w:tcPr>
            <w:tcW w:w="1703" w:type="dxa"/>
            <w:vAlign w:val="top"/>
          </w:tcPr>
          <w:p w14:paraId="58324E7C">
            <w:pPr>
              <w:rPr>
                <w:rFonts w:ascii="Arial"/>
                <w:color w:val="auto"/>
                <w:sz w:val="21"/>
                <w:highlight w:val="none"/>
              </w:rPr>
            </w:pPr>
          </w:p>
        </w:tc>
        <w:tc>
          <w:tcPr>
            <w:tcW w:w="1711" w:type="dxa"/>
            <w:vAlign w:val="top"/>
          </w:tcPr>
          <w:p w14:paraId="1A45D2CD">
            <w:pPr>
              <w:rPr>
                <w:rFonts w:ascii="Arial"/>
                <w:color w:val="auto"/>
                <w:sz w:val="21"/>
                <w:highlight w:val="none"/>
              </w:rPr>
            </w:pPr>
          </w:p>
        </w:tc>
      </w:tr>
      <w:tr w14:paraId="7AAFB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14:paraId="5170D7AC">
            <w:pPr>
              <w:pStyle w:val="30"/>
              <w:spacing w:before="115" w:line="221" w:lineRule="auto"/>
              <w:ind w:left="119"/>
              <w:rPr>
                <w:color w:val="auto"/>
                <w:highlight w:val="none"/>
              </w:rPr>
            </w:pPr>
            <w:r>
              <w:rPr>
                <w:color w:val="auto"/>
                <w:spacing w:val="-2"/>
                <w:highlight w:val="none"/>
              </w:rPr>
              <w:t>八、营业收入</w:t>
            </w:r>
          </w:p>
        </w:tc>
        <w:tc>
          <w:tcPr>
            <w:tcW w:w="1706" w:type="dxa"/>
            <w:vAlign w:val="top"/>
          </w:tcPr>
          <w:p w14:paraId="1BF87651">
            <w:pPr>
              <w:rPr>
                <w:rFonts w:ascii="Arial"/>
                <w:color w:val="auto"/>
                <w:sz w:val="21"/>
                <w:highlight w:val="none"/>
              </w:rPr>
            </w:pPr>
          </w:p>
        </w:tc>
        <w:tc>
          <w:tcPr>
            <w:tcW w:w="1706" w:type="dxa"/>
            <w:vAlign w:val="top"/>
          </w:tcPr>
          <w:p w14:paraId="6505C0A6">
            <w:pPr>
              <w:rPr>
                <w:rFonts w:ascii="Arial"/>
                <w:color w:val="auto"/>
                <w:sz w:val="21"/>
                <w:highlight w:val="none"/>
              </w:rPr>
            </w:pPr>
          </w:p>
        </w:tc>
        <w:tc>
          <w:tcPr>
            <w:tcW w:w="1703" w:type="dxa"/>
            <w:vAlign w:val="top"/>
          </w:tcPr>
          <w:p w14:paraId="23B10823">
            <w:pPr>
              <w:rPr>
                <w:rFonts w:ascii="Arial"/>
                <w:color w:val="auto"/>
                <w:sz w:val="21"/>
                <w:highlight w:val="none"/>
              </w:rPr>
            </w:pPr>
          </w:p>
        </w:tc>
        <w:tc>
          <w:tcPr>
            <w:tcW w:w="1711" w:type="dxa"/>
            <w:vAlign w:val="top"/>
          </w:tcPr>
          <w:p w14:paraId="7A625155">
            <w:pPr>
              <w:rPr>
                <w:rFonts w:ascii="Arial"/>
                <w:color w:val="auto"/>
                <w:sz w:val="21"/>
                <w:highlight w:val="none"/>
              </w:rPr>
            </w:pPr>
          </w:p>
        </w:tc>
      </w:tr>
      <w:tr w14:paraId="78139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707" w:type="dxa"/>
            <w:vAlign w:val="top"/>
          </w:tcPr>
          <w:p w14:paraId="14E808B5">
            <w:pPr>
              <w:pStyle w:val="30"/>
              <w:spacing w:before="118" w:line="221" w:lineRule="auto"/>
              <w:ind w:left="121"/>
              <w:rPr>
                <w:color w:val="auto"/>
                <w:highlight w:val="none"/>
              </w:rPr>
            </w:pPr>
            <w:r>
              <w:rPr>
                <w:color w:val="auto"/>
                <w:spacing w:val="-2"/>
                <w:highlight w:val="none"/>
              </w:rPr>
              <w:t>九、净利润</w:t>
            </w:r>
          </w:p>
        </w:tc>
        <w:tc>
          <w:tcPr>
            <w:tcW w:w="1706" w:type="dxa"/>
            <w:vAlign w:val="top"/>
          </w:tcPr>
          <w:p w14:paraId="7073DFA1">
            <w:pPr>
              <w:rPr>
                <w:rFonts w:ascii="Arial"/>
                <w:color w:val="auto"/>
                <w:sz w:val="21"/>
                <w:highlight w:val="none"/>
              </w:rPr>
            </w:pPr>
          </w:p>
        </w:tc>
        <w:tc>
          <w:tcPr>
            <w:tcW w:w="1706" w:type="dxa"/>
            <w:vAlign w:val="top"/>
          </w:tcPr>
          <w:p w14:paraId="2247D753">
            <w:pPr>
              <w:rPr>
                <w:rFonts w:ascii="Arial"/>
                <w:color w:val="auto"/>
                <w:sz w:val="21"/>
                <w:highlight w:val="none"/>
              </w:rPr>
            </w:pPr>
          </w:p>
        </w:tc>
        <w:tc>
          <w:tcPr>
            <w:tcW w:w="1703" w:type="dxa"/>
            <w:vAlign w:val="top"/>
          </w:tcPr>
          <w:p w14:paraId="3D9F879A">
            <w:pPr>
              <w:rPr>
                <w:rFonts w:ascii="Arial"/>
                <w:color w:val="auto"/>
                <w:sz w:val="21"/>
                <w:highlight w:val="none"/>
              </w:rPr>
            </w:pPr>
          </w:p>
        </w:tc>
        <w:tc>
          <w:tcPr>
            <w:tcW w:w="1711" w:type="dxa"/>
            <w:vAlign w:val="top"/>
          </w:tcPr>
          <w:p w14:paraId="712957D1">
            <w:pPr>
              <w:rPr>
                <w:rFonts w:ascii="Arial"/>
                <w:color w:val="auto"/>
                <w:sz w:val="21"/>
                <w:highlight w:val="none"/>
              </w:rPr>
            </w:pPr>
          </w:p>
        </w:tc>
      </w:tr>
    </w:tbl>
    <w:p w14:paraId="36053767">
      <w:pPr>
        <w:spacing w:before="269" w:line="220" w:lineRule="auto"/>
        <w:ind w:left="27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注：应附相关证明材料扫描件。</w:t>
      </w:r>
    </w:p>
    <w:p w14:paraId="0737F7B5">
      <w:pPr>
        <w:spacing w:before="286" w:line="220" w:lineRule="auto"/>
        <w:ind w:left="774"/>
        <w:rPr>
          <w:rFonts w:ascii="宋体" w:hAnsi="宋体" w:eastAsia="宋体" w:cs="宋体"/>
          <w:b/>
          <w:bCs/>
          <w:color w:val="auto"/>
          <w:spacing w:val="-4"/>
          <w:sz w:val="28"/>
          <w:szCs w:val="28"/>
          <w:highlight w:val="none"/>
        </w:rPr>
      </w:pPr>
    </w:p>
    <w:p w14:paraId="48F34F9F">
      <w:pPr>
        <w:spacing w:before="286" w:line="220" w:lineRule="auto"/>
        <w:ind w:left="774"/>
        <w:rPr>
          <w:rFonts w:ascii="宋体" w:hAnsi="宋体" w:eastAsia="宋体" w:cs="宋体"/>
          <w:b/>
          <w:bCs/>
          <w:color w:val="auto"/>
          <w:spacing w:val="-4"/>
          <w:sz w:val="28"/>
          <w:szCs w:val="28"/>
          <w:highlight w:val="none"/>
        </w:rPr>
      </w:pPr>
    </w:p>
    <w:p w14:paraId="0ECEA3FF">
      <w:pPr>
        <w:spacing w:before="286" w:line="220" w:lineRule="auto"/>
        <w:ind w:left="774"/>
        <w:rPr>
          <w:rFonts w:ascii="宋体" w:hAnsi="宋体" w:eastAsia="宋体" w:cs="宋体"/>
          <w:b/>
          <w:bCs/>
          <w:color w:val="auto"/>
          <w:spacing w:val="-4"/>
          <w:sz w:val="28"/>
          <w:szCs w:val="28"/>
          <w:highlight w:val="none"/>
        </w:rPr>
      </w:pPr>
    </w:p>
    <w:p w14:paraId="766BB694">
      <w:pPr>
        <w:spacing w:before="286" w:line="220" w:lineRule="auto"/>
        <w:ind w:left="774"/>
        <w:rPr>
          <w:rFonts w:ascii="宋体" w:hAnsi="宋体" w:eastAsia="宋体" w:cs="宋体"/>
          <w:b/>
          <w:bCs/>
          <w:color w:val="auto"/>
          <w:spacing w:val="-4"/>
          <w:sz w:val="28"/>
          <w:szCs w:val="28"/>
          <w:highlight w:val="none"/>
        </w:rPr>
      </w:pPr>
    </w:p>
    <w:p w14:paraId="3B719060">
      <w:pPr>
        <w:spacing w:before="286" w:line="220" w:lineRule="auto"/>
        <w:ind w:left="774"/>
        <w:rPr>
          <w:rFonts w:ascii="宋体" w:hAnsi="宋体" w:eastAsia="宋体" w:cs="宋体"/>
          <w:b/>
          <w:bCs/>
          <w:color w:val="auto"/>
          <w:spacing w:val="-4"/>
          <w:sz w:val="28"/>
          <w:szCs w:val="28"/>
          <w:highlight w:val="none"/>
        </w:rPr>
      </w:pPr>
    </w:p>
    <w:p w14:paraId="13CF7EA4">
      <w:pPr>
        <w:spacing w:before="286" w:line="220" w:lineRule="auto"/>
        <w:ind w:left="774"/>
        <w:rPr>
          <w:rFonts w:ascii="宋体" w:hAnsi="宋体" w:eastAsia="宋体" w:cs="宋体"/>
          <w:b/>
          <w:bCs/>
          <w:color w:val="auto"/>
          <w:spacing w:val="-4"/>
          <w:sz w:val="28"/>
          <w:szCs w:val="28"/>
          <w:highlight w:val="none"/>
        </w:rPr>
      </w:pPr>
    </w:p>
    <w:p w14:paraId="74DB320C">
      <w:pPr>
        <w:spacing w:before="286" w:line="220" w:lineRule="auto"/>
        <w:ind w:left="774"/>
        <w:rPr>
          <w:rFonts w:ascii="宋体" w:hAnsi="宋体" w:eastAsia="宋体" w:cs="宋体"/>
          <w:b/>
          <w:bCs/>
          <w:color w:val="auto"/>
          <w:spacing w:val="-4"/>
          <w:sz w:val="28"/>
          <w:szCs w:val="28"/>
          <w:highlight w:val="none"/>
        </w:rPr>
      </w:pPr>
    </w:p>
    <w:p w14:paraId="76833D54">
      <w:pPr>
        <w:spacing w:before="286" w:line="220" w:lineRule="auto"/>
        <w:ind w:left="774"/>
        <w:rPr>
          <w:rFonts w:ascii="宋体" w:hAnsi="宋体" w:eastAsia="宋体" w:cs="宋体"/>
          <w:b/>
          <w:bCs/>
          <w:color w:val="auto"/>
          <w:spacing w:val="-4"/>
          <w:sz w:val="28"/>
          <w:szCs w:val="28"/>
          <w:highlight w:val="none"/>
        </w:rPr>
      </w:pPr>
    </w:p>
    <w:p w14:paraId="03F36F45">
      <w:pPr>
        <w:spacing w:before="286" w:line="220" w:lineRule="auto"/>
        <w:ind w:left="774"/>
        <w:rPr>
          <w:rFonts w:ascii="宋体" w:hAnsi="宋体" w:eastAsia="宋体" w:cs="宋体"/>
          <w:b/>
          <w:bCs/>
          <w:color w:val="auto"/>
          <w:spacing w:val="-4"/>
          <w:sz w:val="28"/>
          <w:szCs w:val="28"/>
          <w:highlight w:val="none"/>
        </w:rPr>
      </w:pPr>
    </w:p>
    <w:p w14:paraId="2C0C3322">
      <w:pPr>
        <w:spacing w:before="286" w:line="220" w:lineRule="auto"/>
        <w:ind w:left="774"/>
        <w:rPr>
          <w:rFonts w:ascii="宋体" w:hAnsi="宋体" w:eastAsia="宋体" w:cs="宋体"/>
          <w:b/>
          <w:bCs/>
          <w:color w:val="auto"/>
          <w:spacing w:val="-4"/>
          <w:sz w:val="28"/>
          <w:szCs w:val="28"/>
          <w:highlight w:val="none"/>
        </w:rPr>
      </w:pPr>
    </w:p>
    <w:p w14:paraId="4711EFA4">
      <w:pPr>
        <w:spacing w:before="286" w:line="220" w:lineRule="auto"/>
        <w:ind w:left="774"/>
        <w:rPr>
          <w:rFonts w:ascii="宋体" w:hAnsi="宋体" w:eastAsia="宋体" w:cs="宋体"/>
          <w:b/>
          <w:bCs/>
          <w:color w:val="auto"/>
          <w:spacing w:val="-4"/>
          <w:sz w:val="28"/>
          <w:szCs w:val="28"/>
          <w:highlight w:val="none"/>
        </w:rPr>
      </w:pPr>
    </w:p>
    <w:p w14:paraId="7CAF7091">
      <w:pPr>
        <w:spacing w:before="286" w:line="220" w:lineRule="auto"/>
        <w:outlineLvl w:val="9"/>
        <w:rPr>
          <w:rFonts w:ascii="宋体" w:hAnsi="宋体" w:eastAsia="宋体" w:cs="宋体"/>
          <w:color w:val="auto"/>
          <w:sz w:val="28"/>
          <w:szCs w:val="28"/>
          <w:highlight w:val="none"/>
        </w:rPr>
      </w:pPr>
      <w:bookmarkStart w:id="448" w:name="_Toc18130"/>
      <w:r>
        <w:rPr>
          <w:rFonts w:ascii="宋体" w:hAnsi="宋体" w:eastAsia="宋体" w:cs="宋体"/>
          <w:b/>
          <w:bCs/>
          <w:color w:val="auto"/>
          <w:spacing w:val="-4"/>
          <w:sz w:val="28"/>
          <w:szCs w:val="28"/>
          <w:highlight w:val="none"/>
        </w:rPr>
        <w:t>（三）近年完成的类似项目情况表</w:t>
      </w:r>
      <w:bookmarkEnd w:id="448"/>
    </w:p>
    <w:p w14:paraId="4C63190F">
      <w:pPr>
        <w:spacing w:before="17"/>
        <w:rPr>
          <w:color w:val="auto"/>
          <w:highlight w:val="none"/>
        </w:rPr>
      </w:pPr>
    </w:p>
    <w:p w14:paraId="7FFEE5D8">
      <w:pPr>
        <w:spacing w:before="17"/>
        <w:rPr>
          <w:color w:val="auto"/>
          <w:highlight w:val="none"/>
        </w:rPr>
      </w:pPr>
    </w:p>
    <w:tbl>
      <w:tblPr>
        <w:tblStyle w:val="29"/>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75"/>
        <w:gridCol w:w="6816"/>
      </w:tblGrid>
      <w:tr w14:paraId="7613A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475" w:type="dxa"/>
            <w:vAlign w:val="top"/>
          </w:tcPr>
          <w:p w14:paraId="3257FDBC">
            <w:pPr>
              <w:pStyle w:val="30"/>
              <w:spacing w:before="291" w:line="221" w:lineRule="auto"/>
              <w:ind w:left="827"/>
              <w:rPr>
                <w:color w:val="auto"/>
                <w:highlight w:val="none"/>
              </w:rPr>
            </w:pPr>
            <w:r>
              <w:rPr>
                <w:color w:val="auto"/>
                <w:spacing w:val="-3"/>
                <w:highlight w:val="none"/>
              </w:rPr>
              <w:t>项目名称</w:t>
            </w:r>
          </w:p>
        </w:tc>
        <w:tc>
          <w:tcPr>
            <w:tcW w:w="6816" w:type="dxa"/>
            <w:vAlign w:val="top"/>
          </w:tcPr>
          <w:p w14:paraId="64A50632">
            <w:pPr>
              <w:rPr>
                <w:rFonts w:ascii="Arial"/>
                <w:color w:val="auto"/>
                <w:sz w:val="21"/>
                <w:highlight w:val="none"/>
              </w:rPr>
            </w:pPr>
          </w:p>
        </w:tc>
      </w:tr>
      <w:tr w14:paraId="53ADB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475" w:type="dxa"/>
            <w:vAlign w:val="top"/>
          </w:tcPr>
          <w:p w14:paraId="5C3EAB51">
            <w:pPr>
              <w:pStyle w:val="30"/>
              <w:spacing w:before="255" w:line="221" w:lineRule="auto"/>
              <w:ind w:left="721"/>
              <w:rPr>
                <w:color w:val="auto"/>
                <w:highlight w:val="none"/>
              </w:rPr>
            </w:pPr>
            <w:r>
              <w:rPr>
                <w:color w:val="auto"/>
                <w:spacing w:val="-2"/>
                <w:highlight w:val="none"/>
              </w:rPr>
              <w:t>项目所在地</w:t>
            </w:r>
          </w:p>
        </w:tc>
        <w:tc>
          <w:tcPr>
            <w:tcW w:w="6816" w:type="dxa"/>
            <w:vAlign w:val="top"/>
          </w:tcPr>
          <w:p w14:paraId="43F26CC4">
            <w:pPr>
              <w:rPr>
                <w:rFonts w:ascii="Arial"/>
                <w:color w:val="auto"/>
                <w:sz w:val="21"/>
                <w:highlight w:val="none"/>
              </w:rPr>
            </w:pPr>
          </w:p>
        </w:tc>
      </w:tr>
      <w:tr w14:paraId="5E97A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475" w:type="dxa"/>
            <w:vAlign w:val="top"/>
          </w:tcPr>
          <w:p w14:paraId="27AE72E4">
            <w:pPr>
              <w:pStyle w:val="30"/>
              <w:spacing w:before="258" w:line="221" w:lineRule="auto"/>
              <w:ind w:left="721"/>
              <w:rPr>
                <w:color w:val="auto"/>
                <w:highlight w:val="none"/>
              </w:rPr>
            </w:pPr>
            <w:r>
              <w:rPr>
                <w:color w:val="auto"/>
                <w:spacing w:val="-2"/>
                <w:highlight w:val="none"/>
              </w:rPr>
              <w:t>发包人名称</w:t>
            </w:r>
          </w:p>
        </w:tc>
        <w:tc>
          <w:tcPr>
            <w:tcW w:w="6816" w:type="dxa"/>
            <w:vAlign w:val="top"/>
          </w:tcPr>
          <w:p w14:paraId="1DF2CC37">
            <w:pPr>
              <w:rPr>
                <w:rFonts w:ascii="Arial"/>
                <w:color w:val="auto"/>
                <w:sz w:val="21"/>
                <w:highlight w:val="none"/>
              </w:rPr>
            </w:pPr>
          </w:p>
        </w:tc>
      </w:tr>
      <w:tr w14:paraId="36D83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475" w:type="dxa"/>
            <w:vAlign w:val="top"/>
          </w:tcPr>
          <w:p w14:paraId="20A701F2">
            <w:pPr>
              <w:pStyle w:val="30"/>
              <w:spacing w:before="256" w:line="221" w:lineRule="auto"/>
              <w:ind w:left="721"/>
              <w:rPr>
                <w:color w:val="auto"/>
                <w:highlight w:val="none"/>
              </w:rPr>
            </w:pPr>
            <w:r>
              <w:rPr>
                <w:color w:val="auto"/>
                <w:spacing w:val="-2"/>
                <w:highlight w:val="none"/>
              </w:rPr>
              <w:t>发包人地址</w:t>
            </w:r>
          </w:p>
        </w:tc>
        <w:tc>
          <w:tcPr>
            <w:tcW w:w="6816" w:type="dxa"/>
            <w:vAlign w:val="top"/>
          </w:tcPr>
          <w:p w14:paraId="767B6DCD">
            <w:pPr>
              <w:rPr>
                <w:rFonts w:ascii="Arial"/>
                <w:color w:val="auto"/>
                <w:sz w:val="21"/>
                <w:highlight w:val="none"/>
              </w:rPr>
            </w:pPr>
          </w:p>
        </w:tc>
      </w:tr>
      <w:tr w14:paraId="6B2A3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475" w:type="dxa"/>
            <w:vAlign w:val="top"/>
          </w:tcPr>
          <w:p w14:paraId="380F933C">
            <w:pPr>
              <w:pStyle w:val="30"/>
              <w:spacing w:before="262" w:line="221" w:lineRule="auto"/>
              <w:ind w:left="721"/>
              <w:rPr>
                <w:color w:val="auto"/>
                <w:highlight w:val="none"/>
              </w:rPr>
            </w:pPr>
            <w:r>
              <w:rPr>
                <w:color w:val="auto"/>
                <w:spacing w:val="-2"/>
                <w:highlight w:val="none"/>
              </w:rPr>
              <w:t>发包人电话</w:t>
            </w:r>
          </w:p>
        </w:tc>
        <w:tc>
          <w:tcPr>
            <w:tcW w:w="6816" w:type="dxa"/>
            <w:vAlign w:val="top"/>
          </w:tcPr>
          <w:p w14:paraId="013E7BF7">
            <w:pPr>
              <w:rPr>
                <w:rFonts w:ascii="Arial"/>
                <w:color w:val="auto"/>
                <w:sz w:val="21"/>
                <w:highlight w:val="none"/>
              </w:rPr>
            </w:pPr>
          </w:p>
        </w:tc>
      </w:tr>
      <w:tr w14:paraId="674D5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475" w:type="dxa"/>
            <w:vAlign w:val="top"/>
          </w:tcPr>
          <w:p w14:paraId="5AB1FF71">
            <w:pPr>
              <w:pStyle w:val="30"/>
              <w:spacing w:before="259" w:line="219" w:lineRule="auto"/>
              <w:ind w:left="824"/>
              <w:rPr>
                <w:color w:val="auto"/>
                <w:highlight w:val="none"/>
              </w:rPr>
            </w:pPr>
            <w:r>
              <w:rPr>
                <w:color w:val="auto"/>
                <w:spacing w:val="-2"/>
                <w:highlight w:val="none"/>
              </w:rPr>
              <w:t>合同价格</w:t>
            </w:r>
          </w:p>
        </w:tc>
        <w:tc>
          <w:tcPr>
            <w:tcW w:w="6816" w:type="dxa"/>
            <w:vAlign w:val="top"/>
          </w:tcPr>
          <w:p w14:paraId="3D5CBB55">
            <w:pPr>
              <w:rPr>
                <w:rFonts w:ascii="Arial"/>
                <w:color w:val="auto"/>
                <w:sz w:val="21"/>
                <w:highlight w:val="none"/>
              </w:rPr>
            </w:pPr>
          </w:p>
        </w:tc>
      </w:tr>
      <w:tr w14:paraId="0CD2F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475" w:type="dxa"/>
            <w:vAlign w:val="top"/>
          </w:tcPr>
          <w:p w14:paraId="3EC496AE">
            <w:pPr>
              <w:pStyle w:val="30"/>
              <w:spacing w:before="257" w:line="221" w:lineRule="auto"/>
              <w:ind w:left="824"/>
              <w:rPr>
                <w:color w:val="auto"/>
                <w:highlight w:val="none"/>
              </w:rPr>
            </w:pPr>
            <w:r>
              <w:rPr>
                <w:color w:val="auto"/>
                <w:spacing w:val="-2"/>
                <w:highlight w:val="none"/>
              </w:rPr>
              <w:t>开工日期</w:t>
            </w:r>
          </w:p>
        </w:tc>
        <w:tc>
          <w:tcPr>
            <w:tcW w:w="6816" w:type="dxa"/>
            <w:vAlign w:val="top"/>
          </w:tcPr>
          <w:p w14:paraId="49FA15B8">
            <w:pPr>
              <w:rPr>
                <w:rFonts w:ascii="Arial"/>
                <w:color w:val="auto"/>
                <w:sz w:val="21"/>
                <w:highlight w:val="none"/>
              </w:rPr>
            </w:pPr>
          </w:p>
        </w:tc>
      </w:tr>
      <w:tr w14:paraId="792EC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75" w:type="dxa"/>
            <w:vAlign w:val="top"/>
          </w:tcPr>
          <w:p w14:paraId="16368A38">
            <w:pPr>
              <w:pStyle w:val="30"/>
              <w:spacing w:before="266" w:line="221" w:lineRule="auto"/>
              <w:ind w:left="824"/>
              <w:rPr>
                <w:color w:val="auto"/>
                <w:highlight w:val="none"/>
              </w:rPr>
            </w:pPr>
            <w:r>
              <w:rPr>
                <w:color w:val="auto"/>
                <w:spacing w:val="-2"/>
                <w:highlight w:val="none"/>
              </w:rPr>
              <w:t>竣工日期</w:t>
            </w:r>
          </w:p>
        </w:tc>
        <w:tc>
          <w:tcPr>
            <w:tcW w:w="6816" w:type="dxa"/>
            <w:vAlign w:val="top"/>
          </w:tcPr>
          <w:p w14:paraId="554E26A7">
            <w:pPr>
              <w:rPr>
                <w:rFonts w:ascii="Arial"/>
                <w:color w:val="auto"/>
                <w:sz w:val="21"/>
                <w:highlight w:val="none"/>
              </w:rPr>
            </w:pPr>
          </w:p>
        </w:tc>
      </w:tr>
      <w:tr w14:paraId="4B400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475" w:type="dxa"/>
            <w:vAlign w:val="top"/>
          </w:tcPr>
          <w:p w14:paraId="45C2A058">
            <w:pPr>
              <w:pStyle w:val="30"/>
              <w:spacing w:before="257" w:line="221" w:lineRule="auto"/>
              <w:ind w:left="718"/>
              <w:rPr>
                <w:color w:val="auto"/>
                <w:highlight w:val="none"/>
              </w:rPr>
            </w:pPr>
            <w:r>
              <w:rPr>
                <w:color w:val="auto"/>
                <w:spacing w:val="-1"/>
                <w:highlight w:val="none"/>
              </w:rPr>
              <w:t>承担的工作</w:t>
            </w:r>
          </w:p>
        </w:tc>
        <w:tc>
          <w:tcPr>
            <w:tcW w:w="6816" w:type="dxa"/>
            <w:vAlign w:val="top"/>
          </w:tcPr>
          <w:p w14:paraId="37F39962">
            <w:pPr>
              <w:rPr>
                <w:rFonts w:ascii="Arial"/>
                <w:color w:val="auto"/>
                <w:sz w:val="21"/>
                <w:highlight w:val="none"/>
              </w:rPr>
            </w:pPr>
          </w:p>
        </w:tc>
      </w:tr>
      <w:tr w14:paraId="7482F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475" w:type="dxa"/>
            <w:vAlign w:val="top"/>
          </w:tcPr>
          <w:p w14:paraId="1AD4A8E6">
            <w:pPr>
              <w:pStyle w:val="30"/>
              <w:spacing w:before="261" w:line="221" w:lineRule="auto"/>
              <w:ind w:left="826"/>
              <w:rPr>
                <w:color w:val="auto"/>
                <w:highlight w:val="none"/>
              </w:rPr>
            </w:pPr>
            <w:r>
              <w:rPr>
                <w:color w:val="auto"/>
                <w:spacing w:val="-2"/>
                <w:highlight w:val="none"/>
              </w:rPr>
              <w:t>工程质量</w:t>
            </w:r>
          </w:p>
        </w:tc>
        <w:tc>
          <w:tcPr>
            <w:tcW w:w="6816" w:type="dxa"/>
            <w:vAlign w:val="top"/>
          </w:tcPr>
          <w:p w14:paraId="03F36AFB">
            <w:pPr>
              <w:rPr>
                <w:rFonts w:ascii="Arial"/>
                <w:color w:val="auto"/>
                <w:sz w:val="21"/>
                <w:highlight w:val="none"/>
              </w:rPr>
            </w:pPr>
          </w:p>
        </w:tc>
      </w:tr>
      <w:tr w14:paraId="7F3C9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475" w:type="dxa"/>
            <w:vAlign w:val="top"/>
          </w:tcPr>
          <w:p w14:paraId="2BB5B69B">
            <w:pPr>
              <w:pStyle w:val="30"/>
              <w:spacing w:before="261" w:line="221" w:lineRule="auto"/>
              <w:ind w:left="827"/>
              <w:rPr>
                <w:color w:val="auto"/>
                <w:highlight w:val="none"/>
              </w:rPr>
            </w:pPr>
            <w:r>
              <w:rPr>
                <w:color w:val="auto"/>
                <w:spacing w:val="-3"/>
                <w:highlight w:val="none"/>
              </w:rPr>
              <w:t>项目经理</w:t>
            </w:r>
          </w:p>
        </w:tc>
        <w:tc>
          <w:tcPr>
            <w:tcW w:w="6816" w:type="dxa"/>
            <w:vAlign w:val="top"/>
          </w:tcPr>
          <w:p w14:paraId="59BC7513">
            <w:pPr>
              <w:rPr>
                <w:rFonts w:ascii="Arial"/>
                <w:color w:val="auto"/>
                <w:sz w:val="21"/>
                <w:highlight w:val="none"/>
              </w:rPr>
            </w:pPr>
          </w:p>
        </w:tc>
      </w:tr>
      <w:tr w14:paraId="1ACF6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475" w:type="dxa"/>
            <w:vAlign w:val="top"/>
          </w:tcPr>
          <w:p w14:paraId="37370FD4">
            <w:pPr>
              <w:pStyle w:val="30"/>
              <w:spacing w:before="263" w:line="221" w:lineRule="auto"/>
              <w:ind w:left="719"/>
              <w:rPr>
                <w:color w:val="auto"/>
                <w:highlight w:val="none"/>
              </w:rPr>
            </w:pPr>
            <w:r>
              <w:rPr>
                <w:color w:val="auto"/>
                <w:spacing w:val="-2"/>
                <w:highlight w:val="none"/>
              </w:rPr>
              <w:t>技术负责人</w:t>
            </w:r>
          </w:p>
        </w:tc>
        <w:tc>
          <w:tcPr>
            <w:tcW w:w="6816" w:type="dxa"/>
            <w:vAlign w:val="top"/>
          </w:tcPr>
          <w:p w14:paraId="3589203D">
            <w:pPr>
              <w:rPr>
                <w:rFonts w:ascii="Arial"/>
                <w:color w:val="auto"/>
                <w:sz w:val="21"/>
                <w:highlight w:val="none"/>
              </w:rPr>
            </w:pPr>
          </w:p>
        </w:tc>
      </w:tr>
      <w:tr w14:paraId="14E17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475" w:type="dxa"/>
            <w:vAlign w:val="top"/>
          </w:tcPr>
          <w:p w14:paraId="72A084EF">
            <w:pPr>
              <w:pStyle w:val="30"/>
              <w:spacing w:before="178" w:line="306" w:lineRule="auto"/>
              <w:ind w:left="847" w:right="182" w:hanging="654"/>
              <w:rPr>
                <w:color w:val="auto"/>
                <w:highlight w:val="none"/>
              </w:rPr>
            </w:pPr>
            <w:r>
              <w:rPr>
                <w:color w:val="auto"/>
                <w:spacing w:val="-1"/>
                <w:highlight w:val="none"/>
              </w:rPr>
              <w:t>监理人和总监理工程师</w:t>
            </w:r>
            <w:r>
              <w:rPr>
                <w:color w:val="auto"/>
                <w:spacing w:val="2"/>
                <w:highlight w:val="none"/>
              </w:rPr>
              <w:t xml:space="preserve"> </w:t>
            </w:r>
            <w:r>
              <w:rPr>
                <w:color w:val="auto"/>
                <w:spacing w:val="-8"/>
                <w:highlight w:val="none"/>
              </w:rPr>
              <w:t>以及电话</w:t>
            </w:r>
          </w:p>
        </w:tc>
        <w:tc>
          <w:tcPr>
            <w:tcW w:w="6816" w:type="dxa"/>
            <w:vAlign w:val="top"/>
          </w:tcPr>
          <w:p w14:paraId="59B0E262">
            <w:pPr>
              <w:rPr>
                <w:rFonts w:ascii="Arial"/>
                <w:color w:val="auto"/>
                <w:sz w:val="21"/>
                <w:highlight w:val="none"/>
              </w:rPr>
            </w:pPr>
          </w:p>
        </w:tc>
      </w:tr>
      <w:tr w14:paraId="372E3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2475" w:type="dxa"/>
            <w:vAlign w:val="top"/>
          </w:tcPr>
          <w:p w14:paraId="2EFD8B16">
            <w:pPr>
              <w:spacing w:line="273" w:lineRule="auto"/>
              <w:rPr>
                <w:rFonts w:ascii="Arial"/>
                <w:color w:val="auto"/>
                <w:sz w:val="21"/>
                <w:highlight w:val="none"/>
              </w:rPr>
            </w:pPr>
          </w:p>
          <w:p w14:paraId="6641BA7D">
            <w:pPr>
              <w:spacing w:line="273" w:lineRule="auto"/>
              <w:rPr>
                <w:rFonts w:ascii="Arial"/>
                <w:color w:val="auto"/>
                <w:sz w:val="21"/>
                <w:highlight w:val="none"/>
              </w:rPr>
            </w:pPr>
          </w:p>
          <w:p w14:paraId="55D5CEEA">
            <w:pPr>
              <w:pStyle w:val="30"/>
              <w:spacing w:before="68" w:line="221" w:lineRule="auto"/>
              <w:ind w:left="827"/>
              <w:rPr>
                <w:color w:val="auto"/>
                <w:highlight w:val="none"/>
              </w:rPr>
            </w:pPr>
            <w:r>
              <w:rPr>
                <w:color w:val="auto"/>
                <w:spacing w:val="-3"/>
                <w:highlight w:val="none"/>
              </w:rPr>
              <w:t>项目描述</w:t>
            </w:r>
          </w:p>
        </w:tc>
        <w:tc>
          <w:tcPr>
            <w:tcW w:w="6816" w:type="dxa"/>
            <w:vAlign w:val="top"/>
          </w:tcPr>
          <w:p w14:paraId="104B19BD">
            <w:pPr>
              <w:rPr>
                <w:rFonts w:ascii="Arial"/>
                <w:color w:val="auto"/>
                <w:sz w:val="21"/>
                <w:highlight w:val="none"/>
              </w:rPr>
            </w:pPr>
          </w:p>
        </w:tc>
      </w:tr>
      <w:tr w14:paraId="0A00A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475" w:type="dxa"/>
            <w:vAlign w:val="top"/>
          </w:tcPr>
          <w:p w14:paraId="53733B20">
            <w:pPr>
              <w:pStyle w:val="30"/>
              <w:spacing w:before="260" w:line="222" w:lineRule="auto"/>
              <w:ind w:left="1035"/>
              <w:rPr>
                <w:color w:val="auto"/>
                <w:highlight w:val="none"/>
              </w:rPr>
            </w:pPr>
            <w:r>
              <w:rPr>
                <w:color w:val="auto"/>
                <w:spacing w:val="-3"/>
                <w:highlight w:val="none"/>
              </w:rPr>
              <w:t>备注</w:t>
            </w:r>
          </w:p>
        </w:tc>
        <w:tc>
          <w:tcPr>
            <w:tcW w:w="6816" w:type="dxa"/>
            <w:vAlign w:val="top"/>
          </w:tcPr>
          <w:p w14:paraId="3A381B6E">
            <w:pPr>
              <w:rPr>
                <w:rFonts w:ascii="Arial"/>
                <w:color w:val="auto"/>
                <w:sz w:val="21"/>
                <w:highlight w:val="none"/>
              </w:rPr>
            </w:pPr>
          </w:p>
        </w:tc>
      </w:tr>
    </w:tbl>
    <w:p w14:paraId="4FBD4656">
      <w:pPr>
        <w:spacing w:before="30" w:line="220" w:lineRule="auto"/>
        <w:ind w:left="541"/>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注：应附相关证明材料扫描件。</w:t>
      </w:r>
    </w:p>
    <w:p w14:paraId="689EFEA4">
      <w:pPr>
        <w:spacing w:before="30" w:line="220" w:lineRule="auto"/>
        <w:ind w:left="541"/>
        <w:rPr>
          <w:rFonts w:ascii="宋体" w:hAnsi="宋体" w:eastAsia="宋体" w:cs="宋体"/>
          <w:color w:val="auto"/>
          <w:spacing w:val="-1"/>
          <w:sz w:val="21"/>
          <w:szCs w:val="21"/>
          <w:highlight w:val="none"/>
        </w:rPr>
      </w:pPr>
    </w:p>
    <w:p w14:paraId="447C6399">
      <w:pPr>
        <w:spacing w:before="30" w:line="220" w:lineRule="auto"/>
        <w:ind w:left="541"/>
        <w:rPr>
          <w:rFonts w:ascii="宋体" w:hAnsi="宋体" w:eastAsia="宋体" w:cs="宋体"/>
          <w:color w:val="auto"/>
          <w:spacing w:val="-1"/>
          <w:sz w:val="21"/>
          <w:szCs w:val="21"/>
          <w:highlight w:val="none"/>
        </w:rPr>
      </w:pPr>
    </w:p>
    <w:p w14:paraId="33FC3F46">
      <w:pPr>
        <w:spacing w:before="30" w:line="220" w:lineRule="auto"/>
        <w:ind w:left="541"/>
        <w:rPr>
          <w:rFonts w:ascii="宋体" w:hAnsi="宋体" w:eastAsia="宋体" w:cs="宋体"/>
          <w:color w:val="auto"/>
          <w:spacing w:val="-1"/>
          <w:sz w:val="21"/>
          <w:szCs w:val="21"/>
          <w:highlight w:val="none"/>
        </w:rPr>
      </w:pPr>
    </w:p>
    <w:p w14:paraId="2D9F93C5">
      <w:pPr>
        <w:spacing w:before="30" w:line="220" w:lineRule="auto"/>
        <w:ind w:left="541"/>
        <w:rPr>
          <w:rFonts w:ascii="宋体" w:hAnsi="宋体" w:eastAsia="宋体" w:cs="宋体"/>
          <w:color w:val="auto"/>
          <w:spacing w:val="-1"/>
          <w:sz w:val="21"/>
          <w:szCs w:val="21"/>
          <w:highlight w:val="none"/>
        </w:rPr>
      </w:pPr>
    </w:p>
    <w:p w14:paraId="5FFA20BD">
      <w:pPr>
        <w:spacing w:before="30" w:line="220" w:lineRule="auto"/>
        <w:ind w:left="541"/>
        <w:rPr>
          <w:rFonts w:ascii="宋体" w:hAnsi="宋体" w:eastAsia="宋体" w:cs="宋体"/>
          <w:color w:val="auto"/>
          <w:spacing w:val="-1"/>
          <w:sz w:val="21"/>
          <w:szCs w:val="21"/>
          <w:highlight w:val="none"/>
        </w:rPr>
      </w:pPr>
    </w:p>
    <w:p w14:paraId="5FA0A155">
      <w:pPr>
        <w:spacing w:before="30" w:line="220" w:lineRule="auto"/>
        <w:ind w:left="541"/>
        <w:rPr>
          <w:rFonts w:ascii="宋体" w:hAnsi="宋体" w:eastAsia="宋体" w:cs="宋体"/>
          <w:color w:val="auto"/>
          <w:spacing w:val="-1"/>
          <w:sz w:val="21"/>
          <w:szCs w:val="21"/>
          <w:highlight w:val="none"/>
        </w:rPr>
      </w:pPr>
    </w:p>
    <w:p w14:paraId="1DB34D65">
      <w:pPr>
        <w:spacing w:before="30" w:line="220" w:lineRule="auto"/>
        <w:ind w:left="541"/>
        <w:rPr>
          <w:rFonts w:ascii="宋体" w:hAnsi="宋体" w:eastAsia="宋体" w:cs="宋体"/>
          <w:color w:val="auto"/>
          <w:spacing w:val="-1"/>
          <w:sz w:val="21"/>
          <w:szCs w:val="21"/>
          <w:highlight w:val="none"/>
        </w:rPr>
      </w:pPr>
    </w:p>
    <w:p w14:paraId="1E946348">
      <w:pPr>
        <w:spacing w:before="30" w:line="220" w:lineRule="auto"/>
        <w:ind w:left="541"/>
        <w:rPr>
          <w:rFonts w:ascii="宋体" w:hAnsi="宋体" w:eastAsia="宋体" w:cs="宋体"/>
          <w:color w:val="auto"/>
          <w:spacing w:val="-1"/>
          <w:sz w:val="21"/>
          <w:szCs w:val="21"/>
          <w:highlight w:val="none"/>
        </w:rPr>
      </w:pPr>
    </w:p>
    <w:p w14:paraId="12FAC631">
      <w:pPr>
        <w:spacing w:before="30" w:line="220" w:lineRule="auto"/>
        <w:ind w:left="541"/>
        <w:rPr>
          <w:rFonts w:ascii="宋体" w:hAnsi="宋体" w:eastAsia="宋体" w:cs="宋体"/>
          <w:color w:val="auto"/>
          <w:spacing w:val="-1"/>
          <w:sz w:val="21"/>
          <w:szCs w:val="21"/>
          <w:highlight w:val="none"/>
        </w:rPr>
      </w:pPr>
    </w:p>
    <w:p w14:paraId="56FDBBE7">
      <w:pPr>
        <w:spacing w:before="30" w:line="220" w:lineRule="auto"/>
        <w:outlineLvl w:val="9"/>
        <w:rPr>
          <w:rFonts w:hint="default" w:ascii="宋体" w:hAnsi="宋体" w:eastAsia="宋体" w:cs="宋体"/>
          <w:color w:val="auto"/>
          <w:sz w:val="28"/>
          <w:szCs w:val="28"/>
          <w:highlight w:val="none"/>
          <w:lang w:val="en-US" w:eastAsia="zh-CN"/>
        </w:rPr>
      </w:pPr>
      <w:bookmarkStart w:id="449" w:name="_Toc576"/>
      <w:r>
        <w:rPr>
          <w:rFonts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val="en-US" w:eastAsia="zh-CN"/>
        </w:rPr>
        <w:t>四</w:t>
      </w:r>
      <w:r>
        <w:rPr>
          <w:rFonts w:ascii="宋体" w:hAnsi="宋体" w:eastAsia="宋体" w:cs="宋体"/>
          <w:b/>
          <w:bCs/>
          <w:color w:val="auto"/>
          <w:spacing w:val="-4"/>
          <w:sz w:val="28"/>
          <w:szCs w:val="28"/>
          <w:highlight w:val="none"/>
        </w:rPr>
        <w:t>）近年发生的诉讼及仲裁情况表</w:t>
      </w:r>
      <w:bookmarkEnd w:id="449"/>
    </w:p>
    <w:p w14:paraId="14CB4CD6">
      <w:pPr>
        <w:spacing w:line="357" w:lineRule="auto"/>
        <w:rPr>
          <w:rFonts w:ascii="Arial"/>
          <w:color w:val="auto"/>
          <w:sz w:val="21"/>
          <w:highlight w:val="none"/>
        </w:rPr>
      </w:pPr>
    </w:p>
    <w:p w14:paraId="648D7056">
      <w:pPr>
        <w:spacing w:line="357" w:lineRule="auto"/>
        <w:rPr>
          <w:rFonts w:ascii="Arial"/>
          <w:color w:val="auto"/>
          <w:sz w:val="21"/>
          <w:highlight w:val="none"/>
        </w:rPr>
      </w:pPr>
    </w:p>
    <w:p w14:paraId="070A29D5">
      <w:pPr>
        <w:spacing w:before="68" w:line="214" w:lineRule="auto"/>
        <w:ind w:left="237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（近</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3"/>
          <w:sz w:val="21"/>
          <w:szCs w:val="21"/>
          <w:highlight w:val="none"/>
        </w:rPr>
        <w:t>年指</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3"/>
          <w:sz w:val="21"/>
          <w:szCs w:val="21"/>
          <w:highlight w:val="none"/>
        </w:rPr>
        <w:t>年</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3"/>
          <w:sz w:val="21"/>
          <w:szCs w:val="21"/>
          <w:highlight w:val="none"/>
        </w:rPr>
        <w:t>月至</w:t>
      </w:r>
      <w:r>
        <w:rPr>
          <w:rFonts w:ascii="宋体" w:hAnsi="宋体" w:eastAsia="宋体" w:cs="宋体"/>
          <w:color w:val="auto"/>
          <w:spacing w:val="-105"/>
          <w:sz w:val="21"/>
          <w:szCs w:val="21"/>
          <w:highlight w:val="none"/>
        </w:rPr>
        <w:t xml:space="preserve"> </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95"/>
          <w:sz w:val="21"/>
          <w:szCs w:val="21"/>
          <w:highlight w:val="none"/>
        </w:rPr>
        <w:t xml:space="preserve"> </w:t>
      </w:r>
      <w:r>
        <w:rPr>
          <w:rFonts w:ascii="宋体" w:hAnsi="宋体" w:eastAsia="宋体" w:cs="宋体"/>
          <w:color w:val="auto"/>
          <w:spacing w:val="-3"/>
          <w:sz w:val="21"/>
          <w:szCs w:val="21"/>
          <w:highlight w:val="none"/>
        </w:rPr>
        <w:t>年</w:t>
      </w:r>
      <w:r>
        <w:rPr>
          <w:rFonts w:ascii="宋体" w:hAnsi="宋体" w:eastAsia="宋体" w:cs="宋体"/>
          <w:color w:val="auto"/>
          <w:spacing w:val="-102"/>
          <w:sz w:val="21"/>
          <w:szCs w:val="21"/>
          <w:highlight w:val="none"/>
        </w:rPr>
        <w:t xml:space="preserve"> </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90"/>
          <w:sz w:val="21"/>
          <w:szCs w:val="21"/>
          <w:highlight w:val="none"/>
        </w:rPr>
        <w:t xml:space="preserve"> </w:t>
      </w:r>
      <w:r>
        <w:rPr>
          <w:rFonts w:ascii="宋体" w:hAnsi="宋体" w:eastAsia="宋体" w:cs="宋体"/>
          <w:color w:val="auto"/>
          <w:spacing w:val="-3"/>
          <w:sz w:val="21"/>
          <w:szCs w:val="21"/>
          <w:highlight w:val="none"/>
        </w:rPr>
        <w:t>月）</w:t>
      </w:r>
    </w:p>
    <w:tbl>
      <w:tblPr>
        <w:tblStyle w:val="29"/>
        <w:tblW w:w="91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979"/>
        <w:gridCol w:w="2339"/>
        <w:gridCol w:w="1420"/>
        <w:gridCol w:w="1252"/>
        <w:gridCol w:w="1476"/>
      </w:tblGrid>
      <w:tr w14:paraId="2F6B8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52" w:type="dxa"/>
            <w:vAlign w:val="top"/>
          </w:tcPr>
          <w:p w14:paraId="77DCB0F4">
            <w:pPr>
              <w:pStyle w:val="30"/>
              <w:spacing w:before="303" w:line="222" w:lineRule="auto"/>
              <w:ind w:left="119"/>
              <w:rPr>
                <w:color w:val="auto"/>
                <w:highlight w:val="none"/>
              </w:rPr>
            </w:pPr>
            <w:r>
              <w:rPr>
                <w:color w:val="auto"/>
                <w:spacing w:val="-2"/>
                <w:highlight w:val="none"/>
              </w:rPr>
              <w:t>序号</w:t>
            </w:r>
          </w:p>
        </w:tc>
        <w:tc>
          <w:tcPr>
            <w:tcW w:w="1979" w:type="dxa"/>
            <w:vAlign w:val="top"/>
          </w:tcPr>
          <w:p w14:paraId="53470D82">
            <w:pPr>
              <w:pStyle w:val="30"/>
              <w:spacing w:before="302" w:line="221" w:lineRule="auto"/>
              <w:ind w:left="257"/>
              <w:rPr>
                <w:color w:val="auto"/>
                <w:highlight w:val="none"/>
              </w:rPr>
            </w:pPr>
            <w:r>
              <w:rPr>
                <w:color w:val="auto"/>
                <w:spacing w:val="-1"/>
                <w:highlight w:val="none"/>
              </w:rPr>
              <w:t>诉讼或仲裁事项</w:t>
            </w:r>
          </w:p>
        </w:tc>
        <w:tc>
          <w:tcPr>
            <w:tcW w:w="2339" w:type="dxa"/>
            <w:vAlign w:val="top"/>
          </w:tcPr>
          <w:p w14:paraId="18EC90FA">
            <w:pPr>
              <w:pStyle w:val="30"/>
              <w:spacing w:before="302" w:line="221" w:lineRule="auto"/>
              <w:ind w:left="227"/>
              <w:rPr>
                <w:color w:val="auto"/>
                <w:highlight w:val="none"/>
              </w:rPr>
            </w:pPr>
            <w:r>
              <w:rPr>
                <w:color w:val="auto"/>
                <w:spacing w:val="-1"/>
                <w:highlight w:val="none"/>
              </w:rPr>
              <w:t>诉讼或仲裁中的地位</w:t>
            </w:r>
          </w:p>
        </w:tc>
        <w:tc>
          <w:tcPr>
            <w:tcW w:w="1420" w:type="dxa"/>
            <w:vAlign w:val="top"/>
          </w:tcPr>
          <w:p w14:paraId="0D02CD6D">
            <w:pPr>
              <w:pStyle w:val="30"/>
              <w:spacing w:before="302" w:line="223" w:lineRule="auto"/>
              <w:ind w:left="507"/>
              <w:rPr>
                <w:color w:val="auto"/>
                <w:highlight w:val="none"/>
              </w:rPr>
            </w:pPr>
            <w:r>
              <w:rPr>
                <w:color w:val="auto"/>
                <w:spacing w:val="-2"/>
                <w:highlight w:val="none"/>
              </w:rPr>
              <w:t>缘由</w:t>
            </w:r>
          </w:p>
        </w:tc>
        <w:tc>
          <w:tcPr>
            <w:tcW w:w="1252" w:type="dxa"/>
            <w:vAlign w:val="top"/>
          </w:tcPr>
          <w:p w14:paraId="64BE0D55">
            <w:pPr>
              <w:pStyle w:val="30"/>
              <w:spacing w:before="303" w:line="221" w:lineRule="auto"/>
              <w:ind w:left="428"/>
              <w:rPr>
                <w:color w:val="auto"/>
                <w:highlight w:val="none"/>
              </w:rPr>
            </w:pPr>
            <w:r>
              <w:rPr>
                <w:color w:val="auto"/>
                <w:spacing w:val="-3"/>
                <w:highlight w:val="none"/>
              </w:rPr>
              <w:t>结果</w:t>
            </w:r>
          </w:p>
        </w:tc>
        <w:tc>
          <w:tcPr>
            <w:tcW w:w="1476" w:type="dxa"/>
            <w:vAlign w:val="top"/>
          </w:tcPr>
          <w:p w14:paraId="5B6E894F">
            <w:pPr>
              <w:pStyle w:val="30"/>
              <w:spacing w:before="303" w:line="222" w:lineRule="auto"/>
              <w:ind w:left="534"/>
              <w:rPr>
                <w:color w:val="auto"/>
                <w:highlight w:val="none"/>
              </w:rPr>
            </w:pPr>
            <w:r>
              <w:rPr>
                <w:color w:val="auto"/>
                <w:spacing w:val="-3"/>
                <w:highlight w:val="none"/>
              </w:rPr>
              <w:t>备注</w:t>
            </w:r>
          </w:p>
        </w:tc>
      </w:tr>
      <w:tr w14:paraId="79771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5FEA3B03">
            <w:pPr>
              <w:spacing w:line="307" w:lineRule="auto"/>
              <w:rPr>
                <w:rFonts w:ascii="Arial"/>
                <w:color w:val="auto"/>
                <w:sz w:val="21"/>
                <w:highlight w:val="none"/>
              </w:rPr>
            </w:pPr>
          </w:p>
          <w:p w14:paraId="4C2A5293">
            <w:pPr>
              <w:pStyle w:val="30"/>
              <w:spacing w:before="69" w:line="162" w:lineRule="exact"/>
              <w:ind w:left="229"/>
              <w:rPr>
                <w:color w:val="auto"/>
                <w:highlight w:val="none"/>
              </w:rPr>
            </w:pPr>
            <w:r>
              <w:rPr>
                <w:color w:val="auto"/>
                <w:position w:val="-4"/>
                <w:highlight w:val="none"/>
              </w:rPr>
              <w:t>一</w:t>
            </w:r>
          </w:p>
        </w:tc>
        <w:tc>
          <w:tcPr>
            <w:tcW w:w="1979" w:type="dxa"/>
            <w:vAlign w:val="top"/>
          </w:tcPr>
          <w:p w14:paraId="0795E877">
            <w:pPr>
              <w:pStyle w:val="30"/>
              <w:spacing w:before="299" w:line="221" w:lineRule="auto"/>
              <w:ind w:left="111"/>
              <w:rPr>
                <w:color w:val="auto"/>
                <w:highlight w:val="none"/>
              </w:rPr>
            </w:pPr>
            <w:r>
              <w:rPr>
                <w:color w:val="auto"/>
                <w:spacing w:val="-1"/>
                <w:highlight w:val="none"/>
              </w:rPr>
              <w:t>诉讼事项</w:t>
            </w:r>
          </w:p>
        </w:tc>
        <w:tc>
          <w:tcPr>
            <w:tcW w:w="2339" w:type="dxa"/>
            <w:vAlign w:val="top"/>
          </w:tcPr>
          <w:p w14:paraId="041DCE5D">
            <w:pPr>
              <w:rPr>
                <w:rFonts w:ascii="Arial"/>
                <w:color w:val="auto"/>
                <w:sz w:val="21"/>
                <w:highlight w:val="none"/>
              </w:rPr>
            </w:pPr>
          </w:p>
        </w:tc>
        <w:tc>
          <w:tcPr>
            <w:tcW w:w="1420" w:type="dxa"/>
            <w:vAlign w:val="top"/>
          </w:tcPr>
          <w:p w14:paraId="50406E3E">
            <w:pPr>
              <w:rPr>
                <w:rFonts w:ascii="Arial"/>
                <w:color w:val="auto"/>
                <w:sz w:val="21"/>
                <w:highlight w:val="none"/>
              </w:rPr>
            </w:pPr>
          </w:p>
        </w:tc>
        <w:tc>
          <w:tcPr>
            <w:tcW w:w="1252" w:type="dxa"/>
            <w:vAlign w:val="top"/>
          </w:tcPr>
          <w:p w14:paraId="3D9BB8B9">
            <w:pPr>
              <w:rPr>
                <w:rFonts w:ascii="Arial"/>
                <w:color w:val="auto"/>
                <w:sz w:val="21"/>
                <w:highlight w:val="none"/>
              </w:rPr>
            </w:pPr>
          </w:p>
        </w:tc>
        <w:tc>
          <w:tcPr>
            <w:tcW w:w="1476" w:type="dxa"/>
            <w:vAlign w:val="top"/>
          </w:tcPr>
          <w:p w14:paraId="144FEAB2">
            <w:pPr>
              <w:rPr>
                <w:rFonts w:ascii="Arial"/>
                <w:color w:val="auto"/>
                <w:sz w:val="21"/>
                <w:highlight w:val="none"/>
              </w:rPr>
            </w:pPr>
          </w:p>
        </w:tc>
      </w:tr>
      <w:tr w14:paraId="0605B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1B230451">
            <w:pPr>
              <w:rPr>
                <w:rFonts w:ascii="Arial"/>
                <w:color w:val="auto"/>
                <w:sz w:val="21"/>
                <w:highlight w:val="none"/>
              </w:rPr>
            </w:pPr>
          </w:p>
        </w:tc>
        <w:tc>
          <w:tcPr>
            <w:tcW w:w="1979" w:type="dxa"/>
            <w:vAlign w:val="top"/>
          </w:tcPr>
          <w:p w14:paraId="2D63BDF2">
            <w:pPr>
              <w:rPr>
                <w:rFonts w:ascii="Arial"/>
                <w:color w:val="auto"/>
                <w:sz w:val="21"/>
                <w:highlight w:val="none"/>
              </w:rPr>
            </w:pPr>
          </w:p>
        </w:tc>
        <w:tc>
          <w:tcPr>
            <w:tcW w:w="2339" w:type="dxa"/>
            <w:vAlign w:val="top"/>
          </w:tcPr>
          <w:p w14:paraId="3548CE61">
            <w:pPr>
              <w:rPr>
                <w:rFonts w:ascii="Arial"/>
                <w:color w:val="auto"/>
                <w:sz w:val="21"/>
                <w:highlight w:val="none"/>
              </w:rPr>
            </w:pPr>
          </w:p>
        </w:tc>
        <w:tc>
          <w:tcPr>
            <w:tcW w:w="1420" w:type="dxa"/>
            <w:vAlign w:val="top"/>
          </w:tcPr>
          <w:p w14:paraId="20EAFA94">
            <w:pPr>
              <w:rPr>
                <w:rFonts w:ascii="Arial"/>
                <w:color w:val="auto"/>
                <w:sz w:val="21"/>
                <w:highlight w:val="none"/>
              </w:rPr>
            </w:pPr>
          </w:p>
        </w:tc>
        <w:tc>
          <w:tcPr>
            <w:tcW w:w="1252" w:type="dxa"/>
            <w:vAlign w:val="top"/>
          </w:tcPr>
          <w:p w14:paraId="307ECB9E">
            <w:pPr>
              <w:rPr>
                <w:rFonts w:ascii="Arial"/>
                <w:color w:val="auto"/>
                <w:sz w:val="21"/>
                <w:highlight w:val="none"/>
              </w:rPr>
            </w:pPr>
          </w:p>
        </w:tc>
        <w:tc>
          <w:tcPr>
            <w:tcW w:w="1476" w:type="dxa"/>
            <w:vAlign w:val="top"/>
          </w:tcPr>
          <w:p w14:paraId="67122AE9">
            <w:pPr>
              <w:rPr>
                <w:rFonts w:ascii="Arial"/>
                <w:color w:val="auto"/>
                <w:sz w:val="21"/>
                <w:highlight w:val="none"/>
              </w:rPr>
            </w:pPr>
          </w:p>
        </w:tc>
      </w:tr>
      <w:tr w14:paraId="3EB41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52" w:type="dxa"/>
            <w:vAlign w:val="top"/>
          </w:tcPr>
          <w:p w14:paraId="5C499ED7">
            <w:pPr>
              <w:rPr>
                <w:rFonts w:ascii="Arial"/>
                <w:color w:val="auto"/>
                <w:sz w:val="21"/>
                <w:highlight w:val="none"/>
              </w:rPr>
            </w:pPr>
          </w:p>
        </w:tc>
        <w:tc>
          <w:tcPr>
            <w:tcW w:w="1979" w:type="dxa"/>
            <w:vAlign w:val="top"/>
          </w:tcPr>
          <w:p w14:paraId="04E00023">
            <w:pPr>
              <w:rPr>
                <w:rFonts w:ascii="Arial"/>
                <w:color w:val="auto"/>
                <w:sz w:val="21"/>
                <w:highlight w:val="none"/>
              </w:rPr>
            </w:pPr>
          </w:p>
        </w:tc>
        <w:tc>
          <w:tcPr>
            <w:tcW w:w="2339" w:type="dxa"/>
            <w:vAlign w:val="top"/>
          </w:tcPr>
          <w:p w14:paraId="4E8F6F6C">
            <w:pPr>
              <w:rPr>
                <w:rFonts w:ascii="Arial"/>
                <w:color w:val="auto"/>
                <w:sz w:val="21"/>
                <w:highlight w:val="none"/>
              </w:rPr>
            </w:pPr>
          </w:p>
        </w:tc>
        <w:tc>
          <w:tcPr>
            <w:tcW w:w="1420" w:type="dxa"/>
            <w:vAlign w:val="top"/>
          </w:tcPr>
          <w:p w14:paraId="5E8E432B">
            <w:pPr>
              <w:rPr>
                <w:rFonts w:ascii="Arial"/>
                <w:color w:val="auto"/>
                <w:sz w:val="21"/>
                <w:highlight w:val="none"/>
              </w:rPr>
            </w:pPr>
          </w:p>
        </w:tc>
        <w:tc>
          <w:tcPr>
            <w:tcW w:w="1252" w:type="dxa"/>
            <w:vAlign w:val="top"/>
          </w:tcPr>
          <w:p w14:paraId="65F00AF2">
            <w:pPr>
              <w:rPr>
                <w:rFonts w:ascii="Arial"/>
                <w:color w:val="auto"/>
                <w:sz w:val="21"/>
                <w:highlight w:val="none"/>
              </w:rPr>
            </w:pPr>
          </w:p>
        </w:tc>
        <w:tc>
          <w:tcPr>
            <w:tcW w:w="1476" w:type="dxa"/>
            <w:vAlign w:val="top"/>
          </w:tcPr>
          <w:p w14:paraId="2192F369">
            <w:pPr>
              <w:rPr>
                <w:rFonts w:ascii="Arial"/>
                <w:color w:val="auto"/>
                <w:sz w:val="21"/>
                <w:highlight w:val="none"/>
              </w:rPr>
            </w:pPr>
          </w:p>
        </w:tc>
      </w:tr>
      <w:tr w14:paraId="4897F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49520835">
            <w:pPr>
              <w:rPr>
                <w:rFonts w:ascii="Arial"/>
                <w:color w:val="auto"/>
                <w:sz w:val="21"/>
                <w:highlight w:val="none"/>
              </w:rPr>
            </w:pPr>
          </w:p>
        </w:tc>
        <w:tc>
          <w:tcPr>
            <w:tcW w:w="1979" w:type="dxa"/>
            <w:vAlign w:val="top"/>
          </w:tcPr>
          <w:p w14:paraId="5E972648">
            <w:pPr>
              <w:rPr>
                <w:rFonts w:ascii="Arial"/>
                <w:color w:val="auto"/>
                <w:sz w:val="21"/>
                <w:highlight w:val="none"/>
              </w:rPr>
            </w:pPr>
          </w:p>
        </w:tc>
        <w:tc>
          <w:tcPr>
            <w:tcW w:w="2339" w:type="dxa"/>
            <w:vAlign w:val="top"/>
          </w:tcPr>
          <w:p w14:paraId="53498CC1">
            <w:pPr>
              <w:rPr>
                <w:rFonts w:ascii="Arial"/>
                <w:color w:val="auto"/>
                <w:sz w:val="21"/>
                <w:highlight w:val="none"/>
              </w:rPr>
            </w:pPr>
          </w:p>
        </w:tc>
        <w:tc>
          <w:tcPr>
            <w:tcW w:w="1420" w:type="dxa"/>
            <w:vAlign w:val="top"/>
          </w:tcPr>
          <w:p w14:paraId="70F31E6D">
            <w:pPr>
              <w:rPr>
                <w:rFonts w:ascii="Arial"/>
                <w:color w:val="auto"/>
                <w:sz w:val="21"/>
                <w:highlight w:val="none"/>
              </w:rPr>
            </w:pPr>
          </w:p>
        </w:tc>
        <w:tc>
          <w:tcPr>
            <w:tcW w:w="1252" w:type="dxa"/>
            <w:vAlign w:val="top"/>
          </w:tcPr>
          <w:p w14:paraId="4B041424">
            <w:pPr>
              <w:rPr>
                <w:rFonts w:ascii="Arial"/>
                <w:color w:val="auto"/>
                <w:sz w:val="21"/>
                <w:highlight w:val="none"/>
              </w:rPr>
            </w:pPr>
          </w:p>
        </w:tc>
        <w:tc>
          <w:tcPr>
            <w:tcW w:w="1476" w:type="dxa"/>
            <w:vAlign w:val="top"/>
          </w:tcPr>
          <w:p w14:paraId="0580CD1C">
            <w:pPr>
              <w:rPr>
                <w:rFonts w:ascii="Arial"/>
                <w:color w:val="auto"/>
                <w:sz w:val="21"/>
                <w:highlight w:val="none"/>
              </w:rPr>
            </w:pPr>
          </w:p>
        </w:tc>
      </w:tr>
      <w:tr w14:paraId="352FC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13A99E0E">
            <w:pPr>
              <w:rPr>
                <w:rFonts w:ascii="Arial"/>
                <w:color w:val="auto"/>
                <w:sz w:val="21"/>
                <w:highlight w:val="none"/>
              </w:rPr>
            </w:pPr>
          </w:p>
        </w:tc>
        <w:tc>
          <w:tcPr>
            <w:tcW w:w="1979" w:type="dxa"/>
            <w:vAlign w:val="top"/>
          </w:tcPr>
          <w:p w14:paraId="0773B3D0">
            <w:pPr>
              <w:rPr>
                <w:rFonts w:ascii="Arial"/>
                <w:color w:val="auto"/>
                <w:sz w:val="21"/>
                <w:highlight w:val="none"/>
              </w:rPr>
            </w:pPr>
          </w:p>
        </w:tc>
        <w:tc>
          <w:tcPr>
            <w:tcW w:w="2339" w:type="dxa"/>
            <w:vAlign w:val="top"/>
          </w:tcPr>
          <w:p w14:paraId="1C37707E">
            <w:pPr>
              <w:rPr>
                <w:rFonts w:ascii="Arial"/>
                <w:color w:val="auto"/>
                <w:sz w:val="21"/>
                <w:highlight w:val="none"/>
              </w:rPr>
            </w:pPr>
          </w:p>
        </w:tc>
        <w:tc>
          <w:tcPr>
            <w:tcW w:w="1420" w:type="dxa"/>
            <w:vAlign w:val="top"/>
          </w:tcPr>
          <w:p w14:paraId="1767D482">
            <w:pPr>
              <w:rPr>
                <w:rFonts w:ascii="Arial"/>
                <w:color w:val="auto"/>
                <w:sz w:val="21"/>
                <w:highlight w:val="none"/>
              </w:rPr>
            </w:pPr>
          </w:p>
        </w:tc>
        <w:tc>
          <w:tcPr>
            <w:tcW w:w="1252" w:type="dxa"/>
            <w:vAlign w:val="top"/>
          </w:tcPr>
          <w:p w14:paraId="411FF907">
            <w:pPr>
              <w:rPr>
                <w:rFonts w:ascii="Arial"/>
                <w:color w:val="auto"/>
                <w:sz w:val="21"/>
                <w:highlight w:val="none"/>
              </w:rPr>
            </w:pPr>
          </w:p>
        </w:tc>
        <w:tc>
          <w:tcPr>
            <w:tcW w:w="1476" w:type="dxa"/>
            <w:vAlign w:val="top"/>
          </w:tcPr>
          <w:p w14:paraId="36DEBE0B">
            <w:pPr>
              <w:rPr>
                <w:rFonts w:ascii="Arial"/>
                <w:color w:val="auto"/>
                <w:sz w:val="21"/>
                <w:highlight w:val="none"/>
              </w:rPr>
            </w:pPr>
          </w:p>
        </w:tc>
      </w:tr>
      <w:tr w14:paraId="1EDB7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56E576EC">
            <w:pPr>
              <w:spacing w:line="270" w:lineRule="auto"/>
              <w:rPr>
                <w:rFonts w:ascii="Arial"/>
                <w:color w:val="auto"/>
                <w:sz w:val="21"/>
                <w:highlight w:val="none"/>
              </w:rPr>
            </w:pPr>
          </w:p>
          <w:p w14:paraId="2A8C8188">
            <w:pPr>
              <w:pStyle w:val="30"/>
              <w:spacing w:before="68" w:line="179" w:lineRule="auto"/>
              <w:ind w:left="229"/>
              <w:rPr>
                <w:color w:val="auto"/>
                <w:highlight w:val="none"/>
              </w:rPr>
            </w:pPr>
            <w:r>
              <w:rPr>
                <w:color w:val="auto"/>
                <w:highlight w:val="none"/>
              </w:rPr>
              <w:t>二</w:t>
            </w:r>
          </w:p>
        </w:tc>
        <w:tc>
          <w:tcPr>
            <w:tcW w:w="1979" w:type="dxa"/>
            <w:vAlign w:val="top"/>
          </w:tcPr>
          <w:p w14:paraId="10CB2C9B">
            <w:pPr>
              <w:pStyle w:val="30"/>
              <w:spacing w:before="301" w:line="221" w:lineRule="auto"/>
              <w:ind w:left="111"/>
              <w:rPr>
                <w:color w:val="auto"/>
                <w:highlight w:val="none"/>
              </w:rPr>
            </w:pPr>
            <w:r>
              <w:rPr>
                <w:color w:val="auto"/>
                <w:spacing w:val="-1"/>
                <w:highlight w:val="none"/>
              </w:rPr>
              <w:t>仲裁事项</w:t>
            </w:r>
          </w:p>
        </w:tc>
        <w:tc>
          <w:tcPr>
            <w:tcW w:w="2339" w:type="dxa"/>
            <w:vAlign w:val="top"/>
          </w:tcPr>
          <w:p w14:paraId="12638EEF">
            <w:pPr>
              <w:rPr>
                <w:rFonts w:ascii="Arial"/>
                <w:color w:val="auto"/>
                <w:sz w:val="21"/>
                <w:highlight w:val="none"/>
              </w:rPr>
            </w:pPr>
          </w:p>
        </w:tc>
        <w:tc>
          <w:tcPr>
            <w:tcW w:w="1420" w:type="dxa"/>
            <w:vAlign w:val="top"/>
          </w:tcPr>
          <w:p w14:paraId="6224B372">
            <w:pPr>
              <w:rPr>
                <w:rFonts w:ascii="Arial"/>
                <w:color w:val="auto"/>
                <w:sz w:val="21"/>
                <w:highlight w:val="none"/>
              </w:rPr>
            </w:pPr>
          </w:p>
        </w:tc>
        <w:tc>
          <w:tcPr>
            <w:tcW w:w="1252" w:type="dxa"/>
            <w:vAlign w:val="top"/>
          </w:tcPr>
          <w:p w14:paraId="1E69FAD2">
            <w:pPr>
              <w:rPr>
                <w:rFonts w:ascii="Arial"/>
                <w:color w:val="auto"/>
                <w:sz w:val="21"/>
                <w:highlight w:val="none"/>
              </w:rPr>
            </w:pPr>
          </w:p>
        </w:tc>
        <w:tc>
          <w:tcPr>
            <w:tcW w:w="1476" w:type="dxa"/>
            <w:vAlign w:val="top"/>
          </w:tcPr>
          <w:p w14:paraId="1DC9F5A2">
            <w:pPr>
              <w:rPr>
                <w:rFonts w:ascii="Arial"/>
                <w:color w:val="auto"/>
                <w:sz w:val="21"/>
                <w:highlight w:val="none"/>
              </w:rPr>
            </w:pPr>
          </w:p>
        </w:tc>
      </w:tr>
      <w:tr w14:paraId="646B4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52" w:type="dxa"/>
            <w:vAlign w:val="top"/>
          </w:tcPr>
          <w:p w14:paraId="09A6E841">
            <w:pPr>
              <w:rPr>
                <w:rFonts w:ascii="Arial"/>
                <w:color w:val="auto"/>
                <w:sz w:val="21"/>
                <w:highlight w:val="none"/>
              </w:rPr>
            </w:pPr>
          </w:p>
        </w:tc>
        <w:tc>
          <w:tcPr>
            <w:tcW w:w="1979" w:type="dxa"/>
            <w:vAlign w:val="top"/>
          </w:tcPr>
          <w:p w14:paraId="20E47875">
            <w:pPr>
              <w:rPr>
                <w:rFonts w:ascii="Arial"/>
                <w:color w:val="auto"/>
                <w:sz w:val="21"/>
                <w:highlight w:val="none"/>
              </w:rPr>
            </w:pPr>
          </w:p>
        </w:tc>
        <w:tc>
          <w:tcPr>
            <w:tcW w:w="2339" w:type="dxa"/>
            <w:vAlign w:val="top"/>
          </w:tcPr>
          <w:p w14:paraId="1F9F9F79">
            <w:pPr>
              <w:rPr>
                <w:rFonts w:ascii="Arial"/>
                <w:color w:val="auto"/>
                <w:sz w:val="21"/>
                <w:highlight w:val="none"/>
              </w:rPr>
            </w:pPr>
          </w:p>
        </w:tc>
        <w:tc>
          <w:tcPr>
            <w:tcW w:w="1420" w:type="dxa"/>
            <w:vAlign w:val="top"/>
          </w:tcPr>
          <w:p w14:paraId="30E2FED2">
            <w:pPr>
              <w:rPr>
                <w:rFonts w:ascii="Arial"/>
                <w:color w:val="auto"/>
                <w:sz w:val="21"/>
                <w:highlight w:val="none"/>
              </w:rPr>
            </w:pPr>
          </w:p>
        </w:tc>
        <w:tc>
          <w:tcPr>
            <w:tcW w:w="1252" w:type="dxa"/>
            <w:vAlign w:val="top"/>
          </w:tcPr>
          <w:p w14:paraId="76A9202B">
            <w:pPr>
              <w:rPr>
                <w:rFonts w:ascii="Arial"/>
                <w:color w:val="auto"/>
                <w:sz w:val="21"/>
                <w:highlight w:val="none"/>
              </w:rPr>
            </w:pPr>
          </w:p>
        </w:tc>
        <w:tc>
          <w:tcPr>
            <w:tcW w:w="1476" w:type="dxa"/>
            <w:vAlign w:val="top"/>
          </w:tcPr>
          <w:p w14:paraId="7B947105">
            <w:pPr>
              <w:rPr>
                <w:rFonts w:ascii="Arial"/>
                <w:color w:val="auto"/>
                <w:sz w:val="21"/>
                <w:highlight w:val="none"/>
              </w:rPr>
            </w:pPr>
          </w:p>
        </w:tc>
      </w:tr>
      <w:tr w14:paraId="0A6C4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52" w:type="dxa"/>
            <w:vAlign w:val="top"/>
          </w:tcPr>
          <w:p w14:paraId="6C56BD44">
            <w:pPr>
              <w:rPr>
                <w:rFonts w:ascii="Arial"/>
                <w:color w:val="auto"/>
                <w:sz w:val="21"/>
                <w:highlight w:val="none"/>
              </w:rPr>
            </w:pPr>
          </w:p>
        </w:tc>
        <w:tc>
          <w:tcPr>
            <w:tcW w:w="1979" w:type="dxa"/>
            <w:vAlign w:val="top"/>
          </w:tcPr>
          <w:p w14:paraId="5F90DF8C">
            <w:pPr>
              <w:rPr>
                <w:rFonts w:ascii="Arial"/>
                <w:color w:val="auto"/>
                <w:sz w:val="21"/>
                <w:highlight w:val="none"/>
              </w:rPr>
            </w:pPr>
          </w:p>
        </w:tc>
        <w:tc>
          <w:tcPr>
            <w:tcW w:w="2339" w:type="dxa"/>
            <w:vAlign w:val="top"/>
          </w:tcPr>
          <w:p w14:paraId="7D5EC1CC">
            <w:pPr>
              <w:rPr>
                <w:rFonts w:ascii="Arial"/>
                <w:color w:val="auto"/>
                <w:sz w:val="21"/>
                <w:highlight w:val="none"/>
              </w:rPr>
            </w:pPr>
          </w:p>
        </w:tc>
        <w:tc>
          <w:tcPr>
            <w:tcW w:w="1420" w:type="dxa"/>
            <w:vAlign w:val="top"/>
          </w:tcPr>
          <w:p w14:paraId="51F17834">
            <w:pPr>
              <w:rPr>
                <w:rFonts w:ascii="Arial"/>
                <w:color w:val="auto"/>
                <w:sz w:val="21"/>
                <w:highlight w:val="none"/>
              </w:rPr>
            </w:pPr>
          </w:p>
        </w:tc>
        <w:tc>
          <w:tcPr>
            <w:tcW w:w="1252" w:type="dxa"/>
            <w:vAlign w:val="top"/>
          </w:tcPr>
          <w:p w14:paraId="48A66D9F">
            <w:pPr>
              <w:rPr>
                <w:rFonts w:ascii="Arial"/>
                <w:color w:val="auto"/>
                <w:sz w:val="21"/>
                <w:highlight w:val="none"/>
              </w:rPr>
            </w:pPr>
          </w:p>
        </w:tc>
        <w:tc>
          <w:tcPr>
            <w:tcW w:w="1476" w:type="dxa"/>
            <w:vAlign w:val="top"/>
          </w:tcPr>
          <w:p w14:paraId="007DC7F1">
            <w:pPr>
              <w:rPr>
                <w:rFonts w:ascii="Arial"/>
                <w:color w:val="auto"/>
                <w:sz w:val="21"/>
                <w:highlight w:val="none"/>
              </w:rPr>
            </w:pPr>
          </w:p>
        </w:tc>
      </w:tr>
      <w:tr w14:paraId="2FB3C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52" w:type="dxa"/>
            <w:vAlign w:val="top"/>
          </w:tcPr>
          <w:p w14:paraId="426E44BD">
            <w:pPr>
              <w:rPr>
                <w:rFonts w:ascii="Arial"/>
                <w:color w:val="auto"/>
                <w:sz w:val="21"/>
                <w:highlight w:val="none"/>
              </w:rPr>
            </w:pPr>
          </w:p>
        </w:tc>
        <w:tc>
          <w:tcPr>
            <w:tcW w:w="1979" w:type="dxa"/>
            <w:vAlign w:val="top"/>
          </w:tcPr>
          <w:p w14:paraId="66B9D064">
            <w:pPr>
              <w:rPr>
                <w:rFonts w:ascii="Arial"/>
                <w:color w:val="auto"/>
                <w:sz w:val="21"/>
                <w:highlight w:val="none"/>
              </w:rPr>
            </w:pPr>
          </w:p>
        </w:tc>
        <w:tc>
          <w:tcPr>
            <w:tcW w:w="2339" w:type="dxa"/>
            <w:vAlign w:val="top"/>
          </w:tcPr>
          <w:p w14:paraId="7C930A63">
            <w:pPr>
              <w:rPr>
                <w:rFonts w:ascii="Arial"/>
                <w:color w:val="auto"/>
                <w:sz w:val="21"/>
                <w:highlight w:val="none"/>
              </w:rPr>
            </w:pPr>
          </w:p>
        </w:tc>
        <w:tc>
          <w:tcPr>
            <w:tcW w:w="1420" w:type="dxa"/>
            <w:vAlign w:val="top"/>
          </w:tcPr>
          <w:p w14:paraId="4EADD00E">
            <w:pPr>
              <w:rPr>
                <w:rFonts w:ascii="Arial"/>
                <w:color w:val="auto"/>
                <w:sz w:val="21"/>
                <w:highlight w:val="none"/>
              </w:rPr>
            </w:pPr>
          </w:p>
        </w:tc>
        <w:tc>
          <w:tcPr>
            <w:tcW w:w="1252" w:type="dxa"/>
            <w:vAlign w:val="top"/>
          </w:tcPr>
          <w:p w14:paraId="70842F34">
            <w:pPr>
              <w:rPr>
                <w:rFonts w:ascii="Arial"/>
                <w:color w:val="auto"/>
                <w:sz w:val="21"/>
                <w:highlight w:val="none"/>
              </w:rPr>
            </w:pPr>
          </w:p>
        </w:tc>
        <w:tc>
          <w:tcPr>
            <w:tcW w:w="1476" w:type="dxa"/>
            <w:vAlign w:val="top"/>
          </w:tcPr>
          <w:p w14:paraId="14B81560">
            <w:pPr>
              <w:rPr>
                <w:rFonts w:ascii="Arial"/>
                <w:color w:val="auto"/>
                <w:sz w:val="21"/>
                <w:highlight w:val="none"/>
              </w:rPr>
            </w:pPr>
          </w:p>
        </w:tc>
      </w:tr>
      <w:tr w14:paraId="673B3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275CC886">
            <w:pPr>
              <w:rPr>
                <w:rFonts w:ascii="Arial"/>
                <w:color w:val="auto"/>
                <w:sz w:val="21"/>
                <w:highlight w:val="none"/>
              </w:rPr>
            </w:pPr>
          </w:p>
        </w:tc>
        <w:tc>
          <w:tcPr>
            <w:tcW w:w="1979" w:type="dxa"/>
            <w:vAlign w:val="top"/>
          </w:tcPr>
          <w:p w14:paraId="017890C9">
            <w:pPr>
              <w:rPr>
                <w:rFonts w:ascii="Arial"/>
                <w:color w:val="auto"/>
                <w:sz w:val="21"/>
                <w:highlight w:val="none"/>
              </w:rPr>
            </w:pPr>
          </w:p>
        </w:tc>
        <w:tc>
          <w:tcPr>
            <w:tcW w:w="2339" w:type="dxa"/>
            <w:vAlign w:val="top"/>
          </w:tcPr>
          <w:p w14:paraId="2DC57178">
            <w:pPr>
              <w:rPr>
                <w:rFonts w:ascii="Arial"/>
                <w:color w:val="auto"/>
                <w:sz w:val="21"/>
                <w:highlight w:val="none"/>
              </w:rPr>
            </w:pPr>
          </w:p>
        </w:tc>
        <w:tc>
          <w:tcPr>
            <w:tcW w:w="1420" w:type="dxa"/>
            <w:vAlign w:val="top"/>
          </w:tcPr>
          <w:p w14:paraId="358C1051">
            <w:pPr>
              <w:rPr>
                <w:rFonts w:ascii="Arial"/>
                <w:color w:val="auto"/>
                <w:sz w:val="21"/>
                <w:highlight w:val="none"/>
              </w:rPr>
            </w:pPr>
          </w:p>
        </w:tc>
        <w:tc>
          <w:tcPr>
            <w:tcW w:w="1252" w:type="dxa"/>
            <w:vAlign w:val="top"/>
          </w:tcPr>
          <w:p w14:paraId="03A8BFE7">
            <w:pPr>
              <w:rPr>
                <w:rFonts w:ascii="Arial"/>
                <w:color w:val="auto"/>
                <w:sz w:val="21"/>
                <w:highlight w:val="none"/>
              </w:rPr>
            </w:pPr>
          </w:p>
        </w:tc>
        <w:tc>
          <w:tcPr>
            <w:tcW w:w="1476" w:type="dxa"/>
            <w:vAlign w:val="top"/>
          </w:tcPr>
          <w:p w14:paraId="13F03B0B">
            <w:pPr>
              <w:rPr>
                <w:rFonts w:ascii="Arial"/>
                <w:color w:val="auto"/>
                <w:sz w:val="21"/>
                <w:highlight w:val="none"/>
              </w:rPr>
            </w:pPr>
          </w:p>
        </w:tc>
      </w:tr>
      <w:tr w14:paraId="702E4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105AC604">
            <w:pPr>
              <w:rPr>
                <w:rFonts w:ascii="Arial"/>
                <w:color w:val="auto"/>
                <w:sz w:val="21"/>
                <w:highlight w:val="none"/>
              </w:rPr>
            </w:pPr>
          </w:p>
        </w:tc>
        <w:tc>
          <w:tcPr>
            <w:tcW w:w="1979" w:type="dxa"/>
            <w:vAlign w:val="top"/>
          </w:tcPr>
          <w:p w14:paraId="2741EE9F">
            <w:pPr>
              <w:rPr>
                <w:rFonts w:ascii="Arial"/>
                <w:color w:val="auto"/>
                <w:sz w:val="21"/>
                <w:highlight w:val="none"/>
              </w:rPr>
            </w:pPr>
          </w:p>
        </w:tc>
        <w:tc>
          <w:tcPr>
            <w:tcW w:w="2339" w:type="dxa"/>
            <w:vAlign w:val="top"/>
          </w:tcPr>
          <w:p w14:paraId="5A3D0C4B">
            <w:pPr>
              <w:rPr>
                <w:rFonts w:ascii="Arial"/>
                <w:color w:val="auto"/>
                <w:sz w:val="21"/>
                <w:highlight w:val="none"/>
              </w:rPr>
            </w:pPr>
          </w:p>
        </w:tc>
        <w:tc>
          <w:tcPr>
            <w:tcW w:w="1420" w:type="dxa"/>
            <w:vAlign w:val="top"/>
          </w:tcPr>
          <w:p w14:paraId="1DCC0717">
            <w:pPr>
              <w:rPr>
                <w:rFonts w:ascii="Arial"/>
                <w:color w:val="auto"/>
                <w:sz w:val="21"/>
                <w:highlight w:val="none"/>
              </w:rPr>
            </w:pPr>
          </w:p>
        </w:tc>
        <w:tc>
          <w:tcPr>
            <w:tcW w:w="1252" w:type="dxa"/>
            <w:vAlign w:val="top"/>
          </w:tcPr>
          <w:p w14:paraId="74002881">
            <w:pPr>
              <w:rPr>
                <w:rFonts w:ascii="Arial"/>
                <w:color w:val="auto"/>
                <w:sz w:val="21"/>
                <w:highlight w:val="none"/>
              </w:rPr>
            </w:pPr>
          </w:p>
        </w:tc>
        <w:tc>
          <w:tcPr>
            <w:tcW w:w="1476" w:type="dxa"/>
            <w:vAlign w:val="top"/>
          </w:tcPr>
          <w:p w14:paraId="041DADC8">
            <w:pPr>
              <w:rPr>
                <w:rFonts w:ascii="Arial"/>
                <w:color w:val="auto"/>
                <w:sz w:val="21"/>
                <w:highlight w:val="none"/>
              </w:rPr>
            </w:pPr>
          </w:p>
        </w:tc>
      </w:tr>
      <w:tr w14:paraId="00933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7D37131B">
            <w:pPr>
              <w:rPr>
                <w:rFonts w:ascii="Arial"/>
                <w:color w:val="auto"/>
                <w:sz w:val="21"/>
                <w:highlight w:val="none"/>
              </w:rPr>
            </w:pPr>
          </w:p>
        </w:tc>
        <w:tc>
          <w:tcPr>
            <w:tcW w:w="1979" w:type="dxa"/>
            <w:vAlign w:val="top"/>
          </w:tcPr>
          <w:p w14:paraId="54484C02">
            <w:pPr>
              <w:rPr>
                <w:rFonts w:ascii="Arial"/>
                <w:color w:val="auto"/>
                <w:sz w:val="21"/>
                <w:highlight w:val="none"/>
              </w:rPr>
            </w:pPr>
          </w:p>
        </w:tc>
        <w:tc>
          <w:tcPr>
            <w:tcW w:w="2339" w:type="dxa"/>
            <w:vAlign w:val="top"/>
          </w:tcPr>
          <w:p w14:paraId="4F96D33B">
            <w:pPr>
              <w:rPr>
                <w:rFonts w:ascii="Arial"/>
                <w:color w:val="auto"/>
                <w:sz w:val="21"/>
                <w:highlight w:val="none"/>
              </w:rPr>
            </w:pPr>
          </w:p>
        </w:tc>
        <w:tc>
          <w:tcPr>
            <w:tcW w:w="1420" w:type="dxa"/>
            <w:vAlign w:val="top"/>
          </w:tcPr>
          <w:p w14:paraId="1B26E15A">
            <w:pPr>
              <w:rPr>
                <w:rFonts w:ascii="Arial"/>
                <w:color w:val="auto"/>
                <w:sz w:val="21"/>
                <w:highlight w:val="none"/>
              </w:rPr>
            </w:pPr>
          </w:p>
        </w:tc>
        <w:tc>
          <w:tcPr>
            <w:tcW w:w="1252" w:type="dxa"/>
            <w:vAlign w:val="top"/>
          </w:tcPr>
          <w:p w14:paraId="67B37AA4">
            <w:pPr>
              <w:rPr>
                <w:rFonts w:ascii="Arial"/>
                <w:color w:val="auto"/>
                <w:sz w:val="21"/>
                <w:highlight w:val="none"/>
              </w:rPr>
            </w:pPr>
          </w:p>
        </w:tc>
        <w:tc>
          <w:tcPr>
            <w:tcW w:w="1476" w:type="dxa"/>
            <w:vAlign w:val="top"/>
          </w:tcPr>
          <w:p w14:paraId="280350E1">
            <w:pPr>
              <w:rPr>
                <w:rFonts w:ascii="Arial"/>
                <w:color w:val="auto"/>
                <w:sz w:val="21"/>
                <w:highlight w:val="none"/>
              </w:rPr>
            </w:pPr>
          </w:p>
        </w:tc>
      </w:tr>
      <w:tr w14:paraId="471F4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52" w:type="dxa"/>
            <w:vAlign w:val="top"/>
          </w:tcPr>
          <w:p w14:paraId="06BDD9ED">
            <w:pPr>
              <w:rPr>
                <w:rFonts w:ascii="Arial"/>
                <w:color w:val="auto"/>
                <w:sz w:val="21"/>
                <w:highlight w:val="none"/>
              </w:rPr>
            </w:pPr>
          </w:p>
        </w:tc>
        <w:tc>
          <w:tcPr>
            <w:tcW w:w="1979" w:type="dxa"/>
            <w:vAlign w:val="top"/>
          </w:tcPr>
          <w:p w14:paraId="1E79535A">
            <w:pPr>
              <w:rPr>
                <w:rFonts w:ascii="Arial"/>
                <w:color w:val="auto"/>
                <w:sz w:val="21"/>
                <w:highlight w:val="none"/>
              </w:rPr>
            </w:pPr>
          </w:p>
        </w:tc>
        <w:tc>
          <w:tcPr>
            <w:tcW w:w="2339" w:type="dxa"/>
            <w:vAlign w:val="top"/>
          </w:tcPr>
          <w:p w14:paraId="28120534">
            <w:pPr>
              <w:rPr>
                <w:rFonts w:ascii="Arial"/>
                <w:color w:val="auto"/>
                <w:sz w:val="21"/>
                <w:highlight w:val="none"/>
              </w:rPr>
            </w:pPr>
          </w:p>
        </w:tc>
        <w:tc>
          <w:tcPr>
            <w:tcW w:w="1420" w:type="dxa"/>
            <w:vAlign w:val="top"/>
          </w:tcPr>
          <w:p w14:paraId="36AC290B">
            <w:pPr>
              <w:rPr>
                <w:rFonts w:ascii="Arial"/>
                <w:color w:val="auto"/>
                <w:sz w:val="21"/>
                <w:highlight w:val="none"/>
              </w:rPr>
            </w:pPr>
          </w:p>
        </w:tc>
        <w:tc>
          <w:tcPr>
            <w:tcW w:w="1252" w:type="dxa"/>
            <w:vAlign w:val="top"/>
          </w:tcPr>
          <w:p w14:paraId="5F2FFFE4">
            <w:pPr>
              <w:rPr>
                <w:rFonts w:ascii="Arial"/>
                <w:color w:val="auto"/>
                <w:sz w:val="21"/>
                <w:highlight w:val="none"/>
              </w:rPr>
            </w:pPr>
          </w:p>
        </w:tc>
        <w:tc>
          <w:tcPr>
            <w:tcW w:w="1476" w:type="dxa"/>
            <w:vAlign w:val="top"/>
          </w:tcPr>
          <w:p w14:paraId="18956499">
            <w:pPr>
              <w:rPr>
                <w:rFonts w:ascii="Arial"/>
                <w:color w:val="auto"/>
                <w:sz w:val="21"/>
                <w:highlight w:val="none"/>
              </w:rPr>
            </w:pPr>
          </w:p>
        </w:tc>
      </w:tr>
      <w:tr w14:paraId="7A19A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55DE1EE0">
            <w:pPr>
              <w:rPr>
                <w:rFonts w:ascii="Arial"/>
                <w:color w:val="auto"/>
                <w:sz w:val="21"/>
                <w:highlight w:val="none"/>
              </w:rPr>
            </w:pPr>
          </w:p>
        </w:tc>
        <w:tc>
          <w:tcPr>
            <w:tcW w:w="1979" w:type="dxa"/>
            <w:vAlign w:val="top"/>
          </w:tcPr>
          <w:p w14:paraId="6FCEB022">
            <w:pPr>
              <w:rPr>
                <w:rFonts w:ascii="Arial"/>
                <w:color w:val="auto"/>
                <w:sz w:val="21"/>
                <w:highlight w:val="none"/>
              </w:rPr>
            </w:pPr>
          </w:p>
        </w:tc>
        <w:tc>
          <w:tcPr>
            <w:tcW w:w="2339" w:type="dxa"/>
            <w:vAlign w:val="top"/>
          </w:tcPr>
          <w:p w14:paraId="7D05B187">
            <w:pPr>
              <w:rPr>
                <w:rFonts w:ascii="Arial"/>
                <w:color w:val="auto"/>
                <w:sz w:val="21"/>
                <w:highlight w:val="none"/>
              </w:rPr>
            </w:pPr>
          </w:p>
        </w:tc>
        <w:tc>
          <w:tcPr>
            <w:tcW w:w="1420" w:type="dxa"/>
            <w:vAlign w:val="top"/>
          </w:tcPr>
          <w:p w14:paraId="23C9D895">
            <w:pPr>
              <w:rPr>
                <w:rFonts w:ascii="Arial"/>
                <w:color w:val="auto"/>
                <w:sz w:val="21"/>
                <w:highlight w:val="none"/>
              </w:rPr>
            </w:pPr>
          </w:p>
        </w:tc>
        <w:tc>
          <w:tcPr>
            <w:tcW w:w="1252" w:type="dxa"/>
            <w:vAlign w:val="top"/>
          </w:tcPr>
          <w:p w14:paraId="71C27F1D">
            <w:pPr>
              <w:rPr>
                <w:rFonts w:ascii="Arial"/>
                <w:color w:val="auto"/>
                <w:sz w:val="21"/>
                <w:highlight w:val="none"/>
              </w:rPr>
            </w:pPr>
          </w:p>
        </w:tc>
        <w:tc>
          <w:tcPr>
            <w:tcW w:w="1476" w:type="dxa"/>
            <w:vAlign w:val="top"/>
          </w:tcPr>
          <w:p w14:paraId="3F9539D3">
            <w:pPr>
              <w:rPr>
                <w:rFonts w:ascii="Arial"/>
                <w:color w:val="auto"/>
                <w:sz w:val="21"/>
                <w:highlight w:val="none"/>
              </w:rPr>
            </w:pPr>
          </w:p>
        </w:tc>
      </w:tr>
      <w:tr w14:paraId="496EC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652" w:type="dxa"/>
            <w:vAlign w:val="top"/>
          </w:tcPr>
          <w:p w14:paraId="3287B4D6">
            <w:pPr>
              <w:rPr>
                <w:rFonts w:ascii="Arial"/>
                <w:color w:val="auto"/>
                <w:sz w:val="21"/>
                <w:highlight w:val="none"/>
              </w:rPr>
            </w:pPr>
          </w:p>
        </w:tc>
        <w:tc>
          <w:tcPr>
            <w:tcW w:w="1979" w:type="dxa"/>
            <w:vAlign w:val="top"/>
          </w:tcPr>
          <w:p w14:paraId="7C80585A">
            <w:pPr>
              <w:rPr>
                <w:rFonts w:ascii="Arial"/>
                <w:color w:val="auto"/>
                <w:sz w:val="21"/>
                <w:highlight w:val="none"/>
              </w:rPr>
            </w:pPr>
          </w:p>
        </w:tc>
        <w:tc>
          <w:tcPr>
            <w:tcW w:w="2339" w:type="dxa"/>
            <w:vAlign w:val="top"/>
          </w:tcPr>
          <w:p w14:paraId="6039780A">
            <w:pPr>
              <w:rPr>
                <w:rFonts w:ascii="Arial"/>
                <w:color w:val="auto"/>
                <w:sz w:val="21"/>
                <w:highlight w:val="none"/>
              </w:rPr>
            </w:pPr>
          </w:p>
        </w:tc>
        <w:tc>
          <w:tcPr>
            <w:tcW w:w="1420" w:type="dxa"/>
            <w:vAlign w:val="top"/>
          </w:tcPr>
          <w:p w14:paraId="7FDA462C">
            <w:pPr>
              <w:rPr>
                <w:rFonts w:ascii="Arial"/>
                <w:color w:val="auto"/>
                <w:sz w:val="21"/>
                <w:highlight w:val="none"/>
              </w:rPr>
            </w:pPr>
          </w:p>
        </w:tc>
        <w:tc>
          <w:tcPr>
            <w:tcW w:w="1252" w:type="dxa"/>
            <w:vAlign w:val="top"/>
          </w:tcPr>
          <w:p w14:paraId="0E85F408">
            <w:pPr>
              <w:rPr>
                <w:rFonts w:ascii="Arial"/>
                <w:color w:val="auto"/>
                <w:sz w:val="21"/>
                <w:highlight w:val="none"/>
              </w:rPr>
            </w:pPr>
          </w:p>
        </w:tc>
        <w:tc>
          <w:tcPr>
            <w:tcW w:w="1476" w:type="dxa"/>
            <w:vAlign w:val="top"/>
          </w:tcPr>
          <w:p w14:paraId="0A7AAE7A">
            <w:pPr>
              <w:rPr>
                <w:rFonts w:ascii="Arial"/>
                <w:color w:val="auto"/>
                <w:sz w:val="21"/>
                <w:highlight w:val="none"/>
              </w:rPr>
            </w:pPr>
          </w:p>
        </w:tc>
      </w:tr>
    </w:tbl>
    <w:p w14:paraId="7B64FE89">
      <w:pPr>
        <w:spacing w:before="29" w:line="220" w:lineRule="auto"/>
        <w:ind w:left="665"/>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注：应附相关证明材料扫描件。</w:t>
      </w:r>
      <w:bookmarkStart w:id="450" w:name="bookmark298"/>
      <w:bookmarkEnd w:id="450"/>
    </w:p>
    <w:p w14:paraId="4CAB1A39">
      <w:pPr>
        <w:spacing w:before="64" w:line="224" w:lineRule="auto"/>
        <w:jc w:val="center"/>
        <w:outlineLvl w:val="2"/>
        <w:rPr>
          <w:rFonts w:ascii="宋体" w:hAnsi="宋体" w:eastAsia="宋体" w:cs="宋体"/>
          <w:b/>
          <w:bCs/>
          <w:color w:val="auto"/>
          <w:spacing w:val="6"/>
          <w:sz w:val="31"/>
          <w:szCs w:val="31"/>
          <w:highlight w:val="none"/>
        </w:rPr>
      </w:pPr>
      <w:bookmarkStart w:id="451" w:name="_Toc7443"/>
      <w:r>
        <w:rPr>
          <w:rFonts w:ascii="宋体" w:hAnsi="宋体" w:eastAsia="宋体" w:cs="宋体"/>
          <w:b/>
          <w:bCs/>
          <w:color w:val="auto"/>
          <w:spacing w:val="6"/>
          <w:sz w:val="31"/>
          <w:szCs w:val="31"/>
          <w:highlight w:val="none"/>
        </w:rPr>
        <w:t>十、农民工工资支付保障承诺</w:t>
      </w:r>
      <w:bookmarkEnd w:id="451"/>
    </w:p>
    <w:p w14:paraId="07436D07">
      <w:pPr>
        <w:spacing w:line="417" w:lineRule="auto"/>
        <w:rPr>
          <w:rFonts w:ascii="Arial"/>
          <w:color w:val="auto"/>
          <w:sz w:val="21"/>
          <w:highlight w:val="none"/>
        </w:rPr>
      </w:pPr>
    </w:p>
    <w:p w14:paraId="39BBE5C2">
      <w:pPr>
        <w:keepNext w:val="0"/>
        <w:keepLines w:val="0"/>
        <w:pageBreakBefore w:val="0"/>
        <w:widowControl/>
        <w:kinsoku w:val="0"/>
        <w:wordWrap/>
        <w:overflowPunct/>
        <w:topLinePunct w:val="0"/>
        <w:autoSpaceDE w:val="0"/>
        <w:autoSpaceDN w:val="0"/>
        <w:bidi w:val="0"/>
        <w:adjustRightInd w:val="0"/>
        <w:snapToGrid w:val="0"/>
        <w:spacing w:before="68" w:line="360" w:lineRule="auto"/>
        <w:ind w:left="420"/>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致</w:t>
      </w:r>
      <w:r>
        <w:rPr>
          <w:rFonts w:ascii="宋体" w:hAnsi="宋体" w:eastAsia="宋体" w:cs="宋体"/>
          <w:color w:val="auto"/>
          <w:spacing w:val="-3"/>
          <w:sz w:val="21"/>
          <w:szCs w:val="21"/>
          <w:highlight w:val="none"/>
        </w:rPr>
        <w:t>：</w:t>
      </w:r>
      <w:r>
        <w:rPr>
          <w:rFonts w:ascii="宋体" w:hAnsi="宋体" w:eastAsia="宋体" w:cs="宋体"/>
          <w:color w:val="auto"/>
          <w:spacing w:val="2"/>
          <w:sz w:val="21"/>
          <w:szCs w:val="21"/>
          <w:highlight w:val="none"/>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3"/>
          <w:sz w:val="21"/>
          <w:szCs w:val="21"/>
          <w:highlight w:val="none"/>
        </w:rPr>
        <w:t>（</w:t>
      </w:r>
      <w:r>
        <w:rPr>
          <w:rFonts w:ascii="宋体" w:hAnsi="宋体" w:eastAsia="宋体" w:cs="宋体"/>
          <w:color w:val="auto"/>
          <w:sz w:val="21"/>
          <w:szCs w:val="21"/>
          <w:highlight w:val="none"/>
        </w:rPr>
        <w:t>招标人名称）</w:t>
      </w:r>
    </w:p>
    <w:p w14:paraId="2C71F098">
      <w:pPr>
        <w:keepNext w:val="0"/>
        <w:keepLines w:val="0"/>
        <w:pageBreakBefore w:val="0"/>
        <w:widowControl/>
        <w:kinsoku w:val="0"/>
        <w:wordWrap/>
        <w:overflowPunct/>
        <w:topLinePunct w:val="0"/>
        <w:autoSpaceDE w:val="0"/>
        <w:autoSpaceDN w:val="0"/>
        <w:bidi w:val="0"/>
        <w:adjustRightInd w:val="0"/>
        <w:snapToGrid w:val="0"/>
        <w:spacing w:before="189" w:line="360" w:lineRule="auto"/>
        <w:ind w:left="421"/>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我方将对</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（项目名称）</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1"/>
          <w:sz w:val="21"/>
          <w:szCs w:val="21"/>
          <w:highlight w:val="none"/>
        </w:rPr>
        <w:t>标段施工进行投标。我方承诺：</w:t>
      </w:r>
    </w:p>
    <w:p w14:paraId="23541694">
      <w:pPr>
        <w:keepNext w:val="0"/>
        <w:keepLines w:val="0"/>
        <w:pageBreakBefore w:val="0"/>
        <w:widowControl/>
        <w:kinsoku w:val="0"/>
        <w:wordWrap/>
        <w:overflowPunct/>
        <w:topLinePunct w:val="0"/>
        <w:autoSpaceDE w:val="0"/>
        <w:autoSpaceDN w:val="0"/>
        <w:bidi w:val="0"/>
        <w:adjustRightInd w:val="0"/>
        <w:snapToGrid w:val="0"/>
        <w:spacing w:before="188" w:line="360" w:lineRule="auto"/>
        <w:ind w:firstLine="420"/>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若我方中标，我方将按照安徽省人力资源和社会保障厅、安徽省农业农村</w:t>
      </w:r>
      <w:r>
        <w:rPr>
          <w:rFonts w:ascii="宋体" w:hAnsi="宋体" w:eastAsia="宋体" w:cs="宋体"/>
          <w:color w:val="auto"/>
          <w:sz w:val="21"/>
          <w:szCs w:val="21"/>
          <w:highlight w:val="none"/>
        </w:rPr>
        <w:t>厅及项目所在地关于</w:t>
      </w:r>
      <w:r>
        <w:rPr>
          <w:rFonts w:ascii="宋体" w:hAnsi="宋体" w:eastAsia="宋体" w:cs="宋体"/>
          <w:color w:val="auto"/>
          <w:spacing w:val="1"/>
          <w:sz w:val="21"/>
          <w:szCs w:val="21"/>
          <w:highlight w:val="none"/>
        </w:rPr>
        <w:t>农民工工资监督管理有关规定，办理农民工工资支付保障手续，保障农民工的权</w:t>
      </w:r>
      <w:r>
        <w:rPr>
          <w:rFonts w:ascii="宋体" w:hAnsi="宋体" w:eastAsia="宋体" w:cs="宋体"/>
          <w:color w:val="auto"/>
          <w:sz w:val="21"/>
          <w:szCs w:val="21"/>
          <w:highlight w:val="none"/>
        </w:rPr>
        <w:t>益，不拖欠农民工</w:t>
      </w:r>
      <w:r>
        <w:rPr>
          <w:rFonts w:ascii="宋体" w:hAnsi="宋体" w:eastAsia="宋体" w:cs="宋体"/>
          <w:color w:val="auto"/>
          <w:spacing w:val="-1"/>
          <w:sz w:val="21"/>
          <w:szCs w:val="21"/>
          <w:highlight w:val="none"/>
        </w:rPr>
        <w:t>工资。如违反承诺，我方同意发包人对我</w:t>
      </w:r>
      <w:r>
        <w:rPr>
          <w:rFonts w:ascii="宋体" w:hAnsi="宋体" w:eastAsia="宋体" w:cs="宋体"/>
          <w:color w:val="auto"/>
          <w:spacing w:val="-2"/>
          <w:sz w:val="21"/>
          <w:szCs w:val="21"/>
          <w:highlight w:val="none"/>
        </w:rPr>
        <w:t>方递交的投标保证金不予退还、取消中标资格，并愿按有</w:t>
      </w:r>
      <w:r>
        <w:rPr>
          <w:rFonts w:ascii="宋体" w:hAnsi="宋体" w:eastAsia="宋体" w:cs="宋体"/>
          <w:color w:val="auto"/>
          <w:spacing w:val="-1"/>
          <w:sz w:val="21"/>
          <w:szCs w:val="21"/>
          <w:highlight w:val="none"/>
        </w:rPr>
        <w:t>关规定接受任何处罚。</w:t>
      </w:r>
    </w:p>
    <w:p w14:paraId="3D1E2916">
      <w:pPr>
        <w:keepNext w:val="0"/>
        <w:keepLines w:val="0"/>
        <w:pageBreakBefore w:val="0"/>
        <w:widowControl/>
        <w:kinsoku w:val="0"/>
        <w:wordWrap/>
        <w:overflowPunct/>
        <w:topLinePunct w:val="0"/>
        <w:autoSpaceDE w:val="0"/>
        <w:autoSpaceDN w:val="0"/>
        <w:bidi w:val="0"/>
        <w:adjustRightInd w:val="0"/>
        <w:snapToGrid w:val="0"/>
        <w:spacing w:before="30" w:line="360" w:lineRule="auto"/>
        <w:ind w:left="2521" w:right="686" w:firstLine="1"/>
        <w:textAlignment w:val="baseline"/>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投 标</w:t>
      </w:r>
      <w:r>
        <w:rPr>
          <w:rFonts w:ascii="宋体" w:hAnsi="宋体" w:eastAsia="宋体" w:cs="宋体"/>
          <w:color w:val="auto"/>
          <w:spacing w:val="8"/>
          <w:sz w:val="21"/>
          <w:szCs w:val="21"/>
          <w:highlight w:val="none"/>
        </w:rPr>
        <w:t xml:space="preserve"> </w:t>
      </w:r>
      <w:r>
        <w:rPr>
          <w:rFonts w:ascii="宋体" w:hAnsi="宋体" w:eastAsia="宋体" w:cs="宋体"/>
          <w:color w:val="auto"/>
          <w:spacing w:val="-3"/>
          <w:sz w:val="21"/>
          <w:szCs w:val="21"/>
          <w:highlight w:val="none"/>
        </w:rPr>
        <w:t>人</w:t>
      </w:r>
      <w:r>
        <w:rPr>
          <w:rFonts w:ascii="宋体" w:hAnsi="宋体" w:eastAsia="宋体" w:cs="宋体"/>
          <w:color w:val="auto"/>
          <w:spacing w:val="-2"/>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3"/>
          <w:sz w:val="21"/>
          <w:szCs w:val="21"/>
          <w:highlight w:val="none"/>
        </w:rPr>
        <w:t>盖单位章）</w:t>
      </w:r>
      <w:r>
        <w:rPr>
          <w:rFonts w:ascii="宋体" w:hAnsi="宋体" w:eastAsia="宋体" w:cs="宋体"/>
          <w:color w:val="auto"/>
          <w:spacing w:val="5"/>
          <w:sz w:val="21"/>
          <w:szCs w:val="21"/>
          <w:highlight w:val="none"/>
        </w:rPr>
        <w:t xml:space="preserve"> </w:t>
      </w:r>
      <w:r>
        <w:rPr>
          <w:rFonts w:ascii="宋体" w:hAnsi="宋体" w:eastAsia="宋体" w:cs="宋体"/>
          <w:color w:val="auto"/>
          <w:sz w:val="21"/>
          <w:szCs w:val="21"/>
          <w:highlight w:val="none"/>
        </w:rPr>
        <w:t>法定代表人或其委托代理人</w:t>
      </w:r>
      <w:r>
        <w:rPr>
          <w:rFonts w:ascii="宋体" w:hAnsi="宋体" w:eastAsia="宋体" w:cs="宋体"/>
          <w:color w:val="auto"/>
          <w:spacing w:val="-11"/>
          <w:sz w:val="21"/>
          <w:szCs w:val="21"/>
          <w:highlight w:val="none"/>
        </w:rPr>
        <w:t>：</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11"/>
          <w:sz w:val="21"/>
          <w:szCs w:val="21"/>
          <w:highlight w:val="none"/>
        </w:rPr>
        <w:t>（</w:t>
      </w:r>
      <w:r>
        <w:rPr>
          <w:rFonts w:ascii="宋体" w:hAnsi="宋体" w:eastAsia="宋体" w:cs="宋体"/>
          <w:color w:val="auto"/>
          <w:sz w:val="21"/>
          <w:szCs w:val="21"/>
          <w:highlight w:val="none"/>
        </w:rPr>
        <w:t>签字）</w:t>
      </w:r>
    </w:p>
    <w:p w14:paraId="03FA60ED">
      <w:pPr>
        <w:keepNext w:val="0"/>
        <w:keepLines w:val="0"/>
        <w:pageBreakBefore w:val="0"/>
        <w:widowControl/>
        <w:tabs>
          <w:tab w:val="left" w:pos="7067"/>
        </w:tabs>
        <w:kinsoku w:val="0"/>
        <w:wordWrap/>
        <w:overflowPunct/>
        <w:topLinePunct w:val="0"/>
        <w:autoSpaceDE w:val="0"/>
        <w:autoSpaceDN w:val="0"/>
        <w:bidi w:val="0"/>
        <w:adjustRightInd w:val="0"/>
        <w:snapToGrid w:val="0"/>
        <w:spacing w:before="28" w:line="360" w:lineRule="auto"/>
        <w:jc w:val="right"/>
        <w:textAlignment w:val="baseline"/>
        <w:rPr>
          <w:rFonts w:ascii="宋体" w:hAnsi="宋体" w:eastAsia="宋体" w:cs="宋体"/>
          <w:color w:val="auto"/>
          <w:spacing w:val="-7"/>
          <w:sz w:val="21"/>
          <w:szCs w:val="21"/>
          <w:highlight w:val="none"/>
        </w:rPr>
      </w:pPr>
      <w:r>
        <w:rPr>
          <w:rFonts w:ascii="宋体" w:hAnsi="宋体" w:eastAsia="宋体" w:cs="宋体"/>
          <w:color w:val="auto"/>
          <w:spacing w:val="-96"/>
          <w:sz w:val="21"/>
          <w:szCs w:val="21"/>
          <w:highlight w:val="none"/>
        </w:rPr>
        <w:t xml:space="preserve"> </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21"/>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6"/>
          <w:sz w:val="21"/>
          <w:szCs w:val="21"/>
          <w:highlight w:val="none"/>
        </w:rPr>
        <w:t xml:space="preserve"> </w:t>
      </w:r>
      <w:r>
        <w:rPr>
          <w:rFonts w:ascii="宋体" w:hAnsi="宋体" w:eastAsia="宋体" w:cs="宋体"/>
          <w:color w:val="auto"/>
          <w:spacing w:val="-7"/>
          <w:sz w:val="21"/>
          <w:szCs w:val="21"/>
          <w:highlight w:val="none"/>
        </w:rPr>
        <w:t>日</w:t>
      </w:r>
    </w:p>
    <w:p w14:paraId="76FBBA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napToGrid w:val="0"/>
          <w:color w:val="auto"/>
          <w:spacing w:val="4"/>
          <w:kern w:val="0"/>
          <w:sz w:val="31"/>
          <w:szCs w:val="31"/>
          <w:highlight w:val="none"/>
          <w:lang w:val="en-US" w:eastAsia="en-US" w:bidi="ar-SA"/>
        </w:rPr>
      </w:pPr>
      <w:r>
        <w:rPr>
          <w:rFonts w:hint="eastAsia" w:ascii="宋体" w:hAnsi="宋体" w:eastAsia="宋体" w:cs="宋体"/>
          <w:b/>
          <w:bCs/>
          <w:snapToGrid w:val="0"/>
          <w:color w:val="auto"/>
          <w:spacing w:val="4"/>
          <w:kern w:val="0"/>
          <w:sz w:val="31"/>
          <w:szCs w:val="31"/>
          <w:highlight w:val="none"/>
          <w:lang w:val="en-US" w:eastAsia="en-US" w:bidi="ar-SA"/>
        </w:rPr>
        <w:br w:type="page"/>
      </w:r>
    </w:p>
    <w:p w14:paraId="064E2E88">
      <w:pPr>
        <w:pStyle w:val="6"/>
        <w:numPr>
          <w:ilvl w:val="0"/>
          <w:numId w:val="0"/>
        </w:numPr>
        <w:jc w:val="center"/>
        <w:rPr>
          <w:rFonts w:ascii="宋体" w:hAnsi="宋体" w:eastAsia="宋体" w:cs="宋体"/>
          <w:b/>
          <w:bCs/>
          <w:color w:val="auto"/>
          <w:spacing w:val="4"/>
          <w:sz w:val="31"/>
          <w:szCs w:val="31"/>
          <w:highlight w:val="none"/>
        </w:rPr>
      </w:pPr>
      <w:bookmarkStart w:id="452" w:name="_Toc20299"/>
      <w:r>
        <w:rPr>
          <w:rFonts w:hint="eastAsia" w:ascii="宋体" w:hAnsi="宋体" w:eastAsia="宋体" w:cs="宋体"/>
          <w:b/>
          <w:bCs/>
          <w:snapToGrid w:val="0"/>
          <w:color w:val="auto"/>
          <w:spacing w:val="4"/>
          <w:kern w:val="0"/>
          <w:sz w:val="31"/>
          <w:szCs w:val="31"/>
          <w:highlight w:val="none"/>
          <w:lang w:val="en-US" w:eastAsia="en-US" w:bidi="ar-SA"/>
        </w:rPr>
        <w:t>十一、</w:t>
      </w:r>
      <w:r>
        <w:rPr>
          <w:rFonts w:ascii="宋体" w:hAnsi="宋体" w:eastAsia="宋体" w:cs="宋体"/>
          <w:b/>
          <w:bCs/>
          <w:color w:val="auto"/>
          <w:spacing w:val="4"/>
          <w:sz w:val="31"/>
          <w:szCs w:val="31"/>
          <w:highlight w:val="none"/>
        </w:rPr>
        <w:t>其他材料</w:t>
      </w:r>
      <w:bookmarkEnd w:id="452"/>
    </w:p>
    <w:p w14:paraId="6A663226">
      <w:pPr>
        <w:numPr>
          <w:ilvl w:val="0"/>
          <w:numId w:val="0"/>
        </w:numPr>
        <w:rPr>
          <w:rFonts w:ascii="Arial"/>
          <w:color w:val="auto"/>
          <w:sz w:val="21"/>
          <w:highlight w:val="none"/>
        </w:rPr>
      </w:pPr>
      <w:r>
        <w:rPr>
          <w:rFonts w:ascii="宋体" w:hAnsi="宋体" w:eastAsia="宋体" w:cs="宋体"/>
          <w:color w:val="auto"/>
          <w:spacing w:val="-3"/>
          <w:sz w:val="21"/>
          <w:szCs w:val="21"/>
          <w:highlight w:val="none"/>
        </w:rPr>
        <w:t>良好行为记录证明材料、投标人信用网页截图等</w:t>
      </w:r>
      <w:r>
        <w:rPr>
          <w:rFonts w:hint="eastAsia" w:ascii="宋体" w:hAnsi="宋体" w:eastAsia="宋体" w:cs="宋体"/>
          <w:color w:val="auto"/>
          <w:spacing w:val="-3"/>
          <w:sz w:val="21"/>
          <w:szCs w:val="21"/>
          <w:highlight w:val="none"/>
          <w:lang w:eastAsia="zh-CN"/>
        </w:rPr>
        <w:t>。</w:t>
      </w:r>
      <w:bookmarkStart w:id="453" w:name="bookmark292"/>
      <w:bookmarkEnd w:id="453"/>
      <w:bookmarkStart w:id="454" w:name="bookmark299"/>
      <w:bookmarkEnd w:id="454"/>
    </w:p>
    <w:sectPr>
      <w:footerReference r:id="rId8" w:type="default"/>
      <w:pgSz w:w="11907" w:h="16839"/>
      <w:pgMar w:top="1440" w:right="1800" w:bottom="1440" w:left="1800" w:header="0" w:footer="90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9101DFA-0E24-41A2-960E-9B788A0195B0}"/>
  </w:font>
  <w:font w:name="黑体">
    <w:panose1 w:val="02010609060101010101"/>
    <w:charset w:val="86"/>
    <w:family w:val="auto"/>
    <w:pitch w:val="default"/>
    <w:sig w:usb0="800002BF" w:usb1="38CF7CFA" w:usb2="00000016" w:usb3="00000000" w:csb0="00040001" w:csb1="00000000"/>
    <w:embedRegular r:id="rId2" w:fontKey="{ED1B9CD7-D23A-4760-82D8-565C90220D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3" w:fontKey="{C49CE1FD-2147-4306-A1DD-739E42513271}"/>
  </w:font>
  <w:font w:name="楷体">
    <w:panose1 w:val="02010609060101010101"/>
    <w:charset w:val="86"/>
    <w:family w:val="auto"/>
    <w:pitch w:val="default"/>
    <w:sig w:usb0="800002BF" w:usb1="38CF7CFA" w:usb2="00000016" w:usb3="00000000" w:csb0="00040001" w:csb1="00000000"/>
    <w:embedRegular r:id="rId4" w:fontKey="{519D3750-B312-43CF-88DC-083D1A5F99F6}"/>
  </w:font>
  <w:font w:name="Wingdings 2">
    <w:panose1 w:val="05020102010507070707"/>
    <w:charset w:val="02"/>
    <w:family w:val="auto"/>
    <w:pitch w:val="default"/>
    <w:sig w:usb0="00000000" w:usb1="00000000" w:usb2="00000000" w:usb3="00000000" w:csb0="80000000" w:csb1="00000000"/>
    <w:embedRegular r:id="rId5" w:fontKey="{8F2551CB-4BBA-4F54-A5EE-2A69802D3AAD}"/>
  </w:font>
  <w:font w:name="仿宋_GB2312">
    <w:panose1 w:val="02010609030101010101"/>
    <w:charset w:val="86"/>
    <w:family w:val="auto"/>
    <w:pitch w:val="default"/>
    <w:sig w:usb0="00000001" w:usb1="080E0000" w:usb2="00000000" w:usb3="00000000" w:csb0="00040000" w:csb1="00000000"/>
    <w:embedRegular r:id="rId6" w:fontKey="{F3856273-BA4C-4FAE-9A0A-AA1DC0D0EB24}"/>
  </w:font>
  <w:font w:name="Cambria Math">
    <w:panose1 w:val="02040503050406030204"/>
    <w:charset w:val="00"/>
    <w:family w:val="roman"/>
    <w:pitch w:val="default"/>
    <w:sig w:usb0="E00006FF" w:usb1="420024FF" w:usb2="02000000" w:usb3="00000000" w:csb0="2000019F" w:csb1="00000000"/>
    <w:embedRegular r:id="rId7" w:fontKey="{8F81AE51-22A2-4792-866F-A79A241AF250}"/>
  </w:font>
  <w:font w:name="_x000B__x000C_">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DF610">
    <w:pPr>
      <w:spacing w:line="174" w:lineRule="auto"/>
      <w:ind w:left="45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354B2D">
                          <w:pPr>
                            <w:pStyle w:val="1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28354B2D">
                    <w:pPr>
                      <w:pStyle w:val="1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E902">
    <w:pPr>
      <w:spacing w:line="174" w:lineRule="auto"/>
      <w:ind w:left="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283E5B">
                          <w:pPr>
                            <w:pStyle w:val="1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20283E5B">
                    <w:pPr>
                      <w:pStyle w:val="1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518E4">
    <w:pPr>
      <w:spacing w:line="174" w:lineRule="auto"/>
      <w:ind w:left="40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C740D6">
                          <w:pPr>
                            <w:pStyle w:val="1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61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54C740D6">
                    <w:pPr>
                      <w:pStyle w:val="1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61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0EE45">
    <w:pPr>
      <w:pStyle w:val="11"/>
      <w:rPr>
        <w:rFonts w:hint="eastAsia"/>
      </w:rPr>
    </w:pPr>
  </w:p>
  <w:p w14:paraId="14206DF6">
    <w:pPr>
      <w:pStyle w:val="11"/>
      <w:rPr>
        <w:rFonts w:hint="eastAsia"/>
      </w:rPr>
    </w:pPr>
  </w:p>
  <w:p w14:paraId="61A65598">
    <w:pPr>
      <w:pStyle w:val="11"/>
      <w:rPr>
        <w:rFonts w:hint="eastAsia" w:eastAsia="宋体"/>
        <w:lang w:eastAsia="zh-CN"/>
      </w:rPr>
    </w:pPr>
    <w:r>
      <w:rPr>
        <w:rFonts w:hint="eastAsia"/>
      </w:rPr>
      <w:t>农业工程施工项目招标文件示范文本（合理</w:t>
    </w:r>
    <w:r>
      <w:rPr>
        <w:rFonts w:hint="eastAsia" w:eastAsia="宋体"/>
        <w:lang w:val="en-US" w:eastAsia="zh-CN"/>
      </w:rPr>
      <w:t>低价20250401</w:t>
    </w:r>
    <w:r>
      <w:rPr>
        <w:rFonts w:hint="eastAsia" w:eastAsia="宋体"/>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CD568"/>
    <w:multiLevelType w:val="singleLevel"/>
    <w:tmpl w:val="885CD568"/>
    <w:lvl w:ilvl="0" w:tentative="0">
      <w:start w:val="2"/>
      <w:numFmt w:val="decimal"/>
      <w:suff w:val="nothing"/>
      <w:lvlText w:val="（%1）"/>
      <w:lvlJc w:val="left"/>
    </w:lvl>
  </w:abstractNum>
  <w:abstractNum w:abstractNumId="1">
    <w:nsid w:val="D2812162"/>
    <w:multiLevelType w:val="singleLevel"/>
    <w:tmpl w:val="D2812162"/>
    <w:lvl w:ilvl="0" w:tentative="0">
      <w:start w:val="2"/>
      <w:numFmt w:val="decimal"/>
      <w:lvlText w:val="%1."/>
      <w:lvlJc w:val="left"/>
      <w:pPr>
        <w:tabs>
          <w:tab w:val="left" w:pos="312"/>
        </w:tabs>
      </w:pPr>
    </w:lvl>
  </w:abstractNum>
  <w:abstractNum w:abstractNumId="2">
    <w:nsid w:val="1AAB3391"/>
    <w:multiLevelType w:val="singleLevel"/>
    <w:tmpl w:val="1AAB3391"/>
    <w:lvl w:ilvl="0" w:tentative="0">
      <w:start w:val="1"/>
      <w:numFmt w:val="decimal"/>
      <w:suff w:val="nothing"/>
      <w:lvlText w:val="（%1）"/>
      <w:lvlJc w:val="left"/>
    </w:lvl>
  </w:abstractNum>
  <w:abstractNum w:abstractNumId="3">
    <w:nsid w:val="4FA733D7"/>
    <w:multiLevelType w:val="singleLevel"/>
    <w:tmpl w:val="4FA733D7"/>
    <w:lvl w:ilvl="0" w:tentative="0">
      <w:start w:val="3"/>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mY0OWNlNWQ3Y2QzMTA2MzMxOTIxM2JkMDY5NmJlYTgifQ=="/>
  </w:docVars>
  <w:rsids>
    <w:rsidRoot w:val="00000000"/>
    <w:rsid w:val="002410F1"/>
    <w:rsid w:val="00724552"/>
    <w:rsid w:val="00942B50"/>
    <w:rsid w:val="01151196"/>
    <w:rsid w:val="014A4B87"/>
    <w:rsid w:val="01CD7566"/>
    <w:rsid w:val="023B0973"/>
    <w:rsid w:val="02902A6D"/>
    <w:rsid w:val="029C1412"/>
    <w:rsid w:val="02AE096A"/>
    <w:rsid w:val="040C0819"/>
    <w:rsid w:val="04220578"/>
    <w:rsid w:val="04272627"/>
    <w:rsid w:val="044B421A"/>
    <w:rsid w:val="04D05CEB"/>
    <w:rsid w:val="04D728EB"/>
    <w:rsid w:val="05094A1F"/>
    <w:rsid w:val="052971A9"/>
    <w:rsid w:val="05BC1DCB"/>
    <w:rsid w:val="06323C68"/>
    <w:rsid w:val="0636392C"/>
    <w:rsid w:val="065744CD"/>
    <w:rsid w:val="0659586C"/>
    <w:rsid w:val="066324C3"/>
    <w:rsid w:val="068428E9"/>
    <w:rsid w:val="06A10228"/>
    <w:rsid w:val="06AD28E0"/>
    <w:rsid w:val="06DC2725"/>
    <w:rsid w:val="072916E2"/>
    <w:rsid w:val="07E55609"/>
    <w:rsid w:val="08037A1A"/>
    <w:rsid w:val="08442553"/>
    <w:rsid w:val="08B1373D"/>
    <w:rsid w:val="08EB30F3"/>
    <w:rsid w:val="091268D2"/>
    <w:rsid w:val="09315BF5"/>
    <w:rsid w:val="096B1B3E"/>
    <w:rsid w:val="09AF7ED3"/>
    <w:rsid w:val="0A257336"/>
    <w:rsid w:val="0A314E36"/>
    <w:rsid w:val="0A382368"/>
    <w:rsid w:val="0AA675AE"/>
    <w:rsid w:val="0AF83D68"/>
    <w:rsid w:val="0B3F3C9B"/>
    <w:rsid w:val="0B4032AB"/>
    <w:rsid w:val="0B5A00BC"/>
    <w:rsid w:val="0B957346"/>
    <w:rsid w:val="0B9A670B"/>
    <w:rsid w:val="0BB84DE3"/>
    <w:rsid w:val="0BCC35FC"/>
    <w:rsid w:val="0BD25035"/>
    <w:rsid w:val="0CE94FE7"/>
    <w:rsid w:val="0D224C0A"/>
    <w:rsid w:val="0D292DC9"/>
    <w:rsid w:val="0D8E6D0D"/>
    <w:rsid w:val="0DB00467"/>
    <w:rsid w:val="0DBF68FD"/>
    <w:rsid w:val="0DE17D54"/>
    <w:rsid w:val="0DFA0202"/>
    <w:rsid w:val="0ED35847"/>
    <w:rsid w:val="0ED65CAC"/>
    <w:rsid w:val="0F2033CB"/>
    <w:rsid w:val="0F3A0931"/>
    <w:rsid w:val="10046849"/>
    <w:rsid w:val="101D790A"/>
    <w:rsid w:val="102D459C"/>
    <w:rsid w:val="105477D0"/>
    <w:rsid w:val="107000B2"/>
    <w:rsid w:val="1090499F"/>
    <w:rsid w:val="10E072B6"/>
    <w:rsid w:val="113B0990"/>
    <w:rsid w:val="118041DE"/>
    <w:rsid w:val="12445B3A"/>
    <w:rsid w:val="127B4131"/>
    <w:rsid w:val="127F665A"/>
    <w:rsid w:val="12843C71"/>
    <w:rsid w:val="12930AFC"/>
    <w:rsid w:val="130124A4"/>
    <w:rsid w:val="13D12EE6"/>
    <w:rsid w:val="13E744B7"/>
    <w:rsid w:val="14531B4D"/>
    <w:rsid w:val="149D6F99"/>
    <w:rsid w:val="151970B2"/>
    <w:rsid w:val="152D6842"/>
    <w:rsid w:val="155B0F02"/>
    <w:rsid w:val="1565422D"/>
    <w:rsid w:val="163A7F08"/>
    <w:rsid w:val="166167A3"/>
    <w:rsid w:val="16A86080"/>
    <w:rsid w:val="16F47617"/>
    <w:rsid w:val="16FF1700"/>
    <w:rsid w:val="172123D6"/>
    <w:rsid w:val="173348D1"/>
    <w:rsid w:val="17FF2717"/>
    <w:rsid w:val="183E4550"/>
    <w:rsid w:val="183E512D"/>
    <w:rsid w:val="184E0372"/>
    <w:rsid w:val="18C33745"/>
    <w:rsid w:val="19676254"/>
    <w:rsid w:val="19782558"/>
    <w:rsid w:val="19EA348A"/>
    <w:rsid w:val="1A0F29BA"/>
    <w:rsid w:val="1A1917B3"/>
    <w:rsid w:val="1A494CA3"/>
    <w:rsid w:val="1AAB4490"/>
    <w:rsid w:val="1AEE0821"/>
    <w:rsid w:val="1AFD02C9"/>
    <w:rsid w:val="1B495A57"/>
    <w:rsid w:val="1BF34341"/>
    <w:rsid w:val="1CDB6B83"/>
    <w:rsid w:val="1D1964B6"/>
    <w:rsid w:val="1E3649B9"/>
    <w:rsid w:val="1E390005"/>
    <w:rsid w:val="1E403142"/>
    <w:rsid w:val="1E7B061E"/>
    <w:rsid w:val="1E9813BF"/>
    <w:rsid w:val="1EEE2A35"/>
    <w:rsid w:val="1F44616C"/>
    <w:rsid w:val="1F9A1234"/>
    <w:rsid w:val="1FDC6261"/>
    <w:rsid w:val="200230F1"/>
    <w:rsid w:val="201E3BAA"/>
    <w:rsid w:val="202F3684"/>
    <w:rsid w:val="203F02AF"/>
    <w:rsid w:val="2041336D"/>
    <w:rsid w:val="20436F19"/>
    <w:rsid w:val="21353FAA"/>
    <w:rsid w:val="215F7D83"/>
    <w:rsid w:val="21764E65"/>
    <w:rsid w:val="21826735"/>
    <w:rsid w:val="222B5EB7"/>
    <w:rsid w:val="22456F79"/>
    <w:rsid w:val="22715FC0"/>
    <w:rsid w:val="227B0BEC"/>
    <w:rsid w:val="22C34341"/>
    <w:rsid w:val="230F1167"/>
    <w:rsid w:val="237733D9"/>
    <w:rsid w:val="23A55F86"/>
    <w:rsid w:val="23C71C0F"/>
    <w:rsid w:val="23DC2959"/>
    <w:rsid w:val="243C084F"/>
    <w:rsid w:val="24961D0D"/>
    <w:rsid w:val="24FE03C2"/>
    <w:rsid w:val="25D21D06"/>
    <w:rsid w:val="25DC0D40"/>
    <w:rsid w:val="26773DC1"/>
    <w:rsid w:val="267B585C"/>
    <w:rsid w:val="26906C30"/>
    <w:rsid w:val="26C50688"/>
    <w:rsid w:val="2729330D"/>
    <w:rsid w:val="27816C7E"/>
    <w:rsid w:val="278C564A"/>
    <w:rsid w:val="279276BA"/>
    <w:rsid w:val="279B763B"/>
    <w:rsid w:val="27B801ED"/>
    <w:rsid w:val="27BD3A55"/>
    <w:rsid w:val="28120F00"/>
    <w:rsid w:val="281966A8"/>
    <w:rsid w:val="28261BFA"/>
    <w:rsid w:val="28920A3E"/>
    <w:rsid w:val="29A30A29"/>
    <w:rsid w:val="29ED6C5C"/>
    <w:rsid w:val="29F23E8A"/>
    <w:rsid w:val="2A787A01"/>
    <w:rsid w:val="2ABA5D17"/>
    <w:rsid w:val="2AE714A4"/>
    <w:rsid w:val="2AF459E0"/>
    <w:rsid w:val="2AF95979"/>
    <w:rsid w:val="2B2B6F28"/>
    <w:rsid w:val="2B7F6B4B"/>
    <w:rsid w:val="2BE75544"/>
    <w:rsid w:val="2C78619D"/>
    <w:rsid w:val="2D021B5F"/>
    <w:rsid w:val="2D4C6366"/>
    <w:rsid w:val="2D9C2B26"/>
    <w:rsid w:val="2D9E60D7"/>
    <w:rsid w:val="2DC215DE"/>
    <w:rsid w:val="2DDD09AD"/>
    <w:rsid w:val="2DE50FA9"/>
    <w:rsid w:val="2E6E3F01"/>
    <w:rsid w:val="2EA86F3B"/>
    <w:rsid w:val="2ED753FC"/>
    <w:rsid w:val="2EDD678B"/>
    <w:rsid w:val="2EFA289E"/>
    <w:rsid w:val="2FAA124C"/>
    <w:rsid w:val="2FEE37A2"/>
    <w:rsid w:val="2FFF10AF"/>
    <w:rsid w:val="30004E27"/>
    <w:rsid w:val="30EF00AD"/>
    <w:rsid w:val="313528AE"/>
    <w:rsid w:val="31763C33"/>
    <w:rsid w:val="31807FCD"/>
    <w:rsid w:val="318D6246"/>
    <w:rsid w:val="32146967"/>
    <w:rsid w:val="323C02EE"/>
    <w:rsid w:val="325D3E6B"/>
    <w:rsid w:val="32B819E9"/>
    <w:rsid w:val="32BB6DE3"/>
    <w:rsid w:val="339733AC"/>
    <w:rsid w:val="33B37BC3"/>
    <w:rsid w:val="33C341A1"/>
    <w:rsid w:val="343435B3"/>
    <w:rsid w:val="34592D57"/>
    <w:rsid w:val="34767465"/>
    <w:rsid w:val="34A63039"/>
    <w:rsid w:val="34E05B19"/>
    <w:rsid w:val="35490D4A"/>
    <w:rsid w:val="35FA7C22"/>
    <w:rsid w:val="364254CA"/>
    <w:rsid w:val="36895295"/>
    <w:rsid w:val="369B7657"/>
    <w:rsid w:val="36A75FFC"/>
    <w:rsid w:val="36AA1648"/>
    <w:rsid w:val="36EF52AD"/>
    <w:rsid w:val="37407074"/>
    <w:rsid w:val="37873738"/>
    <w:rsid w:val="37A12A4B"/>
    <w:rsid w:val="383438BF"/>
    <w:rsid w:val="38353194"/>
    <w:rsid w:val="388F6BBD"/>
    <w:rsid w:val="39BF4FCC"/>
    <w:rsid w:val="3A2B2AA0"/>
    <w:rsid w:val="3A2B484E"/>
    <w:rsid w:val="3A341844"/>
    <w:rsid w:val="3A970136"/>
    <w:rsid w:val="3AB962FE"/>
    <w:rsid w:val="3ADB6274"/>
    <w:rsid w:val="3B191E86"/>
    <w:rsid w:val="3B3F018E"/>
    <w:rsid w:val="3B4958D4"/>
    <w:rsid w:val="3B8C62A3"/>
    <w:rsid w:val="3B8E32E7"/>
    <w:rsid w:val="3B9B72DD"/>
    <w:rsid w:val="3BD42AEF"/>
    <w:rsid w:val="3BF911BF"/>
    <w:rsid w:val="3BFC46F4"/>
    <w:rsid w:val="3CBF57BA"/>
    <w:rsid w:val="3CCD6091"/>
    <w:rsid w:val="3E0368E3"/>
    <w:rsid w:val="3E1C5380"/>
    <w:rsid w:val="3E9A1FA2"/>
    <w:rsid w:val="3F6E0157"/>
    <w:rsid w:val="3F6E3B5B"/>
    <w:rsid w:val="40322DDA"/>
    <w:rsid w:val="407A535C"/>
    <w:rsid w:val="40AD06B3"/>
    <w:rsid w:val="410127AD"/>
    <w:rsid w:val="41B55D1B"/>
    <w:rsid w:val="42051A04"/>
    <w:rsid w:val="425D3361"/>
    <w:rsid w:val="42641519"/>
    <w:rsid w:val="42B0448A"/>
    <w:rsid w:val="43193F82"/>
    <w:rsid w:val="43560B8E"/>
    <w:rsid w:val="436B215F"/>
    <w:rsid w:val="43EB6C4A"/>
    <w:rsid w:val="44CC1167"/>
    <w:rsid w:val="450E5498"/>
    <w:rsid w:val="456B4699"/>
    <w:rsid w:val="45BE2A1A"/>
    <w:rsid w:val="45D81DE2"/>
    <w:rsid w:val="46EE48CC"/>
    <w:rsid w:val="46F10BCE"/>
    <w:rsid w:val="473E0275"/>
    <w:rsid w:val="477A04AC"/>
    <w:rsid w:val="47852B50"/>
    <w:rsid w:val="479B74B7"/>
    <w:rsid w:val="47A5259D"/>
    <w:rsid w:val="490746D8"/>
    <w:rsid w:val="494A2C73"/>
    <w:rsid w:val="496C3222"/>
    <w:rsid w:val="49885819"/>
    <w:rsid w:val="49BC1967"/>
    <w:rsid w:val="49CA0FAD"/>
    <w:rsid w:val="4A111CB3"/>
    <w:rsid w:val="4A154C94"/>
    <w:rsid w:val="4A8F2BD7"/>
    <w:rsid w:val="4B3225AC"/>
    <w:rsid w:val="4B35552D"/>
    <w:rsid w:val="4B7F5179"/>
    <w:rsid w:val="4BCF3098"/>
    <w:rsid w:val="4C2D20AF"/>
    <w:rsid w:val="4C5F3864"/>
    <w:rsid w:val="4C617C94"/>
    <w:rsid w:val="4CC052CA"/>
    <w:rsid w:val="4CF136D5"/>
    <w:rsid w:val="4D1B4BF6"/>
    <w:rsid w:val="4E0A168C"/>
    <w:rsid w:val="4E4C388B"/>
    <w:rsid w:val="4E524648"/>
    <w:rsid w:val="4ED96776"/>
    <w:rsid w:val="4EEE3181"/>
    <w:rsid w:val="4F3C6238"/>
    <w:rsid w:val="4F843AC1"/>
    <w:rsid w:val="4F8C5937"/>
    <w:rsid w:val="4F9D1B16"/>
    <w:rsid w:val="4FBC621D"/>
    <w:rsid w:val="4FDF63AF"/>
    <w:rsid w:val="4FE63299"/>
    <w:rsid w:val="50017590"/>
    <w:rsid w:val="50150863"/>
    <w:rsid w:val="50716043"/>
    <w:rsid w:val="50724B2D"/>
    <w:rsid w:val="507F17D3"/>
    <w:rsid w:val="50804090"/>
    <w:rsid w:val="51383FC9"/>
    <w:rsid w:val="5139564B"/>
    <w:rsid w:val="51C70EA9"/>
    <w:rsid w:val="51E90E1F"/>
    <w:rsid w:val="52154215"/>
    <w:rsid w:val="522E0650"/>
    <w:rsid w:val="523429E2"/>
    <w:rsid w:val="52391DA6"/>
    <w:rsid w:val="526F7182"/>
    <w:rsid w:val="531243A6"/>
    <w:rsid w:val="534D53DE"/>
    <w:rsid w:val="539F20DD"/>
    <w:rsid w:val="53A476F3"/>
    <w:rsid w:val="53AB6CD4"/>
    <w:rsid w:val="543E0798"/>
    <w:rsid w:val="54510E06"/>
    <w:rsid w:val="546724CF"/>
    <w:rsid w:val="54770964"/>
    <w:rsid w:val="54D4058A"/>
    <w:rsid w:val="54D82636"/>
    <w:rsid w:val="54F65186"/>
    <w:rsid w:val="55886BA1"/>
    <w:rsid w:val="559A2991"/>
    <w:rsid w:val="55BF3D74"/>
    <w:rsid w:val="55D818D6"/>
    <w:rsid w:val="56755377"/>
    <w:rsid w:val="567E2BBD"/>
    <w:rsid w:val="57925AB5"/>
    <w:rsid w:val="5798756F"/>
    <w:rsid w:val="579D677C"/>
    <w:rsid w:val="57CC7219"/>
    <w:rsid w:val="580B5F93"/>
    <w:rsid w:val="590A1D69"/>
    <w:rsid w:val="592D018B"/>
    <w:rsid w:val="59701E26"/>
    <w:rsid w:val="59FD1A22"/>
    <w:rsid w:val="5A025174"/>
    <w:rsid w:val="5A8A7355"/>
    <w:rsid w:val="5ADD34EB"/>
    <w:rsid w:val="5B411CCC"/>
    <w:rsid w:val="5B615ECA"/>
    <w:rsid w:val="5C067377"/>
    <w:rsid w:val="5C0C504E"/>
    <w:rsid w:val="5C14118E"/>
    <w:rsid w:val="5C2A35EB"/>
    <w:rsid w:val="5C4C048C"/>
    <w:rsid w:val="5C711E03"/>
    <w:rsid w:val="5CD94447"/>
    <w:rsid w:val="5D4D7217"/>
    <w:rsid w:val="5D647EF4"/>
    <w:rsid w:val="5E0F1C0D"/>
    <w:rsid w:val="5E622685"/>
    <w:rsid w:val="5E800D5D"/>
    <w:rsid w:val="5EF17565"/>
    <w:rsid w:val="5F0F7CFF"/>
    <w:rsid w:val="5F345E70"/>
    <w:rsid w:val="5F4B136B"/>
    <w:rsid w:val="5F6669D5"/>
    <w:rsid w:val="5FED41D0"/>
    <w:rsid w:val="60076D0D"/>
    <w:rsid w:val="601142C7"/>
    <w:rsid w:val="60C50CA9"/>
    <w:rsid w:val="61300818"/>
    <w:rsid w:val="61363D34"/>
    <w:rsid w:val="6155027F"/>
    <w:rsid w:val="61B7569E"/>
    <w:rsid w:val="620A72BB"/>
    <w:rsid w:val="629B6165"/>
    <w:rsid w:val="629E7A04"/>
    <w:rsid w:val="62BC48F2"/>
    <w:rsid w:val="62FF591F"/>
    <w:rsid w:val="6305276E"/>
    <w:rsid w:val="633A0C85"/>
    <w:rsid w:val="63902038"/>
    <w:rsid w:val="63DD630A"/>
    <w:rsid w:val="63EE0517"/>
    <w:rsid w:val="642A49C1"/>
    <w:rsid w:val="644A32FB"/>
    <w:rsid w:val="645C1924"/>
    <w:rsid w:val="653647A3"/>
    <w:rsid w:val="659375C8"/>
    <w:rsid w:val="65AF61C2"/>
    <w:rsid w:val="65FC7201"/>
    <w:rsid w:val="661F0E5C"/>
    <w:rsid w:val="66342B59"/>
    <w:rsid w:val="66A6332B"/>
    <w:rsid w:val="67435A24"/>
    <w:rsid w:val="67490287"/>
    <w:rsid w:val="67B6396A"/>
    <w:rsid w:val="67BE5676"/>
    <w:rsid w:val="67FB3202"/>
    <w:rsid w:val="67FE19E3"/>
    <w:rsid w:val="680D345C"/>
    <w:rsid w:val="684D7F02"/>
    <w:rsid w:val="68655FB9"/>
    <w:rsid w:val="687150F2"/>
    <w:rsid w:val="68AA5354"/>
    <w:rsid w:val="68C10D58"/>
    <w:rsid w:val="68DC4DE2"/>
    <w:rsid w:val="69794D27"/>
    <w:rsid w:val="6A044156"/>
    <w:rsid w:val="6A2A0B1F"/>
    <w:rsid w:val="6A753740"/>
    <w:rsid w:val="6A8B3CB8"/>
    <w:rsid w:val="6A9D7623"/>
    <w:rsid w:val="6AF164A8"/>
    <w:rsid w:val="6B0C2D85"/>
    <w:rsid w:val="6B225676"/>
    <w:rsid w:val="6B511155"/>
    <w:rsid w:val="6BD66460"/>
    <w:rsid w:val="6C423AF6"/>
    <w:rsid w:val="6C6B7B5E"/>
    <w:rsid w:val="6C77188C"/>
    <w:rsid w:val="6C937EAD"/>
    <w:rsid w:val="6CC079EF"/>
    <w:rsid w:val="6CDA5CA5"/>
    <w:rsid w:val="6D1E3C1B"/>
    <w:rsid w:val="6D2A6A64"/>
    <w:rsid w:val="6E124509"/>
    <w:rsid w:val="6F0350B8"/>
    <w:rsid w:val="6F433C72"/>
    <w:rsid w:val="6F455D89"/>
    <w:rsid w:val="6F8412B8"/>
    <w:rsid w:val="6FB673C8"/>
    <w:rsid w:val="6FC767EC"/>
    <w:rsid w:val="702766B0"/>
    <w:rsid w:val="70651B61"/>
    <w:rsid w:val="707B75D6"/>
    <w:rsid w:val="70E92897"/>
    <w:rsid w:val="710B6677"/>
    <w:rsid w:val="719A09DE"/>
    <w:rsid w:val="71A072F4"/>
    <w:rsid w:val="71A2029D"/>
    <w:rsid w:val="71B26AD7"/>
    <w:rsid w:val="72136F04"/>
    <w:rsid w:val="72A44BC2"/>
    <w:rsid w:val="72E2393D"/>
    <w:rsid w:val="730F2642"/>
    <w:rsid w:val="732B7092"/>
    <w:rsid w:val="73AD044F"/>
    <w:rsid w:val="73AD33A8"/>
    <w:rsid w:val="73C848E1"/>
    <w:rsid w:val="740F250F"/>
    <w:rsid w:val="742F36BA"/>
    <w:rsid w:val="74B5693C"/>
    <w:rsid w:val="74E74B66"/>
    <w:rsid w:val="75080E4F"/>
    <w:rsid w:val="75877115"/>
    <w:rsid w:val="75BA64AB"/>
    <w:rsid w:val="76452218"/>
    <w:rsid w:val="768B1469"/>
    <w:rsid w:val="76AB4747"/>
    <w:rsid w:val="76C27D0D"/>
    <w:rsid w:val="77132317"/>
    <w:rsid w:val="77533239"/>
    <w:rsid w:val="78221AC2"/>
    <w:rsid w:val="783E7FCF"/>
    <w:rsid w:val="784B788E"/>
    <w:rsid w:val="78767724"/>
    <w:rsid w:val="78C57641"/>
    <w:rsid w:val="78DB6E64"/>
    <w:rsid w:val="79424897"/>
    <w:rsid w:val="79A67472"/>
    <w:rsid w:val="79C51FFB"/>
    <w:rsid w:val="7A105888"/>
    <w:rsid w:val="7A340F22"/>
    <w:rsid w:val="7A573986"/>
    <w:rsid w:val="7AD63D87"/>
    <w:rsid w:val="7AFE508C"/>
    <w:rsid w:val="7B430ADD"/>
    <w:rsid w:val="7B5433EF"/>
    <w:rsid w:val="7C756CF1"/>
    <w:rsid w:val="7CC145C3"/>
    <w:rsid w:val="7D1A2FE3"/>
    <w:rsid w:val="7D562F5D"/>
    <w:rsid w:val="7D7E4262"/>
    <w:rsid w:val="7D986F5E"/>
    <w:rsid w:val="7DBD122E"/>
    <w:rsid w:val="7DDC16B6"/>
    <w:rsid w:val="7E662974"/>
    <w:rsid w:val="7E7B3A68"/>
    <w:rsid w:val="7E8B4E88"/>
    <w:rsid w:val="7EA05FDE"/>
    <w:rsid w:val="7EAB72D9"/>
    <w:rsid w:val="7EFF74BD"/>
    <w:rsid w:val="7F8518D8"/>
    <w:rsid w:val="7FC515EC"/>
    <w:rsid w:val="7FD665D7"/>
    <w:rsid w:val="7FE012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2"/>
    <w:basedOn w:val="1"/>
    <w:next w:val="1"/>
    <w:link w:val="33"/>
    <w:autoRedefine/>
    <w:semiHidden/>
    <w:unhideWhenUsed/>
    <w:qFormat/>
    <w:uiPriority w:val="0"/>
    <w:pPr>
      <w:keepNext/>
      <w:keepLines/>
      <w:widowControl w:val="0"/>
      <w:suppressLineNumbers w:val="0"/>
      <w:adjustRightInd w:val="0"/>
      <w:snapToGrid w:val="0"/>
      <w:spacing w:before="0" w:beforeLines="50" w:beforeAutospacing="0" w:after="0" w:afterAutospacing="0" w:line="360" w:lineRule="auto"/>
      <w:ind w:left="0" w:right="0"/>
      <w:jc w:val="center"/>
      <w:outlineLvl w:val="1"/>
    </w:pPr>
    <w:rPr>
      <w:rFonts w:ascii="Arial" w:hAnsi="Arial" w:eastAsia="宋体" w:cs="Times New Roman"/>
      <w:b/>
      <w:bCs/>
      <w:kern w:val="2"/>
      <w:sz w:val="32"/>
      <w:szCs w:val="32"/>
      <w:lang w:val="en-US" w:eastAsia="zh-CN" w:bidi="ar"/>
    </w:rPr>
  </w:style>
  <w:style w:type="paragraph" w:styleId="6">
    <w:name w:val="heading 3"/>
    <w:basedOn w:val="1"/>
    <w:next w:val="1"/>
    <w:link w:val="31"/>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autoRedefine/>
    <w:semiHidden/>
    <w:qFormat/>
    <w:uiPriority w:val="0"/>
  </w:style>
  <w:style w:type="table" w:default="1" w:styleId="1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line="540" w:lineRule="exact"/>
      <w:ind w:left="-10" w:leftChars="-5" w:firstLine="640"/>
    </w:pPr>
    <w:rPr>
      <w:rFonts w:ascii="宋体" w:hAnsi="宋体"/>
      <w:kern w:val="28"/>
      <w:sz w:val="32"/>
    </w:rPr>
  </w:style>
  <w:style w:type="paragraph" w:styleId="4">
    <w:name w:val="envelope return"/>
    <w:basedOn w:val="1"/>
    <w:qFormat/>
    <w:uiPriority w:val="99"/>
    <w:pPr>
      <w:snapToGrid w:val="0"/>
    </w:pPr>
    <w:rPr>
      <w:rFonts w:ascii="Arial" w:hAnsi="Arial"/>
    </w:rPr>
  </w:style>
  <w:style w:type="paragraph" w:styleId="7">
    <w:name w:val="Normal Indent"/>
    <w:basedOn w:val="1"/>
    <w:qFormat/>
    <w:uiPriority w:val="99"/>
    <w:pPr>
      <w:ind w:firstLine="420" w:firstLineChars="200"/>
    </w:pPr>
  </w:style>
  <w:style w:type="paragraph" w:styleId="8">
    <w:name w:val="Body Text"/>
    <w:basedOn w:val="1"/>
    <w:autoRedefine/>
    <w:semiHidden/>
    <w:qFormat/>
    <w:uiPriority w:val="0"/>
    <w:rPr>
      <w:rFonts w:ascii="FangSong_GB2312" w:hAnsi="FangSong_GB2312" w:eastAsia="FangSong_GB2312" w:cs="FangSong_GB2312"/>
      <w:sz w:val="31"/>
      <w:szCs w:val="31"/>
      <w:lang w:val="en-US" w:eastAsia="en-US" w:bidi="ar-SA"/>
    </w:rPr>
  </w:style>
  <w:style w:type="paragraph" w:styleId="9">
    <w:name w:val="toc 3"/>
    <w:basedOn w:val="1"/>
    <w:next w:val="1"/>
    <w:autoRedefine/>
    <w:qFormat/>
    <w:uiPriority w:val="0"/>
    <w:pPr>
      <w:ind w:left="840" w:leftChars="400"/>
    </w:pPr>
  </w:style>
  <w:style w:type="paragraph" w:styleId="10">
    <w:name w:val="footer"/>
    <w:basedOn w:val="1"/>
    <w:link w:val="35"/>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bCs/>
    </w:rPr>
  </w:style>
  <w:style w:type="character" w:styleId="18">
    <w:name w:val="FollowedHyperlink"/>
    <w:basedOn w:val="16"/>
    <w:autoRedefine/>
    <w:qFormat/>
    <w:uiPriority w:val="0"/>
    <w:rPr>
      <w:color w:val="800080"/>
      <w:u w:val="none"/>
    </w:rPr>
  </w:style>
  <w:style w:type="character" w:styleId="19">
    <w:name w:val="Emphasis"/>
    <w:basedOn w:val="16"/>
    <w:autoRedefine/>
    <w:qFormat/>
    <w:uiPriority w:val="0"/>
  </w:style>
  <w:style w:type="character" w:styleId="20">
    <w:name w:val="HTML Definition"/>
    <w:basedOn w:val="16"/>
    <w:autoRedefine/>
    <w:qFormat/>
    <w:uiPriority w:val="0"/>
  </w:style>
  <w:style w:type="character" w:styleId="21">
    <w:name w:val="HTML Typewriter"/>
    <w:basedOn w:val="16"/>
    <w:autoRedefine/>
    <w:qFormat/>
    <w:uiPriority w:val="0"/>
    <w:rPr>
      <w:rFonts w:hint="default" w:ascii="monospace" w:hAnsi="monospace" w:eastAsia="monospace" w:cs="monospace"/>
      <w:sz w:val="20"/>
    </w:rPr>
  </w:style>
  <w:style w:type="character" w:styleId="22">
    <w:name w:val="HTML Acronym"/>
    <w:basedOn w:val="16"/>
    <w:autoRedefine/>
    <w:qFormat/>
    <w:uiPriority w:val="0"/>
  </w:style>
  <w:style w:type="character" w:styleId="23">
    <w:name w:val="HTML Variable"/>
    <w:basedOn w:val="16"/>
    <w:autoRedefine/>
    <w:qFormat/>
    <w:uiPriority w:val="0"/>
  </w:style>
  <w:style w:type="character" w:styleId="24">
    <w:name w:val="Hyperlink"/>
    <w:basedOn w:val="16"/>
    <w:autoRedefine/>
    <w:qFormat/>
    <w:uiPriority w:val="0"/>
    <w:rPr>
      <w:color w:val="0000FF"/>
      <w:u w:val="none"/>
    </w:rPr>
  </w:style>
  <w:style w:type="character" w:styleId="25">
    <w:name w:val="HTML Code"/>
    <w:basedOn w:val="16"/>
    <w:autoRedefine/>
    <w:qFormat/>
    <w:uiPriority w:val="0"/>
    <w:rPr>
      <w:rFonts w:ascii="monospace" w:hAnsi="monospace" w:eastAsia="monospace" w:cs="monospace"/>
      <w:sz w:val="20"/>
    </w:rPr>
  </w:style>
  <w:style w:type="character" w:styleId="26">
    <w:name w:val="HTML Cite"/>
    <w:basedOn w:val="16"/>
    <w:autoRedefine/>
    <w:qFormat/>
    <w:uiPriority w:val="0"/>
  </w:style>
  <w:style w:type="character" w:styleId="27">
    <w:name w:val="HTML Keyboard"/>
    <w:basedOn w:val="16"/>
    <w:autoRedefine/>
    <w:qFormat/>
    <w:uiPriority w:val="0"/>
    <w:rPr>
      <w:rFonts w:hint="default" w:ascii="monospace" w:hAnsi="monospace" w:eastAsia="monospace" w:cs="monospace"/>
      <w:sz w:val="20"/>
    </w:rPr>
  </w:style>
  <w:style w:type="character" w:styleId="28">
    <w:name w:val="HTML Sample"/>
    <w:basedOn w:val="16"/>
    <w:autoRedefine/>
    <w:qFormat/>
    <w:uiPriority w:val="0"/>
    <w:rPr>
      <w:rFonts w:hint="default" w:ascii="monospace" w:hAnsi="monospace" w:eastAsia="monospace" w:cs="monospace"/>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Table Text"/>
    <w:basedOn w:val="1"/>
    <w:autoRedefine/>
    <w:semiHidden/>
    <w:qFormat/>
    <w:uiPriority w:val="0"/>
    <w:rPr>
      <w:rFonts w:ascii="宋体" w:hAnsi="宋体" w:eastAsia="宋体" w:cs="宋体"/>
      <w:sz w:val="21"/>
      <w:szCs w:val="21"/>
      <w:lang w:val="en-US" w:eastAsia="en-US" w:bidi="ar-SA"/>
    </w:rPr>
  </w:style>
  <w:style w:type="character" w:customStyle="1" w:styleId="31">
    <w:name w:val="标题 3 字符"/>
    <w:basedOn w:val="16"/>
    <w:link w:val="6"/>
    <w:autoRedefine/>
    <w:qFormat/>
    <w:uiPriority w:val="0"/>
    <w:rPr>
      <w:b/>
      <w:bCs/>
      <w:kern w:val="2"/>
      <w:sz w:val="32"/>
      <w:szCs w:val="32"/>
    </w:rPr>
  </w:style>
  <w:style w:type="paragraph" w:customStyle="1" w:styleId="32">
    <w:name w:val="msolistparagraph"/>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33">
    <w:name w:val="标题 2 字符"/>
    <w:basedOn w:val="16"/>
    <w:link w:val="5"/>
    <w:autoRedefine/>
    <w:qFormat/>
    <w:uiPriority w:val="0"/>
    <w:rPr>
      <w:rFonts w:hint="default" w:ascii="Arial" w:hAnsi="Arial" w:cs="Arial"/>
      <w:b/>
      <w:bCs/>
      <w:kern w:val="2"/>
      <w:sz w:val="32"/>
      <w:szCs w:val="32"/>
    </w:rPr>
  </w:style>
  <w:style w:type="paragraph" w:customStyle="1" w:styleId="34">
    <w:name w:val="正文_0"/>
    <w:basedOn w:val="1"/>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customStyle="1" w:styleId="35">
    <w:name w:val="页脚 字符"/>
    <w:basedOn w:val="16"/>
    <w:link w:val="10"/>
    <w:autoRedefine/>
    <w:qFormat/>
    <w:uiPriority w:val="0"/>
    <w:rPr>
      <w:kern w:val="2"/>
      <w:sz w:val="18"/>
      <w:szCs w:val="18"/>
    </w:rPr>
  </w:style>
  <w:style w:type="paragraph" w:customStyle="1" w:styleId="36">
    <w:name w:val="三级标题目录样式"/>
    <w:basedOn w:val="1"/>
    <w:next w:val="1"/>
    <w:autoRedefine/>
    <w:qFormat/>
    <w:uiPriority w:val="0"/>
    <w:pPr>
      <w:keepNext/>
      <w:keepLines/>
      <w:spacing w:before="100" w:beforeLines="100" w:after="100" w:afterLines="100"/>
      <w:jc w:val="center"/>
      <w:outlineLvl w:val="1"/>
    </w:pPr>
    <w:rPr>
      <w:rFonts w:hint="eastAsia" w:ascii="宋体" w:hAnsi="宋体" w:eastAsia="黑体" w:cs="宋体"/>
      <w:sz w:val="24"/>
      <w:szCs w:val="32"/>
    </w:rPr>
  </w:style>
  <w:style w:type="character" w:customStyle="1" w:styleId="37">
    <w:name w:val="目录样式二级标题 Char"/>
    <w:link w:val="38"/>
    <w:autoRedefine/>
    <w:qFormat/>
    <w:uiPriority w:val="0"/>
    <w:rPr>
      <w:rFonts w:hint="eastAsia" w:ascii="宋体" w:hAnsi="宋体" w:eastAsia="黑体" w:cs="宋体"/>
      <w:sz w:val="32"/>
      <w:szCs w:val="32"/>
    </w:rPr>
  </w:style>
  <w:style w:type="paragraph" w:customStyle="1" w:styleId="38">
    <w:name w:val="二级标题目录样式"/>
    <w:basedOn w:val="1"/>
    <w:next w:val="1"/>
    <w:link w:val="37"/>
    <w:autoRedefine/>
    <w:qFormat/>
    <w:uiPriority w:val="0"/>
    <w:pPr>
      <w:keepNext/>
      <w:keepLines/>
      <w:spacing w:before="100" w:beforeLines="100" w:after="100" w:afterLines="100"/>
      <w:jc w:val="center"/>
      <w:outlineLvl w:val="1"/>
    </w:pPr>
    <w:rPr>
      <w:rFonts w:hint="eastAsia" w:ascii="宋体" w:hAnsi="宋体" w:eastAsia="黑体" w:cs="宋体"/>
      <w:sz w:val="32"/>
      <w:szCs w:val="32"/>
    </w:rPr>
  </w:style>
  <w:style w:type="paragraph" w:customStyle="1" w:styleId="39">
    <w:name w:val="正文_3"/>
    <w:basedOn w:val="1"/>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paragraph" w:customStyle="1" w:styleId="40">
    <w:name w:val="WPSOffice手动目录 1"/>
    <w:autoRedefine/>
    <w:qFormat/>
    <w:uiPriority w:val="0"/>
    <w:pPr>
      <w:ind w:leftChars="0"/>
    </w:pPr>
    <w:rPr>
      <w:rFonts w:ascii="Times New Roman" w:hAnsi="Times New Roman" w:eastAsia="宋体" w:cs="Times New Roman"/>
      <w:sz w:val="20"/>
      <w:szCs w:val="20"/>
    </w:rPr>
  </w:style>
  <w:style w:type="paragraph" w:customStyle="1" w:styleId="41">
    <w:name w:val="WPSOffice手动目录 2"/>
    <w:autoRedefine/>
    <w:qFormat/>
    <w:uiPriority w:val="0"/>
    <w:pPr>
      <w:ind w:leftChars="200"/>
    </w:pPr>
    <w:rPr>
      <w:rFonts w:ascii="Times New Roman" w:hAnsi="Times New Roman" w:eastAsia="宋体" w:cs="Times New Roman"/>
      <w:sz w:val="20"/>
      <w:szCs w:val="20"/>
    </w:rPr>
  </w:style>
  <w:style w:type="paragraph" w:customStyle="1" w:styleId="42">
    <w:name w:val="WPSOffice手动目录 3"/>
    <w:autoRedefine/>
    <w:qFormat/>
    <w:uiPriority w:val="0"/>
    <w:pPr>
      <w:ind w:leftChars="400"/>
    </w:pPr>
    <w:rPr>
      <w:rFonts w:ascii="Times New Roman" w:hAnsi="Times New Roman" w:eastAsia="宋体" w:cs="Times New Roman"/>
      <w:sz w:val="20"/>
      <w:szCs w:val="20"/>
    </w:rPr>
  </w:style>
  <w:style w:type="paragraph" w:customStyle="1" w:styleId="43">
    <w:name w:val="文本正文"/>
    <w:basedOn w:val="1"/>
    <w:qFormat/>
    <w:uiPriority w:val="0"/>
    <w:pPr>
      <w:adjustRightInd w:val="0"/>
      <w:snapToGrid w:val="0"/>
      <w:spacing w:line="360" w:lineRule="auto"/>
      <w:ind w:firstLine="480" w:firstLineChars="200"/>
    </w:pPr>
    <w:rPr>
      <w:rFonts w:hint="eastAsia" w:ascii="仿宋" w:hAnsi="仿宋" w:eastAsia="仿宋" w:cs="仿宋"/>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41"/>
    <customShpInfo spid="_x0000_s1042"/>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164</Pages>
  <Words>9457</Words>
  <Characters>10416</Characters>
  <TotalTime>15</TotalTime>
  <ScaleCrop>false</ScaleCrop>
  <LinksUpToDate>false</LinksUpToDate>
  <CharactersWithSpaces>10773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2025-02-24T11:37:00Z</dcterms:created>
  <dc:creator>snwf</dc:creator>
  <cp:lastModifiedBy>陈祥</cp:lastModifiedBy>
  <cp:lastPrinted>2025-05-13T03:17:00Z</cp:lastPrinted>
  <dcterms:modified xsi:type="dcterms:W3CDTF">2025-05-21T00:20:43Z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2025-02-26T10:48:29Z</vt:filetime>
  </property>
  <property fmtid="{D5CDD505-2E9C-101B-9397-08002B2CF9AE}" pid="4" name="KSOTemplateDocerSaveRecord">
    <vt:lpwstr>eyJoZGlkIjoiNGUyMDcwNjYyOWQyMjJlN2NlOTgyZjE5NGRiMTNiM2YiLCJ1c2VySWQiOiIxNTc0MjM0NTYxIn0=</vt:lpwstr>
  </property>
  <property fmtid="{D5CDD505-2E9C-101B-9397-08002B2CF9AE}" pid="5" name="KSOProductBuildVer">
    <vt:lpwstr>2052-12.1.0.20784</vt:lpwstr>
  </property>
  <property fmtid="{D5CDD505-2E9C-101B-9397-08002B2CF9AE}" pid="6" name="ICV">
    <vt:lpwstr>46719F8E3A5A4D029D3D5AB588A0C4CD_12</vt:lpwstr>
  </property>
</Properties>
</file>