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AE4A2"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</w:rPr>
        <w:t>采购需求</w:t>
      </w:r>
    </w:p>
    <w:p w14:paraId="4722EC6B"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 w14:paraId="2862A3D3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1.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根据《关于规范政府采购进口产品有关工作的通知》及政府采购管理部门的相关规定，下列采购需求中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标注进口产品的货物均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已履行相关论证手续，经核准采购进口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产品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，但不限制满足询价通知书要求的国内产品参与竞争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。未标注进口产品的货物均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为拒绝采购进口产品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</w:t>
      </w:r>
    </w:p>
    <w:p w14:paraId="6766FA14"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2.下列采购需求中：</w:t>
      </w:r>
    </w:p>
    <w:p w14:paraId="47DA34EE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010B78E8"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3D928033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3.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下列采购需求中：标注▲的产品</w:t>
      </w:r>
      <w:r>
        <w:rPr>
          <w:rFonts w:hint="eastAsia" w:asciiTheme="minorEastAsia" w:hAnsiTheme="minorEastAsia" w:eastAsiaTheme="minorEastAsia"/>
          <w:bCs/>
          <w:sz w:val="24"/>
          <w:szCs w:val="18"/>
          <w:highlight w:val="none"/>
        </w:rPr>
        <w:t>（核心产品）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，供应商在响应文件《主要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成交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标的承诺函》中填写名称、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品牌、</w:t>
      </w:r>
      <w:r>
        <w:rPr>
          <w:rFonts w:asciiTheme="minorEastAsia" w:hAnsiTheme="minorEastAsia" w:eastAsiaTheme="minorEastAsia"/>
          <w:sz w:val="24"/>
          <w:szCs w:val="18"/>
          <w:highlight w:val="none"/>
        </w:rPr>
        <w:t>规格、型号、数量、单价等信息</w:t>
      </w:r>
      <w:r>
        <w:rPr>
          <w:rFonts w:hint="eastAsia" w:asciiTheme="minorEastAsia" w:hAnsiTheme="minorEastAsia" w:eastAsiaTheme="minorEastAsia"/>
          <w:sz w:val="24"/>
          <w:szCs w:val="18"/>
          <w:highlight w:val="none"/>
        </w:rPr>
        <w:t>。</w:t>
      </w:r>
    </w:p>
    <w:p w14:paraId="1E432DDD">
      <w:pPr>
        <w:spacing w:line="360" w:lineRule="auto"/>
        <w:ind w:firstLine="435"/>
        <w:rPr>
          <w:rFonts w:hint="eastAsia"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4.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18"/>
          <w:highlight w:val="none"/>
        </w:rPr>
        <w:t>如采购人允许采用分包方式履行合同的，应当明确可以分包履行的相关内容。</w:t>
      </w:r>
    </w:p>
    <w:p w14:paraId="565741A8">
      <w:pPr>
        <w:spacing w:line="360" w:lineRule="auto"/>
        <w:ind w:firstLine="437"/>
        <w:outlineLvl w:val="1"/>
        <w:rPr>
          <w:rFonts w:asciiTheme="minorEastAsia" w:hAnsiTheme="minorEastAsia" w:eastAsiaTheme="minorEastAsia"/>
          <w:b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18"/>
          <w:highlight w:val="none"/>
        </w:rPr>
        <w:t>一、采购需求前附表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1A24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E611D88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 w14:paraId="080EC6FC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6" w:type="pct"/>
            <w:vAlign w:val="center"/>
          </w:tcPr>
          <w:p w14:paraId="432E7DF2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Cs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 w:val="0"/>
                <w:sz w:val="24"/>
                <w:highlight w:val="none"/>
              </w:rPr>
              <w:t>内容、说明与要求</w:t>
            </w:r>
          </w:p>
        </w:tc>
      </w:tr>
      <w:tr w14:paraId="3CA4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8D32418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 w14:paraId="2B23C04A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6" w:type="pct"/>
            <w:vAlign w:val="center"/>
          </w:tcPr>
          <w:p w14:paraId="4E88BB29">
            <w:pPr>
              <w:spacing w:line="312" w:lineRule="auto"/>
              <w:jc w:val="left"/>
              <w:rPr>
                <w:rFonts w:hint="default" w:asciiTheme="minorEastAsia" w:hAnsiTheme="minorEastAsia" w:eastAsiaTheme="minorEastAsia"/>
                <w:b w:val="0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项目验收完成后一次性付清合同款</w:t>
            </w:r>
          </w:p>
        </w:tc>
      </w:tr>
      <w:tr w14:paraId="4738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AB9CD5C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 w14:paraId="53DA2EF7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供货及安装地点</w:t>
            </w:r>
          </w:p>
        </w:tc>
        <w:tc>
          <w:tcPr>
            <w:tcW w:w="3216" w:type="pct"/>
            <w:vAlign w:val="center"/>
          </w:tcPr>
          <w:p w14:paraId="66ACFEDE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 w14:paraId="7794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352F64F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 w14:paraId="39C9F28E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供货及安装期限</w:t>
            </w:r>
          </w:p>
        </w:tc>
        <w:tc>
          <w:tcPr>
            <w:tcW w:w="5484" w:type="dxa"/>
            <w:vAlign w:val="center"/>
          </w:tcPr>
          <w:p w14:paraId="62C4B717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合同签订后</w:t>
            </w:r>
            <w:r>
              <w:rPr>
                <w:rFonts w:asciiTheme="minorEastAsia" w:hAnsiTheme="minorEastAsia" w:eastAsiaTheme="minorEastAsia"/>
                <w:b w:val="0"/>
                <w:sz w:val="24"/>
              </w:rPr>
              <w:t>25个工作日内供货完毕</w:t>
            </w:r>
          </w:p>
        </w:tc>
      </w:tr>
      <w:tr w14:paraId="22E0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DDB31A9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inorEastAsia" w:hAnsiTheme="minorEastAsia" w:eastAsiaTheme="minorEastAsia"/>
                <w:bCs/>
                <w:kern w:val="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 w14:paraId="2103C04D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b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highlight w:val="none"/>
              </w:rPr>
              <w:t>质保期</w:t>
            </w:r>
          </w:p>
        </w:tc>
        <w:tc>
          <w:tcPr>
            <w:tcW w:w="5484" w:type="dxa"/>
            <w:vAlign w:val="center"/>
          </w:tcPr>
          <w:p w14:paraId="52165E5E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验收合格之日起三年</w:t>
            </w:r>
          </w:p>
        </w:tc>
      </w:tr>
    </w:tbl>
    <w:p w14:paraId="7FE8481D">
      <w:pPr>
        <w:spacing w:line="360" w:lineRule="auto"/>
        <w:ind w:firstLine="439"/>
        <w:outlineLvl w:val="1"/>
        <w:rPr>
          <w:rFonts w:asciiTheme="minorEastAsia" w:hAnsiTheme="minorEastAsia" w:eastAsiaTheme="minorEastAsia"/>
          <w:b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</w:rPr>
        <w:t>二、货物需求</w:t>
      </w:r>
    </w:p>
    <w:p w14:paraId="6ADC4556"/>
    <w:tbl>
      <w:tblPr>
        <w:tblStyle w:val="3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95"/>
        <w:gridCol w:w="5350"/>
        <w:gridCol w:w="944"/>
        <w:gridCol w:w="838"/>
      </w:tblGrid>
      <w:tr w14:paraId="5813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313" w:type="pct"/>
            <w:vAlign w:val="center"/>
          </w:tcPr>
          <w:p w14:paraId="1F5CD640"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623" w:type="pct"/>
            <w:vAlign w:val="center"/>
          </w:tcPr>
          <w:p w14:paraId="47941F34"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货物名称</w:t>
            </w:r>
          </w:p>
        </w:tc>
        <w:tc>
          <w:tcPr>
            <w:tcW w:w="3047" w:type="pct"/>
            <w:vAlign w:val="center"/>
          </w:tcPr>
          <w:p w14:paraId="187DF272">
            <w:pPr>
              <w:spacing w:line="360" w:lineRule="auto"/>
              <w:ind w:firstLine="439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技术参数及要求</w:t>
            </w:r>
          </w:p>
        </w:tc>
        <w:tc>
          <w:tcPr>
            <w:tcW w:w="537" w:type="pct"/>
            <w:vAlign w:val="center"/>
          </w:tcPr>
          <w:p w14:paraId="32CAD01D"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数量（单位）</w:t>
            </w:r>
          </w:p>
        </w:tc>
        <w:tc>
          <w:tcPr>
            <w:tcW w:w="477" w:type="pct"/>
            <w:vAlign w:val="center"/>
          </w:tcPr>
          <w:p w14:paraId="299EB411"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所属行业</w:t>
            </w:r>
          </w:p>
        </w:tc>
      </w:tr>
      <w:tr w14:paraId="61BB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13" w:type="pct"/>
            <w:vAlign w:val="center"/>
          </w:tcPr>
          <w:p w14:paraId="6D5230B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</w:rPr>
              <w:t>1</w:t>
            </w:r>
          </w:p>
        </w:tc>
        <w:tc>
          <w:tcPr>
            <w:tcW w:w="623" w:type="pct"/>
            <w:vAlign w:val="center"/>
          </w:tcPr>
          <w:p w14:paraId="0524EF9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铜芯电缆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A</w:t>
            </w:r>
          </w:p>
        </w:tc>
        <w:tc>
          <w:tcPr>
            <w:tcW w:w="3047" w:type="pct"/>
            <w:vAlign w:val="center"/>
          </w:tcPr>
          <w:p w14:paraId="251426EA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一、导体参数</w:t>
            </w:r>
          </w:p>
          <w:p w14:paraId="11259BA1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导体材质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:采用无氧铜（OFC），纯度≥99.99%，电阻率≤1.15Ω/km（20℃时）。</w:t>
            </w:r>
          </w:p>
          <w:p w14:paraId="6AD020F0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导体结构：为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7根单丝绞合，单丝直径约1.7mm（允许根据铜杆质量调整，但需满足电阻要求）。</w:t>
            </w:r>
          </w:p>
          <w:p w14:paraId="4D8C92E5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导体截面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:标称截面积5×16mm²，需符合GB/T 3956-2008标准，实际截面误差不超过±5%。</w:t>
            </w:r>
          </w:p>
          <w:p w14:paraId="24EC30D6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二、绝缘与护套参数</w:t>
            </w:r>
          </w:p>
          <w:p w14:paraId="141A4CD3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绝缘材料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:YJV型电缆采用交联聚乙烯（XLPE），绝缘平均厚度≥0.7mm，最薄点≥0.53mm。</w:t>
            </w:r>
          </w:p>
          <w:p w14:paraId="5001EE47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护套材料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:阻燃型：低烟无卤聚烯烃（WDZ），燃烧时烟密度低、无腐蚀气体，阻燃等级C级。</w:t>
            </w:r>
          </w:p>
          <w:p w14:paraId="751EF966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三、电气性能</w:t>
            </w:r>
          </w:p>
          <w:p w14:paraId="4052B591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电压等级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:额定电压0.6/1kV，短时耐压≥3.5kV（5分钟）。</w:t>
            </w:r>
          </w:p>
          <w:p w14:paraId="400C4ABA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载流量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:长期允许载流量：空气中敷设约80A，埋地敷设约95A。</w:t>
            </w:r>
          </w:p>
          <w:p w14:paraId="329B8D40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短路电流：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250℃（持续时间≤5秒）。</w:t>
            </w:r>
          </w:p>
          <w:p w14:paraId="14869543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功率承载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:三相380V系统下，理论承载功率约14.7kW（cosφ=0.8时，实际需根据敷设条件调整。</w:t>
            </w:r>
          </w:p>
          <w:p w14:paraId="0A18E9FC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四、环境适应性</w:t>
            </w:r>
          </w:p>
          <w:p w14:paraId="78D51653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工作温度：长期运行温度：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YJV型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电缆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≤90℃，敷设温度≥0℃，运行环境温度≥-10℃。</w:t>
            </w:r>
          </w:p>
          <w:p w14:paraId="21C66DAF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阻燃特性：阻燃型需通过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GB/T 18380.3-2008垂直燃烧试验，低烟无卤型烟密度透光率≥60%。</w:t>
            </w:r>
          </w:p>
          <w:p w14:paraId="75087CBF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材料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需符合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GB/T 12706.1-2008。</w:t>
            </w:r>
          </w:p>
        </w:tc>
        <w:tc>
          <w:tcPr>
            <w:tcW w:w="537" w:type="pct"/>
            <w:vAlign w:val="center"/>
          </w:tcPr>
          <w:p w14:paraId="61A6A61E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400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米</w:t>
            </w:r>
          </w:p>
        </w:tc>
        <w:tc>
          <w:tcPr>
            <w:tcW w:w="477" w:type="pct"/>
            <w:vAlign w:val="center"/>
          </w:tcPr>
          <w:p w14:paraId="513FBB1E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工业</w:t>
            </w:r>
          </w:p>
        </w:tc>
      </w:tr>
      <w:tr w14:paraId="123C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" w:type="pct"/>
            <w:vAlign w:val="center"/>
          </w:tcPr>
          <w:p w14:paraId="718B5C7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</w:rPr>
              <w:t>2</w:t>
            </w:r>
          </w:p>
        </w:tc>
        <w:tc>
          <w:tcPr>
            <w:tcW w:w="623" w:type="pct"/>
            <w:vAlign w:val="center"/>
          </w:tcPr>
          <w:p w14:paraId="0A664E5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铜芯电缆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B</w:t>
            </w:r>
          </w:p>
        </w:tc>
        <w:tc>
          <w:tcPr>
            <w:tcW w:w="3047" w:type="pct"/>
            <w:vAlign w:val="center"/>
          </w:tcPr>
          <w:p w14:paraId="2A4A571F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一、导体材料与结构</w:t>
            </w:r>
          </w:p>
          <w:p w14:paraId="00FD1C21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导体材质：采用多股裸铜丝或镀锡铜丝绞合，符合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GB/T 3956标准。</w:t>
            </w:r>
          </w:p>
          <w:p w14:paraId="092CC5A1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导体纯度高达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99.99%无氧铜，导电性能优异。</w:t>
            </w:r>
          </w:p>
          <w:p w14:paraId="15A66857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截面积与芯数：双芯结构，每芯截面积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2.5平方毫米。</w:t>
            </w:r>
          </w:p>
          <w:p w14:paraId="2BFD8F16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二、绝缘与护套材料</w:t>
            </w:r>
          </w:p>
          <w:p w14:paraId="39670709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绝缘材料：聚氯乙烯（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PVC）。</w:t>
            </w:r>
          </w:p>
          <w:p w14:paraId="4085C3C4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绝缘厚度一般为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0.7-0.8mm。</w:t>
            </w:r>
          </w:p>
          <w:p w14:paraId="66B4101D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护套材料：厚度约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1.0mm。</w:t>
            </w:r>
          </w:p>
          <w:p w14:paraId="24DB278A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三、电气参数</w:t>
            </w:r>
          </w:p>
          <w:p w14:paraId="0688AE68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额定电压：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0.6/1kV。</w:t>
            </w:r>
          </w:p>
          <w:p w14:paraId="44977405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载流量与功率：在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220V电压下，最大承载电流约35A，可支持功率7.7kW（需考虑线路长度和环境损耗）。</w:t>
            </w:r>
          </w:p>
          <w:p w14:paraId="014AAC0D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绝缘电阻：＞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20MΩ·km（测试条件：20℃）。</w:t>
            </w:r>
          </w:p>
          <w:p w14:paraId="28B72619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测试电压：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2000V耐压测试（5分钟不击穿）。</w:t>
            </w:r>
          </w:p>
          <w:p w14:paraId="153D497A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四、温度与环境适应性</w:t>
            </w:r>
          </w:p>
          <w:p w14:paraId="6B389BBB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长期工作温度：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PVC绝缘电缆：≤70℃。</w:t>
            </w:r>
          </w:p>
          <w:p w14:paraId="75BB4549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短路耐受温度：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160℃（持续时间≤5秒）。</w:t>
            </w:r>
          </w:p>
          <w:p w14:paraId="2CB7307E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标准规范：</w:t>
            </w:r>
          </w:p>
          <w:p w14:paraId="0ACC0F38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BVV型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电缆需符合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JB/T 8734.2-201212。</w:t>
            </w:r>
          </w:p>
          <w:p w14:paraId="11D9349B">
            <w:pPr>
              <w:spacing w:line="24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VV型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电缆需符合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GB/T 12706.1-20085。</w:t>
            </w:r>
          </w:p>
        </w:tc>
        <w:tc>
          <w:tcPr>
            <w:tcW w:w="537" w:type="pct"/>
            <w:vAlign w:val="center"/>
          </w:tcPr>
          <w:p w14:paraId="54C3EA96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000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米</w:t>
            </w:r>
          </w:p>
        </w:tc>
        <w:tc>
          <w:tcPr>
            <w:tcW w:w="477" w:type="pct"/>
            <w:vAlign w:val="center"/>
          </w:tcPr>
          <w:p w14:paraId="7B0B52E2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工业</w:t>
            </w:r>
          </w:p>
        </w:tc>
      </w:tr>
      <w:tr w14:paraId="69E6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3" w:type="pct"/>
            <w:vAlign w:val="center"/>
          </w:tcPr>
          <w:p w14:paraId="2530EA0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</w:rPr>
              <w:t>3</w:t>
            </w:r>
          </w:p>
        </w:tc>
        <w:tc>
          <w:tcPr>
            <w:tcW w:w="623" w:type="pct"/>
            <w:vAlign w:val="center"/>
          </w:tcPr>
          <w:p w14:paraId="608E29FD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asciiTheme="minorEastAsia" w:hAnsiTheme="minorEastAsia" w:eastAsiaTheme="minorEastAsia"/>
                <w:sz w:val="24"/>
                <w:szCs w:val="18"/>
                <w:highlight w:val="none"/>
              </w:rPr>
              <w:t>▲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高压钠灯</w:t>
            </w:r>
          </w:p>
        </w:tc>
        <w:tc>
          <w:tcPr>
            <w:tcW w:w="3047" w:type="pct"/>
            <w:vAlign w:val="center"/>
          </w:tcPr>
          <w:p w14:paraId="403DEB67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一、基本技术参数</w:t>
            </w:r>
          </w:p>
          <w:p w14:paraId="227CA590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功率范围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:功率为150W、250W、400W等，可适配不同场景需。</w:t>
            </w:r>
          </w:p>
          <w:p w14:paraId="22E8424E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电压与频率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:额定电压为交流220V，频率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≥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50Hz。</w:t>
            </w:r>
          </w:p>
          <w:p w14:paraId="43447EA1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光效与亮度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≥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135流明/瓦</w:t>
            </w:r>
          </w:p>
          <w:p w14:paraId="35BACD97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二、结构与材料参数</w:t>
            </w:r>
          </w:p>
          <w:p w14:paraId="5A6DF14C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材质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:灯体及灯盖采用压铸铝或金属材质，具有高强度、耐腐蚀性；反光器为高纯铝阳极氧化处理。</w:t>
            </w:r>
          </w:p>
          <w:p w14:paraId="46CEC979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防护等级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:防护等级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不低于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IP65，具备防水、防尘、防虫性能。</w:t>
            </w:r>
          </w:p>
          <w:p w14:paraId="06141122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三、光学与安装参数</w:t>
            </w:r>
          </w:p>
          <w:p w14:paraId="4AE20796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反射器与透光罩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:采用高纯铝拉伸反射器，透光罩为钢化玻璃，兼具高透明度和抗冲击性。</w:t>
            </w:r>
          </w:p>
          <w:p w14:paraId="5C49F535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四、附加功能</w:t>
            </w:r>
          </w:p>
          <w:p w14:paraId="1C50EBCA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调光与节能技术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:搭配智能调光电子镇流器，可降低功耗并延长光源寿命，例如开灯后5.5小时自动调低功率。</w:t>
            </w:r>
          </w:p>
          <w:p w14:paraId="48EDB1E4">
            <w:pPr>
              <w:spacing w:line="24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防腐与绝缘等级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:防腐等级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不低于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WF2，绝缘等级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不低于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I级，适用于恶劣环境。</w:t>
            </w:r>
          </w:p>
        </w:tc>
        <w:tc>
          <w:tcPr>
            <w:tcW w:w="537" w:type="pct"/>
            <w:vAlign w:val="center"/>
          </w:tcPr>
          <w:p w14:paraId="61CE4FA4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150W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800个、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250W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3000个、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400W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500个</w:t>
            </w:r>
          </w:p>
        </w:tc>
        <w:tc>
          <w:tcPr>
            <w:tcW w:w="477" w:type="pct"/>
            <w:vAlign w:val="center"/>
          </w:tcPr>
          <w:p w14:paraId="42D24249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工业</w:t>
            </w:r>
          </w:p>
        </w:tc>
      </w:tr>
      <w:tr w14:paraId="69E5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" w:type="pct"/>
            <w:vAlign w:val="center"/>
          </w:tcPr>
          <w:p w14:paraId="5C8A115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</w:rPr>
              <w:t>4</w:t>
            </w:r>
          </w:p>
        </w:tc>
        <w:tc>
          <w:tcPr>
            <w:tcW w:w="623" w:type="pct"/>
            <w:vAlign w:val="center"/>
          </w:tcPr>
          <w:p w14:paraId="37C815D7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铜芯电感镇流器</w:t>
            </w:r>
          </w:p>
        </w:tc>
        <w:tc>
          <w:tcPr>
            <w:tcW w:w="3047" w:type="pct"/>
            <w:vAlign w:val="center"/>
          </w:tcPr>
          <w:p w14:paraId="50923803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一、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 xml:space="preserve"> 基本电气参数</w:t>
            </w:r>
          </w:p>
          <w:p w14:paraId="147BB69D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额定功率：覆盖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70W至400W，</w:t>
            </w:r>
          </w:p>
          <w:p w14:paraId="6919719C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额定电压：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220V（单相交流）</w:t>
            </w:r>
          </w:p>
          <w:p w14:paraId="10285FF1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工作频率：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50/60Hz。</w:t>
            </w:r>
          </w:p>
          <w:p w14:paraId="77F55419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工作电流：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0.98-4.60A（根据功率不同而变化)。</w:t>
            </w:r>
          </w:p>
          <w:p w14:paraId="19A84217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功率因数：需配合补偿电容。</w:t>
            </w:r>
          </w:p>
          <w:p w14:paraId="66FC1B55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二、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 xml:space="preserve"> 材料与结构</w:t>
            </w:r>
          </w:p>
          <w:p w14:paraId="70B187CF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线圈材质：铜芯线圈，采用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QZY耐高温铜漆包线。</w:t>
            </w:r>
          </w:p>
          <w:p w14:paraId="65B3FAAC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铁芯材质：优质硅钢片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,降低铁损。</w:t>
            </w:r>
          </w:p>
          <w:p w14:paraId="44A476AB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外壳与防护：阻燃耐高温内衬，防护等级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不低于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IP42。</w:t>
            </w:r>
          </w:p>
          <w:p w14:paraId="74696452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三、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 xml:space="preserve"> 性能</w:t>
            </w:r>
          </w:p>
          <w:p w14:paraId="0A3A94B4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温升与耐温：绕组温升≤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70℃，允许工作温度达130℃。</w:t>
            </w:r>
          </w:p>
          <w:p w14:paraId="10E8B4BC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节能特性：部分型号支持变功率调光（如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400W调至250)。</w:t>
            </w:r>
          </w:p>
          <w:p w14:paraId="4A6A524F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四、其他技术特性</w:t>
            </w:r>
          </w:p>
          <w:p w14:paraId="6BE47B83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过热保护：集成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过热保护，防止光源寿终时烧毁。</w:t>
            </w:r>
          </w:p>
          <w:p w14:paraId="11FAADC7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兼容性：适配多种光源（如高压钠灯、金卤灯），需匹配并联式触发器。</w:t>
            </w:r>
          </w:p>
        </w:tc>
        <w:tc>
          <w:tcPr>
            <w:tcW w:w="537" w:type="pct"/>
            <w:vAlign w:val="center"/>
          </w:tcPr>
          <w:p w14:paraId="58E96882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个</w:t>
            </w:r>
          </w:p>
        </w:tc>
        <w:tc>
          <w:tcPr>
            <w:tcW w:w="477" w:type="pct"/>
            <w:vAlign w:val="center"/>
          </w:tcPr>
          <w:p w14:paraId="0D5B2C6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工业</w:t>
            </w:r>
          </w:p>
        </w:tc>
      </w:tr>
      <w:tr w14:paraId="4F84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" w:type="pct"/>
            <w:vAlign w:val="center"/>
          </w:tcPr>
          <w:p w14:paraId="2CC94EA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8"/>
              </w:rPr>
              <w:t>5</w:t>
            </w:r>
          </w:p>
        </w:tc>
        <w:tc>
          <w:tcPr>
            <w:tcW w:w="623" w:type="pct"/>
            <w:vAlign w:val="center"/>
          </w:tcPr>
          <w:p w14:paraId="41DB16F6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触发器</w:t>
            </w:r>
          </w:p>
        </w:tc>
        <w:tc>
          <w:tcPr>
            <w:tcW w:w="3047" w:type="pct"/>
            <w:vAlign w:val="center"/>
          </w:tcPr>
          <w:p w14:paraId="5996AD3C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一、基本电气参数</w:t>
            </w:r>
          </w:p>
          <w:p w14:paraId="0480AADF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适用灯具类型：支持高压钠灯、金卤灯等气体放电灯，需与镇流器、电容补偿等组件匹配。</w:t>
            </w:r>
          </w:p>
          <w:p w14:paraId="5727D8D8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触发寿命：支持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不低于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30000次触发操作，确保长期稳定使用。</w:t>
            </w:r>
          </w:p>
          <w:p w14:paraId="2EB6BA46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启动性能：具备快速启动能力，触发响应时间短。</w:t>
            </w:r>
          </w:p>
          <w:p w14:paraId="3314E72C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二、结构与安装参数</w:t>
            </w:r>
          </w:p>
          <w:p w14:paraId="43F5515C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安装方式：采用接插式或接线端子设计，便于安装和维护，同时连接线需耐高温（≥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1.5平方毫米）并内置保险器。</w:t>
            </w:r>
          </w:p>
          <w:p w14:paraId="353F101D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结构设计：体积小巧且结构紧凑，适合集成在灯具内部。</w:t>
            </w:r>
          </w:p>
          <w:p w14:paraId="4F59EC45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不低于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IP65防护等级，具备防尘防水性能。</w:t>
            </w:r>
          </w:p>
          <w:p w14:paraId="47C9F4B3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三、环境适应性参数</w:t>
            </w:r>
          </w:p>
          <w:p w14:paraId="29BD4481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工作温度范围：适应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-40℃至+50℃的宽温环境，适合户外恶劣条件。</w:t>
            </w:r>
          </w:p>
          <w:p w14:paraId="5CF9DBA8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湿度范围：在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10%~90%湿度下可稳定运行。</w:t>
            </w:r>
          </w:p>
          <w:p w14:paraId="34009AE9">
            <w:pPr>
              <w:spacing w:line="240" w:lineRule="auto"/>
              <w:jc w:val="left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highlight w:val="none"/>
              </w:rPr>
              <w:t>四、其他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参数</w:t>
            </w:r>
          </w:p>
          <w:p w14:paraId="0D0CC159">
            <w:pPr>
              <w:spacing w:line="240" w:lineRule="auto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防雷等级：触发器所在电路具备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  <w:lang w:val="en-US" w:eastAsia="zh-CN"/>
              </w:rPr>
              <w:t>不低于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10KV共模雷击防护能力。</w:t>
            </w:r>
          </w:p>
        </w:tc>
        <w:tc>
          <w:tcPr>
            <w:tcW w:w="537" w:type="pct"/>
            <w:vAlign w:val="center"/>
          </w:tcPr>
          <w:p w14:paraId="3D622EF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4"/>
                <w:szCs w:val="18"/>
              </w:rPr>
              <w:t>000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个</w:t>
            </w:r>
          </w:p>
        </w:tc>
        <w:tc>
          <w:tcPr>
            <w:tcW w:w="477" w:type="pct"/>
            <w:vAlign w:val="center"/>
          </w:tcPr>
          <w:p w14:paraId="7AB0F6C5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18"/>
              </w:rPr>
              <w:t>工业</w:t>
            </w:r>
          </w:p>
        </w:tc>
      </w:tr>
    </w:tbl>
    <w:p w14:paraId="268E67B4">
      <w:pPr>
        <w:spacing w:line="360" w:lineRule="auto"/>
        <w:ind w:firstLine="480" w:firstLineChars="200"/>
        <w:outlineLvl w:val="1"/>
        <w:rPr>
          <w:rFonts w:hint="eastAsia" w:asciiTheme="minorEastAsia" w:hAnsiTheme="minorEastAsia" w:eastAsiaTheme="minorEastAsia"/>
          <w:b/>
          <w:bCs/>
          <w:sz w:val="24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供应商须在响应文件中提供承诺，承诺技术参数完全满足（或优于）采购文件要求，如项目验收时发现所提供的产品不满足采购文件要求，供应商承担由此产生的一切后果及责任（承诺函格式详见响应文件格式）。响应文件中未提供相应承诺或承诺的内容不满足要求的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响应无效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。</w:t>
      </w:r>
    </w:p>
    <w:p w14:paraId="255859FB">
      <w:pPr>
        <w:spacing w:line="360" w:lineRule="auto"/>
        <w:ind w:firstLine="482" w:firstLineChars="200"/>
        <w:outlineLvl w:val="1"/>
        <w:rPr>
          <w:rFonts w:asciiTheme="minorEastAsia" w:hAnsiTheme="minorEastAsia" w:eastAsiaTheme="minorEastAsia"/>
          <w:b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</w:rPr>
        <w:t>三、报价要求</w:t>
      </w:r>
    </w:p>
    <w:p w14:paraId="41FB8531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18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本项目采用总价报价，供应商报价不得高于本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最高限价，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否则按无效响应处理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。报价包含完成本项目所有内容的费用，采购人后期不再追加任何费用。</w:t>
      </w:r>
    </w:p>
    <w:p w14:paraId="69319106">
      <w:pPr>
        <w:spacing w:line="360" w:lineRule="auto"/>
        <w:ind w:firstLine="439"/>
        <w:outlineLvl w:val="1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24"/>
          <w:szCs w:val="18"/>
        </w:rPr>
        <w:t>、验收要求</w:t>
      </w:r>
    </w:p>
    <w:p w14:paraId="2D95866C">
      <w:pPr>
        <w:spacing w:line="360" w:lineRule="auto"/>
        <w:ind w:firstLine="437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hd w:val="clear" w:color="auto" w:fill="FFFFFF"/>
          <w:lang w:val="en-US" w:eastAsia="zh-CN"/>
        </w:rPr>
        <w:t>项目</w:t>
      </w:r>
      <w:r>
        <w:rPr>
          <w:rFonts w:ascii="宋体" w:hAnsi="宋体" w:eastAsia="宋体" w:cs="宋体"/>
          <w:sz w:val="24"/>
          <w:shd w:val="clear" w:color="auto" w:fill="FFFFFF"/>
        </w:rPr>
        <w:t>验收时，由合同双方组成验收小组，验收小组应严格依照采购文件、采购合同及相关验收规范进行核对、验收，形成验收结论，并出具书面验收报告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。</w:t>
      </w:r>
    </w:p>
    <w:p w14:paraId="5A833A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6B4A"/>
    <w:rsid w:val="3E5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&amp;L"/>
    <w:basedOn w:val="2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6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2025-05-28T02:38:00Z</dcterms:created>
  <dc:creator>尹书红</dc:creator>
  <cp:lastModifiedBy>尹书红</cp:lastModifiedBy>
  <dcterms:modified xsi:type="dcterms:W3CDTF">2025-05-28T02:39:21Z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9FB7A90FC052406492DE8AB0B715A616_11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