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spacing w:beforeLines="200" w:after="0" w:line="360" w:lineRule="auto"/>
        <w:jc w:val="center"/>
        <w:rPr>
          <w:rFonts w:hAnsi="宋体" w:cs="宋体"/>
          <w:bCs/>
          <w:sz w:val="44"/>
          <w:szCs w:val="44"/>
          <w:highlight w:val="none"/>
          <w:u w:val="single"/>
        </w:rPr>
      </w:pPr>
      <w:r>
        <w:rPr>
          <w:rFonts w:hint="eastAsia" w:hAnsi="宋体" w:cs="宋体"/>
          <w:bCs/>
          <w:sz w:val="44"/>
          <w:szCs w:val="44"/>
          <w:highlight w:val="none"/>
          <w:u w:val="single"/>
          <w:lang w:eastAsia="zh-CN"/>
        </w:rPr>
        <w:t>合肥通用技术学校实训中心智能化系统项目</w:t>
      </w:r>
    </w:p>
    <w:p>
      <w:pPr>
        <w:spacing w:beforeLines="200" w:line="360" w:lineRule="auto"/>
        <w:jc w:val="center"/>
        <w:rPr>
          <w:rFonts w:hAnsi="宋体" w:cs="宋体"/>
          <w:bCs/>
          <w:kern w:val="2"/>
          <w:sz w:val="36"/>
          <w:szCs w:val="36"/>
          <w:highlight w:val="none"/>
          <w:u w:val="single"/>
        </w:rPr>
      </w:pPr>
      <w:r>
        <w:rPr>
          <w:rFonts w:hint="eastAsia" w:hAnsi="宋体" w:cs="宋体"/>
          <w:bCs/>
          <w:kern w:val="2"/>
          <w:sz w:val="36"/>
          <w:szCs w:val="36"/>
          <w:highlight w:val="none"/>
        </w:rPr>
        <w:t>（招标项目编号：</w:t>
      </w:r>
      <w:r>
        <w:rPr>
          <w:rFonts w:hint="eastAsia" w:hAnsi="宋体" w:cs="宋体"/>
          <w:bCs/>
          <w:kern w:val="2"/>
          <w:sz w:val="36"/>
          <w:szCs w:val="36"/>
          <w:highlight w:val="none"/>
          <w:u w:val="single"/>
          <w:lang w:eastAsia="zh-CN"/>
        </w:rPr>
        <w:t>XXXX</w:t>
      </w:r>
      <w:r>
        <w:rPr>
          <w:rFonts w:hint="eastAsia" w:hAnsi="宋体" w:cs="宋体"/>
          <w:bCs/>
          <w:kern w:val="2"/>
          <w:sz w:val="36"/>
          <w:szCs w:val="36"/>
          <w:highlight w:val="none"/>
        </w:rPr>
        <w:t>）</w:t>
      </w:r>
    </w:p>
    <w:p>
      <w:pPr>
        <w:spacing w:beforeLines="200" w:line="360" w:lineRule="auto"/>
        <w:jc w:val="center"/>
        <w:rPr>
          <w:rFonts w:ascii="Times New Roman" w:eastAsia="黑体"/>
          <w:kern w:val="2"/>
          <w:sz w:val="72"/>
          <w:szCs w:val="72"/>
          <w:highlight w:val="none"/>
        </w:rPr>
      </w:pPr>
      <w:r>
        <w:rPr>
          <w:rFonts w:hint="eastAsia" w:ascii="Times New Roman" w:eastAsia="黑体"/>
          <w:kern w:val="2"/>
          <w:sz w:val="72"/>
          <w:szCs w:val="72"/>
          <w:highlight w:val="none"/>
        </w:rPr>
        <w:t>招 标 文 件</w:t>
      </w:r>
    </w:p>
    <w:p>
      <w:pPr>
        <w:spacing w:beforeLines="200" w:line="360" w:lineRule="auto"/>
        <w:jc w:val="center"/>
        <w:rPr>
          <w:rFonts w:ascii="Times New Roman" w:eastAsia="黑体"/>
          <w:kern w:val="2"/>
          <w:sz w:val="72"/>
          <w:szCs w:val="72"/>
          <w:highlight w:val="none"/>
        </w:rPr>
      </w:pPr>
    </w:p>
    <w:p>
      <w:pPr>
        <w:spacing w:beforeLines="200" w:line="360" w:lineRule="auto"/>
        <w:jc w:val="center"/>
        <w:rPr>
          <w:rFonts w:ascii="Times New Roman" w:eastAsia="黑体"/>
          <w:kern w:val="2"/>
          <w:sz w:val="72"/>
          <w:szCs w:val="72"/>
          <w:highlight w:val="none"/>
        </w:rPr>
      </w:pPr>
    </w:p>
    <w:p>
      <w:pPr>
        <w:spacing w:beforeLines="200" w:line="360" w:lineRule="auto"/>
        <w:jc w:val="center"/>
        <w:rPr>
          <w:rFonts w:ascii="Times New Roman" w:eastAsia="黑体"/>
          <w:kern w:val="2"/>
          <w:sz w:val="72"/>
          <w:szCs w:val="72"/>
          <w:highlight w:val="none"/>
        </w:rPr>
      </w:pPr>
    </w:p>
    <w:p>
      <w:pPr>
        <w:spacing w:beforeLines="200" w:line="360" w:lineRule="auto"/>
        <w:jc w:val="center"/>
        <w:rPr>
          <w:rFonts w:ascii="Times New Roman"/>
          <w:kern w:val="2"/>
          <w:sz w:val="32"/>
          <w:szCs w:val="32"/>
          <w:highlight w:val="none"/>
        </w:rPr>
      </w:pPr>
      <w:r>
        <w:rPr>
          <w:rFonts w:hint="eastAsia" w:ascii="Times New Roman" w:eastAsia="黑体"/>
          <w:kern w:val="2"/>
          <w:sz w:val="32"/>
          <w:szCs w:val="32"/>
          <w:highlight w:val="none"/>
        </w:rPr>
        <w:t>招   标   人：</w:t>
      </w:r>
      <w:r>
        <w:rPr>
          <w:rFonts w:hint="eastAsia" w:ascii="Times New Roman" w:eastAsia="黑体"/>
          <w:kern w:val="2"/>
          <w:sz w:val="32"/>
          <w:szCs w:val="32"/>
          <w:highlight w:val="none"/>
          <w:u w:val="single"/>
          <w:lang w:eastAsia="zh-CN"/>
        </w:rPr>
        <w:t>合肥通用技术学校</w:t>
      </w:r>
      <w:r>
        <w:rPr>
          <w:rFonts w:hint="eastAsia" w:ascii="Times New Roman"/>
          <w:kern w:val="2"/>
          <w:sz w:val="32"/>
          <w:szCs w:val="32"/>
          <w:highlight w:val="none"/>
        </w:rPr>
        <w:t>（盖单位章）</w:t>
      </w:r>
    </w:p>
    <w:p>
      <w:pPr>
        <w:spacing w:beforeLines="100" w:line="360" w:lineRule="auto"/>
        <w:ind w:firstLine="437"/>
        <w:jc w:val="center"/>
        <w:rPr>
          <w:rFonts w:ascii="Times New Roman"/>
          <w:kern w:val="2"/>
          <w:sz w:val="32"/>
          <w:szCs w:val="32"/>
          <w:highlight w:val="none"/>
        </w:rPr>
      </w:pPr>
      <w:r>
        <w:rPr>
          <w:rFonts w:hint="eastAsia" w:ascii="Times New Roman" w:eastAsia="黑体"/>
          <w:kern w:val="2"/>
          <w:sz w:val="32"/>
          <w:szCs w:val="32"/>
          <w:highlight w:val="none"/>
        </w:rPr>
        <w:t>招标代理机构：</w:t>
      </w:r>
      <w:r>
        <w:rPr>
          <w:rFonts w:hint="eastAsia" w:ascii="Times New Roman" w:eastAsia="黑体"/>
          <w:kern w:val="2"/>
          <w:sz w:val="32"/>
          <w:szCs w:val="32"/>
          <w:highlight w:val="none"/>
          <w:u w:val="single"/>
        </w:rPr>
        <w:t>肥东县公共资源交易有限公司</w:t>
      </w:r>
      <w:r>
        <w:rPr>
          <w:rFonts w:hint="eastAsia" w:ascii="Times New Roman"/>
          <w:kern w:val="2"/>
          <w:sz w:val="32"/>
          <w:szCs w:val="32"/>
          <w:highlight w:val="none"/>
        </w:rPr>
        <w:t>（盖单位章）</w:t>
      </w:r>
    </w:p>
    <w:p>
      <w:pPr>
        <w:spacing w:beforeLines="100" w:line="360" w:lineRule="auto"/>
        <w:ind w:firstLine="437"/>
        <w:jc w:val="center"/>
        <w:rPr>
          <w:rFonts w:ascii="Times New Roman"/>
          <w:kern w:val="2"/>
          <w:sz w:val="32"/>
          <w:szCs w:val="32"/>
          <w:highlight w:val="none"/>
        </w:rPr>
      </w:pPr>
      <w:r>
        <w:rPr>
          <w:rFonts w:hint="eastAsia" w:ascii="Times New Roman" w:eastAsia="黑体"/>
          <w:kern w:val="2"/>
          <w:sz w:val="32"/>
          <w:szCs w:val="32"/>
          <w:highlight w:val="none"/>
        </w:rPr>
        <w:t>日    期</w:t>
      </w:r>
      <w:r>
        <w:rPr>
          <w:rFonts w:hint="eastAsia" w:ascii="Times New Roman"/>
          <w:kern w:val="2"/>
          <w:sz w:val="32"/>
          <w:szCs w:val="32"/>
          <w:highlight w:val="none"/>
        </w:rPr>
        <w:t>：</w:t>
      </w:r>
      <w:r>
        <w:rPr>
          <w:rFonts w:hint="eastAsia" w:ascii="Times New Roman" w:eastAsia="黑体"/>
          <w:kern w:val="2"/>
          <w:sz w:val="32"/>
          <w:szCs w:val="32"/>
          <w:highlight w:val="none"/>
          <w:u w:val="single"/>
        </w:rPr>
        <w:t>202</w:t>
      </w:r>
      <w:r>
        <w:rPr>
          <w:rFonts w:hint="eastAsia" w:ascii="Times New Roman" w:eastAsia="黑体"/>
          <w:kern w:val="2"/>
          <w:sz w:val="32"/>
          <w:szCs w:val="32"/>
          <w:highlight w:val="none"/>
          <w:u w:val="single"/>
          <w:lang w:val="en-US" w:eastAsia="zh-CN"/>
        </w:rPr>
        <w:t>5</w:t>
      </w:r>
      <w:r>
        <w:rPr>
          <w:rFonts w:hint="eastAsia" w:ascii="Times New Roman"/>
          <w:kern w:val="2"/>
          <w:sz w:val="32"/>
          <w:szCs w:val="32"/>
          <w:highlight w:val="none"/>
        </w:rPr>
        <w:t>年</w:t>
      </w:r>
      <w:r>
        <w:rPr>
          <w:rFonts w:hint="eastAsia" w:ascii="Times New Roman" w:eastAsia="黑体"/>
          <w:kern w:val="2"/>
          <w:sz w:val="32"/>
          <w:szCs w:val="32"/>
          <w:highlight w:val="none"/>
          <w:u w:val="single"/>
          <w:lang w:val="en-US" w:eastAsia="zh-CN"/>
        </w:rPr>
        <w:t>07</w:t>
      </w:r>
      <w:r>
        <w:rPr>
          <w:rFonts w:hint="eastAsia" w:ascii="Times New Roman"/>
          <w:kern w:val="2"/>
          <w:sz w:val="32"/>
          <w:szCs w:val="32"/>
          <w:highlight w:val="none"/>
        </w:rPr>
        <w:t>月</w:t>
      </w:r>
      <w:r>
        <w:rPr>
          <w:rFonts w:hint="eastAsia" w:ascii="Times New Roman" w:eastAsia="黑体"/>
          <w:kern w:val="2"/>
          <w:sz w:val="32"/>
          <w:szCs w:val="32"/>
          <w:highlight w:val="none"/>
          <w:u w:val="single"/>
          <w:lang w:val="en-US" w:eastAsia="zh-CN"/>
        </w:rPr>
        <w:t xml:space="preserve">  </w:t>
      </w:r>
      <w:r>
        <w:rPr>
          <w:rFonts w:hint="eastAsia" w:ascii="Times New Roman"/>
          <w:kern w:val="2"/>
          <w:sz w:val="32"/>
          <w:szCs w:val="32"/>
          <w:highlight w:val="none"/>
        </w:rPr>
        <w:t>日</w:t>
      </w:r>
    </w:p>
    <w:p>
      <w:pPr>
        <w:pStyle w:val="49"/>
        <w:snapToGrid w:val="0"/>
        <w:spacing w:before="150" w:beforeAutospacing="0" w:after="150" w:afterAutospacing="0" w:line="560" w:lineRule="atLeast"/>
        <w:jc w:val="center"/>
        <w:rPr>
          <w:rFonts w:ascii="Times New Roman" w:hAnsi="Times New Roman" w:cs="Times New Roman"/>
          <w:bCs/>
          <w:color w:val="auto"/>
          <w:kern w:val="44"/>
          <w:sz w:val="32"/>
          <w:szCs w:val="32"/>
          <w:highlight w:val="none"/>
        </w:rPr>
      </w:pPr>
      <w:r>
        <w:rPr>
          <w:rFonts w:hint="eastAsia" w:ascii="Times New Roman" w:hAnsi="Times New Roman"/>
          <w:color w:val="auto"/>
          <w:sz w:val="52"/>
          <w:szCs w:val="52"/>
          <w:highlight w:val="none"/>
        </w:rPr>
        <w:br w:type="page"/>
      </w:r>
      <w:r>
        <w:rPr>
          <w:rFonts w:hint="eastAsia" w:ascii="Times New Roman" w:hAnsi="Times New Roman" w:cs="Times New Roman"/>
          <w:bCs/>
          <w:color w:val="auto"/>
          <w:kern w:val="44"/>
          <w:sz w:val="32"/>
          <w:szCs w:val="32"/>
          <w:highlight w:val="none"/>
        </w:rPr>
        <w:t>目  录</w:t>
      </w:r>
    </w:p>
    <w:p>
      <w:pPr>
        <w:pStyle w:val="3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宋体" w:hAnsi="宋体" w:cs="宋体"/>
          <w:b w:val="0"/>
          <w:caps w:val="0"/>
          <w:highlight w:val="none"/>
        </w:rPr>
        <w:fldChar w:fldCharType="begin"/>
      </w:r>
      <w:r>
        <w:rPr>
          <w:rFonts w:hint="eastAsia" w:ascii="宋体" w:hAnsi="宋体" w:cs="宋体"/>
          <w:b w:val="0"/>
          <w:caps w:val="0"/>
          <w:highlight w:val="none"/>
        </w:rPr>
        <w:instrText xml:space="preserve"> TOC \o "1-2" \h \z \u </w:instrText>
      </w:r>
      <w:r>
        <w:rPr>
          <w:rFonts w:hint="eastAsia" w:ascii="宋体" w:hAnsi="宋体" w:cs="宋体"/>
          <w:b w:val="0"/>
          <w:caps w:val="0"/>
          <w:highlight w:val="none"/>
        </w:rPr>
        <w:fldChar w:fldCharType="separate"/>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"_Toc140069380"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第一章招标公告</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_Toc140069380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3</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34"/>
        <w:tabs>
          <w:tab w:val="right" w:leader="dot" w:pos="8290"/>
        </w:tabs>
        <w:rPr>
          <w:rFonts w:hint="eastAsia" w:asciiTheme="minorEastAsia" w:hAnsiTheme="minorEastAsia" w:eastAsiaTheme="minorEastAsia" w:cstheme="minorEastAsia"/>
          <w:b w:val="0"/>
          <w:bCs/>
          <w: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"_Toc140069397"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第二章投标人须知</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_Toc140069397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9</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3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"_Toc140069417"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第三章评标办法</w:t>
      </w:r>
      <w:r>
        <w:rPr>
          <w:rStyle w:val="63"/>
          <w:rFonts w:hint="eastAsia" w:asciiTheme="minorEastAsia" w:hAnsiTheme="minorEastAsia" w:eastAsiaTheme="minorEastAsia" w:cstheme="minorEastAsia"/>
          <w:b w:val="0"/>
          <w:bCs/>
          <w:color w:val="auto"/>
          <w:highlight w:val="none"/>
        </w:rPr>
        <w:fldChar w:fldCharType="end"/>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"_Toc140069418"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_Toc140069418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51</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34"/>
        <w:tabs>
          <w:tab w:val="right" w:leader="dot" w:pos="8290"/>
        </w:tabs>
        <w:rPr>
          <w:rFonts w:hint="eastAsia" w:asciiTheme="minorEastAsia" w:hAnsiTheme="minorEastAsia" w:eastAsiaTheme="minorEastAsia" w:cstheme="minorEastAsia"/>
          <w:b w:val="0"/>
          <w:bCs/>
          <w:small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"_Toc140069431"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第四章合同条款及格式</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_Toc140069431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76</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34"/>
        <w:tabs>
          <w:tab w:val="right" w:leader="dot" w:pos="8290"/>
        </w:tabs>
        <w:rPr>
          <w:rStyle w:val="63"/>
          <w:rFonts w:hint="default" w:asciiTheme="minorEastAsia" w:hAnsiTheme="minorEastAsia" w:eastAsiaTheme="minorEastAsia" w:cstheme="minorEastAsia"/>
          <w:b w:val="0"/>
          <w:bCs/>
          <w:color w:val="auto"/>
          <w:highlight w:val="none"/>
          <w:lang w:val="en-US" w:eastAsia="zh-CN"/>
        </w:rPr>
      </w:pPr>
      <w:r>
        <w:rPr>
          <w:rStyle w:val="63"/>
          <w:rFonts w:hint="eastAsia" w:asciiTheme="minorEastAsia" w:hAnsiTheme="minorEastAsia" w:eastAsiaTheme="minorEastAsia" w:cstheme="minorEastAsia"/>
          <w:b w:val="0"/>
          <w:bCs/>
          <w:color w:val="auto"/>
          <w:highlight w:val="none"/>
        </w:rPr>
        <w:fldChar w:fldCharType="begin"/>
      </w:r>
      <w:r>
        <w:rPr>
          <w:rStyle w:val="63"/>
          <w:rFonts w:hint="eastAsia" w:asciiTheme="minorEastAsia" w:hAnsiTheme="minorEastAsia" w:eastAsiaTheme="minorEastAsia" w:cstheme="minorEastAsia"/>
          <w:b w:val="0"/>
          <w:bCs/>
          <w:color w:val="auto"/>
          <w:highlight w:val="none"/>
        </w:rPr>
        <w:instrText xml:space="preserve"> HYPERLINK \l "_Toc140069443" </w:instrText>
      </w:r>
      <w:r>
        <w:rPr>
          <w:rStyle w:val="63"/>
          <w:rFonts w:hint="eastAsia" w:asciiTheme="minorEastAsia" w:hAnsiTheme="minorEastAsia" w:eastAsiaTheme="minorEastAsia" w:cstheme="minorEastAsia"/>
          <w:b w:val="0"/>
          <w:bCs/>
          <w:color w:val="auto"/>
          <w:highlight w:val="none"/>
        </w:rPr>
        <w:fldChar w:fldCharType="separate"/>
      </w:r>
      <w:r>
        <w:rPr>
          <w:rStyle w:val="63"/>
          <w:rFonts w:hint="eastAsia" w:asciiTheme="minorEastAsia" w:hAnsiTheme="minorEastAsia" w:eastAsiaTheme="minorEastAsia" w:cstheme="minorEastAsia"/>
          <w:b w:val="0"/>
          <w:bCs/>
          <w:color w:val="auto"/>
          <w:highlight w:val="none"/>
        </w:rPr>
        <w:t>第五章供</w:t>
      </w:r>
      <w:bookmarkStart w:id="0" w:name="_Hlt142318458"/>
      <w:r>
        <w:rPr>
          <w:rStyle w:val="63"/>
          <w:rFonts w:hint="eastAsia" w:asciiTheme="minorEastAsia" w:hAnsiTheme="minorEastAsia" w:eastAsiaTheme="minorEastAsia" w:cstheme="minorEastAsia"/>
          <w:b w:val="0"/>
          <w:bCs/>
          <w:color w:val="auto"/>
          <w:highlight w:val="none"/>
        </w:rPr>
        <w:t>货</w:t>
      </w:r>
      <w:bookmarkEnd w:id="0"/>
      <w:r>
        <w:rPr>
          <w:rStyle w:val="63"/>
          <w:rFonts w:hint="eastAsia" w:asciiTheme="minorEastAsia" w:hAnsiTheme="minorEastAsia" w:eastAsiaTheme="minorEastAsia" w:cstheme="minorEastAsia"/>
          <w:b w:val="0"/>
          <w:bCs/>
          <w:color w:val="auto"/>
          <w:highlight w:val="none"/>
        </w:rPr>
        <w:t>要求</w:t>
      </w:r>
      <w:r>
        <w:rPr>
          <w:rStyle w:val="63"/>
          <w:rFonts w:hint="eastAsia" w:asciiTheme="minorEastAsia" w:hAnsiTheme="minorEastAsia" w:eastAsiaTheme="minorEastAsia" w:cstheme="minorEastAsia"/>
          <w:b w:val="0"/>
          <w:bCs/>
          <w:color w:val="auto"/>
          <w:highlight w:val="none"/>
        </w:rPr>
        <w:tab/>
      </w:r>
      <w:r>
        <w:rPr>
          <w:rStyle w:val="63"/>
          <w:rFonts w:hint="eastAsia" w:asciiTheme="minorEastAsia" w:hAnsiTheme="minorEastAsia" w:eastAsiaTheme="minorEastAsia" w:cstheme="minorEastAsia"/>
          <w:b w:val="0"/>
          <w:bCs/>
          <w:color w:val="auto"/>
          <w:highlight w:val="none"/>
          <w:lang w:val="en-US" w:eastAsia="zh-CN"/>
        </w:rPr>
        <w:t>1</w:t>
      </w:r>
      <w:r>
        <w:rPr>
          <w:rStyle w:val="63"/>
          <w:rFonts w:hint="eastAsia" w:asciiTheme="minorEastAsia" w:hAnsiTheme="minorEastAsia" w:eastAsiaTheme="minorEastAsia" w:cstheme="minorEastAsia"/>
          <w:b w:val="0"/>
          <w:bCs/>
          <w:color w:val="auto"/>
          <w:highlight w:val="none"/>
        </w:rPr>
        <w:fldChar w:fldCharType="end"/>
      </w:r>
      <w:r>
        <w:rPr>
          <w:rStyle w:val="63"/>
          <w:rFonts w:hint="eastAsia" w:asciiTheme="minorEastAsia" w:hAnsiTheme="minorEastAsia" w:eastAsiaTheme="minorEastAsia" w:cstheme="minorEastAsia"/>
          <w:b w:val="0"/>
          <w:bCs/>
          <w:color w:val="auto"/>
          <w:highlight w:val="none"/>
          <w:lang w:val="en-US" w:eastAsia="zh-CN"/>
        </w:rPr>
        <w:t>08</w:t>
      </w:r>
    </w:p>
    <w:p>
      <w:pPr>
        <w:pStyle w:val="34"/>
        <w:tabs>
          <w:tab w:val="right" w:leader="dot" w:pos="8290"/>
        </w:tabs>
        <w:rPr>
          <w:rFonts w:hint="eastAsia" w:asciiTheme="minorEastAsia" w:hAnsiTheme="minorEastAsia" w:eastAsiaTheme="minorEastAsia" w:cstheme="minorEastAsia"/>
          <w:b w:val="0"/>
          <w:bCs/>
          <w:caps w:val="0"/>
          <w:kern w:val="2"/>
          <w:sz w:val="21"/>
          <w:szCs w:val="22"/>
          <w:highlight w:val="none"/>
        </w:rPr>
      </w:pP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HYPERLINK \l "_Toc140069450" </w:instrText>
      </w:r>
      <w:r>
        <w:rPr>
          <w:rFonts w:hint="eastAsia" w:asciiTheme="minorEastAsia" w:hAnsiTheme="minorEastAsia" w:eastAsiaTheme="minorEastAsia" w:cstheme="minorEastAsia"/>
          <w:b w:val="0"/>
          <w:bCs/>
          <w:highlight w:val="none"/>
        </w:rPr>
        <w:fldChar w:fldCharType="separate"/>
      </w:r>
      <w:r>
        <w:rPr>
          <w:rStyle w:val="63"/>
          <w:rFonts w:hint="eastAsia" w:asciiTheme="minorEastAsia" w:hAnsiTheme="minorEastAsia" w:eastAsiaTheme="minorEastAsia" w:cstheme="minorEastAsia"/>
          <w:b w:val="0"/>
          <w:bCs/>
          <w:color w:val="auto"/>
          <w:highlight w:val="none"/>
        </w:rPr>
        <w:t>第六章投标文件格式</w:t>
      </w:r>
      <w:r>
        <w:rPr>
          <w:rFonts w:hint="eastAsia" w:asciiTheme="minorEastAsia" w:hAnsiTheme="minorEastAsia" w:eastAsiaTheme="minorEastAsia" w:cstheme="minorEastAsia"/>
          <w:b w:val="0"/>
          <w:bCs/>
          <w:highlight w:val="none"/>
        </w:rPr>
        <w:tab/>
      </w:r>
      <w:r>
        <w:rPr>
          <w:rFonts w:hint="eastAsia" w:asciiTheme="minorEastAsia" w:hAnsiTheme="minorEastAsia" w:eastAsiaTheme="minorEastAsia" w:cstheme="minorEastAsia"/>
          <w:b w:val="0"/>
          <w:bCs/>
          <w:highlight w:val="none"/>
        </w:rPr>
        <w:fldChar w:fldCharType="begin"/>
      </w:r>
      <w:r>
        <w:rPr>
          <w:rFonts w:hint="eastAsia" w:asciiTheme="minorEastAsia" w:hAnsiTheme="minorEastAsia" w:eastAsiaTheme="minorEastAsia" w:cstheme="minorEastAsia"/>
          <w:b w:val="0"/>
          <w:bCs/>
          <w:highlight w:val="none"/>
        </w:rPr>
        <w:instrText xml:space="preserve"> PAGEREF _Toc140069450 \h </w:instrText>
      </w:r>
      <w:r>
        <w:rPr>
          <w:rFonts w:hint="eastAsia" w:asciiTheme="minorEastAsia" w:hAnsiTheme="minorEastAsia" w:eastAsiaTheme="minorEastAsia" w:cstheme="minorEastAsia"/>
          <w:b w:val="0"/>
          <w:bCs/>
          <w:highlight w:val="none"/>
        </w:rPr>
        <w:fldChar w:fldCharType="separate"/>
      </w:r>
      <w:r>
        <w:rPr>
          <w:rFonts w:hint="eastAsia" w:asciiTheme="minorEastAsia" w:hAnsiTheme="minorEastAsia" w:eastAsiaTheme="minorEastAsia" w:cstheme="minorEastAsia"/>
          <w:b w:val="0"/>
          <w:bCs/>
          <w:highlight w:val="none"/>
        </w:rPr>
        <w:t>166</w:t>
      </w:r>
      <w:r>
        <w:rPr>
          <w:rFonts w:hint="eastAsia" w:asciiTheme="minorEastAsia" w:hAnsiTheme="minorEastAsia" w:eastAsiaTheme="minorEastAsia" w:cstheme="minorEastAsia"/>
          <w:b w:val="0"/>
          <w:bCs/>
          <w:highlight w:val="none"/>
        </w:rPr>
        <w:fldChar w:fldCharType="end"/>
      </w:r>
      <w:r>
        <w:rPr>
          <w:rFonts w:hint="eastAsia" w:asciiTheme="minorEastAsia" w:hAnsiTheme="minorEastAsia" w:eastAsiaTheme="minorEastAsia" w:cstheme="minorEastAsia"/>
          <w:b w:val="0"/>
          <w:bCs/>
          <w:highlight w:val="none"/>
        </w:rPr>
        <w:fldChar w:fldCharType="end"/>
      </w:r>
    </w:p>
    <w:p>
      <w:pPr>
        <w:pStyle w:val="44"/>
        <w:tabs>
          <w:tab w:val="right" w:leader="dot" w:pos="8290"/>
        </w:tabs>
        <w:rPr>
          <w:rFonts w:cs="Times New Roman"/>
          <w:smallCaps w:val="0"/>
          <w:kern w:val="2"/>
          <w:sz w:val="21"/>
          <w:szCs w:val="22"/>
          <w:highlight w:val="none"/>
        </w:rPr>
      </w:pPr>
    </w:p>
    <w:p>
      <w:pPr>
        <w:pStyle w:val="3"/>
        <w:spacing w:beforeLines="100" w:afterLines="100" w:line="240" w:lineRule="auto"/>
        <w:jc w:val="center"/>
        <w:rPr>
          <w:rFonts w:eastAsia="黑体"/>
          <w:b w:val="0"/>
          <w:highlight w:val="none"/>
        </w:rPr>
      </w:pPr>
      <w:r>
        <w:rPr>
          <w:rFonts w:hint="eastAsia" w:hAnsi="宋体" w:cs="宋体"/>
          <w:b w:val="0"/>
          <w:sz w:val="20"/>
          <w:szCs w:val="20"/>
          <w:highlight w:val="none"/>
        </w:rPr>
        <w:fldChar w:fldCharType="end"/>
      </w:r>
      <w:r>
        <w:rPr>
          <w:rFonts w:hint="eastAsia" w:eastAsia="黑体"/>
          <w:b w:val="0"/>
          <w:highlight w:val="none"/>
        </w:rPr>
        <w:br w:type="page"/>
      </w:r>
      <w:bookmarkStart w:id="1" w:name="_Toc140069380"/>
      <w:r>
        <w:rPr>
          <w:rFonts w:hint="eastAsia"/>
          <w:b w:val="0"/>
          <w:highlight w:val="none"/>
        </w:rPr>
        <w:t>第一章  招标公告</w:t>
      </w:r>
      <w:bookmarkEnd w:id="1"/>
    </w:p>
    <w:p>
      <w:pPr>
        <w:pStyle w:val="19"/>
        <w:spacing w:beforeLines="100" w:afterLines="100"/>
        <w:jc w:val="center"/>
        <w:outlineLvl w:val="1"/>
        <w:rPr>
          <w:rFonts w:ascii="宋体" w:hAnsi="宋体" w:cs="黑体"/>
          <w:sz w:val="44"/>
          <w:szCs w:val="44"/>
          <w:highlight w:val="none"/>
        </w:rPr>
      </w:pPr>
      <w:bookmarkStart w:id="2" w:name="_Toc29561"/>
      <w:bookmarkStart w:id="3" w:name="_Toc140069381"/>
      <w:bookmarkStart w:id="4" w:name="_Toc21186"/>
      <w:bookmarkStart w:id="5" w:name="OLE_LINK1"/>
      <w:r>
        <w:rPr>
          <w:rFonts w:hint="eastAsia" w:ascii="宋体" w:hAnsi="宋体" w:cs="黑体"/>
          <w:sz w:val="44"/>
          <w:szCs w:val="44"/>
          <w:highlight w:val="none"/>
          <w:lang w:eastAsia="zh-CN"/>
        </w:rPr>
        <w:t>合肥通用技术学校实训中心智能化系统项目</w:t>
      </w:r>
      <w:r>
        <w:rPr>
          <w:rFonts w:hint="eastAsia" w:ascii="宋体" w:hAnsi="宋体" w:cs="黑体"/>
          <w:sz w:val="44"/>
          <w:szCs w:val="44"/>
          <w:highlight w:val="none"/>
        </w:rPr>
        <w:t>招标公告</w:t>
      </w:r>
      <w:bookmarkEnd w:id="2"/>
      <w:bookmarkEnd w:id="3"/>
      <w:bookmarkEnd w:id="4"/>
    </w:p>
    <w:p>
      <w:pPr>
        <w:spacing w:line="560" w:lineRule="exact"/>
        <w:outlineLvl w:val="1"/>
        <w:rPr>
          <w:rFonts w:ascii="黑体" w:hAnsi="黑体" w:eastAsia="黑体"/>
          <w:sz w:val="28"/>
          <w:szCs w:val="28"/>
          <w:highlight w:val="none"/>
        </w:rPr>
      </w:pPr>
      <w:bookmarkStart w:id="6" w:name="_Toc13283"/>
      <w:bookmarkStart w:id="7" w:name="_Toc140069382"/>
      <w:bookmarkStart w:id="8" w:name="_Toc26472"/>
      <w:bookmarkStart w:id="9" w:name="_Toc19312"/>
      <w:bookmarkStart w:id="10" w:name="_Toc10622"/>
      <w:r>
        <w:rPr>
          <w:rFonts w:hint="eastAsia" w:ascii="黑体" w:hAnsi="黑体" w:eastAsia="黑体"/>
          <w:sz w:val="28"/>
          <w:szCs w:val="28"/>
          <w:highlight w:val="none"/>
        </w:rPr>
        <w:t>1.招标条件</w:t>
      </w:r>
      <w:bookmarkEnd w:id="6"/>
      <w:bookmarkEnd w:id="7"/>
      <w:bookmarkEnd w:id="8"/>
      <w:bookmarkEnd w:id="9"/>
      <w:bookmarkEnd w:id="10"/>
    </w:p>
    <w:p>
      <w:pPr>
        <w:spacing w:line="560" w:lineRule="exact"/>
        <w:ind w:firstLine="437"/>
        <w:rPr>
          <w:rFonts w:hint="eastAsia" w:ascii="仿宋" w:hAnsi="仿宋" w:eastAsia="仿宋" w:cs="宋体"/>
          <w:sz w:val="28"/>
          <w:szCs w:val="28"/>
          <w:highlight w:val="none"/>
          <w:lang w:eastAsia="zh-CN"/>
        </w:rPr>
      </w:pPr>
      <w:bookmarkStart w:id="11" w:name="_Toc2037"/>
      <w:bookmarkStart w:id="12" w:name="_Toc12572"/>
      <w:bookmarkStart w:id="13" w:name="_Toc21848"/>
      <w:bookmarkStart w:id="14" w:name="_Toc28404"/>
      <w:bookmarkStart w:id="15" w:name="_Toc89721488"/>
      <w:r>
        <w:rPr>
          <w:rFonts w:hint="eastAsia" w:ascii="仿宋" w:hAnsi="仿宋" w:eastAsia="仿宋" w:cs="宋体"/>
          <w:bCs/>
          <w:snapToGrid w:val="0"/>
          <w:sz w:val="28"/>
          <w:szCs w:val="28"/>
          <w:highlight w:val="none"/>
        </w:rPr>
        <w:t>1.1 项目名称：</w:t>
      </w:r>
      <w:r>
        <w:rPr>
          <w:rFonts w:hint="eastAsia" w:ascii="仿宋" w:hAnsi="仿宋" w:eastAsia="仿宋" w:cs="宋体"/>
          <w:sz w:val="28"/>
          <w:szCs w:val="28"/>
          <w:highlight w:val="none"/>
          <w:lang w:eastAsia="zh-CN"/>
        </w:rPr>
        <w:t>合肥通用技术学校实训中心智能化系统项目</w:t>
      </w:r>
    </w:p>
    <w:p>
      <w:pPr>
        <w:spacing w:line="560" w:lineRule="exact"/>
        <w:ind w:firstLine="437"/>
        <w:rPr>
          <w:rFonts w:ascii="仿宋" w:hAnsi="仿宋" w:eastAsia="仿宋" w:cs="宋体"/>
          <w:sz w:val="28"/>
          <w:szCs w:val="28"/>
          <w:highlight w:val="none"/>
        </w:rPr>
      </w:pPr>
      <w:r>
        <w:rPr>
          <w:rFonts w:hint="eastAsia" w:ascii="仿宋" w:hAnsi="仿宋" w:eastAsia="仿宋" w:cs="宋体"/>
          <w:bCs/>
          <w:snapToGrid w:val="0"/>
          <w:sz w:val="28"/>
          <w:szCs w:val="28"/>
          <w:highlight w:val="none"/>
        </w:rPr>
        <w:t>1.2 项目审批、核准或备案机关名称：</w:t>
      </w:r>
      <w:r>
        <w:rPr>
          <w:rFonts w:hint="eastAsia" w:ascii="仿宋" w:hAnsi="仿宋" w:eastAsia="仿宋" w:cs="宋体"/>
          <w:sz w:val="28"/>
          <w:szCs w:val="28"/>
          <w:highlight w:val="none"/>
        </w:rPr>
        <w:t>肥东县发展和改革委员会</w:t>
      </w:r>
    </w:p>
    <w:p>
      <w:pPr>
        <w:spacing w:line="560" w:lineRule="exact"/>
        <w:ind w:firstLine="437"/>
        <w:rPr>
          <w:rFonts w:ascii="仿宋" w:hAnsi="仿宋" w:eastAsia="仿宋" w:cs="宋体"/>
          <w:sz w:val="28"/>
          <w:szCs w:val="28"/>
          <w:highlight w:val="none"/>
        </w:rPr>
      </w:pPr>
      <w:r>
        <w:rPr>
          <w:rFonts w:hint="eastAsia" w:ascii="仿宋" w:hAnsi="仿宋" w:eastAsia="仿宋" w:cs="宋体"/>
          <w:bCs/>
          <w:snapToGrid w:val="0"/>
          <w:sz w:val="28"/>
          <w:szCs w:val="28"/>
          <w:highlight w:val="none"/>
        </w:rPr>
        <w:t>1.3 批文名称及编号：</w:t>
      </w:r>
    </w:p>
    <w:p>
      <w:pPr>
        <w:spacing w:line="560" w:lineRule="exact"/>
        <w:ind w:firstLine="437"/>
        <w:rPr>
          <w:rFonts w:hint="eastAsia" w:ascii="仿宋" w:hAnsi="仿宋" w:eastAsia="仿宋" w:cs="宋体"/>
          <w:sz w:val="28"/>
          <w:szCs w:val="28"/>
          <w:highlight w:val="none"/>
          <w:lang w:eastAsia="zh-CN"/>
        </w:rPr>
      </w:pPr>
      <w:r>
        <w:rPr>
          <w:rFonts w:hint="eastAsia" w:ascii="仿宋" w:hAnsi="仿宋" w:eastAsia="仿宋" w:cs="宋体"/>
          <w:bCs/>
          <w:snapToGrid w:val="0"/>
          <w:sz w:val="28"/>
          <w:szCs w:val="28"/>
          <w:highlight w:val="none"/>
        </w:rPr>
        <w:t>1.4 招标人：</w:t>
      </w:r>
      <w:r>
        <w:rPr>
          <w:rFonts w:hint="eastAsia" w:ascii="仿宋" w:hAnsi="仿宋" w:eastAsia="仿宋" w:cs="宋体"/>
          <w:sz w:val="28"/>
          <w:szCs w:val="28"/>
          <w:highlight w:val="none"/>
          <w:lang w:eastAsia="zh-CN"/>
        </w:rPr>
        <w:t>合肥通用技术学校</w:t>
      </w:r>
    </w:p>
    <w:p>
      <w:pPr>
        <w:spacing w:line="560" w:lineRule="exact"/>
        <w:ind w:firstLine="437"/>
        <w:rPr>
          <w:rFonts w:hint="eastAsia" w:ascii="仿宋" w:hAnsi="仿宋" w:eastAsia="仿宋" w:cs="宋体"/>
          <w:sz w:val="28"/>
          <w:szCs w:val="28"/>
          <w:highlight w:val="none"/>
          <w:lang w:eastAsia="zh-CN"/>
        </w:rPr>
      </w:pPr>
      <w:r>
        <w:rPr>
          <w:rFonts w:hint="eastAsia" w:ascii="仿宋" w:hAnsi="仿宋" w:eastAsia="仿宋" w:cs="宋体"/>
          <w:bCs/>
          <w:snapToGrid w:val="0"/>
          <w:sz w:val="28"/>
          <w:szCs w:val="28"/>
          <w:highlight w:val="none"/>
        </w:rPr>
        <w:t>1.5 项目业主：</w:t>
      </w:r>
      <w:r>
        <w:rPr>
          <w:rFonts w:hint="eastAsia" w:ascii="仿宋" w:hAnsi="仿宋" w:eastAsia="仿宋" w:cs="宋体"/>
          <w:sz w:val="28"/>
          <w:szCs w:val="28"/>
          <w:highlight w:val="none"/>
          <w:lang w:eastAsia="zh-CN"/>
        </w:rPr>
        <w:t>合肥通用技术学校</w:t>
      </w:r>
    </w:p>
    <w:p>
      <w:pPr>
        <w:spacing w:line="560" w:lineRule="exact"/>
        <w:ind w:firstLine="437"/>
        <w:rPr>
          <w:rFonts w:ascii="仿宋" w:hAnsi="仿宋" w:eastAsia="仿宋" w:cs="宋体"/>
          <w:sz w:val="28"/>
          <w:szCs w:val="28"/>
          <w:highlight w:val="none"/>
        </w:rPr>
      </w:pPr>
      <w:r>
        <w:rPr>
          <w:rFonts w:hint="eastAsia" w:ascii="仿宋" w:hAnsi="仿宋" w:eastAsia="仿宋" w:cs="宋体"/>
          <w:bCs/>
          <w:snapToGrid w:val="0"/>
          <w:sz w:val="28"/>
          <w:szCs w:val="28"/>
          <w:highlight w:val="none"/>
        </w:rPr>
        <w:t>1.6 资金来源：</w:t>
      </w:r>
      <w:r>
        <w:rPr>
          <w:rFonts w:hint="eastAsia" w:ascii="仿宋" w:hAnsi="仿宋" w:eastAsia="仿宋" w:cs="宋体"/>
          <w:sz w:val="28"/>
          <w:szCs w:val="28"/>
          <w:highlight w:val="none"/>
        </w:rPr>
        <w:t>政府投资</w:t>
      </w:r>
    </w:p>
    <w:p>
      <w:pPr>
        <w:spacing w:line="560" w:lineRule="exact"/>
        <w:ind w:firstLine="437"/>
        <w:rPr>
          <w:rFonts w:ascii="仿宋" w:hAnsi="仿宋" w:eastAsia="仿宋" w:cs="宋体"/>
          <w:sz w:val="28"/>
          <w:szCs w:val="28"/>
          <w:highlight w:val="none"/>
        </w:rPr>
      </w:pPr>
      <w:r>
        <w:rPr>
          <w:rFonts w:hint="eastAsia" w:ascii="仿宋" w:hAnsi="仿宋" w:eastAsia="仿宋" w:cs="宋体"/>
          <w:bCs/>
          <w:snapToGrid w:val="0"/>
          <w:sz w:val="28"/>
          <w:szCs w:val="28"/>
          <w:highlight w:val="none"/>
        </w:rPr>
        <w:t>1.7 项目出资比例：</w:t>
      </w:r>
      <w:r>
        <w:rPr>
          <w:rFonts w:hint="eastAsia" w:ascii="仿宋" w:hAnsi="仿宋" w:eastAsia="仿宋" w:cs="宋体"/>
          <w:sz w:val="28"/>
          <w:szCs w:val="28"/>
          <w:highlight w:val="none"/>
        </w:rPr>
        <w:t>100%</w:t>
      </w:r>
    </w:p>
    <w:p>
      <w:pPr>
        <w:spacing w:line="560" w:lineRule="exact"/>
        <w:ind w:firstLine="437"/>
        <w:rPr>
          <w:rFonts w:ascii="仿宋" w:hAnsi="仿宋" w:eastAsia="仿宋" w:cs="宋体"/>
          <w:sz w:val="28"/>
          <w:szCs w:val="28"/>
          <w:highlight w:val="none"/>
        </w:rPr>
      </w:pPr>
      <w:r>
        <w:rPr>
          <w:rFonts w:hint="eastAsia" w:ascii="仿宋" w:hAnsi="仿宋" w:eastAsia="仿宋" w:cs="宋体"/>
          <w:bCs/>
          <w:snapToGrid w:val="0"/>
          <w:sz w:val="28"/>
          <w:szCs w:val="28"/>
          <w:highlight w:val="none"/>
        </w:rPr>
        <w:t>1.8 资金落实情况：</w:t>
      </w:r>
      <w:r>
        <w:rPr>
          <w:rFonts w:hint="eastAsia" w:ascii="仿宋" w:hAnsi="仿宋" w:eastAsia="仿宋" w:cs="宋体"/>
          <w:sz w:val="28"/>
          <w:szCs w:val="28"/>
          <w:highlight w:val="none"/>
        </w:rPr>
        <w:t>已落实</w:t>
      </w:r>
    </w:p>
    <w:p>
      <w:pPr>
        <w:spacing w:line="560" w:lineRule="exact"/>
        <w:outlineLvl w:val="1"/>
        <w:rPr>
          <w:rFonts w:ascii="黑体" w:hAnsi="黑体" w:eastAsia="黑体"/>
          <w:sz w:val="28"/>
          <w:szCs w:val="28"/>
          <w:highlight w:val="none"/>
        </w:rPr>
      </w:pPr>
      <w:bookmarkStart w:id="16" w:name="_Toc140069383"/>
      <w:r>
        <w:rPr>
          <w:rFonts w:hint="eastAsia" w:ascii="黑体" w:hAnsi="黑体" w:eastAsia="黑体"/>
          <w:sz w:val="28"/>
          <w:szCs w:val="28"/>
          <w:highlight w:val="none"/>
        </w:rPr>
        <w:t>2.项目概况与招标范围</w:t>
      </w:r>
      <w:bookmarkEnd w:id="11"/>
      <w:bookmarkEnd w:id="12"/>
      <w:bookmarkEnd w:id="13"/>
      <w:bookmarkEnd w:id="14"/>
      <w:bookmarkEnd w:id="16"/>
    </w:p>
    <w:p>
      <w:pPr>
        <w:spacing w:line="560" w:lineRule="exact"/>
        <w:ind w:firstLine="437"/>
        <w:rPr>
          <w:rFonts w:hint="eastAsia" w:ascii="仿宋" w:hAnsi="仿宋" w:eastAsia="仿宋" w:cs="宋体"/>
          <w:sz w:val="28"/>
          <w:szCs w:val="28"/>
          <w:highlight w:val="none"/>
          <w:lang w:eastAsia="zh-CN"/>
        </w:rPr>
      </w:pPr>
      <w:bookmarkStart w:id="17" w:name="_Toc29404"/>
      <w:bookmarkStart w:id="18" w:name="_Toc19143"/>
      <w:bookmarkStart w:id="19" w:name="_Toc7451"/>
      <w:bookmarkStart w:id="20" w:name="_Toc13105"/>
      <w:r>
        <w:rPr>
          <w:rFonts w:hint="eastAsia" w:ascii="仿宋" w:hAnsi="仿宋" w:eastAsia="仿宋" w:cs="宋体"/>
          <w:bCs/>
          <w:snapToGrid w:val="0"/>
          <w:sz w:val="28"/>
          <w:szCs w:val="28"/>
          <w:highlight w:val="none"/>
        </w:rPr>
        <w:t>2.1 招标项目名称：</w:t>
      </w:r>
      <w:r>
        <w:rPr>
          <w:rFonts w:hint="eastAsia" w:ascii="仿宋" w:hAnsi="仿宋" w:eastAsia="仿宋" w:cs="宋体"/>
          <w:sz w:val="28"/>
          <w:szCs w:val="28"/>
          <w:highlight w:val="none"/>
          <w:lang w:eastAsia="zh-CN"/>
        </w:rPr>
        <w:t>合肥通用技术学校实训中心智能化系统项目</w:t>
      </w:r>
    </w:p>
    <w:p>
      <w:pPr>
        <w:spacing w:line="560" w:lineRule="exact"/>
        <w:ind w:firstLine="437"/>
        <w:rPr>
          <w:rFonts w:hint="eastAsia" w:ascii="仿宋" w:hAnsi="仿宋" w:eastAsia="仿宋" w:cs="宋体"/>
          <w:bCs/>
          <w:snapToGrid w:val="0"/>
          <w:sz w:val="28"/>
          <w:szCs w:val="28"/>
          <w:highlight w:val="none"/>
          <w:lang w:eastAsia="zh-CN"/>
        </w:rPr>
      </w:pPr>
      <w:r>
        <w:rPr>
          <w:rFonts w:hint="eastAsia" w:ascii="仿宋" w:hAnsi="仿宋" w:eastAsia="仿宋" w:cs="宋体"/>
          <w:bCs/>
          <w:snapToGrid w:val="0"/>
          <w:sz w:val="28"/>
          <w:szCs w:val="28"/>
          <w:highlight w:val="none"/>
        </w:rPr>
        <w:t>2.2 招标项目编号：</w:t>
      </w:r>
      <w:r>
        <w:rPr>
          <w:rFonts w:hint="eastAsia" w:ascii="仿宋" w:hAnsi="仿宋" w:eastAsia="仿宋" w:cs="宋体"/>
          <w:sz w:val="28"/>
          <w:szCs w:val="28"/>
          <w:highlight w:val="none"/>
          <w:lang w:eastAsia="zh-CN"/>
        </w:rPr>
        <w:t>XXXX</w:t>
      </w:r>
    </w:p>
    <w:p>
      <w:pPr>
        <w:spacing w:line="560" w:lineRule="exact"/>
        <w:ind w:firstLine="437"/>
        <w:rPr>
          <w:rFonts w:ascii="仿宋" w:hAnsi="仿宋" w:eastAsia="仿宋" w:cs="宋体"/>
          <w:sz w:val="28"/>
          <w:szCs w:val="28"/>
          <w:highlight w:val="none"/>
        </w:rPr>
      </w:pPr>
      <w:r>
        <w:rPr>
          <w:rFonts w:hint="eastAsia" w:ascii="仿宋" w:hAnsi="仿宋" w:eastAsia="仿宋" w:cs="宋体"/>
          <w:bCs/>
          <w:snapToGrid w:val="0"/>
          <w:sz w:val="28"/>
          <w:szCs w:val="28"/>
          <w:highlight w:val="none"/>
        </w:rPr>
        <w:t>2.3 标段划分：</w:t>
      </w:r>
      <w:r>
        <w:rPr>
          <w:rFonts w:hint="eastAsia" w:ascii="仿宋" w:hAnsi="仿宋" w:eastAsia="仿宋"/>
          <w:color w:val="333333"/>
          <w:sz w:val="28"/>
          <w:szCs w:val="28"/>
          <w:highlight w:val="none"/>
        </w:rPr>
        <w:t>本</w:t>
      </w:r>
      <w:r>
        <w:rPr>
          <w:rFonts w:hint="eastAsia" w:ascii="仿宋" w:hAnsi="仿宋" w:eastAsia="仿宋"/>
          <w:color w:val="333333"/>
          <w:sz w:val="28"/>
          <w:szCs w:val="28"/>
          <w:highlight w:val="none"/>
          <w:lang w:val="en-US" w:eastAsia="zh-CN"/>
        </w:rPr>
        <w:t>招标</w:t>
      </w:r>
      <w:r>
        <w:rPr>
          <w:rFonts w:hint="eastAsia" w:ascii="仿宋" w:hAnsi="仿宋" w:eastAsia="仿宋"/>
          <w:color w:val="333333"/>
          <w:sz w:val="28"/>
          <w:szCs w:val="28"/>
          <w:highlight w:val="none"/>
        </w:rPr>
        <w:t>项目共</w:t>
      </w:r>
      <w:r>
        <w:rPr>
          <w:rFonts w:hint="eastAsia" w:ascii="仿宋" w:hAnsi="仿宋" w:eastAsia="仿宋"/>
          <w:color w:val="333333"/>
          <w:sz w:val="28"/>
          <w:szCs w:val="28"/>
          <w:highlight w:val="none"/>
          <w:lang w:val="en-US" w:eastAsia="zh-CN"/>
        </w:rPr>
        <w:t>划分</w:t>
      </w:r>
      <w:r>
        <w:rPr>
          <w:rFonts w:hint="eastAsia" w:ascii="仿宋" w:hAnsi="仿宋" w:eastAsia="仿宋"/>
          <w:color w:val="333333"/>
          <w:sz w:val="28"/>
          <w:szCs w:val="28"/>
          <w:highlight w:val="none"/>
        </w:rPr>
        <w:t>1个标段</w:t>
      </w:r>
      <w:r>
        <w:rPr>
          <w:rFonts w:hint="eastAsia" w:ascii="仿宋" w:hAnsi="仿宋" w:eastAsia="仿宋"/>
          <w:color w:val="333333"/>
          <w:sz w:val="28"/>
          <w:szCs w:val="28"/>
          <w:highlight w:val="none"/>
          <w:lang w:eastAsia="zh-CN"/>
        </w:rPr>
        <w:t>。</w:t>
      </w:r>
    </w:p>
    <w:p>
      <w:pPr>
        <w:spacing w:line="560" w:lineRule="exact"/>
        <w:ind w:firstLine="437"/>
        <w:rPr>
          <w:rFonts w:hint="eastAsia" w:ascii="仿宋" w:hAnsi="仿宋" w:eastAsia="仿宋" w:cs="宋体"/>
          <w:sz w:val="28"/>
          <w:szCs w:val="28"/>
          <w:highlight w:val="none"/>
          <w:lang w:eastAsia="zh-CN"/>
        </w:rPr>
      </w:pPr>
      <w:r>
        <w:rPr>
          <w:rFonts w:hint="eastAsia" w:ascii="仿宋" w:hAnsi="仿宋" w:eastAsia="仿宋" w:cs="宋体"/>
          <w:bCs/>
          <w:snapToGrid w:val="0"/>
          <w:sz w:val="28"/>
          <w:szCs w:val="28"/>
          <w:highlight w:val="none"/>
        </w:rPr>
        <w:t>2.4 招标项目标段编号：</w:t>
      </w:r>
      <w:r>
        <w:rPr>
          <w:rFonts w:hint="eastAsia" w:ascii="仿宋" w:hAnsi="仿宋" w:eastAsia="仿宋" w:cs="宋体"/>
          <w:sz w:val="28"/>
          <w:szCs w:val="28"/>
          <w:highlight w:val="none"/>
          <w:lang w:eastAsia="zh-CN"/>
        </w:rPr>
        <w:t>XXXX</w:t>
      </w:r>
    </w:p>
    <w:p>
      <w:pPr>
        <w:spacing w:line="560" w:lineRule="exact"/>
        <w:ind w:firstLine="437"/>
        <w:rPr>
          <w:rFonts w:hint="eastAsia" w:ascii="仿宋" w:hAnsi="仿宋" w:eastAsia="仿宋" w:cs="宋体"/>
          <w:sz w:val="28"/>
          <w:szCs w:val="28"/>
          <w:highlight w:val="none"/>
          <w:lang w:eastAsia="zh-CN"/>
        </w:rPr>
      </w:pPr>
      <w:r>
        <w:rPr>
          <w:rFonts w:hint="eastAsia" w:ascii="仿宋" w:hAnsi="仿宋" w:eastAsia="仿宋" w:cs="宋体"/>
          <w:bCs/>
          <w:snapToGrid w:val="0"/>
          <w:sz w:val="28"/>
          <w:szCs w:val="28"/>
          <w:highlight w:val="none"/>
        </w:rPr>
        <w:t>2.5 建设地点：</w:t>
      </w:r>
      <w:r>
        <w:rPr>
          <w:rFonts w:hint="eastAsia" w:ascii="仿宋" w:hAnsi="仿宋" w:eastAsia="仿宋" w:cs="宋体"/>
          <w:bCs/>
          <w:snapToGrid w:val="0"/>
          <w:sz w:val="28"/>
          <w:szCs w:val="28"/>
          <w:highlight w:val="none"/>
          <w:lang w:val="en-US" w:eastAsia="zh-CN"/>
        </w:rPr>
        <w:t>安徽省</w:t>
      </w:r>
      <w:r>
        <w:rPr>
          <w:rFonts w:hint="eastAsia" w:ascii="仿宋" w:hAnsi="仿宋" w:eastAsia="仿宋" w:cs="宋体"/>
          <w:sz w:val="28"/>
          <w:szCs w:val="28"/>
          <w:highlight w:val="none"/>
        </w:rPr>
        <w:t>合肥市</w:t>
      </w:r>
      <w:r>
        <w:rPr>
          <w:rFonts w:hint="eastAsia" w:ascii="仿宋" w:hAnsi="仿宋" w:eastAsia="仿宋" w:cs="宋体"/>
          <w:sz w:val="28"/>
          <w:szCs w:val="28"/>
          <w:highlight w:val="none"/>
          <w:lang w:eastAsia="zh-CN"/>
        </w:rPr>
        <w:t>合肥通用技术学校</w:t>
      </w:r>
    </w:p>
    <w:p>
      <w:pPr>
        <w:spacing w:line="560" w:lineRule="exact"/>
        <w:ind w:firstLine="437"/>
        <w:rPr>
          <w:rFonts w:hint="default" w:ascii="仿宋" w:hAnsi="仿宋" w:eastAsia="仿宋" w:cs="宋体"/>
          <w:sz w:val="28"/>
          <w:szCs w:val="28"/>
          <w:highlight w:val="none"/>
          <w:lang w:val="en-US" w:eastAsia="zh-CN"/>
        </w:rPr>
      </w:pPr>
      <w:r>
        <w:rPr>
          <w:rFonts w:hint="eastAsia" w:ascii="仿宋" w:hAnsi="仿宋" w:eastAsia="仿宋" w:cs="宋体"/>
          <w:bCs/>
          <w:snapToGrid w:val="0"/>
          <w:sz w:val="28"/>
          <w:szCs w:val="28"/>
          <w:highlight w:val="none"/>
        </w:rPr>
        <w:t>2.6 建设规模：合肥通用技术学校实训中心总建筑面积约19938.95平方米</w:t>
      </w:r>
      <w:r>
        <w:rPr>
          <w:rFonts w:hint="eastAsia" w:ascii="仿宋" w:hAnsi="仿宋" w:eastAsia="仿宋" w:cs="宋体"/>
          <w:bCs/>
          <w:snapToGrid w:val="0"/>
          <w:sz w:val="28"/>
          <w:szCs w:val="28"/>
          <w:highlight w:val="none"/>
          <w:lang w:eastAsia="zh-CN"/>
        </w:rPr>
        <w:t>，</w:t>
      </w:r>
      <w:r>
        <w:rPr>
          <w:rFonts w:hint="eastAsia" w:ascii="仿宋" w:hAnsi="仿宋" w:eastAsia="仿宋" w:cs="宋体"/>
          <w:bCs/>
          <w:snapToGrid w:val="0"/>
          <w:sz w:val="28"/>
          <w:szCs w:val="28"/>
          <w:highlight w:val="none"/>
          <w:lang w:val="en-US" w:eastAsia="zh-CN"/>
        </w:rPr>
        <w:t>本次为实训中心智能化系统招标。</w:t>
      </w:r>
    </w:p>
    <w:p>
      <w:pPr>
        <w:spacing w:line="560" w:lineRule="exact"/>
        <w:ind w:firstLine="437"/>
        <w:rPr>
          <w:rFonts w:ascii="仿宋" w:hAnsi="仿宋" w:eastAsia="仿宋" w:cs="宋体"/>
          <w:sz w:val="28"/>
          <w:szCs w:val="28"/>
          <w:highlight w:val="none"/>
        </w:rPr>
      </w:pPr>
      <w:r>
        <w:rPr>
          <w:rFonts w:hint="eastAsia" w:ascii="仿宋" w:hAnsi="仿宋" w:eastAsia="仿宋" w:cs="宋体"/>
          <w:bCs/>
          <w:snapToGrid w:val="0"/>
          <w:sz w:val="28"/>
          <w:szCs w:val="28"/>
          <w:highlight w:val="none"/>
        </w:rPr>
        <w:t>2.7 合同估算价：</w:t>
      </w:r>
      <w:r>
        <w:rPr>
          <w:rFonts w:hint="eastAsia" w:ascii="仿宋" w:hAnsi="仿宋" w:eastAsia="仿宋" w:cs="宋体"/>
          <w:bCs/>
          <w:snapToGrid w:val="0"/>
          <w:sz w:val="28"/>
          <w:szCs w:val="28"/>
          <w:highlight w:val="none"/>
          <w:lang w:val="en-US" w:eastAsia="zh-CN"/>
        </w:rPr>
        <w:t>320.55</w:t>
      </w:r>
      <w:r>
        <w:rPr>
          <w:rFonts w:hint="eastAsia" w:ascii="仿宋" w:hAnsi="仿宋" w:eastAsia="仿宋" w:cs="宋体"/>
          <w:sz w:val="28"/>
          <w:szCs w:val="28"/>
          <w:highlight w:val="none"/>
        </w:rPr>
        <w:t>万元</w:t>
      </w:r>
    </w:p>
    <w:p>
      <w:pPr>
        <w:spacing w:line="560" w:lineRule="exact"/>
        <w:ind w:firstLine="437"/>
        <w:rPr>
          <w:rFonts w:ascii="仿宋" w:hAnsi="仿宋" w:eastAsia="仿宋" w:cs="宋体"/>
          <w:bCs/>
          <w:snapToGrid w:val="0"/>
          <w:sz w:val="28"/>
          <w:szCs w:val="28"/>
          <w:highlight w:val="none"/>
        </w:rPr>
      </w:pPr>
      <w:r>
        <w:rPr>
          <w:rFonts w:hint="eastAsia" w:ascii="仿宋" w:hAnsi="仿宋" w:eastAsia="仿宋" w:cs="宋体"/>
          <w:bCs/>
          <w:snapToGrid w:val="0"/>
          <w:sz w:val="28"/>
          <w:szCs w:val="28"/>
          <w:highlight w:val="none"/>
        </w:rPr>
        <w:t>2.8交货及安装周期：</w:t>
      </w:r>
      <w:r>
        <w:rPr>
          <w:rFonts w:hint="eastAsia" w:ascii="仿宋" w:hAnsi="仿宋" w:eastAsia="仿宋" w:cs="宋体"/>
          <w:sz w:val="28"/>
          <w:szCs w:val="28"/>
          <w:highlight w:val="none"/>
          <w:lang w:val="en-US" w:eastAsia="zh-CN"/>
        </w:rPr>
        <w:t>30</w:t>
      </w:r>
      <w:r>
        <w:rPr>
          <w:rFonts w:hint="eastAsia" w:ascii="仿宋" w:hAnsi="仿宋" w:eastAsia="仿宋" w:cs="宋体"/>
          <w:sz w:val="28"/>
          <w:szCs w:val="28"/>
          <w:highlight w:val="none"/>
        </w:rPr>
        <w:t>日历天</w:t>
      </w:r>
    </w:p>
    <w:p>
      <w:pPr>
        <w:spacing w:line="560" w:lineRule="exact"/>
        <w:ind w:firstLine="437"/>
        <w:rPr>
          <w:rFonts w:hint="eastAsia" w:ascii="仿宋" w:hAnsi="仿宋" w:eastAsia="仿宋" w:cs="Calibri"/>
          <w:kern w:val="2"/>
          <w:sz w:val="28"/>
          <w:szCs w:val="28"/>
          <w:highlight w:val="none"/>
          <w:lang w:eastAsia="zh-CN"/>
        </w:rPr>
      </w:pPr>
      <w:r>
        <w:rPr>
          <w:rFonts w:hint="eastAsia" w:ascii="仿宋" w:hAnsi="仿宋" w:eastAsia="仿宋" w:cs="宋体"/>
          <w:bCs/>
          <w:snapToGrid w:val="0"/>
          <w:sz w:val="28"/>
          <w:szCs w:val="28"/>
          <w:highlight w:val="none"/>
        </w:rPr>
        <w:t>2.9交货及安装地点：</w:t>
      </w:r>
      <w:r>
        <w:rPr>
          <w:rFonts w:hint="eastAsia" w:ascii="仿宋" w:hAnsi="仿宋" w:eastAsia="仿宋" w:cs="Calibri"/>
          <w:kern w:val="2"/>
          <w:sz w:val="28"/>
          <w:szCs w:val="28"/>
          <w:highlight w:val="none"/>
        </w:rPr>
        <w:t>合肥市</w:t>
      </w:r>
      <w:r>
        <w:rPr>
          <w:rFonts w:hint="eastAsia" w:ascii="仿宋" w:hAnsi="仿宋" w:eastAsia="仿宋" w:cs="Calibri"/>
          <w:kern w:val="2"/>
          <w:sz w:val="28"/>
          <w:szCs w:val="28"/>
          <w:highlight w:val="none"/>
          <w:lang w:eastAsia="zh-CN"/>
        </w:rPr>
        <w:t>合肥通用技术学校实训中心</w:t>
      </w:r>
    </w:p>
    <w:p>
      <w:pPr>
        <w:spacing w:line="560" w:lineRule="exact"/>
        <w:ind w:firstLine="437"/>
        <w:rPr>
          <w:rFonts w:hint="eastAsia" w:ascii="仿宋" w:hAnsi="仿宋" w:eastAsia="仿宋" w:cs="宋体"/>
          <w:bCs/>
          <w:snapToGrid w:val="0"/>
          <w:sz w:val="28"/>
          <w:szCs w:val="28"/>
          <w:highlight w:val="none"/>
          <w:lang w:eastAsia="zh-CN"/>
        </w:rPr>
      </w:pPr>
      <w:r>
        <w:rPr>
          <w:rFonts w:hint="eastAsia" w:ascii="仿宋" w:hAnsi="仿宋" w:eastAsia="仿宋" w:cs="宋体"/>
          <w:bCs/>
          <w:snapToGrid w:val="0"/>
          <w:sz w:val="28"/>
          <w:szCs w:val="28"/>
          <w:highlight w:val="none"/>
        </w:rPr>
        <w:t>2.10招标范围：合肥通用技术学校实训中心9个智能化子系统，分别为：综合布线系统、综合安防系统、计算机网络系统、校园广播系统、机房工程系统、弱电综合管网系统、录播教室系统、信息发布系统、多媒体会议系统（多功能教室）等</w:t>
      </w:r>
      <w:r>
        <w:rPr>
          <w:rFonts w:hint="eastAsia" w:ascii="仿宋" w:hAnsi="仿宋" w:eastAsia="仿宋" w:cs="宋体"/>
          <w:bCs/>
          <w:snapToGrid w:val="0"/>
          <w:sz w:val="28"/>
          <w:szCs w:val="28"/>
          <w:highlight w:val="none"/>
          <w:lang w:eastAsia="zh-CN"/>
        </w:rPr>
        <w:t>。</w:t>
      </w:r>
    </w:p>
    <w:p>
      <w:pPr>
        <w:spacing w:line="560" w:lineRule="exact"/>
        <w:ind w:firstLine="437"/>
        <w:rPr>
          <w:rFonts w:ascii="仿宋" w:hAnsi="仿宋" w:eastAsia="仿宋" w:cs="宋体"/>
          <w:sz w:val="28"/>
          <w:szCs w:val="28"/>
          <w:highlight w:val="none"/>
        </w:rPr>
      </w:pPr>
      <w:r>
        <w:rPr>
          <w:rFonts w:hint="eastAsia" w:ascii="仿宋" w:hAnsi="仿宋" w:eastAsia="仿宋" w:cs="宋体"/>
          <w:bCs/>
          <w:snapToGrid w:val="0"/>
          <w:sz w:val="28"/>
          <w:szCs w:val="28"/>
          <w:highlight w:val="none"/>
        </w:rPr>
        <w:t>2.11项目类别：</w:t>
      </w:r>
      <w:r>
        <w:rPr>
          <w:rFonts w:hint="eastAsia" w:ascii="仿宋" w:hAnsi="仿宋" w:eastAsia="仿宋" w:cs="宋体"/>
          <w:sz w:val="28"/>
          <w:szCs w:val="28"/>
          <w:highlight w:val="none"/>
        </w:rPr>
        <w:t>工程货物</w:t>
      </w:r>
    </w:p>
    <w:p>
      <w:pPr>
        <w:spacing w:line="560" w:lineRule="exact"/>
        <w:ind w:firstLine="437"/>
        <w:rPr>
          <w:rFonts w:ascii="仿宋" w:hAnsi="仿宋" w:eastAsia="仿宋" w:cs="宋体"/>
          <w:bCs/>
          <w:snapToGrid w:val="0"/>
          <w:sz w:val="28"/>
          <w:szCs w:val="28"/>
          <w:highlight w:val="none"/>
        </w:rPr>
      </w:pPr>
      <w:r>
        <w:rPr>
          <w:rFonts w:hint="eastAsia" w:ascii="仿宋" w:hAnsi="仿宋" w:eastAsia="仿宋" w:cs="宋体"/>
          <w:bCs/>
          <w:snapToGrid w:val="0"/>
          <w:sz w:val="28"/>
          <w:szCs w:val="28"/>
          <w:highlight w:val="none"/>
        </w:rPr>
        <w:t>2.12其他：</w:t>
      </w:r>
      <w:r>
        <w:rPr>
          <w:rFonts w:hint="eastAsia" w:ascii="仿宋" w:hAnsi="仿宋" w:eastAsia="仿宋" w:cs="宋体"/>
          <w:sz w:val="28"/>
          <w:szCs w:val="28"/>
          <w:highlight w:val="none"/>
        </w:rPr>
        <w:t>无</w:t>
      </w:r>
    </w:p>
    <w:p>
      <w:pPr>
        <w:spacing w:line="560" w:lineRule="exact"/>
        <w:outlineLvl w:val="1"/>
        <w:rPr>
          <w:rFonts w:ascii="黑体" w:hAnsi="黑体" w:eastAsia="黑体"/>
          <w:sz w:val="28"/>
          <w:szCs w:val="28"/>
          <w:highlight w:val="none"/>
        </w:rPr>
      </w:pPr>
      <w:bookmarkStart w:id="21" w:name="_Toc140069384"/>
      <w:r>
        <w:rPr>
          <w:rFonts w:hint="eastAsia" w:ascii="黑体" w:hAnsi="黑体" w:eastAsia="黑体"/>
          <w:sz w:val="28"/>
          <w:szCs w:val="28"/>
          <w:highlight w:val="none"/>
        </w:rPr>
        <w:t>3.投标人资格要求</w:t>
      </w:r>
      <w:bookmarkEnd w:id="17"/>
      <w:bookmarkEnd w:id="18"/>
      <w:bookmarkEnd w:id="19"/>
      <w:bookmarkEnd w:id="20"/>
      <w:bookmarkEnd w:id="21"/>
    </w:p>
    <w:bookmarkEnd w:id="15"/>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3.1 投标人应依法设立并具备承担本招标项目的如下条件：</w:t>
      </w:r>
    </w:p>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3.1.1 投标人资质要求：具有独立承担民事责任的能力。</w:t>
      </w:r>
    </w:p>
    <w:p>
      <w:pPr>
        <w:spacing w:line="560" w:lineRule="exact"/>
        <w:ind w:firstLine="437"/>
        <w:jc w:val="left"/>
        <w:rPr>
          <w:rFonts w:ascii="仿宋" w:hAnsi="仿宋" w:eastAsia="仿宋" w:cs="宋体"/>
          <w:bCs/>
          <w:snapToGrid w:val="0"/>
          <w:sz w:val="28"/>
          <w:szCs w:val="28"/>
          <w:highlight w:val="none"/>
        </w:rPr>
      </w:pPr>
      <w:r>
        <w:rPr>
          <w:rFonts w:hint="eastAsia" w:ascii="仿宋" w:hAnsi="仿宋" w:eastAsia="仿宋" w:cs="宋体"/>
          <w:sz w:val="28"/>
          <w:szCs w:val="28"/>
          <w:highlight w:val="none"/>
        </w:rPr>
        <w:t>3.1.2 项目负责人资格要求</w:t>
      </w:r>
      <w:r>
        <w:rPr>
          <w:rFonts w:hint="eastAsia" w:ascii="仿宋" w:hAnsi="仿宋" w:eastAsia="仿宋" w:cs="宋体"/>
          <w:bCs/>
          <w:snapToGrid w:val="0"/>
          <w:sz w:val="28"/>
          <w:szCs w:val="28"/>
          <w:highlight w:val="none"/>
        </w:rPr>
        <w:t>：</w:t>
      </w:r>
      <w:r>
        <w:rPr>
          <w:rFonts w:hint="eastAsia" w:ascii="仿宋" w:hAnsi="仿宋" w:eastAsia="仿宋" w:cs="宋体"/>
          <w:bCs/>
          <w:snapToGrid w:val="0"/>
          <w:sz w:val="28"/>
          <w:szCs w:val="28"/>
          <w:highlight w:val="none"/>
          <w:lang w:val="en-US" w:eastAsia="zh-CN"/>
        </w:rPr>
        <w:t>无</w:t>
      </w:r>
      <w:r>
        <w:rPr>
          <w:rFonts w:hint="eastAsia" w:ascii="仿宋" w:hAnsi="仿宋" w:eastAsia="仿宋" w:cs="宋体"/>
          <w:bCs/>
          <w:snapToGrid w:val="0"/>
          <w:sz w:val="28"/>
          <w:szCs w:val="28"/>
          <w:highlight w:val="none"/>
        </w:rPr>
        <w:t>。</w:t>
      </w:r>
    </w:p>
    <w:p>
      <w:pPr>
        <w:spacing w:line="560" w:lineRule="exact"/>
        <w:ind w:firstLine="437"/>
        <w:rPr>
          <w:rFonts w:ascii="仿宋" w:hAnsi="仿宋" w:eastAsia="仿宋" w:cs="宋体"/>
          <w:bCs/>
          <w:snapToGrid w:val="0"/>
          <w:sz w:val="28"/>
          <w:szCs w:val="28"/>
          <w:highlight w:val="none"/>
        </w:rPr>
      </w:pPr>
      <w:r>
        <w:rPr>
          <w:rFonts w:hint="eastAsia" w:ascii="仿宋" w:hAnsi="仿宋" w:eastAsia="仿宋" w:cs="宋体"/>
          <w:sz w:val="28"/>
          <w:szCs w:val="28"/>
          <w:highlight w:val="none"/>
        </w:rPr>
        <w:t xml:space="preserve">3.1.3 </w:t>
      </w:r>
      <w:r>
        <w:rPr>
          <w:rFonts w:hint="eastAsia" w:ascii="仿宋" w:hAnsi="仿宋" w:eastAsia="仿宋" w:cs="宋体"/>
          <w:bCs/>
          <w:snapToGrid w:val="0"/>
          <w:sz w:val="28"/>
          <w:szCs w:val="28"/>
          <w:highlight w:val="none"/>
        </w:rPr>
        <w:t>投标人业绩要求：无</w:t>
      </w:r>
      <w:r>
        <w:rPr>
          <w:rFonts w:hint="eastAsia" w:ascii="仿宋" w:hAnsi="仿宋" w:eastAsia="仿宋" w:cs="宋体"/>
          <w:sz w:val="28"/>
          <w:szCs w:val="28"/>
          <w:highlight w:val="none"/>
        </w:rPr>
        <w:t>。</w:t>
      </w:r>
    </w:p>
    <w:p>
      <w:pPr>
        <w:spacing w:line="560" w:lineRule="exact"/>
        <w:ind w:firstLine="437"/>
        <w:jc w:val="left"/>
        <w:rPr>
          <w:rFonts w:ascii="仿宋" w:hAnsi="仿宋" w:eastAsia="仿宋" w:cs="宋体"/>
          <w:sz w:val="28"/>
          <w:szCs w:val="28"/>
          <w:highlight w:val="none"/>
        </w:rPr>
      </w:pPr>
      <w:r>
        <w:rPr>
          <w:rFonts w:hint="eastAsia" w:ascii="仿宋" w:hAnsi="仿宋" w:eastAsia="仿宋" w:cs="宋体"/>
          <w:sz w:val="28"/>
          <w:szCs w:val="28"/>
          <w:highlight w:val="none"/>
        </w:rPr>
        <w:t xml:space="preserve">3.1.4 </w:t>
      </w:r>
      <w:r>
        <w:rPr>
          <w:rFonts w:hint="eastAsia" w:ascii="仿宋" w:hAnsi="仿宋" w:eastAsia="仿宋" w:cs="宋体"/>
          <w:bCs/>
          <w:snapToGrid w:val="0"/>
          <w:sz w:val="28"/>
          <w:szCs w:val="28"/>
          <w:highlight w:val="none"/>
        </w:rPr>
        <w:t>项目负责人业绩要求：无</w:t>
      </w:r>
      <w:r>
        <w:rPr>
          <w:rFonts w:hint="eastAsia" w:ascii="仿宋" w:hAnsi="仿宋" w:eastAsia="仿宋" w:cs="宋体"/>
          <w:sz w:val="28"/>
          <w:szCs w:val="28"/>
          <w:highlight w:val="none"/>
        </w:rPr>
        <w:t>。</w:t>
      </w:r>
    </w:p>
    <w:p>
      <w:pPr>
        <w:spacing w:line="560" w:lineRule="exact"/>
        <w:ind w:firstLine="437"/>
        <w:jc w:val="left"/>
        <w:rPr>
          <w:rFonts w:ascii="仿宋" w:hAnsi="仿宋" w:eastAsia="仿宋" w:cs="宋体"/>
          <w:sz w:val="28"/>
          <w:szCs w:val="28"/>
          <w:highlight w:val="none"/>
        </w:rPr>
      </w:pPr>
      <w:r>
        <w:rPr>
          <w:rFonts w:hint="eastAsia" w:ascii="仿宋" w:hAnsi="仿宋" w:eastAsia="仿宋" w:cs="宋体"/>
          <w:sz w:val="28"/>
          <w:szCs w:val="28"/>
          <w:highlight w:val="none"/>
        </w:rPr>
        <w:t>3.1.5 财务要求：无。</w:t>
      </w:r>
    </w:p>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3.1.6 信誉要求：投标人未被合肥市及其所辖县（市）、区（开发区）公共资源交易监督管理部门记不良行为记录的；或被记不良行为记录（以公布日期为准），但同时符合下列情形的：</w:t>
      </w:r>
    </w:p>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（1）开标日前（含当日）6个月内记分累计未满10分的；</w:t>
      </w:r>
    </w:p>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（2）开标日前（含当日）12个月内记分累计未满15分的；</w:t>
      </w:r>
    </w:p>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（3）开标日前（含当日）18个月内记分累计未满20分的；</w:t>
      </w:r>
    </w:p>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（4）开标日前（含当日）24个月内记分累计未满25分的。</w:t>
      </w:r>
    </w:p>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3.1.7本招标项目不接受联合体投标。</w:t>
      </w:r>
    </w:p>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 xml:space="preserve">3.2 </w:t>
      </w:r>
      <w:r>
        <w:rPr>
          <w:rFonts w:hint="eastAsia" w:ascii="仿宋" w:hAnsi="仿宋" w:eastAsia="仿宋" w:cs="宋体"/>
          <w:bCs/>
          <w:snapToGrid w:val="0"/>
          <w:sz w:val="28"/>
          <w:szCs w:val="28"/>
          <w:highlight w:val="none"/>
        </w:rPr>
        <w:t>一个制造商对同一品牌同一型号的货物，仅能委托一个代理商参加投标。（本项目不采用）</w:t>
      </w:r>
    </w:p>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3.3 投标人不得存在招标文件第二章投标人须知第1.4.3项、第1.4.4项规定的情形。</w:t>
      </w:r>
    </w:p>
    <w:p>
      <w:pPr>
        <w:spacing w:line="560" w:lineRule="exact"/>
        <w:ind w:firstLine="437"/>
        <w:rPr>
          <w:rFonts w:ascii="仿宋" w:hAnsi="仿宋" w:eastAsia="仿宋" w:cs="宋体"/>
          <w:sz w:val="28"/>
          <w:szCs w:val="28"/>
          <w:highlight w:val="none"/>
        </w:rPr>
      </w:pPr>
      <w:r>
        <w:rPr>
          <w:rFonts w:hint="eastAsia" w:ascii="仿宋" w:hAnsi="仿宋" w:eastAsia="仿宋" w:cs="宋体"/>
          <w:sz w:val="28"/>
          <w:szCs w:val="28"/>
          <w:highlight w:val="none"/>
        </w:rPr>
        <w:t>3.4 其他要求：无。</w:t>
      </w:r>
    </w:p>
    <w:p>
      <w:pPr>
        <w:spacing w:line="560" w:lineRule="exact"/>
        <w:outlineLvl w:val="1"/>
        <w:rPr>
          <w:rFonts w:ascii="黑体" w:hAnsi="黑体" w:eastAsia="黑体"/>
          <w:sz w:val="28"/>
          <w:szCs w:val="28"/>
          <w:highlight w:val="none"/>
        </w:rPr>
      </w:pPr>
      <w:bookmarkStart w:id="22" w:name="_Toc14271"/>
      <w:bookmarkStart w:id="23" w:name="_Toc6851"/>
      <w:bookmarkStart w:id="24" w:name="_Toc140069385"/>
      <w:bookmarkStart w:id="25" w:name="_Toc25429"/>
      <w:bookmarkStart w:id="26" w:name="_Toc30498"/>
      <w:r>
        <w:rPr>
          <w:rFonts w:hint="eastAsia" w:ascii="黑体" w:hAnsi="黑体" w:eastAsia="黑体"/>
          <w:sz w:val="28"/>
          <w:szCs w:val="28"/>
          <w:highlight w:val="none"/>
        </w:rPr>
        <w:t>4.招标文件的获取</w:t>
      </w:r>
      <w:bookmarkEnd w:id="22"/>
      <w:bookmarkEnd w:id="23"/>
      <w:bookmarkEnd w:id="24"/>
      <w:bookmarkEnd w:id="25"/>
      <w:bookmarkEnd w:id="26"/>
    </w:p>
    <w:p>
      <w:pPr>
        <w:spacing w:line="560" w:lineRule="exact"/>
        <w:ind w:firstLine="437"/>
        <w:outlineLvl w:val="2"/>
        <w:rPr>
          <w:rFonts w:ascii="仿宋" w:hAnsi="仿宋" w:eastAsia="仿宋" w:cs="宋体"/>
          <w:bCs/>
          <w:snapToGrid w:val="0"/>
          <w:sz w:val="28"/>
          <w:szCs w:val="28"/>
          <w:highlight w:val="none"/>
        </w:rPr>
      </w:pPr>
      <w:bookmarkStart w:id="27" w:name="_Toc14443"/>
      <w:bookmarkStart w:id="28" w:name="_Toc2764"/>
      <w:bookmarkStart w:id="29" w:name="_Toc9512"/>
      <w:bookmarkStart w:id="30" w:name="_Toc27382"/>
      <w:r>
        <w:rPr>
          <w:rFonts w:hint="eastAsia" w:ascii="仿宋" w:hAnsi="仿宋" w:eastAsia="仿宋" w:cs="宋体"/>
          <w:bCs/>
          <w:snapToGrid w:val="0"/>
          <w:sz w:val="28"/>
          <w:szCs w:val="28"/>
          <w:highlight w:val="none"/>
        </w:rPr>
        <w:t>4.1 获取时间：</w:t>
      </w:r>
      <w:r>
        <w:rPr>
          <w:rFonts w:hint="eastAsia" w:ascii="仿宋" w:hAnsi="仿宋" w:eastAsia="仿宋" w:cs="宋体"/>
          <w:sz w:val="28"/>
          <w:szCs w:val="28"/>
          <w:highlight w:val="none"/>
        </w:rPr>
        <w:t>202</w:t>
      </w:r>
      <w:r>
        <w:rPr>
          <w:rFonts w:hint="eastAsia" w:ascii="仿宋" w:hAnsi="仿宋" w:eastAsia="仿宋" w:cs="宋体"/>
          <w:sz w:val="28"/>
          <w:szCs w:val="28"/>
          <w:highlight w:val="none"/>
          <w:lang w:val="en-US" w:eastAsia="zh-CN"/>
        </w:rPr>
        <w:t>5</w:t>
      </w:r>
      <w:r>
        <w:rPr>
          <w:rFonts w:hint="eastAsia" w:ascii="仿宋" w:hAnsi="仿宋" w:eastAsia="仿宋" w:cs="宋体"/>
          <w:bCs/>
          <w:snapToGrid w:val="0"/>
          <w:sz w:val="28"/>
          <w:szCs w:val="28"/>
          <w:highlight w:val="none"/>
        </w:rPr>
        <w:t>年</w:t>
      </w:r>
      <w:r>
        <w:rPr>
          <w:rFonts w:hint="eastAsia" w:ascii="仿宋" w:hAnsi="仿宋" w:eastAsia="仿宋" w:cs="宋体"/>
          <w:sz w:val="28"/>
          <w:szCs w:val="28"/>
          <w:highlight w:val="none"/>
          <w:lang w:val="en-US" w:eastAsia="zh-CN"/>
        </w:rPr>
        <w:t xml:space="preserve">  </w:t>
      </w:r>
      <w:r>
        <w:rPr>
          <w:rFonts w:hint="eastAsia" w:ascii="仿宋" w:hAnsi="仿宋" w:eastAsia="仿宋" w:cs="宋体"/>
          <w:bCs/>
          <w:snapToGrid w:val="0"/>
          <w:sz w:val="28"/>
          <w:szCs w:val="28"/>
          <w:highlight w:val="none"/>
        </w:rPr>
        <w:t>月</w:t>
      </w:r>
      <w:r>
        <w:rPr>
          <w:rFonts w:hint="eastAsia" w:ascii="仿宋" w:hAnsi="仿宋" w:eastAsia="仿宋" w:cs="宋体"/>
          <w:bCs/>
          <w:snapToGrid w:val="0"/>
          <w:sz w:val="28"/>
          <w:szCs w:val="28"/>
          <w:highlight w:val="none"/>
          <w:lang w:val="en-US" w:eastAsia="zh-CN"/>
        </w:rPr>
        <w:t xml:space="preserve">  </w:t>
      </w:r>
      <w:r>
        <w:rPr>
          <w:rFonts w:hint="eastAsia" w:ascii="仿宋" w:hAnsi="仿宋" w:eastAsia="仿宋" w:cs="宋体"/>
          <w:bCs/>
          <w:snapToGrid w:val="0"/>
          <w:sz w:val="28"/>
          <w:szCs w:val="28"/>
          <w:highlight w:val="none"/>
        </w:rPr>
        <w:t>日至投标截止时间。</w:t>
      </w:r>
    </w:p>
    <w:p>
      <w:pPr>
        <w:spacing w:line="560" w:lineRule="exact"/>
        <w:ind w:firstLine="437"/>
        <w:outlineLvl w:val="2"/>
        <w:rPr>
          <w:rFonts w:ascii="仿宋" w:hAnsi="仿宋" w:eastAsia="仿宋" w:cs="宋体"/>
          <w:bCs/>
          <w:snapToGrid w:val="0"/>
          <w:sz w:val="28"/>
          <w:szCs w:val="28"/>
          <w:highlight w:val="none"/>
        </w:rPr>
      </w:pPr>
      <w:r>
        <w:rPr>
          <w:rFonts w:hint="eastAsia" w:ascii="仿宋" w:hAnsi="仿宋" w:eastAsia="仿宋" w:cs="宋体"/>
          <w:bCs/>
          <w:snapToGrid w:val="0"/>
          <w:sz w:val="28"/>
          <w:szCs w:val="28"/>
          <w:highlight w:val="none"/>
        </w:rPr>
        <w:t>4.2 获取方式：</w:t>
      </w:r>
    </w:p>
    <w:p>
      <w:pPr>
        <w:pStyle w:val="97"/>
        <w:spacing w:line="560" w:lineRule="exact"/>
        <w:ind w:firstLine="560"/>
        <w:jc w:val="left"/>
        <w:rPr>
          <w:rFonts w:ascii="仿宋" w:hAnsi="仿宋" w:eastAsia="仿宋" w:cs="宋体"/>
          <w:sz w:val="28"/>
          <w:szCs w:val="28"/>
          <w:highlight w:val="none"/>
        </w:rPr>
      </w:pPr>
      <w:r>
        <w:rPr>
          <w:rFonts w:hint="eastAsia" w:ascii="仿宋" w:hAnsi="仿宋" w:eastAsia="仿宋" w:cs="宋体"/>
          <w:sz w:val="28"/>
          <w:szCs w:val="28"/>
          <w:highlight w:val="none"/>
        </w:rPr>
        <w:t>（1）本招标项目实行全流程电子化交易。</w:t>
      </w:r>
    </w:p>
    <w:p>
      <w:pPr>
        <w:pStyle w:val="97"/>
        <w:spacing w:line="560" w:lineRule="exact"/>
        <w:ind w:firstLine="560"/>
        <w:jc w:val="left"/>
        <w:rPr>
          <w:rFonts w:ascii="仿宋" w:hAnsi="仿宋" w:eastAsia="仿宋" w:cs="宋体"/>
          <w:sz w:val="28"/>
          <w:szCs w:val="28"/>
          <w:highlight w:val="none"/>
        </w:rPr>
      </w:pPr>
      <w:r>
        <w:rPr>
          <w:rFonts w:hint="eastAsia" w:ascii="仿宋" w:hAnsi="仿宋" w:eastAsia="仿宋" w:cs="宋体"/>
          <w:sz w:val="28"/>
          <w:szCs w:val="28"/>
          <w:highlight w:val="none"/>
        </w:rPr>
        <w:t>（2）潜在投标人可登录</w:t>
      </w:r>
      <w:r>
        <w:rPr>
          <w:rFonts w:ascii="仿宋" w:hAnsi="仿宋" w:eastAsia="仿宋" w:cs="宋体"/>
          <w:sz w:val="28"/>
          <w:szCs w:val="28"/>
          <w:highlight w:val="none"/>
        </w:rPr>
        <w:t>安徽合肥公共资源交易电子服务系统</w:t>
      </w:r>
      <w:r>
        <w:rPr>
          <w:rFonts w:hint="eastAsia" w:ascii="仿宋" w:hAnsi="仿宋" w:eastAsia="仿宋" w:cs="宋体"/>
          <w:sz w:val="28"/>
          <w:szCs w:val="28"/>
          <w:highlight w:val="none"/>
        </w:rPr>
        <w:t>（以下简称“电子服务系统”）查阅招标文件，如参与投标，则须在本条第4.1款规定的招标文件获取时间内通过安徽公共资源交易</w:t>
      </w:r>
      <w:r>
        <w:rPr>
          <w:rFonts w:hint="eastAsia" w:ascii="仿宋" w:hAnsi="仿宋" w:eastAsia="仿宋" w:cs="宋体"/>
          <w:sz w:val="28"/>
          <w:szCs w:val="28"/>
          <w:highlight w:val="none"/>
          <w:lang w:val="en-US" w:eastAsia="zh-CN"/>
        </w:rPr>
        <w:t>中心</w:t>
      </w:r>
      <w:r>
        <w:rPr>
          <w:rFonts w:hint="eastAsia" w:ascii="仿宋" w:hAnsi="仿宋" w:eastAsia="仿宋" w:cs="宋体"/>
          <w:sz w:val="28"/>
          <w:szCs w:val="28"/>
          <w:highlight w:val="none"/>
        </w:rPr>
        <w:t>电子交易系统</w:t>
      </w:r>
      <w:r>
        <w:rPr>
          <w:rFonts w:hint="eastAsia" w:ascii="仿宋" w:hAnsi="仿宋" w:eastAsia="仿宋" w:cs="楷体"/>
          <w:bCs/>
          <w:snapToGrid w:val="0"/>
          <w:sz w:val="28"/>
          <w:szCs w:val="28"/>
          <w:highlight w:val="none"/>
        </w:rPr>
        <w:t>获取招标文件</w:t>
      </w:r>
      <w:r>
        <w:rPr>
          <w:rFonts w:hint="eastAsia" w:ascii="仿宋" w:hAnsi="仿宋" w:eastAsia="仿宋" w:cs="宋体"/>
          <w:sz w:val="28"/>
          <w:szCs w:val="28"/>
          <w:highlight w:val="none"/>
        </w:rPr>
        <w:t>。</w:t>
      </w:r>
    </w:p>
    <w:p>
      <w:pPr>
        <w:spacing w:line="56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（3）招标文件获取过程中有任何疑问，请在工作时间（9:00-17:30，节假日休息）拨打技术支持热线（非项目咨询）：0512-58188516。项目咨询请拨打电话：0551-67758793。</w:t>
      </w:r>
    </w:p>
    <w:p>
      <w:pPr>
        <w:spacing w:line="560" w:lineRule="exact"/>
        <w:ind w:firstLine="560" w:firstLineChars="200"/>
        <w:outlineLvl w:val="2"/>
        <w:rPr>
          <w:rFonts w:ascii="仿宋" w:hAnsi="仿宋" w:eastAsia="仿宋" w:cs="宋体"/>
          <w:bCs/>
          <w:snapToGrid w:val="0"/>
          <w:sz w:val="28"/>
          <w:szCs w:val="28"/>
          <w:highlight w:val="none"/>
        </w:rPr>
      </w:pPr>
      <w:r>
        <w:rPr>
          <w:rFonts w:hint="eastAsia" w:ascii="仿宋" w:hAnsi="仿宋" w:eastAsia="仿宋" w:cs="宋体"/>
          <w:bCs/>
          <w:snapToGrid w:val="0"/>
          <w:sz w:val="28"/>
          <w:szCs w:val="28"/>
          <w:highlight w:val="none"/>
        </w:rPr>
        <w:t>4.3 招标文件价格：每套人民币0元。</w:t>
      </w:r>
    </w:p>
    <w:p>
      <w:pPr>
        <w:spacing w:line="560" w:lineRule="exact"/>
        <w:outlineLvl w:val="1"/>
        <w:rPr>
          <w:rFonts w:ascii="黑体" w:hAnsi="黑体" w:eastAsia="黑体"/>
          <w:sz w:val="28"/>
          <w:szCs w:val="28"/>
          <w:highlight w:val="none"/>
        </w:rPr>
      </w:pPr>
      <w:bookmarkStart w:id="31" w:name="_Toc140069386"/>
      <w:r>
        <w:rPr>
          <w:rFonts w:hint="eastAsia" w:ascii="黑体" w:hAnsi="黑体" w:eastAsia="黑体"/>
          <w:sz w:val="28"/>
          <w:szCs w:val="28"/>
          <w:highlight w:val="none"/>
        </w:rPr>
        <w:t>5.投标文件的递交</w:t>
      </w:r>
      <w:bookmarkEnd w:id="27"/>
      <w:bookmarkEnd w:id="28"/>
      <w:bookmarkEnd w:id="29"/>
      <w:bookmarkEnd w:id="30"/>
      <w:bookmarkEnd w:id="31"/>
    </w:p>
    <w:p>
      <w:pPr>
        <w:pStyle w:val="49"/>
        <w:spacing w:before="0" w:beforeAutospacing="0" w:after="0" w:afterAutospacing="0" w:line="560" w:lineRule="exact"/>
        <w:ind w:firstLine="560" w:firstLineChars="200"/>
        <w:rPr>
          <w:rFonts w:ascii="仿宋" w:hAnsi="仿宋" w:eastAsia="仿宋" w:cs="楷体"/>
          <w:bCs/>
          <w:snapToGrid w:val="0"/>
          <w:color w:val="auto"/>
          <w:sz w:val="28"/>
          <w:szCs w:val="28"/>
          <w:highlight w:val="none"/>
        </w:rPr>
      </w:pPr>
      <w:r>
        <w:rPr>
          <w:rFonts w:hint="eastAsia" w:ascii="仿宋" w:hAnsi="仿宋" w:eastAsia="仿宋" w:cs="楷体"/>
          <w:bCs/>
          <w:snapToGrid w:val="0"/>
          <w:color w:val="auto"/>
          <w:sz w:val="28"/>
          <w:szCs w:val="28"/>
          <w:highlight w:val="none"/>
        </w:rPr>
        <w:t>投标文件递交的截止时间(投标截止时间，下同）为 2024年</w:t>
      </w:r>
      <w:r>
        <w:rPr>
          <w:rFonts w:hint="eastAsia" w:ascii="仿宋" w:hAnsi="仿宋" w:eastAsia="仿宋" w:cs="楷体"/>
          <w:bCs/>
          <w:snapToGrid w:val="0"/>
          <w:color w:val="auto"/>
          <w:sz w:val="28"/>
          <w:szCs w:val="28"/>
          <w:highlight w:val="none"/>
          <w:lang w:val="en-US" w:eastAsia="zh-CN"/>
        </w:rPr>
        <w:t>05</w:t>
      </w:r>
      <w:r>
        <w:rPr>
          <w:rFonts w:hint="eastAsia" w:ascii="仿宋" w:hAnsi="仿宋" w:eastAsia="仿宋" w:cs="楷体"/>
          <w:bCs/>
          <w:snapToGrid w:val="0"/>
          <w:color w:val="auto"/>
          <w:sz w:val="28"/>
          <w:szCs w:val="28"/>
          <w:highlight w:val="none"/>
        </w:rPr>
        <w:t>月</w:t>
      </w:r>
      <w:r>
        <w:rPr>
          <w:rFonts w:hint="eastAsia" w:ascii="仿宋" w:hAnsi="仿宋" w:eastAsia="仿宋" w:cs="楷体"/>
          <w:bCs/>
          <w:snapToGrid w:val="0"/>
          <w:color w:val="auto"/>
          <w:sz w:val="28"/>
          <w:szCs w:val="28"/>
          <w:highlight w:val="none"/>
          <w:lang w:val="en-US" w:eastAsia="zh-CN"/>
        </w:rPr>
        <w:t>21</w:t>
      </w:r>
      <w:r>
        <w:rPr>
          <w:rFonts w:hint="eastAsia" w:ascii="仿宋" w:hAnsi="仿宋" w:eastAsia="仿宋" w:cs="楷体"/>
          <w:bCs/>
          <w:snapToGrid w:val="0"/>
          <w:color w:val="auto"/>
          <w:sz w:val="28"/>
          <w:szCs w:val="28"/>
          <w:highlight w:val="none"/>
        </w:rPr>
        <w:t>日</w:t>
      </w:r>
      <w:r>
        <w:rPr>
          <w:rFonts w:hint="eastAsia" w:ascii="仿宋" w:hAnsi="仿宋" w:eastAsia="仿宋" w:cs="楷体"/>
          <w:bCs/>
          <w:snapToGrid w:val="0"/>
          <w:color w:val="auto"/>
          <w:sz w:val="28"/>
          <w:szCs w:val="28"/>
          <w:highlight w:val="none"/>
          <w:lang w:val="en-US" w:eastAsia="zh-CN"/>
        </w:rPr>
        <w:t>10</w:t>
      </w:r>
      <w:r>
        <w:rPr>
          <w:rFonts w:hint="eastAsia" w:ascii="仿宋" w:hAnsi="仿宋" w:eastAsia="仿宋" w:cs="楷体"/>
          <w:bCs/>
          <w:snapToGrid w:val="0"/>
          <w:color w:val="auto"/>
          <w:sz w:val="28"/>
          <w:szCs w:val="28"/>
          <w:highlight w:val="none"/>
        </w:rPr>
        <w:t>时00分，投标人应在投标截止时间前通过安徽合肥公共资源交易中心电子交易系统递交电子投标文件。</w:t>
      </w:r>
    </w:p>
    <w:p>
      <w:pPr>
        <w:spacing w:line="560" w:lineRule="exact"/>
        <w:outlineLvl w:val="1"/>
        <w:rPr>
          <w:rFonts w:ascii="黑体" w:hAnsi="黑体" w:eastAsia="黑体"/>
          <w:sz w:val="28"/>
          <w:szCs w:val="28"/>
          <w:highlight w:val="none"/>
        </w:rPr>
      </w:pPr>
      <w:bookmarkStart w:id="32" w:name="_Toc25669"/>
      <w:bookmarkStart w:id="33" w:name="_Toc140069387"/>
      <w:bookmarkStart w:id="34" w:name="_Toc28141"/>
      <w:bookmarkStart w:id="35" w:name="_Toc29133"/>
      <w:bookmarkStart w:id="36" w:name="_Toc12441"/>
      <w:r>
        <w:rPr>
          <w:rFonts w:hint="eastAsia" w:ascii="黑体" w:hAnsi="黑体" w:eastAsia="黑体"/>
          <w:sz w:val="28"/>
          <w:szCs w:val="28"/>
          <w:highlight w:val="none"/>
        </w:rPr>
        <w:t>6.资格审查方式</w:t>
      </w:r>
      <w:bookmarkEnd w:id="32"/>
      <w:bookmarkEnd w:id="33"/>
      <w:bookmarkEnd w:id="34"/>
      <w:bookmarkEnd w:id="35"/>
      <w:bookmarkEnd w:id="36"/>
    </w:p>
    <w:p>
      <w:pPr>
        <w:spacing w:line="560" w:lineRule="exact"/>
        <w:ind w:firstLine="420" w:firstLineChars="150"/>
        <w:outlineLvl w:val="1"/>
        <w:rPr>
          <w:rFonts w:hint="eastAsia" w:ascii="仿宋" w:hAnsi="仿宋" w:eastAsia="仿宋" w:cs="Calibri"/>
          <w:kern w:val="2"/>
          <w:sz w:val="28"/>
          <w:szCs w:val="28"/>
          <w:highlight w:val="none"/>
        </w:rPr>
      </w:pPr>
      <w:bookmarkStart w:id="37" w:name="_Toc32394"/>
      <w:bookmarkStart w:id="38" w:name="_Toc8268"/>
      <w:bookmarkStart w:id="39" w:name="_Toc25618"/>
      <w:bookmarkStart w:id="40" w:name="_Toc140069388"/>
      <w:bookmarkStart w:id="41" w:name="_Toc11112"/>
      <w:bookmarkStart w:id="42" w:name="_Toc18375"/>
      <w:r>
        <w:rPr>
          <w:rFonts w:hint="eastAsia" w:ascii="仿宋" w:hAnsi="仿宋" w:eastAsia="仿宋" w:cs="Calibri"/>
          <w:kern w:val="2"/>
          <w:sz w:val="28"/>
          <w:szCs w:val="28"/>
          <w:highlight w:val="none"/>
        </w:rPr>
        <w:t>本项目采用资格后审方式进行资格审查。</w:t>
      </w:r>
      <w:bookmarkEnd w:id="37"/>
    </w:p>
    <w:p>
      <w:pPr>
        <w:spacing w:line="560" w:lineRule="exact"/>
        <w:outlineLvl w:val="1"/>
        <w:rPr>
          <w:rFonts w:ascii="黑体" w:hAnsi="黑体" w:eastAsia="黑体"/>
          <w:sz w:val="28"/>
          <w:szCs w:val="28"/>
          <w:highlight w:val="none"/>
        </w:rPr>
      </w:pPr>
      <w:r>
        <w:rPr>
          <w:rFonts w:hint="eastAsia" w:ascii="黑体" w:hAnsi="黑体" w:eastAsia="黑体"/>
          <w:sz w:val="28"/>
          <w:szCs w:val="28"/>
          <w:highlight w:val="none"/>
        </w:rPr>
        <w:t>7.评标办法</w:t>
      </w:r>
      <w:bookmarkEnd w:id="38"/>
      <w:bookmarkEnd w:id="39"/>
      <w:bookmarkEnd w:id="40"/>
      <w:bookmarkEnd w:id="41"/>
      <w:bookmarkEnd w:id="42"/>
    </w:p>
    <w:p>
      <w:pPr>
        <w:pStyle w:val="49"/>
        <w:spacing w:before="0" w:beforeAutospacing="0" w:after="0" w:afterAutospacing="0" w:line="560" w:lineRule="exact"/>
        <w:ind w:firstLine="560" w:firstLineChars="200"/>
        <w:rPr>
          <w:rFonts w:ascii="仿宋" w:hAnsi="仿宋" w:eastAsia="仿宋" w:cs="楷体"/>
          <w:bCs/>
          <w:snapToGrid w:val="0"/>
          <w:color w:val="auto"/>
          <w:sz w:val="28"/>
          <w:szCs w:val="28"/>
          <w:highlight w:val="none"/>
        </w:rPr>
      </w:pPr>
      <w:r>
        <w:rPr>
          <w:rFonts w:hint="eastAsia" w:ascii="仿宋" w:hAnsi="仿宋" w:eastAsia="仿宋"/>
          <w:bCs/>
          <w:snapToGrid w:val="0"/>
          <w:color w:val="auto"/>
          <w:sz w:val="28"/>
          <w:szCs w:val="28"/>
          <w:highlight w:val="none"/>
        </w:rPr>
        <w:t>本招标项目评标办法采用</w:t>
      </w:r>
      <w:bookmarkStart w:id="43" w:name="_Hlk110266409"/>
      <w:r>
        <w:rPr>
          <w:rFonts w:hint="eastAsia" w:ascii="仿宋" w:hAnsi="仿宋" w:eastAsia="仿宋"/>
          <w:color w:val="auto"/>
          <w:sz w:val="28"/>
          <w:szCs w:val="28"/>
          <w:highlight w:val="none"/>
        </w:rPr>
        <w:t>综合评估法（</w:t>
      </w:r>
      <w:r>
        <w:rPr>
          <w:rFonts w:hint="eastAsia" w:ascii="仿宋" w:hAnsi="仿宋" w:eastAsia="仿宋"/>
          <w:color w:val="auto"/>
          <w:sz w:val="28"/>
          <w:szCs w:val="28"/>
          <w:highlight w:val="none"/>
          <w:lang w:val="en-US" w:eastAsia="zh-CN"/>
        </w:rPr>
        <w:t>一次平均</w:t>
      </w:r>
      <w:r>
        <w:rPr>
          <w:rFonts w:hint="eastAsia" w:ascii="仿宋" w:hAnsi="仿宋" w:eastAsia="仿宋"/>
          <w:color w:val="auto"/>
          <w:sz w:val="28"/>
          <w:szCs w:val="28"/>
          <w:highlight w:val="none"/>
        </w:rPr>
        <w:t>）</w:t>
      </w:r>
      <w:r>
        <w:rPr>
          <w:rFonts w:hint="eastAsia" w:ascii="仿宋" w:hAnsi="仿宋" w:eastAsia="仿宋"/>
          <w:bCs/>
          <w:snapToGrid w:val="0"/>
          <w:color w:val="auto"/>
          <w:sz w:val="28"/>
          <w:szCs w:val="28"/>
          <w:highlight w:val="none"/>
        </w:rPr>
        <w:t>。（见招标文件第三章“评标办法”</w:t>
      </w:r>
      <w:bookmarkEnd w:id="43"/>
      <w:r>
        <w:rPr>
          <w:rFonts w:hint="eastAsia" w:ascii="仿宋" w:hAnsi="仿宋" w:eastAsia="仿宋" w:cs="楷体"/>
          <w:bCs/>
          <w:snapToGrid w:val="0"/>
          <w:color w:val="auto"/>
          <w:sz w:val="28"/>
          <w:szCs w:val="28"/>
          <w:highlight w:val="none"/>
        </w:rPr>
        <w:t>）</w:t>
      </w:r>
    </w:p>
    <w:p>
      <w:pPr>
        <w:spacing w:line="560" w:lineRule="exact"/>
        <w:outlineLvl w:val="1"/>
        <w:rPr>
          <w:rFonts w:ascii="黑体" w:hAnsi="黑体" w:eastAsia="黑体"/>
          <w:sz w:val="28"/>
          <w:szCs w:val="28"/>
          <w:highlight w:val="none"/>
        </w:rPr>
      </w:pPr>
      <w:bookmarkStart w:id="44" w:name="_Toc9230"/>
      <w:bookmarkStart w:id="45" w:name="_Toc140069389"/>
      <w:bookmarkStart w:id="46" w:name="_Toc2185"/>
      <w:bookmarkStart w:id="47" w:name="_Toc30763"/>
      <w:bookmarkStart w:id="48" w:name="_Toc4043"/>
      <w:r>
        <w:rPr>
          <w:rFonts w:hint="eastAsia" w:ascii="黑体" w:hAnsi="黑体" w:eastAsia="黑体"/>
          <w:sz w:val="28"/>
          <w:szCs w:val="28"/>
          <w:highlight w:val="none"/>
        </w:rPr>
        <w:t>8.开标时间及地点</w:t>
      </w:r>
      <w:bookmarkEnd w:id="44"/>
      <w:bookmarkEnd w:id="45"/>
      <w:bookmarkEnd w:id="46"/>
      <w:bookmarkEnd w:id="47"/>
      <w:bookmarkEnd w:id="48"/>
    </w:p>
    <w:p>
      <w:pPr>
        <w:spacing w:line="560" w:lineRule="exact"/>
        <w:ind w:firstLine="437"/>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8.1 开标时间：202</w:t>
      </w:r>
      <w:r>
        <w:rPr>
          <w:rFonts w:hint="eastAsia" w:ascii="仿宋" w:hAnsi="仿宋" w:eastAsia="仿宋" w:cs="Calibri"/>
          <w:kern w:val="2"/>
          <w:sz w:val="28"/>
          <w:szCs w:val="28"/>
          <w:highlight w:val="none"/>
          <w:lang w:val="en-US" w:eastAsia="zh-CN"/>
        </w:rPr>
        <w:t>5</w:t>
      </w:r>
      <w:r>
        <w:rPr>
          <w:rFonts w:hint="eastAsia" w:ascii="仿宋" w:hAnsi="仿宋" w:eastAsia="仿宋" w:cs="Calibri"/>
          <w:kern w:val="2"/>
          <w:sz w:val="28"/>
          <w:szCs w:val="28"/>
          <w:highlight w:val="none"/>
        </w:rPr>
        <w:t>年</w:t>
      </w:r>
      <w:r>
        <w:rPr>
          <w:rFonts w:hint="eastAsia" w:ascii="仿宋" w:hAnsi="仿宋" w:eastAsia="仿宋" w:cs="Calibri"/>
          <w:kern w:val="2"/>
          <w:sz w:val="28"/>
          <w:szCs w:val="28"/>
          <w:highlight w:val="none"/>
          <w:lang w:val="en-US" w:eastAsia="zh-CN"/>
        </w:rPr>
        <w:t xml:space="preserve">  </w:t>
      </w:r>
      <w:r>
        <w:rPr>
          <w:rFonts w:hint="eastAsia" w:ascii="仿宋" w:hAnsi="仿宋" w:eastAsia="仿宋" w:cs="Calibri"/>
          <w:kern w:val="2"/>
          <w:sz w:val="28"/>
          <w:szCs w:val="28"/>
          <w:highlight w:val="none"/>
        </w:rPr>
        <w:t>月</w:t>
      </w:r>
      <w:r>
        <w:rPr>
          <w:rFonts w:hint="eastAsia" w:ascii="仿宋" w:hAnsi="仿宋" w:eastAsia="仿宋" w:cs="Calibri"/>
          <w:kern w:val="2"/>
          <w:sz w:val="28"/>
          <w:szCs w:val="28"/>
          <w:highlight w:val="none"/>
          <w:lang w:val="en-US" w:eastAsia="zh-CN"/>
        </w:rPr>
        <w:t xml:space="preserve">  </w:t>
      </w:r>
      <w:r>
        <w:rPr>
          <w:rFonts w:hint="eastAsia" w:ascii="仿宋" w:hAnsi="仿宋" w:eastAsia="仿宋" w:cs="Calibri"/>
          <w:kern w:val="2"/>
          <w:sz w:val="28"/>
          <w:szCs w:val="28"/>
          <w:highlight w:val="none"/>
        </w:rPr>
        <w:t>日</w:t>
      </w:r>
      <w:r>
        <w:rPr>
          <w:rFonts w:hint="eastAsia" w:ascii="仿宋" w:hAnsi="仿宋" w:eastAsia="仿宋" w:cs="Calibri"/>
          <w:kern w:val="2"/>
          <w:sz w:val="28"/>
          <w:szCs w:val="28"/>
          <w:highlight w:val="none"/>
          <w:lang w:val="en-US" w:eastAsia="zh-CN"/>
        </w:rPr>
        <w:t>10</w:t>
      </w:r>
      <w:r>
        <w:rPr>
          <w:rFonts w:hint="eastAsia" w:ascii="仿宋" w:hAnsi="仿宋" w:eastAsia="仿宋" w:cs="Calibri"/>
          <w:kern w:val="2"/>
          <w:sz w:val="28"/>
          <w:szCs w:val="28"/>
          <w:highlight w:val="none"/>
        </w:rPr>
        <w:t xml:space="preserve">时00分 </w:t>
      </w:r>
    </w:p>
    <w:p>
      <w:pPr>
        <w:spacing w:line="560" w:lineRule="exact"/>
        <w:ind w:firstLine="437"/>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8.2 开标地点：</w:t>
      </w:r>
    </w:p>
    <w:p>
      <w:pPr>
        <w:spacing w:line="560" w:lineRule="exact"/>
        <w:ind w:firstLine="437"/>
        <w:rPr>
          <w:rFonts w:hint="eastAsia" w:ascii="仿宋" w:hAnsi="仿宋" w:eastAsia="仿宋" w:cs="Calibri"/>
          <w:kern w:val="2"/>
          <w:sz w:val="28"/>
          <w:szCs w:val="28"/>
          <w:highlight w:val="none"/>
        </w:rPr>
      </w:pPr>
      <w:r>
        <w:rPr>
          <w:rFonts w:hint="eastAsia" w:ascii="MS Mincho" w:hAnsi="MS Mincho" w:eastAsia="MS Mincho" w:cs="MS Mincho"/>
          <w:kern w:val="2"/>
          <w:sz w:val="28"/>
          <w:szCs w:val="28"/>
          <w:highlight w:val="none"/>
        </w:rPr>
        <w:t>☑</w:t>
      </w:r>
      <w:r>
        <w:rPr>
          <w:rFonts w:ascii="仿宋" w:hAnsi="仿宋" w:eastAsia="仿宋" w:cs="Calibri"/>
          <w:kern w:val="2"/>
          <w:sz w:val="28"/>
          <w:szCs w:val="28"/>
          <w:highlight w:val="none"/>
        </w:rPr>
        <w:t xml:space="preserve"> </w:t>
      </w:r>
      <w:r>
        <w:rPr>
          <w:rFonts w:hint="eastAsia" w:ascii="仿宋" w:hAnsi="仿宋" w:eastAsia="仿宋" w:cs="Calibri"/>
          <w:kern w:val="2"/>
          <w:sz w:val="28"/>
          <w:szCs w:val="28"/>
          <w:highlight w:val="none"/>
        </w:rPr>
        <w:t>合肥市肥东县店埠镇深秀路</w:t>
      </w:r>
      <w:r>
        <w:rPr>
          <w:rFonts w:ascii="仿宋" w:hAnsi="仿宋" w:eastAsia="仿宋" w:cs="Calibri"/>
          <w:kern w:val="2"/>
          <w:sz w:val="28"/>
          <w:szCs w:val="28"/>
          <w:highlight w:val="none"/>
        </w:rPr>
        <w:t>2</w:t>
      </w:r>
      <w:r>
        <w:rPr>
          <w:rFonts w:hint="eastAsia" w:ascii="仿宋" w:hAnsi="仿宋" w:eastAsia="仿宋" w:cs="Calibri"/>
          <w:kern w:val="2"/>
          <w:sz w:val="28"/>
          <w:szCs w:val="28"/>
          <w:highlight w:val="none"/>
        </w:rPr>
        <w:t>号肥东政务服务中心四楼</w:t>
      </w:r>
      <w:r>
        <w:rPr>
          <w:rFonts w:ascii="仿宋" w:hAnsi="仿宋" w:eastAsia="仿宋" w:cs="Calibri"/>
          <w:kern w:val="2"/>
          <w:sz w:val="28"/>
          <w:szCs w:val="28"/>
          <w:highlight w:val="none"/>
        </w:rPr>
        <w:t>C</w:t>
      </w:r>
      <w:r>
        <w:rPr>
          <w:rFonts w:hint="eastAsia" w:ascii="仿宋" w:hAnsi="仿宋" w:eastAsia="仿宋" w:cs="Calibri"/>
          <w:kern w:val="2"/>
          <w:sz w:val="28"/>
          <w:szCs w:val="28"/>
          <w:highlight w:val="none"/>
        </w:rPr>
        <w:t>区</w:t>
      </w:r>
      <w:r>
        <w:rPr>
          <w:rFonts w:ascii="仿宋" w:hAnsi="仿宋" w:eastAsia="仿宋" w:cs="Calibri"/>
          <w:kern w:val="2"/>
          <w:sz w:val="28"/>
          <w:szCs w:val="28"/>
          <w:highlight w:val="none"/>
        </w:rPr>
        <w:t>4</w:t>
      </w:r>
      <w:r>
        <w:rPr>
          <w:rFonts w:hint="eastAsia" w:ascii="仿宋" w:hAnsi="仿宋" w:eastAsia="仿宋" w:cs="Calibri"/>
          <w:kern w:val="2"/>
          <w:sz w:val="28"/>
          <w:szCs w:val="28"/>
          <w:highlight w:val="none"/>
        </w:rPr>
        <w:t>楼</w:t>
      </w:r>
      <w:r>
        <w:rPr>
          <w:rFonts w:ascii="仿宋" w:hAnsi="仿宋" w:eastAsia="仿宋" w:cs="Calibri"/>
          <w:kern w:val="2"/>
          <w:sz w:val="28"/>
          <w:szCs w:val="28"/>
          <w:highlight w:val="none"/>
        </w:rPr>
        <w:t>1</w:t>
      </w:r>
      <w:r>
        <w:rPr>
          <w:rFonts w:hint="eastAsia" w:ascii="仿宋" w:hAnsi="仿宋" w:eastAsia="仿宋" w:cs="Calibri"/>
          <w:kern w:val="2"/>
          <w:sz w:val="28"/>
          <w:szCs w:val="28"/>
          <w:highlight w:val="none"/>
        </w:rPr>
        <w:t>号开标室</w:t>
      </w:r>
    </w:p>
    <w:p>
      <w:pPr>
        <w:spacing w:line="560" w:lineRule="exact"/>
        <w:ind w:firstLine="560" w:firstLineChars="200"/>
        <w:rPr>
          <w:rFonts w:ascii="仿宋" w:hAnsi="仿宋" w:eastAsia="仿宋" w:cs="宋体"/>
          <w:bCs/>
          <w:snapToGrid w:val="0"/>
          <w:sz w:val="28"/>
          <w:szCs w:val="28"/>
          <w:highlight w:val="none"/>
        </w:rPr>
      </w:pPr>
      <w:r>
        <w:rPr>
          <w:rFonts w:hint="eastAsia" w:ascii="MS Mincho" w:hAnsi="MS Mincho" w:eastAsia="MS Mincho" w:cs="MS Mincho"/>
          <w:kern w:val="2"/>
          <w:sz w:val="28"/>
          <w:szCs w:val="28"/>
          <w:highlight w:val="none"/>
        </w:rPr>
        <w:t>☑</w:t>
      </w:r>
      <w:r>
        <w:rPr>
          <w:rFonts w:ascii="仿宋" w:hAnsi="仿宋" w:eastAsia="仿宋" w:cs="Calibri"/>
          <w:kern w:val="2"/>
          <w:sz w:val="28"/>
          <w:szCs w:val="28"/>
          <w:highlight w:val="none"/>
        </w:rPr>
        <w:t xml:space="preserve"> </w:t>
      </w:r>
      <w:r>
        <w:rPr>
          <w:rFonts w:hint="eastAsia" w:ascii="仿宋" w:hAnsi="仿宋" w:eastAsia="仿宋" w:cs="Calibri"/>
          <w:kern w:val="2"/>
          <w:sz w:val="28"/>
          <w:szCs w:val="28"/>
          <w:highlight w:val="none"/>
        </w:rPr>
        <w:t>本招标项目采用“云上开标大厅”方式开标</w:t>
      </w:r>
    </w:p>
    <w:p>
      <w:pPr>
        <w:spacing w:line="560" w:lineRule="exact"/>
        <w:outlineLvl w:val="1"/>
        <w:rPr>
          <w:rFonts w:ascii="黑体" w:hAnsi="黑体" w:eastAsia="黑体"/>
          <w:sz w:val="28"/>
          <w:szCs w:val="28"/>
          <w:highlight w:val="none"/>
        </w:rPr>
      </w:pPr>
      <w:bookmarkStart w:id="49" w:name="_Toc15010"/>
      <w:bookmarkStart w:id="50" w:name="_Toc28548"/>
      <w:bookmarkStart w:id="51" w:name="_Toc13767"/>
      <w:bookmarkStart w:id="52" w:name="_Toc5604"/>
      <w:bookmarkStart w:id="53" w:name="_Toc140069390"/>
      <w:r>
        <w:rPr>
          <w:rFonts w:hint="eastAsia" w:ascii="黑体" w:hAnsi="黑体" w:eastAsia="黑体"/>
          <w:sz w:val="28"/>
          <w:szCs w:val="28"/>
          <w:highlight w:val="none"/>
        </w:rPr>
        <w:t>9.招标文件的异议</w:t>
      </w:r>
      <w:bookmarkEnd w:id="49"/>
      <w:bookmarkEnd w:id="50"/>
      <w:bookmarkEnd w:id="51"/>
      <w:bookmarkEnd w:id="52"/>
      <w:r>
        <w:rPr>
          <w:rFonts w:hint="eastAsia" w:ascii="黑体" w:hAnsi="黑体" w:eastAsia="黑体"/>
          <w:sz w:val="28"/>
          <w:szCs w:val="28"/>
          <w:highlight w:val="none"/>
        </w:rPr>
        <w:t>、投诉</w:t>
      </w:r>
      <w:bookmarkEnd w:id="53"/>
    </w:p>
    <w:p>
      <w:pPr>
        <w:spacing w:line="560" w:lineRule="exact"/>
        <w:ind w:firstLine="560" w:firstLineChars="200"/>
        <w:rPr>
          <w:rFonts w:ascii="仿宋" w:hAnsi="仿宋" w:eastAsia="仿宋" w:cs="楷体"/>
          <w:bCs/>
          <w:snapToGrid w:val="0"/>
          <w:sz w:val="28"/>
          <w:szCs w:val="28"/>
          <w:highlight w:val="none"/>
        </w:rPr>
      </w:pPr>
      <w:r>
        <w:rPr>
          <w:rFonts w:hint="eastAsia" w:ascii="仿宋" w:hAnsi="仿宋" w:eastAsia="仿宋" w:cs="楷体"/>
          <w:bCs/>
          <w:snapToGrid w:val="0"/>
          <w:sz w:val="28"/>
          <w:szCs w:val="28"/>
          <w:highlight w:val="none"/>
        </w:rPr>
        <w:t>9.1投标人或者其他利害关系人对招标文件有异议的，应当在规定时间通过电子交易系统在线提出或以其他书面形式提出。</w:t>
      </w:r>
    </w:p>
    <w:p>
      <w:pPr>
        <w:spacing w:line="560" w:lineRule="exact"/>
        <w:ind w:firstLine="560" w:firstLineChars="200"/>
        <w:rPr>
          <w:rFonts w:ascii="仿宋" w:hAnsi="仿宋" w:eastAsia="仿宋" w:cs="楷体"/>
          <w:bCs/>
          <w:snapToGrid w:val="0"/>
          <w:sz w:val="28"/>
          <w:szCs w:val="28"/>
          <w:highlight w:val="none"/>
        </w:rPr>
      </w:pPr>
      <w:r>
        <w:rPr>
          <w:rFonts w:hint="eastAsia" w:ascii="仿宋" w:hAnsi="仿宋" w:eastAsia="仿宋" w:cs="楷体"/>
          <w:bCs/>
          <w:snapToGrid w:val="0"/>
          <w:sz w:val="28"/>
          <w:szCs w:val="28"/>
          <w:highlight w:val="none"/>
        </w:rPr>
        <w:t>9.2投标人或者其他利害关系人对招标人、招标代理机构的答复不满意，或者招标人、招标代理机构未在规定时间内作出答复的，可以在规定时间内通过网上投诉系统或以其他书面形式向监管部门提出投诉。</w:t>
      </w:r>
    </w:p>
    <w:p>
      <w:pPr>
        <w:spacing w:line="560" w:lineRule="exact"/>
        <w:ind w:firstLine="560" w:firstLineChars="200"/>
        <w:rPr>
          <w:rFonts w:ascii="仿宋" w:hAnsi="仿宋" w:eastAsia="仿宋" w:cs="楷体"/>
          <w:bCs/>
          <w:snapToGrid w:val="0"/>
          <w:sz w:val="28"/>
          <w:szCs w:val="28"/>
          <w:highlight w:val="none"/>
        </w:rPr>
      </w:pPr>
      <w:r>
        <w:rPr>
          <w:rFonts w:hint="eastAsia" w:ascii="仿宋" w:hAnsi="仿宋" w:eastAsia="仿宋" w:cs="楷体"/>
          <w:bCs/>
          <w:snapToGrid w:val="0"/>
          <w:sz w:val="28"/>
          <w:szCs w:val="28"/>
          <w:highlight w:val="none"/>
        </w:rPr>
        <w:t>9.3受理异议的联系人和联系方式见招标公告11.1和11.2。</w:t>
      </w:r>
    </w:p>
    <w:p>
      <w:pPr>
        <w:spacing w:line="560" w:lineRule="exact"/>
        <w:outlineLvl w:val="1"/>
        <w:rPr>
          <w:rFonts w:ascii="黑体" w:hAnsi="黑体" w:eastAsia="黑体"/>
          <w:sz w:val="28"/>
          <w:szCs w:val="28"/>
          <w:highlight w:val="none"/>
        </w:rPr>
      </w:pPr>
      <w:bookmarkStart w:id="54" w:name="_Toc140069391"/>
      <w:bookmarkStart w:id="55" w:name="_Toc8395"/>
      <w:bookmarkStart w:id="56" w:name="_Toc1330"/>
      <w:bookmarkStart w:id="57" w:name="_Toc10280"/>
      <w:bookmarkStart w:id="58" w:name="_Toc6145"/>
      <w:r>
        <w:rPr>
          <w:rFonts w:hint="eastAsia" w:ascii="黑体" w:hAnsi="黑体" w:eastAsia="黑体"/>
          <w:sz w:val="28"/>
          <w:szCs w:val="28"/>
          <w:highlight w:val="none"/>
        </w:rPr>
        <w:t>10.发布公告的媒介</w:t>
      </w:r>
      <w:bookmarkEnd w:id="54"/>
      <w:bookmarkEnd w:id="55"/>
      <w:bookmarkEnd w:id="56"/>
      <w:bookmarkEnd w:id="57"/>
      <w:bookmarkEnd w:id="58"/>
    </w:p>
    <w:p>
      <w:pPr>
        <w:spacing w:line="560" w:lineRule="exact"/>
        <w:ind w:firstLine="560" w:firstLineChars="200"/>
        <w:outlineLvl w:val="1"/>
        <w:rPr>
          <w:rFonts w:ascii="仿宋" w:hAnsi="仿宋" w:eastAsia="仿宋"/>
          <w:sz w:val="28"/>
          <w:szCs w:val="28"/>
          <w:highlight w:val="none"/>
        </w:rPr>
      </w:pPr>
      <w:bookmarkStart w:id="59" w:name="_Toc140069392"/>
      <w:bookmarkStart w:id="60" w:name="_Toc1444"/>
      <w:bookmarkStart w:id="61" w:name="_Toc16920"/>
      <w:bookmarkStart w:id="62" w:name="_Toc3970"/>
      <w:bookmarkStart w:id="63" w:name="_Toc29323"/>
      <w:r>
        <w:rPr>
          <w:rFonts w:hint="eastAsia" w:ascii="仿宋" w:hAnsi="仿宋" w:eastAsia="仿宋"/>
          <w:sz w:val="28"/>
          <w:szCs w:val="28"/>
          <w:highlight w:val="none"/>
        </w:rPr>
        <w:t>本次招标公告在安徽合肥公共资源交易中心网站、安徽省公共资源交易监管网、全国公共资源交易平台上发布。</w:t>
      </w:r>
      <w:bookmarkEnd w:id="59"/>
    </w:p>
    <w:bookmarkEnd w:id="60"/>
    <w:bookmarkEnd w:id="61"/>
    <w:bookmarkEnd w:id="62"/>
    <w:bookmarkEnd w:id="63"/>
    <w:p>
      <w:pPr>
        <w:spacing w:line="560" w:lineRule="exact"/>
        <w:outlineLvl w:val="1"/>
        <w:rPr>
          <w:rFonts w:hint="eastAsia" w:ascii="黑体" w:hAnsi="黑体" w:eastAsia="黑体"/>
          <w:sz w:val="28"/>
          <w:szCs w:val="28"/>
          <w:highlight w:val="none"/>
        </w:rPr>
      </w:pPr>
      <w:bookmarkStart w:id="64" w:name="_Toc13588"/>
      <w:r>
        <w:rPr>
          <w:rFonts w:hint="eastAsia" w:ascii="黑体" w:hAnsi="黑体" w:eastAsia="黑体"/>
          <w:sz w:val="28"/>
          <w:szCs w:val="28"/>
          <w:highlight w:val="none"/>
        </w:rPr>
        <w:t>11.联系方式</w:t>
      </w:r>
      <w:bookmarkEnd w:id="64"/>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11.1 招标人</w:t>
      </w:r>
    </w:p>
    <w:p>
      <w:pPr>
        <w:spacing w:line="560" w:lineRule="exact"/>
        <w:ind w:firstLine="437"/>
        <w:rPr>
          <w:rFonts w:hint="eastAsia" w:ascii="仿宋" w:hAnsi="仿宋" w:eastAsia="仿宋" w:cs="Calibri"/>
          <w:kern w:val="2"/>
          <w:sz w:val="28"/>
          <w:szCs w:val="28"/>
          <w:highlight w:val="none"/>
          <w:lang w:eastAsia="zh-CN"/>
        </w:rPr>
      </w:pPr>
      <w:r>
        <w:rPr>
          <w:rFonts w:hint="eastAsia" w:ascii="仿宋" w:hAnsi="仿宋" w:eastAsia="仿宋" w:cs="Calibri"/>
          <w:kern w:val="2"/>
          <w:sz w:val="28"/>
          <w:szCs w:val="28"/>
          <w:highlight w:val="none"/>
        </w:rPr>
        <w:t>招 标 人：</w:t>
      </w:r>
      <w:r>
        <w:rPr>
          <w:rFonts w:hint="eastAsia" w:ascii="仿宋" w:hAnsi="仿宋" w:eastAsia="仿宋" w:cs="Calibri"/>
          <w:kern w:val="2"/>
          <w:sz w:val="28"/>
          <w:szCs w:val="28"/>
          <w:highlight w:val="none"/>
          <w:lang w:eastAsia="zh-CN"/>
        </w:rPr>
        <w:t>合肥通用技术学校</w:t>
      </w:r>
    </w:p>
    <w:p>
      <w:pPr>
        <w:spacing w:line="560" w:lineRule="exact"/>
        <w:ind w:firstLine="437"/>
        <w:rPr>
          <w:rFonts w:hint="default" w:ascii="仿宋" w:hAnsi="仿宋" w:eastAsia="仿宋" w:cs="Calibri"/>
          <w:kern w:val="2"/>
          <w:sz w:val="28"/>
          <w:szCs w:val="28"/>
          <w:highlight w:val="none"/>
          <w:lang w:val="en-US" w:eastAsia="zh-CN"/>
        </w:rPr>
      </w:pPr>
      <w:r>
        <w:rPr>
          <w:rFonts w:hint="eastAsia" w:ascii="仿宋" w:hAnsi="仿宋" w:eastAsia="仿宋" w:cs="Calibri"/>
          <w:kern w:val="2"/>
          <w:sz w:val="28"/>
          <w:szCs w:val="28"/>
          <w:highlight w:val="none"/>
        </w:rPr>
        <w:t>地    址：</w:t>
      </w:r>
      <w:r>
        <w:rPr>
          <w:rFonts w:hint="eastAsia" w:ascii="仿宋" w:hAnsi="仿宋" w:eastAsia="仿宋" w:cs="Calibri"/>
          <w:kern w:val="2"/>
          <w:sz w:val="28"/>
          <w:szCs w:val="28"/>
          <w:highlight w:val="none"/>
          <w:lang w:val="en-US" w:eastAsia="zh-CN"/>
        </w:rPr>
        <w:t>安徽省</w:t>
      </w:r>
      <w:r>
        <w:rPr>
          <w:rFonts w:hint="eastAsia" w:ascii="仿宋" w:hAnsi="仿宋" w:eastAsia="仿宋" w:cs="Calibri"/>
          <w:kern w:val="2"/>
          <w:sz w:val="28"/>
          <w:szCs w:val="28"/>
          <w:highlight w:val="none"/>
        </w:rPr>
        <w:t>合肥市肥东县</w:t>
      </w:r>
      <w:r>
        <w:rPr>
          <w:rFonts w:hint="eastAsia" w:ascii="仿宋" w:hAnsi="仿宋" w:eastAsia="仿宋" w:cs="Calibri"/>
          <w:kern w:val="2"/>
          <w:sz w:val="28"/>
          <w:szCs w:val="28"/>
          <w:highlight w:val="none"/>
          <w:lang w:val="en-US" w:eastAsia="zh-CN"/>
        </w:rPr>
        <w:t>店埠镇撮镇路95号</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邮    编：231600</w:t>
      </w:r>
    </w:p>
    <w:p>
      <w:pPr>
        <w:spacing w:line="560" w:lineRule="exact"/>
        <w:ind w:firstLine="437"/>
        <w:rPr>
          <w:rFonts w:hint="eastAsia" w:ascii="仿宋" w:hAnsi="仿宋" w:eastAsia="仿宋" w:cs="Calibri"/>
          <w:kern w:val="2"/>
          <w:sz w:val="28"/>
          <w:szCs w:val="28"/>
          <w:highlight w:val="none"/>
          <w:lang w:eastAsia="zh-CN"/>
        </w:rPr>
      </w:pPr>
      <w:r>
        <w:rPr>
          <w:rFonts w:hint="eastAsia" w:ascii="仿宋" w:hAnsi="仿宋" w:eastAsia="仿宋" w:cs="Calibri"/>
          <w:kern w:val="2"/>
          <w:sz w:val="28"/>
          <w:szCs w:val="28"/>
          <w:highlight w:val="none"/>
        </w:rPr>
        <w:t>联 系 人：</w:t>
      </w:r>
      <w:r>
        <w:rPr>
          <w:rFonts w:hint="eastAsia" w:ascii="仿宋" w:hAnsi="仿宋" w:eastAsia="仿宋" w:cs="Calibri"/>
          <w:kern w:val="2"/>
          <w:sz w:val="28"/>
          <w:szCs w:val="28"/>
          <w:highlight w:val="none"/>
          <w:lang w:val="en-US" w:eastAsia="zh-CN"/>
        </w:rPr>
        <w:t>沙志坚</w:t>
      </w:r>
    </w:p>
    <w:p>
      <w:pPr>
        <w:spacing w:line="560" w:lineRule="exact"/>
        <w:ind w:firstLine="437"/>
        <w:rPr>
          <w:rFonts w:hint="default" w:ascii="仿宋" w:hAnsi="仿宋" w:eastAsia="仿宋" w:cs="Calibri"/>
          <w:kern w:val="2"/>
          <w:sz w:val="28"/>
          <w:szCs w:val="28"/>
          <w:highlight w:val="none"/>
          <w:lang w:val="en-US" w:eastAsia="zh-CN"/>
        </w:rPr>
      </w:pPr>
      <w:r>
        <w:rPr>
          <w:rFonts w:hint="eastAsia" w:ascii="仿宋" w:hAnsi="仿宋" w:eastAsia="仿宋" w:cs="Calibri"/>
          <w:kern w:val="2"/>
          <w:sz w:val="28"/>
          <w:szCs w:val="28"/>
          <w:highlight w:val="none"/>
        </w:rPr>
        <w:t>电    话：0551-</w:t>
      </w:r>
      <w:r>
        <w:rPr>
          <w:rFonts w:hint="eastAsia" w:ascii="仿宋" w:hAnsi="仿宋" w:eastAsia="仿宋" w:cs="Calibri"/>
          <w:kern w:val="2"/>
          <w:sz w:val="28"/>
          <w:szCs w:val="28"/>
          <w:highlight w:val="none"/>
          <w:lang w:val="en-US" w:eastAsia="zh-CN"/>
        </w:rPr>
        <w:t>67708933</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11.2 招标代理机构</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招标代理机构：肥东县公共资源交易有限公司</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地    址：</w:t>
      </w:r>
      <w:r>
        <w:rPr>
          <w:rFonts w:hint="eastAsia" w:ascii="仿宋" w:hAnsi="仿宋" w:eastAsia="仿宋" w:cs="Calibri"/>
          <w:kern w:val="2"/>
          <w:sz w:val="28"/>
          <w:szCs w:val="28"/>
          <w:highlight w:val="none"/>
          <w:lang w:val="en-US" w:eastAsia="zh-CN"/>
        </w:rPr>
        <w:t>安徽省</w:t>
      </w:r>
      <w:r>
        <w:rPr>
          <w:rFonts w:hint="eastAsia" w:ascii="仿宋" w:hAnsi="仿宋" w:eastAsia="仿宋" w:cs="Calibri"/>
          <w:kern w:val="2"/>
          <w:sz w:val="28"/>
          <w:szCs w:val="28"/>
          <w:highlight w:val="none"/>
        </w:rPr>
        <w:t>合肥市肥东县店埠镇深秀路2号肥东县政务服务中心四楼B区</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邮    编：231600</w:t>
      </w:r>
    </w:p>
    <w:p>
      <w:pPr>
        <w:spacing w:line="560" w:lineRule="exact"/>
        <w:ind w:firstLine="437"/>
        <w:rPr>
          <w:rFonts w:hint="eastAsia" w:ascii="仿宋" w:hAnsi="仿宋" w:eastAsia="仿宋" w:cs="Calibri"/>
          <w:kern w:val="2"/>
          <w:sz w:val="28"/>
          <w:szCs w:val="28"/>
          <w:highlight w:val="none"/>
          <w:lang w:eastAsia="zh-CN"/>
        </w:rPr>
      </w:pPr>
      <w:r>
        <w:rPr>
          <w:rFonts w:hint="eastAsia" w:ascii="仿宋" w:hAnsi="仿宋" w:eastAsia="仿宋" w:cs="Calibri"/>
          <w:kern w:val="2"/>
          <w:sz w:val="28"/>
          <w:szCs w:val="28"/>
          <w:highlight w:val="none"/>
        </w:rPr>
        <w:t>联 系 人：</w:t>
      </w:r>
      <w:r>
        <w:rPr>
          <w:rFonts w:hint="eastAsia" w:ascii="仿宋" w:hAnsi="仿宋" w:eastAsia="仿宋" w:cs="Calibri"/>
          <w:kern w:val="2"/>
          <w:sz w:val="28"/>
          <w:szCs w:val="28"/>
          <w:highlight w:val="none"/>
          <w:lang w:val="en-US" w:eastAsia="zh-CN"/>
        </w:rPr>
        <w:t>方工</w:t>
      </w:r>
    </w:p>
    <w:p>
      <w:pPr>
        <w:spacing w:line="560" w:lineRule="exact"/>
        <w:ind w:firstLine="437"/>
        <w:rPr>
          <w:rFonts w:hint="default" w:ascii="仿宋" w:hAnsi="仿宋" w:eastAsia="仿宋" w:cs="Calibri"/>
          <w:kern w:val="2"/>
          <w:sz w:val="28"/>
          <w:szCs w:val="28"/>
          <w:highlight w:val="none"/>
          <w:lang w:val="en-US" w:eastAsia="zh-CN"/>
        </w:rPr>
      </w:pPr>
      <w:r>
        <w:rPr>
          <w:rFonts w:hint="eastAsia" w:ascii="仿宋" w:hAnsi="仿宋" w:eastAsia="仿宋" w:cs="Calibri"/>
          <w:kern w:val="2"/>
          <w:sz w:val="28"/>
          <w:szCs w:val="28"/>
          <w:highlight w:val="none"/>
        </w:rPr>
        <w:t>电    话：0551-677587</w:t>
      </w:r>
      <w:r>
        <w:rPr>
          <w:rFonts w:hint="eastAsia" w:ascii="仿宋" w:hAnsi="仿宋" w:eastAsia="仿宋" w:cs="Calibri"/>
          <w:kern w:val="2"/>
          <w:sz w:val="28"/>
          <w:szCs w:val="28"/>
          <w:highlight w:val="none"/>
          <w:lang w:val="en-US" w:eastAsia="zh-CN"/>
        </w:rPr>
        <w:t>93</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11.3 电子交易系统</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电子交易系统名称：安徽合肥公共资源交易中心电子交易系统</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电子交易系统电话：0512-58188516</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11.4 电子服务系统</w:t>
      </w:r>
    </w:p>
    <w:p>
      <w:pPr>
        <w:spacing w:line="560" w:lineRule="exact"/>
        <w:ind w:firstLine="437"/>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电子服务系统名称：安徽合肥公共资源交易电子服务系统</w:t>
      </w:r>
    </w:p>
    <w:p>
      <w:pPr>
        <w:spacing w:line="560" w:lineRule="exact"/>
        <w:ind w:firstLine="437"/>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电子服务系统电话：0551-66223830、0512-58188516</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11.5 公共资源交易监督管理部门</w:t>
      </w:r>
    </w:p>
    <w:p>
      <w:pPr>
        <w:spacing w:line="560" w:lineRule="exact"/>
        <w:ind w:firstLine="437"/>
        <w:rPr>
          <w:rFonts w:ascii="仿宋" w:hAnsi="仿宋" w:eastAsia="仿宋" w:cs="Calibri"/>
          <w:kern w:val="2"/>
          <w:sz w:val="28"/>
          <w:szCs w:val="28"/>
          <w:highlight w:val="none"/>
        </w:rPr>
      </w:pPr>
      <w:r>
        <w:rPr>
          <w:rFonts w:hint="eastAsia" w:ascii="仿宋" w:hAnsi="仿宋" w:eastAsia="仿宋" w:cs="Calibri"/>
          <w:kern w:val="2"/>
          <w:sz w:val="28"/>
          <w:szCs w:val="28"/>
          <w:highlight w:val="none"/>
        </w:rPr>
        <w:t>公共资源交易监督管理部门：肥东县发展和改革委员会</w:t>
      </w:r>
    </w:p>
    <w:p>
      <w:pPr>
        <w:spacing w:line="560" w:lineRule="exact"/>
        <w:ind w:firstLine="437"/>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地    址：合肥市肥东县店埠镇龙泉路8号</w:t>
      </w:r>
    </w:p>
    <w:p>
      <w:pPr>
        <w:spacing w:line="560" w:lineRule="exact"/>
        <w:ind w:firstLine="437"/>
        <w:rPr>
          <w:rFonts w:ascii="仿宋" w:hAnsi="仿宋" w:eastAsia="仿宋" w:cs="楷体"/>
          <w:bCs/>
          <w:snapToGrid w:val="0"/>
          <w:sz w:val="28"/>
          <w:szCs w:val="28"/>
          <w:highlight w:val="none"/>
        </w:rPr>
      </w:pPr>
      <w:r>
        <w:rPr>
          <w:rFonts w:hint="eastAsia" w:ascii="仿宋" w:hAnsi="仿宋" w:eastAsia="仿宋" w:cs="Calibri"/>
          <w:kern w:val="2"/>
          <w:sz w:val="28"/>
          <w:szCs w:val="28"/>
          <w:highlight w:val="none"/>
        </w:rPr>
        <w:t>电    话：</w:t>
      </w:r>
      <w:r>
        <w:rPr>
          <w:rFonts w:ascii="仿宋" w:hAnsi="仿宋" w:eastAsia="仿宋" w:cs="Calibri"/>
          <w:kern w:val="2"/>
          <w:sz w:val="28"/>
          <w:szCs w:val="28"/>
          <w:highlight w:val="none"/>
        </w:rPr>
        <w:t>0551-67711296</w:t>
      </w:r>
    </w:p>
    <w:p>
      <w:pPr>
        <w:spacing w:line="560" w:lineRule="exact"/>
        <w:outlineLvl w:val="1"/>
        <w:rPr>
          <w:rFonts w:ascii="黑体" w:hAnsi="黑体" w:eastAsia="黑体"/>
          <w:sz w:val="28"/>
          <w:szCs w:val="28"/>
          <w:highlight w:val="none"/>
        </w:rPr>
      </w:pPr>
      <w:bookmarkStart w:id="65" w:name="_Toc140069394"/>
      <w:bookmarkStart w:id="66" w:name="_Toc7062"/>
      <w:bookmarkStart w:id="67" w:name="_Toc10284"/>
      <w:bookmarkStart w:id="68" w:name="_Toc4638"/>
      <w:bookmarkStart w:id="69" w:name="_Toc14370"/>
      <w:r>
        <w:rPr>
          <w:rFonts w:hint="eastAsia" w:ascii="黑体" w:hAnsi="黑体" w:eastAsia="黑体"/>
          <w:sz w:val="28"/>
          <w:szCs w:val="28"/>
          <w:highlight w:val="none"/>
        </w:rPr>
        <w:t>12.其他事项说明</w:t>
      </w:r>
      <w:bookmarkEnd w:id="65"/>
      <w:bookmarkEnd w:id="66"/>
      <w:bookmarkEnd w:id="67"/>
      <w:bookmarkEnd w:id="68"/>
      <w:bookmarkEnd w:id="69"/>
    </w:p>
    <w:p>
      <w:pPr>
        <w:spacing w:line="560" w:lineRule="exact"/>
        <w:ind w:firstLine="560" w:firstLineChars="200"/>
        <w:rPr>
          <w:rFonts w:ascii="仿宋" w:hAnsi="仿宋" w:eastAsia="仿宋"/>
          <w:kern w:val="2"/>
          <w:sz w:val="28"/>
          <w:szCs w:val="28"/>
          <w:highlight w:val="none"/>
        </w:rPr>
      </w:pPr>
      <w:bookmarkStart w:id="70" w:name="_Toc30094"/>
      <w:bookmarkStart w:id="71" w:name="_Toc3874"/>
      <w:bookmarkStart w:id="72" w:name="_Toc8187"/>
      <w:bookmarkStart w:id="73" w:name="_Toc10307"/>
      <w:r>
        <w:rPr>
          <w:rFonts w:hint="eastAsia" w:ascii="仿宋" w:hAnsi="仿宋" w:eastAsia="仿宋"/>
          <w:kern w:val="2"/>
          <w:sz w:val="28"/>
          <w:szCs w:val="28"/>
          <w:highlight w:val="none"/>
        </w:rPr>
        <w:t>投标人应合理安排招标文件获取时间，特别是网络速度慢的地区防止在系统关闭前网络拥堵无法操作。如果因计算机及网络故障造成无法完成招标文件获取，责任自负。</w:t>
      </w:r>
    </w:p>
    <w:p>
      <w:pPr>
        <w:numPr>
          <w:ilvl w:val="0"/>
          <w:numId w:val="0"/>
        </w:numPr>
        <w:spacing w:line="560" w:lineRule="exact"/>
        <w:outlineLvl w:val="1"/>
        <w:rPr>
          <w:rFonts w:hint="eastAsia" w:ascii="黑体" w:hAnsi="黑体" w:eastAsia="黑体"/>
          <w:sz w:val="28"/>
          <w:szCs w:val="28"/>
          <w:highlight w:val="none"/>
        </w:rPr>
      </w:pPr>
      <w:bookmarkStart w:id="74" w:name="_Toc140069395"/>
      <w:r>
        <w:rPr>
          <w:rFonts w:hint="eastAsia" w:ascii="黑体" w:hAnsi="黑体" w:eastAsia="黑体" w:cs="Times New Roman"/>
          <w:sz w:val="28"/>
          <w:szCs w:val="28"/>
          <w:highlight w:val="none"/>
          <w:lang w:val="en-US" w:eastAsia="zh-CN" w:bidi="ar-SA"/>
        </w:rPr>
        <w:t>13.</w:t>
      </w:r>
      <w:r>
        <w:rPr>
          <w:rFonts w:hint="eastAsia" w:ascii="黑体" w:hAnsi="黑体" w:eastAsia="黑体"/>
          <w:sz w:val="28"/>
          <w:szCs w:val="28"/>
          <w:highlight w:val="none"/>
        </w:rPr>
        <w:t>投标保证金账户</w:t>
      </w:r>
      <w:bookmarkEnd w:id="70"/>
      <w:bookmarkEnd w:id="71"/>
      <w:bookmarkEnd w:id="72"/>
      <w:bookmarkEnd w:id="73"/>
      <w:r>
        <w:rPr>
          <w:rFonts w:hint="eastAsia" w:ascii="黑体" w:hAnsi="黑体" w:eastAsia="黑体"/>
          <w:sz w:val="28"/>
          <w:szCs w:val="28"/>
          <w:highlight w:val="none"/>
        </w:rPr>
        <w:t>：</w:t>
      </w:r>
      <w:bookmarkEnd w:id="74"/>
    </w:p>
    <w:p>
      <w:pPr>
        <w:numPr>
          <w:ilvl w:val="0"/>
          <w:numId w:val="0"/>
        </w:numPr>
        <w:spacing w:line="560" w:lineRule="exact"/>
        <w:ind w:firstLine="560" w:firstLineChars="200"/>
        <w:outlineLvl w:val="1"/>
        <w:rPr>
          <w:rFonts w:hint="eastAsia" w:ascii="仿宋" w:hAnsi="仿宋" w:eastAsia="仿宋"/>
          <w:kern w:val="2"/>
          <w:sz w:val="28"/>
          <w:szCs w:val="28"/>
          <w:highlight w:val="none"/>
        </w:rPr>
      </w:pPr>
      <w:r>
        <w:rPr>
          <w:rFonts w:hint="eastAsia" w:ascii="仿宋" w:hAnsi="仿宋" w:eastAsia="仿宋"/>
          <w:kern w:val="2"/>
          <w:sz w:val="28"/>
          <w:szCs w:val="28"/>
          <w:highlight w:val="none"/>
        </w:rPr>
        <w:t>标段简称:1标段</w:t>
      </w:r>
    </w:p>
    <w:p>
      <w:pPr>
        <w:numPr>
          <w:ilvl w:val="0"/>
          <w:numId w:val="0"/>
        </w:numPr>
        <w:spacing w:line="560" w:lineRule="exact"/>
        <w:ind w:firstLine="560" w:firstLineChars="200"/>
        <w:outlineLvl w:val="1"/>
        <w:rPr>
          <w:rFonts w:hint="eastAsia" w:ascii="仿宋" w:hAnsi="仿宋" w:eastAsia="仿宋"/>
          <w:kern w:val="2"/>
          <w:sz w:val="28"/>
          <w:szCs w:val="28"/>
          <w:highlight w:val="none"/>
        </w:rPr>
      </w:pPr>
      <w:r>
        <w:rPr>
          <w:rFonts w:hint="eastAsia" w:ascii="仿宋" w:hAnsi="仿宋" w:eastAsia="仿宋"/>
          <w:kern w:val="2"/>
          <w:sz w:val="28"/>
          <w:szCs w:val="28"/>
          <w:highlight w:val="none"/>
        </w:rPr>
        <w:t>民生银行</w:t>
      </w:r>
    </w:p>
    <w:p>
      <w:pPr>
        <w:numPr>
          <w:ilvl w:val="0"/>
          <w:numId w:val="0"/>
        </w:numPr>
        <w:spacing w:line="560" w:lineRule="exact"/>
        <w:ind w:firstLine="560" w:firstLineChars="200"/>
        <w:outlineLvl w:val="1"/>
        <w:rPr>
          <w:rFonts w:hint="eastAsia" w:ascii="仿宋" w:hAnsi="仿宋" w:eastAsia="仿宋"/>
          <w:kern w:val="2"/>
          <w:sz w:val="28"/>
          <w:szCs w:val="28"/>
          <w:highlight w:val="none"/>
        </w:rPr>
      </w:pPr>
      <w:r>
        <w:rPr>
          <w:rFonts w:hint="eastAsia" w:ascii="仿宋" w:hAnsi="仿宋" w:eastAsia="仿宋"/>
          <w:kern w:val="2"/>
          <w:sz w:val="28"/>
          <w:szCs w:val="28"/>
          <w:highlight w:val="none"/>
        </w:rPr>
        <w:t>户名：肥东县公共资源交易中心</w:t>
      </w:r>
    </w:p>
    <w:p>
      <w:pPr>
        <w:numPr>
          <w:ilvl w:val="0"/>
          <w:numId w:val="0"/>
        </w:numPr>
        <w:spacing w:line="560" w:lineRule="exact"/>
        <w:ind w:firstLine="560" w:firstLineChars="200"/>
        <w:outlineLvl w:val="1"/>
        <w:rPr>
          <w:rFonts w:hint="eastAsia" w:ascii="仿宋" w:hAnsi="仿宋" w:eastAsia="仿宋"/>
          <w:kern w:val="2"/>
          <w:sz w:val="28"/>
          <w:szCs w:val="28"/>
          <w:highlight w:val="none"/>
        </w:rPr>
      </w:pPr>
      <w:r>
        <w:rPr>
          <w:rFonts w:hint="eastAsia" w:ascii="仿宋" w:hAnsi="仿宋" w:eastAsia="仿宋"/>
          <w:kern w:val="2"/>
          <w:sz w:val="28"/>
          <w:szCs w:val="28"/>
          <w:highlight w:val="none"/>
        </w:rPr>
        <w:t>账号：</w:t>
      </w:r>
    </w:p>
    <w:p>
      <w:pPr>
        <w:numPr>
          <w:ilvl w:val="0"/>
          <w:numId w:val="0"/>
        </w:numPr>
        <w:spacing w:line="560" w:lineRule="exact"/>
        <w:ind w:firstLine="560" w:firstLineChars="200"/>
        <w:outlineLvl w:val="1"/>
        <w:rPr>
          <w:rFonts w:hint="eastAsia" w:ascii="仿宋" w:hAnsi="仿宋" w:eastAsia="仿宋"/>
          <w:kern w:val="2"/>
          <w:sz w:val="28"/>
          <w:szCs w:val="28"/>
          <w:highlight w:val="none"/>
        </w:rPr>
      </w:pPr>
      <w:r>
        <w:rPr>
          <w:rFonts w:hint="eastAsia" w:ascii="仿宋" w:hAnsi="仿宋" w:eastAsia="仿宋"/>
          <w:kern w:val="2"/>
          <w:sz w:val="28"/>
          <w:szCs w:val="28"/>
          <w:highlight w:val="none"/>
        </w:rPr>
        <w:t>开户银行：中国民生银行股份有限公司肥东支行</w:t>
      </w:r>
    </w:p>
    <w:p>
      <w:pPr>
        <w:numPr>
          <w:ilvl w:val="0"/>
          <w:numId w:val="0"/>
        </w:numPr>
        <w:spacing w:line="560" w:lineRule="exact"/>
        <w:ind w:firstLine="560" w:firstLineChars="200"/>
        <w:outlineLvl w:val="1"/>
        <w:rPr>
          <w:rFonts w:hint="eastAsia" w:ascii="仿宋" w:hAnsi="仿宋" w:eastAsia="仿宋"/>
          <w:kern w:val="2"/>
          <w:sz w:val="28"/>
          <w:szCs w:val="28"/>
          <w:highlight w:val="none"/>
        </w:rPr>
      </w:pPr>
      <w:r>
        <w:rPr>
          <w:rFonts w:hint="eastAsia" w:ascii="仿宋" w:hAnsi="仿宋" w:eastAsia="仿宋"/>
          <w:kern w:val="2"/>
          <w:sz w:val="28"/>
          <w:szCs w:val="28"/>
          <w:highlight w:val="none"/>
        </w:rPr>
        <w:t>中国银行</w:t>
      </w:r>
    </w:p>
    <w:p>
      <w:pPr>
        <w:numPr>
          <w:ilvl w:val="0"/>
          <w:numId w:val="0"/>
        </w:numPr>
        <w:spacing w:line="560" w:lineRule="exact"/>
        <w:ind w:firstLine="560" w:firstLineChars="200"/>
        <w:outlineLvl w:val="1"/>
        <w:rPr>
          <w:rFonts w:hint="eastAsia" w:ascii="仿宋" w:hAnsi="仿宋" w:eastAsia="仿宋"/>
          <w:kern w:val="2"/>
          <w:sz w:val="28"/>
          <w:szCs w:val="28"/>
          <w:highlight w:val="none"/>
        </w:rPr>
      </w:pPr>
      <w:r>
        <w:rPr>
          <w:rFonts w:hint="eastAsia" w:ascii="仿宋" w:hAnsi="仿宋" w:eastAsia="仿宋"/>
          <w:kern w:val="2"/>
          <w:sz w:val="28"/>
          <w:szCs w:val="28"/>
          <w:highlight w:val="none"/>
        </w:rPr>
        <w:t>户名：肥东县公共资源交易中心</w:t>
      </w:r>
    </w:p>
    <w:p>
      <w:pPr>
        <w:numPr>
          <w:ilvl w:val="0"/>
          <w:numId w:val="0"/>
        </w:numPr>
        <w:spacing w:line="560" w:lineRule="exact"/>
        <w:ind w:firstLine="560" w:firstLineChars="200"/>
        <w:outlineLvl w:val="1"/>
        <w:rPr>
          <w:rFonts w:hint="eastAsia" w:ascii="仿宋" w:hAnsi="仿宋" w:eastAsia="仿宋"/>
          <w:kern w:val="2"/>
          <w:sz w:val="28"/>
          <w:szCs w:val="28"/>
          <w:highlight w:val="none"/>
        </w:rPr>
      </w:pPr>
      <w:r>
        <w:rPr>
          <w:rFonts w:hint="eastAsia" w:ascii="仿宋" w:hAnsi="仿宋" w:eastAsia="仿宋"/>
          <w:kern w:val="2"/>
          <w:sz w:val="28"/>
          <w:szCs w:val="28"/>
          <w:highlight w:val="none"/>
        </w:rPr>
        <w:t>账号：</w:t>
      </w:r>
    </w:p>
    <w:p>
      <w:pPr>
        <w:numPr>
          <w:ilvl w:val="0"/>
          <w:numId w:val="0"/>
        </w:numPr>
        <w:spacing w:line="560" w:lineRule="exact"/>
        <w:ind w:firstLine="560" w:firstLineChars="200"/>
        <w:outlineLvl w:val="1"/>
        <w:rPr>
          <w:rFonts w:ascii="仿宋" w:hAnsi="仿宋" w:eastAsia="仿宋"/>
          <w:kern w:val="2"/>
          <w:sz w:val="28"/>
          <w:szCs w:val="28"/>
          <w:highlight w:val="none"/>
        </w:rPr>
      </w:pPr>
      <w:r>
        <w:rPr>
          <w:rFonts w:hint="eastAsia" w:ascii="仿宋" w:hAnsi="仿宋" w:eastAsia="仿宋"/>
          <w:kern w:val="2"/>
          <w:sz w:val="28"/>
          <w:szCs w:val="28"/>
          <w:highlight w:val="none"/>
        </w:rPr>
        <w:t>开户银行：中国银行肥东支行</w:t>
      </w:r>
    </w:p>
    <w:bookmarkEnd w:id="5"/>
    <w:p>
      <w:pPr>
        <w:pStyle w:val="3"/>
        <w:spacing w:beforeLines="100" w:afterLines="100" w:line="240" w:lineRule="auto"/>
        <w:jc w:val="center"/>
        <w:rPr>
          <w:rFonts w:ascii="黑体" w:hAnsi="黑体" w:eastAsia="黑体" w:cs="黑体"/>
          <w:b w:val="0"/>
          <w:bCs w:val="0"/>
          <w:highlight w:val="none"/>
        </w:rPr>
      </w:pPr>
      <w:bookmarkStart w:id="75" w:name="_Toc152045529"/>
      <w:bookmarkStart w:id="76" w:name="_Toc26865"/>
      <w:bookmarkStart w:id="77" w:name="_Toc38879324"/>
      <w:bookmarkStart w:id="78" w:name="_Toc152042305"/>
      <w:bookmarkStart w:id="79" w:name="_Toc144974497"/>
      <w:bookmarkStart w:id="80" w:name="_Toc179632546"/>
      <w:r>
        <w:rPr>
          <w:rFonts w:hint="eastAsia"/>
          <w:b w:val="0"/>
          <w:highlight w:val="none"/>
        </w:rPr>
        <w:br w:type="page"/>
      </w:r>
      <w:bookmarkStart w:id="81" w:name="_Toc140069397"/>
      <w:r>
        <w:rPr>
          <w:rFonts w:hint="eastAsia" w:ascii="黑体" w:hAnsi="黑体" w:eastAsia="黑体" w:cs="黑体"/>
          <w:b w:val="0"/>
          <w:bCs w:val="0"/>
          <w:highlight w:val="none"/>
        </w:rPr>
        <w:t>第二章  投标人须知</w:t>
      </w:r>
      <w:bookmarkEnd w:id="81"/>
    </w:p>
    <w:p>
      <w:pPr>
        <w:pStyle w:val="4"/>
        <w:spacing w:beforeLines="100" w:afterLines="100" w:line="240" w:lineRule="auto"/>
        <w:jc w:val="center"/>
        <w:rPr>
          <w:rFonts w:ascii="Times New Roman" w:hAnsi="Times New Roman"/>
          <w:b w:val="0"/>
          <w:highlight w:val="none"/>
        </w:rPr>
      </w:pPr>
      <w:bookmarkStart w:id="82" w:name="_Toc140069398"/>
      <w:bookmarkStart w:id="83" w:name="_Toc38879315"/>
      <w:bookmarkStart w:id="84" w:name="_Toc25475"/>
      <w:r>
        <w:rPr>
          <w:rFonts w:hint="eastAsia" w:ascii="黑体" w:hAnsi="黑体" w:eastAsia="黑体" w:cs="黑体"/>
          <w:b w:val="0"/>
          <w:bCs w:val="0"/>
          <w:highlight w:val="none"/>
        </w:rPr>
        <w:t>投标人须知前附表</w:t>
      </w:r>
      <w:bookmarkEnd w:id="82"/>
      <w:bookmarkEnd w:id="83"/>
      <w:bookmarkEnd w:id="84"/>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776"/>
        <w:gridCol w:w="5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条款号</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条款名称</w:t>
            </w:r>
          </w:p>
        </w:tc>
        <w:tc>
          <w:tcPr>
            <w:tcW w:w="5684" w:type="dxa"/>
            <w:vAlign w:val="center"/>
          </w:tcPr>
          <w:p>
            <w:pPr>
              <w:snapToGrid w:val="0"/>
              <w:spacing w:line="360" w:lineRule="auto"/>
              <w:jc w:val="center"/>
              <w:rPr>
                <w:rFonts w:hAnsi="宋体" w:cs="宋体"/>
                <w:highlight w:val="none"/>
              </w:rPr>
            </w:pPr>
            <w:r>
              <w:rPr>
                <w:rFonts w:hint="eastAsia" w:hAnsi="宋体" w:cs="宋体"/>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pacing w:line="360" w:lineRule="auto"/>
              <w:jc w:val="center"/>
              <w:rPr>
                <w:rFonts w:hAnsi="宋体" w:cs="宋体"/>
                <w:highlight w:val="none"/>
              </w:rPr>
            </w:pPr>
            <w:r>
              <w:rPr>
                <w:rFonts w:hint="eastAsia" w:hAnsi="宋体" w:cs="宋体"/>
                <w:highlight w:val="none"/>
              </w:rPr>
              <w:t>1.3.4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技术性能指标</w:t>
            </w:r>
          </w:p>
        </w:tc>
        <w:tc>
          <w:tcPr>
            <w:tcW w:w="5684" w:type="dxa"/>
            <w:vAlign w:val="center"/>
          </w:tcPr>
          <w:p>
            <w:pPr>
              <w:snapToGrid w:val="0"/>
              <w:spacing w:line="360" w:lineRule="auto"/>
              <w:rPr>
                <w:rFonts w:hAnsi="宋体" w:cs="宋体"/>
                <w:highlight w:val="none"/>
              </w:rPr>
            </w:pPr>
            <w:r>
              <w:rPr>
                <w:rFonts w:hint="eastAsia" w:hAnsi="宋体" w:cs="宋体"/>
                <w:highlight w:val="none"/>
              </w:rPr>
              <w:t>见招标文件第五章“供货要求”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1.4.1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投标人资质条件、能力和信誉</w:t>
            </w:r>
          </w:p>
        </w:tc>
        <w:tc>
          <w:tcPr>
            <w:tcW w:w="5684" w:type="dxa"/>
            <w:vAlign w:val="center"/>
          </w:tcPr>
          <w:p>
            <w:pPr>
              <w:snapToGrid w:val="0"/>
              <w:spacing w:line="360" w:lineRule="auto"/>
              <w:rPr>
                <w:rFonts w:hAnsi="宋体" w:cs="宋体"/>
                <w:highlight w:val="none"/>
              </w:rPr>
            </w:pPr>
            <w:r>
              <w:rPr>
                <w:rFonts w:hint="eastAsia" w:hAnsi="宋体" w:cs="宋体"/>
                <w:highlight w:val="none"/>
              </w:rPr>
              <w:t>（1）资质条件：见附录1</w:t>
            </w:r>
          </w:p>
          <w:p>
            <w:pPr>
              <w:snapToGrid w:val="0"/>
              <w:spacing w:line="360" w:lineRule="auto"/>
              <w:rPr>
                <w:rFonts w:hAnsi="宋体" w:cs="宋体"/>
                <w:highlight w:val="none"/>
              </w:rPr>
            </w:pPr>
            <w:r>
              <w:rPr>
                <w:rFonts w:hint="eastAsia" w:hAnsi="宋体" w:cs="宋体"/>
                <w:highlight w:val="none"/>
              </w:rPr>
              <w:t>（2）财务要求：见附录2</w:t>
            </w:r>
          </w:p>
          <w:p>
            <w:pPr>
              <w:snapToGrid w:val="0"/>
              <w:spacing w:line="360" w:lineRule="auto"/>
              <w:rPr>
                <w:rFonts w:hAnsi="宋体" w:cs="宋体"/>
                <w:highlight w:val="none"/>
              </w:rPr>
            </w:pPr>
            <w:r>
              <w:rPr>
                <w:rFonts w:hint="eastAsia" w:hAnsi="宋体" w:cs="宋体"/>
                <w:highlight w:val="none"/>
              </w:rPr>
              <w:t>（3）业绩要求：见附录3</w:t>
            </w:r>
          </w:p>
          <w:p>
            <w:pPr>
              <w:snapToGrid w:val="0"/>
              <w:spacing w:line="360" w:lineRule="auto"/>
              <w:rPr>
                <w:rFonts w:hAnsi="宋体" w:cs="宋体"/>
                <w:highlight w:val="none"/>
              </w:rPr>
            </w:pPr>
            <w:r>
              <w:rPr>
                <w:rFonts w:hint="eastAsia" w:hAnsi="宋体" w:cs="宋体"/>
                <w:highlight w:val="none"/>
              </w:rPr>
              <w:t>（4）信誉要求：见附录4</w:t>
            </w:r>
          </w:p>
          <w:p>
            <w:pPr>
              <w:snapToGrid w:val="0"/>
              <w:spacing w:line="360" w:lineRule="auto"/>
              <w:rPr>
                <w:rFonts w:hAnsi="宋体" w:cs="宋体"/>
                <w:highlight w:val="none"/>
              </w:rPr>
            </w:pPr>
            <w:r>
              <w:rPr>
                <w:rFonts w:hint="eastAsia" w:hAnsi="宋体" w:cs="宋体"/>
                <w:highlight w:val="none"/>
              </w:rPr>
              <w:t>（5）项目负责人要求：见附录5</w:t>
            </w:r>
          </w:p>
          <w:p>
            <w:pPr>
              <w:snapToGrid w:val="0"/>
              <w:spacing w:line="360" w:lineRule="auto"/>
              <w:rPr>
                <w:rFonts w:hAnsi="宋体" w:cs="宋体"/>
                <w:highlight w:val="none"/>
              </w:rPr>
            </w:pPr>
            <w:r>
              <w:rPr>
                <w:rFonts w:hint="eastAsia" w:hAnsi="宋体" w:cs="宋体"/>
                <w:highlight w:val="none"/>
              </w:rPr>
              <w:t>（6）其他要求：见附录6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1.4.2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是否接受联合体投标</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不接受</w:t>
            </w:r>
          </w:p>
          <w:p>
            <w:pPr>
              <w:snapToGrid w:val="0"/>
              <w:spacing w:line="360" w:lineRule="auto"/>
              <w:rPr>
                <w:rFonts w:hAnsi="宋体" w:cs="宋体"/>
                <w:highlight w:val="none"/>
              </w:rPr>
            </w:pPr>
            <w:r>
              <w:rPr>
                <w:rFonts w:hint="eastAsia" w:hAnsi="宋体" w:cs="宋体"/>
                <w:highlight w:val="none"/>
              </w:rPr>
              <w:t>□接受，应满足下列要求：</w:t>
            </w:r>
            <w:r>
              <w:rPr>
                <w:rFonts w:hint="eastAsia" w:hAnsi="宋体" w:cs="宋体"/>
                <w:bCs/>
                <w:snapToGrid w:val="0"/>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1.4.3（17）</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投标人不得存在的其他情形</w:t>
            </w:r>
          </w:p>
        </w:tc>
        <w:tc>
          <w:tcPr>
            <w:tcW w:w="5684" w:type="dxa"/>
            <w:vAlign w:val="center"/>
          </w:tcPr>
          <w:p>
            <w:pPr>
              <w:snapToGrid w:val="0"/>
              <w:spacing w:line="360" w:lineRule="auto"/>
              <w:rPr>
                <w:rFonts w:hAnsi="宋体" w:cs="宋体"/>
                <w:highlight w:val="none"/>
              </w:rPr>
            </w:pPr>
            <w:r>
              <w:rPr>
                <w:rFonts w:hint="eastAsia" w:hAnsi="宋体" w:cs="宋体"/>
                <w:highlight w:val="none"/>
              </w:rPr>
              <w:t xml:space="preserve">□与本标段的其他投标人代理同一个制造商同一品牌同一型号的货物投标；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1.4.4（4）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投标人不得存在的其他不良状况或不良信用记录</w:t>
            </w:r>
          </w:p>
        </w:tc>
        <w:tc>
          <w:tcPr>
            <w:tcW w:w="5684" w:type="dxa"/>
            <w:vAlign w:val="center"/>
          </w:tcPr>
          <w:p>
            <w:pPr>
              <w:snapToGrid w:val="0"/>
              <w:spacing w:line="360" w:lineRule="auto"/>
              <w:rPr>
                <w:rFonts w:hAnsi="宋体" w:cs="宋体"/>
                <w:bCs/>
                <w:snapToGrid w:val="0"/>
                <w:highlight w:val="none"/>
              </w:rPr>
            </w:pPr>
            <w:r>
              <w:rPr>
                <w:rFonts w:hint="eastAsia" w:hAnsi="宋体" w:cs="宋体"/>
                <w:bCs/>
                <w:snapToGrid w:val="0"/>
                <w:highlight w:val="none"/>
              </w:rPr>
              <w:t>（1）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p>
            <w:pPr>
              <w:snapToGrid w:val="0"/>
              <w:spacing w:line="360" w:lineRule="auto"/>
              <w:rPr>
                <w:rFonts w:hAnsi="宋体" w:cs="宋体"/>
                <w:highlight w:val="none"/>
              </w:rPr>
            </w:pPr>
            <w:r>
              <w:rPr>
                <w:rFonts w:hint="eastAsia" w:hAnsi="宋体" w:cs="宋体"/>
                <w:bCs/>
                <w:snapToGrid w:val="0"/>
                <w:highlight w:val="none"/>
              </w:rPr>
              <w:t>（2）查询要求：评标委员会仅通过“电子服务系统”查询拟推荐中标候选人是否存在上述情形，并将查询截图及查询结果在评标报告中予以记录。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1.9.1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踏勘现场</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不组织，投标人自行踏勘</w:t>
            </w:r>
          </w:p>
          <w:p>
            <w:pPr>
              <w:snapToGrid w:val="0"/>
              <w:spacing w:line="360" w:lineRule="auto"/>
              <w:rPr>
                <w:rFonts w:hAnsi="宋体" w:cs="宋体"/>
                <w:highlight w:val="none"/>
              </w:rPr>
            </w:pPr>
            <w:r>
              <w:rPr>
                <w:rFonts w:hint="eastAsia" w:hAnsi="宋体" w:cs="宋体"/>
                <w:highlight w:val="none"/>
              </w:rPr>
              <w:t>□组织，踏勘时间：</w:t>
            </w:r>
          </w:p>
          <w:p>
            <w:pPr>
              <w:snapToGrid w:val="0"/>
              <w:spacing w:line="360" w:lineRule="auto"/>
              <w:rPr>
                <w:rFonts w:hAnsi="宋体" w:cs="宋体"/>
                <w:highlight w:val="none"/>
              </w:rPr>
            </w:pPr>
            <w:r>
              <w:rPr>
                <w:rFonts w:hint="eastAsia" w:hAnsi="宋体" w:cs="宋体"/>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1.10.1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投标预备会</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不召开</w:t>
            </w:r>
          </w:p>
          <w:p>
            <w:pPr>
              <w:snapToGrid w:val="0"/>
              <w:spacing w:line="360" w:lineRule="auto"/>
              <w:rPr>
                <w:rFonts w:hAnsi="宋体" w:cs="宋体"/>
                <w:highlight w:val="none"/>
              </w:rPr>
            </w:pPr>
            <w:r>
              <w:rPr>
                <w:rFonts w:hint="eastAsia" w:hAnsi="宋体" w:cs="宋体"/>
                <w:highlight w:val="none"/>
              </w:rPr>
              <w:t>□召开，召开时间：</w:t>
            </w:r>
          </w:p>
          <w:p>
            <w:pPr>
              <w:snapToGrid w:val="0"/>
              <w:spacing w:line="360" w:lineRule="auto"/>
              <w:rPr>
                <w:rFonts w:hAnsi="宋体" w:cs="宋体"/>
                <w:highlight w:val="none"/>
              </w:rPr>
            </w:pPr>
            <w:r>
              <w:rPr>
                <w:rFonts w:hint="eastAsia" w:hAnsi="宋体" w:cs="宋体"/>
                <w:highlight w:val="none"/>
              </w:rPr>
              <w:t xml:space="preserve">        召开形式：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1.10.2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投标人在投标预备会前提出问题</w:t>
            </w:r>
          </w:p>
        </w:tc>
        <w:tc>
          <w:tcPr>
            <w:tcW w:w="5684" w:type="dxa"/>
            <w:vAlign w:val="center"/>
          </w:tcPr>
          <w:p>
            <w:pPr>
              <w:snapToGrid w:val="0"/>
              <w:spacing w:line="360" w:lineRule="auto"/>
              <w:rPr>
                <w:rFonts w:hAnsi="宋体" w:cs="宋体"/>
                <w:highlight w:val="none"/>
              </w:rPr>
            </w:pPr>
            <w:r>
              <w:rPr>
                <w:rFonts w:hint="eastAsia" w:hAnsi="宋体" w:cs="宋体"/>
                <w:highlight w:val="none"/>
              </w:rPr>
              <w:t>时间：</w:t>
            </w:r>
            <w:r>
              <w:rPr>
                <w:rFonts w:hint="eastAsia" w:hAnsi="宋体" w:cs="宋体"/>
                <w:bCs/>
                <w:snapToGrid w:val="0"/>
                <w:highlight w:val="none"/>
                <w:u w:val="single"/>
              </w:rPr>
              <w:t xml:space="preserve">   /   </w:t>
            </w:r>
          </w:p>
          <w:p>
            <w:pPr>
              <w:snapToGrid w:val="0"/>
              <w:spacing w:line="360" w:lineRule="auto"/>
              <w:rPr>
                <w:rFonts w:hAnsi="宋体" w:cs="宋体"/>
                <w:highlight w:val="none"/>
              </w:rPr>
            </w:pPr>
            <w:r>
              <w:rPr>
                <w:rFonts w:hint="eastAsia" w:hAnsi="宋体" w:cs="宋体"/>
                <w:highlight w:val="none"/>
              </w:rPr>
              <w:t>形式：</w:t>
            </w:r>
            <w:r>
              <w:rPr>
                <w:rFonts w:hint="eastAsia" w:hAnsi="宋体" w:cs="宋体"/>
                <w:bCs/>
                <w:snapToGrid w:val="0"/>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1.11.1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分包</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不允许</w:t>
            </w:r>
          </w:p>
          <w:p>
            <w:pPr>
              <w:snapToGrid w:val="0"/>
              <w:spacing w:line="360" w:lineRule="auto"/>
              <w:rPr>
                <w:rFonts w:hAnsi="宋体" w:cs="宋体"/>
                <w:highlight w:val="none"/>
              </w:rPr>
            </w:pPr>
            <w:r>
              <w:rPr>
                <w:rFonts w:hint="eastAsia" w:hAnsi="宋体" w:cs="宋体"/>
                <w:highlight w:val="none"/>
              </w:rPr>
              <w:t>□允许，分包内容要求：</w:t>
            </w:r>
          </w:p>
          <w:p>
            <w:pPr>
              <w:snapToGrid w:val="0"/>
              <w:spacing w:line="360" w:lineRule="auto"/>
              <w:rPr>
                <w:rFonts w:hAnsi="宋体" w:cs="宋体"/>
                <w:highlight w:val="none"/>
              </w:rPr>
            </w:pPr>
            <w:r>
              <w:rPr>
                <w:rFonts w:hint="eastAsia" w:hAnsi="宋体" w:cs="宋体"/>
                <w:highlight w:val="none"/>
              </w:rPr>
              <w:t xml:space="preserve">        分包金额要求：</w:t>
            </w:r>
          </w:p>
          <w:p>
            <w:pPr>
              <w:snapToGrid w:val="0"/>
              <w:spacing w:line="360" w:lineRule="auto"/>
              <w:rPr>
                <w:rFonts w:hAnsi="宋体" w:cs="宋体"/>
                <w:highlight w:val="none"/>
              </w:rPr>
            </w:pPr>
            <w:r>
              <w:rPr>
                <w:rFonts w:hint="eastAsia" w:hAnsi="宋体" w:cs="宋体"/>
                <w:highlight w:val="none"/>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1.12.1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实质性要求和条件</w:t>
            </w:r>
          </w:p>
        </w:tc>
        <w:tc>
          <w:tcPr>
            <w:tcW w:w="5684" w:type="dxa"/>
            <w:vAlign w:val="center"/>
          </w:tcPr>
          <w:p>
            <w:pPr>
              <w:snapToGrid w:val="0"/>
              <w:spacing w:line="360" w:lineRule="auto"/>
              <w:rPr>
                <w:rFonts w:hAnsi="宋体" w:cs="宋体"/>
                <w:highlight w:val="none"/>
              </w:rPr>
            </w:pPr>
            <w:r>
              <w:rPr>
                <w:rFonts w:hint="eastAsia"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pacing w:line="360" w:lineRule="auto"/>
              <w:jc w:val="center"/>
              <w:rPr>
                <w:rFonts w:hAnsi="宋体" w:cs="宋体"/>
                <w:highlight w:val="none"/>
              </w:rPr>
            </w:pPr>
            <w:r>
              <w:rPr>
                <w:rFonts w:hint="eastAsia" w:hAnsi="宋体" w:cs="宋体"/>
                <w:highlight w:val="none"/>
              </w:rPr>
              <w:t>1.12.3</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其他可以被接受的技术支持资料</w:t>
            </w:r>
          </w:p>
        </w:tc>
        <w:tc>
          <w:tcPr>
            <w:tcW w:w="5684" w:type="dxa"/>
            <w:vAlign w:val="center"/>
          </w:tcPr>
          <w:p>
            <w:pPr>
              <w:pStyle w:val="18"/>
              <w:topLinePunct/>
              <w:spacing w:line="360" w:lineRule="auto"/>
              <w:rPr>
                <w:rFonts w:ascii="宋体" w:eastAsia="宋体" w:cs="宋体"/>
                <w:bCs w:val="0"/>
                <w:color w:val="auto"/>
                <w:kern w:val="0"/>
                <w:szCs w:val="24"/>
                <w:highlight w:val="none"/>
              </w:rPr>
            </w:pPr>
            <w:r>
              <w:rPr>
                <w:rFonts w:hint="eastAsia" w:ascii="宋体" w:eastAsia="宋体" w:cs="宋体"/>
                <w:bCs w:val="0"/>
                <w:color w:val="auto"/>
                <w:kern w:val="0"/>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pacing w:line="360" w:lineRule="auto"/>
              <w:jc w:val="center"/>
              <w:rPr>
                <w:rFonts w:hAnsi="宋体" w:cs="宋体"/>
                <w:highlight w:val="none"/>
              </w:rPr>
            </w:pPr>
            <w:r>
              <w:rPr>
                <w:rFonts w:hint="eastAsia" w:hAnsi="宋体" w:cs="宋体"/>
                <w:highlight w:val="none"/>
              </w:rPr>
              <w:t>1.12.4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偏差</w:t>
            </w:r>
          </w:p>
        </w:tc>
        <w:tc>
          <w:tcPr>
            <w:tcW w:w="5684" w:type="dxa"/>
          </w:tcPr>
          <w:p>
            <w:pPr>
              <w:snapToGrid w:val="0"/>
              <w:spacing w:line="360" w:lineRule="auto"/>
              <w:rPr>
                <w:rFonts w:hAnsi="宋体" w:cs="宋体"/>
                <w:highlight w:val="none"/>
              </w:rPr>
            </w:pPr>
            <w:r>
              <w:rPr>
                <w:rFonts w:hint="eastAsia" w:ascii="MS Mincho" w:hAnsi="MS Mincho" w:cs="MS Mincho"/>
                <w:highlight w:val="none"/>
                <w:lang w:eastAsia="zh-CN"/>
              </w:rPr>
              <w:t>☑</w:t>
            </w:r>
            <w:r>
              <w:rPr>
                <w:rFonts w:hint="eastAsia" w:hAnsi="宋体" w:cs="宋体"/>
                <w:highlight w:val="none"/>
              </w:rPr>
              <w:t>不允许</w:t>
            </w:r>
          </w:p>
          <w:p>
            <w:pPr>
              <w:snapToGrid w:val="0"/>
              <w:spacing w:line="360" w:lineRule="auto"/>
              <w:rPr>
                <w:rFonts w:hAnsi="宋体" w:cs="宋体"/>
                <w:highlight w:val="none"/>
              </w:rPr>
            </w:pPr>
            <w:r>
              <w:rPr>
                <w:rFonts w:hint="eastAsia" w:hAnsi="宋体" w:cs="宋体"/>
                <w:highlight w:val="none"/>
                <w:lang w:eastAsia="zh-CN"/>
              </w:rPr>
              <w:t>□</w:t>
            </w:r>
            <w:r>
              <w:rPr>
                <w:rFonts w:hint="eastAsia" w:hAnsi="宋体" w:cs="宋体"/>
                <w:highlight w:val="none"/>
              </w:rPr>
              <w:t>允许，偏差范围：见招标文件第五章“供货要求”</w:t>
            </w:r>
          </w:p>
          <w:p>
            <w:pPr>
              <w:snapToGrid w:val="0"/>
              <w:spacing w:line="360" w:lineRule="auto"/>
              <w:ind w:firstLine="960" w:firstLineChars="400"/>
              <w:rPr>
                <w:rFonts w:hAnsi="宋体" w:cs="宋体"/>
                <w:highlight w:val="none"/>
              </w:rPr>
            </w:pPr>
            <w:r>
              <w:rPr>
                <w:rFonts w:hint="eastAsia" w:hAnsi="宋体" w:cs="宋体"/>
                <w:highlight w:val="none"/>
              </w:rPr>
              <w:t>最高项数：见招标文件第五章“供货要求”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2.1（7）</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构成招标文件的其他材料</w:t>
            </w:r>
          </w:p>
        </w:tc>
        <w:tc>
          <w:tcPr>
            <w:tcW w:w="5684" w:type="dxa"/>
            <w:vAlign w:val="center"/>
          </w:tcPr>
          <w:p>
            <w:pPr>
              <w:snapToGrid w:val="0"/>
              <w:spacing w:line="360" w:lineRule="auto"/>
              <w:rPr>
                <w:rFonts w:hAnsi="宋体" w:cs="宋体"/>
                <w:highlight w:val="none"/>
              </w:rPr>
            </w:pPr>
            <w:r>
              <w:rPr>
                <w:rFonts w:hint="eastAsia" w:hAnsi="宋体" w:cs="宋体"/>
                <w:bCs/>
                <w:snapToGrid w:val="0"/>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2.2.1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投标人要求澄清招标文件</w:t>
            </w:r>
          </w:p>
        </w:tc>
        <w:tc>
          <w:tcPr>
            <w:tcW w:w="5684" w:type="dxa"/>
            <w:vAlign w:val="center"/>
          </w:tcPr>
          <w:p>
            <w:pPr>
              <w:snapToGrid w:val="0"/>
              <w:spacing w:line="360" w:lineRule="auto"/>
              <w:rPr>
                <w:rFonts w:hAnsi="宋体" w:cs="宋体"/>
                <w:highlight w:val="none"/>
              </w:rPr>
            </w:pPr>
            <w:r>
              <w:rPr>
                <w:rFonts w:hint="eastAsia" w:hAnsi="宋体" w:cs="宋体"/>
                <w:highlight w:val="none"/>
              </w:rPr>
              <w:t>时间：</w:t>
            </w:r>
            <w:r>
              <w:rPr>
                <w:rFonts w:hint="eastAsia" w:hAnsi="宋体" w:cs="宋体"/>
                <w:bCs/>
                <w:snapToGrid w:val="0"/>
                <w:highlight w:val="none"/>
                <w:u w:val="single"/>
              </w:rPr>
              <w:t>202</w:t>
            </w:r>
            <w:r>
              <w:rPr>
                <w:rFonts w:hint="eastAsia" w:hAnsi="宋体" w:cs="宋体"/>
                <w:bCs/>
                <w:snapToGrid w:val="0"/>
                <w:highlight w:val="none"/>
                <w:u w:val="single"/>
                <w:lang w:val="en-US" w:eastAsia="zh-CN"/>
              </w:rPr>
              <w:t>5</w:t>
            </w:r>
            <w:r>
              <w:rPr>
                <w:rFonts w:hint="eastAsia" w:hAnsi="宋体" w:cs="宋体"/>
                <w:bCs/>
                <w:snapToGrid w:val="0"/>
                <w:highlight w:val="none"/>
              </w:rPr>
              <w:t>年</w:t>
            </w:r>
            <w:r>
              <w:rPr>
                <w:rFonts w:hint="eastAsia" w:hAnsi="宋体" w:cs="宋体"/>
                <w:bCs/>
                <w:snapToGrid w:val="0"/>
                <w:highlight w:val="none"/>
                <w:u w:val="single"/>
                <w:lang w:val="en-US" w:eastAsia="zh-CN"/>
              </w:rPr>
              <w:t xml:space="preserve">  </w:t>
            </w:r>
            <w:r>
              <w:rPr>
                <w:rFonts w:hint="eastAsia" w:hAnsi="宋体" w:cs="宋体"/>
                <w:bCs/>
                <w:snapToGrid w:val="0"/>
                <w:highlight w:val="none"/>
              </w:rPr>
              <w:t>月</w:t>
            </w:r>
            <w:r>
              <w:rPr>
                <w:rFonts w:hint="eastAsia" w:hAnsi="宋体" w:cs="宋体"/>
                <w:bCs/>
                <w:snapToGrid w:val="0"/>
                <w:highlight w:val="none"/>
                <w:u w:val="single"/>
                <w:lang w:val="en-US" w:eastAsia="zh-CN"/>
              </w:rPr>
              <w:t xml:space="preserve">   </w:t>
            </w:r>
            <w:r>
              <w:rPr>
                <w:rFonts w:hint="eastAsia" w:hAnsi="宋体" w:cs="宋体"/>
                <w:bCs/>
                <w:snapToGrid w:val="0"/>
                <w:highlight w:val="none"/>
              </w:rPr>
              <w:t>日</w:t>
            </w:r>
            <w:r>
              <w:rPr>
                <w:rFonts w:hint="eastAsia" w:hAnsi="宋体" w:cs="宋体"/>
                <w:bCs/>
                <w:snapToGrid w:val="0"/>
                <w:highlight w:val="none"/>
                <w:u w:val="single"/>
              </w:rPr>
              <w:t>17</w:t>
            </w:r>
            <w:r>
              <w:rPr>
                <w:rFonts w:hint="eastAsia" w:hAnsi="宋体" w:cs="宋体"/>
                <w:bCs/>
                <w:snapToGrid w:val="0"/>
                <w:highlight w:val="none"/>
              </w:rPr>
              <w:t>时</w:t>
            </w:r>
            <w:r>
              <w:rPr>
                <w:rFonts w:hint="eastAsia" w:hAnsi="宋体" w:cs="宋体"/>
                <w:bCs/>
                <w:snapToGrid w:val="0"/>
                <w:highlight w:val="none"/>
                <w:u w:val="single"/>
              </w:rPr>
              <w:t>30</w:t>
            </w:r>
            <w:r>
              <w:rPr>
                <w:rFonts w:hint="eastAsia" w:hAnsi="宋体" w:cs="宋体"/>
                <w:bCs/>
                <w:snapToGrid w:val="0"/>
                <w:highlight w:val="none"/>
              </w:rPr>
              <w:t>分前。</w:t>
            </w:r>
          </w:p>
          <w:p>
            <w:pPr>
              <w:snapToGrid w:val="0"/>
              <w:spacing w:line="360" w:lineRule="auto"/>
              <w:rPr>
                <w:rFonts w:hAnsi="宋体" w:cs="宋体"/>
                <w:highlight w:val="none"/>
              </w:rPr>
            </w:pPr>
            <w:r>
              <w:rPr>
                <w:rFonts w:hint="eastAsia" w:hAnsi="宋体" w:cs="宋体"/>
                <w:bCs/>
                <w:snapToGrid w:val="0"/>
                <w:highlight w:val="none"/>
              </w:rPr>
              <w:t>形式：通过电子交易系统在线提出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2.2.2</w:t>
            </w:r>
          </w:p>
        </w:tc>
        <w:tc>
          <w:tcPr>
            <w:tcW w:w="1776" w:type="dxa"/>
            <w:vAlign w:val="center"/>
          </w:tcPr>
          <w:p>
            <w:pPr>
              <w:snapToGrid w:val="0"/>
              <w:spacing w:line="360" w:lineRule="auto"/>
              <w:jc w:val="center"/>
              <w:rPr>
                <w:rFonts w:hAnsi="宋体" w:cs="宋体"/>
                <w:highlight w:val="none"/>
              </w:rPr>
            </w:pPr>
            <w:r>
              <w:rPr>
                <w:rFonts w:hint="eastAsia" w:hAnsi="宋体" w:cs="宋体"/>
                <w:snapToGrid w:val="0"/>
                <w:highlight w:val="none"/>
              </w:rPr>
              <w:t>招标文件澄清发出的形式</w:t>
            </w:r>
          </w:p>
        </w:tc>
        <w:tc>
          <w:tcPr>
            <w:tcW w:w="5684" w:type="dxa"/>
            <w:vAlign w:val="center"/>
          </w:tcPr>
          <w:p>
            <w:pPr>
              <w:snapToGrid w:val="0"/>
              <w:spacing w:line="360" w:lineRule="auto"/>
              <w:rPr>
                <w:rFonts w:hAnsi="宋体" w:cs="宋体"/>
                <w:highlight w:val="none"/>
              </w:rPr>
            </w:pPr>
            <w:r>
              <w:rPr>
                <w:rFonts w:hint="eastAsia" w:hAnsi="宋体" w:cs="宋体"/>
                <w:snapToGrid w:val="0"/>
                <w:highlight w:val="none"/>
              </w:rPr>
              <w:t>通过</w:t>
            </w:r>
            <w:r>
              <w:rPr>
                <w:rFonts w:hint="eastAsia" w:hAnsi="宋体" w:cs="宋体"/>
                <w:bCs/>
                <w:snapToGrid w:val="0"/>
                <w:highlight w:val="none"/>
              </w:rPr>
              <w:t>电子服务系统</w:t>
            </w:r>
            <w:r>
              <w:rPr>
                <w:rFonts w:hint="eastAsia" w:hAnsi="宋体" w:cs="宋体"/>
                <w:snapToGrid w:val="0"/>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ind w:left="120" w:leftChars="50" w:right="120" w:rightChars="50"/>
              <w:jc w:val="center"/>
              <w:rPr>
                <w:rFonts w:hAnsi="宋体" w:cs="宋体"/>
                <w:snapToGrid w:val="0"/>
                <w:highlight w:val="none"/>
              </w:rPr>
            </w:pPr>
            <w:r>
              <w:rPr>
                <w:rFonts w:hint="eastAsia" w:hAnsi="宋体" w:cs="宋体"/>
                <w:snapToGrid w:val="0"/>
                <w:highlight w:val="none"/>
              </w:rPr>
              <w:t>2.3.1</w:t>
            </w:r>
          </w:p>
        </w:tc>
        <w:tc>
          <w:tcPr>
            <w:tcW w:w="1776" w:type="dxa"/>
            <w:vAlign w:val="center"/>
          </w:tcPr>
          <w:p>
            <w:pPr>
              <w:kinsoku w:val="0"/>
              <w:overflowPunct w:val="0"/>
              <w:autoSpaceDE w:val="0"/>
              <w:autoSpaceDN w:val="0"/>
              <w:adjustRightInd w:val="0"/>
              <w:snapToGrid w:val="0"/>
              <w:spacing w:line="360" w:lineRule="auto"/>
              <w:ind w:right="-120" w:rightChars="-50"/>
              <w:jc w:val="center"/>
              <w:rPr>
                <w:rFonts w:hAnsi="宋体" w:cs="宋体"/>
                <w:snapToGrid w:val="0"/>
                <w:highlight w:val="none"/>
              </w:rPr>
            </w:pPr>
            <w:r>
              <w:rPr>
                <w:rFonts w:hint="eastAsia" w:hAnsi="宋体" w:cs="宋体"/>
                <w:snapToGrid w:val="0"/>
                <w:highlight w:val="none"/>
              </w:rPr>
              <w:t>招标文件修改发出的形式</w:t>
            </w:r>
          </w:p>
        </w:tc>
        <w:tc>
          <w:tcPr>
            <w:tcW w:w="5684" w:type="dxa"/>
            <w:vAlign w:val="center"/>
          </w:tcPr>
          <w:p>
            <w:pPr>
              <w:autoSpaceDE w:val="0"/>
              <w:autoSpaceDN w:val="0"/>
              <w:adjustRightInd w:val="0"/>
              <w:snapToGrid w:val="0"/>
              <w:spacing w:line="360" w:lineRule="auto"/>
              <w:ind w:right="120" w:rightChars="50"/>
              <w:jc w:val="left"/>
              <w:rPr>
                <w:rFonts w:hAnsi="宋体" w:cs="宋体"/>
                <w:snapToGrid w:val="0"/>
                <w:highlight w:val="none"/>
              </w:rPr>
            </w:pPr>
            <w:r>
              <w:rPr>
                <w:rFonts w:hint="eastAsia" w:hAnsi="宋体" w:cs="宋体"/>
                <w:snapToGrid w:val="0"/>
                <w:highlight w:val="none"/>
              </w:rPr>
              <w:t>通过</w:t>
            </w:r>
            <w:r>
              <w:rPr>
                <w:rFonts w:hint="eastAsia" w:hAnsi="宋体" w:cs="宋体"/>
                <w:bCs/>
                <w:snapToGrid w:val="0"/>
                <w:highlight w:val="none"/>
              </w:rPr>
              <w:t>电子服务系统</w:t>
            </w:r>
            <w:r>
              <w:rPr>
                <w:rFonts w:hint="eastAsia" w:hAnsi="宋体" w:cs="宋体"/>
                <w:snapToGrid w:val="0"/>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3.2.1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增值税税金相关要求</w:t>
            </w:r>
          </w:p>
        </w:tc>
        <w:tc>
          <w:tcPr>
            <w:tcW w:w="5684" w:type="dxa"/>
            <w:vAlign w:val="center"/>
          </w:tcPr>
          <w:p>
            <w:pPr>
              <w:snapToGrid w:val="0"/>
              <w:spacing w:line="360" w:lineRule="auto"/>
              <w:rPr>
                <w:rFonts w:hAnsi="宋体" w:cs="宋体"/>
                <w:bCs/>
                <w:snapToGrid w:val="0"/>
                <w:highlight w:val="none"/>
              </w:rPr>
            </w:pPr>
            <w:r>
              <w:rPr>
                <w:rFonts w:hint="eastAsia" w:ascii="Times New Roman" w:cs="宋体"/>
                <w:bCs/>
                <w:snapToGrid w:val="0"/>
                <w:szCs w:val="24"/>
                <w:highlight w:val="none"/>
              </w:rPr>
              <w:t>（1）</w:t>
            </w:r>
            <w:r>
              <w:rPr>
                <w:rFonts w:hint="eastAsia" w:hAnsi="宋体" w:cs="宋体"/>
                <w:bCs/>
                <w:snapToGrid w:val="0"/>
                <w:highlight w:val="none"/>
              </w:rPr>
              <w:t>计税方法：</w:t>
            </w:r>
          </w:p>
          <w:p>
            <w:pPr>
              <w:snapToGrid w:val="0"/>
              <w:spacing w:line="360" w:lineRule="auto"/>
              <w:rPr>
                <w:rFonts w:hAnsi="宋体" w:cs="宋体"/>
                <w:bCs/>
                <w:snapToGrid w:val="0"/>
                <w:highlight w:val="none"/>
              </w:rPr>
            </w:pPr>
            <w:r>
              <w:rPr>
                <w:rFonts w:hint="eastAsia" w:ascii="MS Mincho" w:hAnsi="MS Mincho" w:eastAsia="MS Mincho" w:cs="MS Mincho"/>
                <w:highlight w:val="none"/>
              </w:rPr>
              <w:t>☑</w:t>
            </w:r>
            <w:r>
              <w:rPr>
                <w:rFonts w:hint="eastAsia" w:hAnsi="宋体" w:cs="宋体"/>
                <w:bCs/>
                <w:snapToGrid w:val="0"/>
                <w:highlight w:val="none"/>
              </w:rPr>
              <w:t>一般计税方法</w:t>
            </w:r>
          </w:p>
          <w:p>
            <w:pPr>
              <w:snapToGrid w:val="0"/>
              <w:spacing w:line="360" w:lineRule="auto"/>
              <w:rPr>
                <w:rFonts w:hAnsi="宋体" w:cs="宋体"/>
                <w:bCs/>
                <w:snapToGrid w:val="0"/>
                <w:highlight w:val="none"/>
              </w:rPr>
            </w:pPr>
            <w:r>
              <w:rPr>
                <w:rFonts w:hint="eastAsia" w:hAnsi="宋体" w:cs="宋体"/>
                <w:bCs/>
                <w:snapToGrid w:val="0"/>
                <w:highlight w:val="none"/>
              </w:rPr>
              <w:t xml:space="preserve">□简易计算方法 </w:t>
            </w:r>
          </w:p>
          <w:p>
            <w:pPr>
              <w:snapToGrid w:val="0"/>
              <w:spacing w:line="360" w:lineRule="auto"/>
              <w:rPr>
                <w:rFonts w:hAnsi="宋体" w:cs="宋体"/>
                <w:bCs/>
                <w:snapToGrid w:val="0"/>
                <w:highlight w:val="none"/>
              </w:rPr>
            </w:pPr>
            <w:r>
              <w:rPr>
                <w:rFonts w:hint="eastAsia" w:ascii="Times New Roman" w:cs="宋体"/>
                <w:bCs/>
                <w:snapToGrid w:val="0"/>
                <w:szCs w:val="24"/>
                <w:highlight w:val="none"/>
              </w:rPr>
              <w:t>（2）</w:t>
            </w:r>
            <w:r>
              <w:rPr>
                <w:rFonts w:hint="eastAsia" w:hAnsi="宋体" w:cs="宋体"/>
                <w:bCs/>
                <w:snapToGrid w:val="0"/>
                <w:highlight w:val="none"/>
              </w:rPr>
              <w:t>发票类型：</w:t>
            </w:r>
          </w:p>
          <w:p>
            <w:pPr>
              <w:snapToGrid w:val="0"/>
              <w:spacing w:line="360" w:lineRule="auto"/>
              <w:rPr>
                <w:rFonts w:hAnsi="宋体" w:cs="宋体"/>
                <w:bCs/>
                <w:snapToGrid w:val="0"/>
                <w:highlight w:val="none"/>
              </w:rPr>
            </w:pPr>
            <w:r>
              <w:rPr>
                <w:rFonts w:hint="eastAsia" w:ascii="MS Mincho" w:hAnsi="MS Mincho" w:eastAsia="MS Mincho" w:cs="MS Mincho"/>
                <w:highlight w:val="none"/>
              </w:rPr>
              <w:t>☑</w:t>
            </w:r>
            <w:r>
              <w:rPr>
                <w:rFonts w:hint="eastAsia" w:hAnsi="宋体" w:cs="宋体"/>
                <w:bCs/>
                <w:snapToGrid w:val="0"/>
                <w:highlight w:val="none"/>
              </w:rPr>
              <w:t>增值税专用发票</w:t>
            </w:r>
          </w:p>
          <w:p>
            <w:pPr>
              <w:snapToGrid w:val="0"/>
              <w:spacing w:line="360" w:lineRule="auto"/>
              <w:rPr>
                <w:rFonts w:hAnsi="宋体" w:cs="宋体"/>
                <w:bCs/>
                <w:snapToGrid w:val="0"/>
                <w:highlight w:val="none"/>
              </w:rPr>
            </w:pPr>
            <w:r>
              <w:rPr>
                <w:rFonts w:hint="eastAsia" w:hAnsi="宋体" w:cs="宋体"/>
                <w:bCs/>
                <w:snapToGrid w:val="0"/>
                <w:highlight w:val="none"/>
              </w:rPr>
              <w:t>□增值税普通发票</w:t>
            </w:r>
          </w:p>
          <w:p>
            <w:pPr>
              <w:snapToGrid w:val="0"/>
              <w:spacing w:line="360" w:lineRule="auto"/>
              <w:rPr>
                <w:rFonts w:hAnsi="宋体" w:cs="宋体"/>
                <w:bCs/>
                <w:snapToGrid w:val="0"/>
                <w:highlight w:val="none"/>
              </w:rPr>
            </w:pPr>
            <w:r>
              <w:rPr>
                <w:rFonts w:hint="eastAsia" w:ascii="Times New Roman" w:cs="宋体"/>
                <w:bCs/>
                <w:snapToGrid w:val="0"/>
                <w:szCs w:val="24"/>
                <w:highlight w:val="none"/>
              </w:rPr>
              <w:t>（3）</w:t>
            </w:r>
            <w:r>
              <w:rPr>
                <w:rFonts w:hint="eastAsia" w:hAnsi="宋体" w:cs="宋体"/>
                <w:bCs/>
                <w:snapToGrid w:val="0"/>
                <w:highlight w:val="none"/>
              </w:rPr>
              <w:t>增值税税率按照国家有关规定执行。</w:t>
            </w:r>
          </w:p>
          <w:p>
            <w:pPr>
              <w:snapToGrid w:val="0"/>
              <w:spacing w:line="360" w:lineRule="auto"/>
              <w:rPr>
                <w:rFonts w:hAnsi="宋体" w:cs="宋体"/>
                <w:bCs/>
                <w:snapToGrid w:val="0"/>
                <w:highlight w:val="none"/>
              </w:rPr>
            </w:pPr>
            <w:r>
              <w:rPr>
                <w:rFonts w:hint="eastAsia" w:ascii="Times New Roman" w:cs="宋体"/>
                <w:bCs/>
                <w:snapToGrid w:val="0"/>
                <w:szCs w:val="24"/>
                <w:highlight w:val="none"/>
              </w:rPr>
              <w:t>（4）</w:t>
            </w:r>
            <w:r>
              <w:rPr>
                <w:rFonts w:hint="eastAsia" w:hAnsi="宋体" w:cs="宋体"/>
                <w:bCs/>
                <w:snapToGrid w:val="0"/>
                <w:highlight w:val="none"/>
              </w:rPr>
              <w:t>注册地不在合肥市行政区域范围（含四县一市）的中标人，应按照国家税务总局规定，在建筑服务发生地及时足额预缴增值税。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3.2.4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最高投标限价</w:t>
            </w:r>
          </w:p>
        </w:tc>
        <w:tc>
          <w:tcPr>
            <w:tcW w:w="5684" w:type="dxa"/>
            <w:vAlign w:val="center"/>
          </w:tcPr>
          <w:p>
            <w:pPr>
              <w:snapToGrid w:val="0"/>
              <w:spacing w:line="360" w:lineRule="auto"/>
              <w:rPr>
                <w:rFonts w:hAnsi="宋体" w:cs="宋体"/>
                <w:bCs/>
                <w:snapToGrid w:val="0"/>
                <w:highlight w:val="none"/>
              </w:rPr>
            </w:pPr>
            <w:r>
              <w:rPr>
                <w:rFonts w:hint="eastAsia" w:hAnsi="宋体" w:cs="宋体"/>
                <w:bCs/>
                <w:snapToGrid w:val="0"/>
                <w:highlight w:val="none"/>
              </w:rPr>
              <w:t>□无</w:t>
            </w:r>
          </w:p>
          <w:p>
            <w:pPr>
              <w:snapToGrid w:val="0"/>
              <w:spacing w:line="360" w:lineRule="auto"/>
              <w:rPr>
                <w:rFonts w:hAnsi="宋体" w:cs="宋体"/>
                <w:bCs/>
                <w:snapToGrid w:val="0"/>
                <w:highlight w:val="none"/>
              </w:rPr>
            </w:pPr>
            <w:r>
              <w:rPr>
                <w:rFonts w:hint="eastAsia" w:ascii="MS Mincho" w:hAnsi="MS Mincho" w:eastAsia="MS Mincho" w:cs="MS Mincho"/>
                <w:highlight w:val="none"/>
              </w:rPr>
              <w:t>☑</w:t>
            </w:r>
            <w:r>
              <w:rPr>
                <w:rFonts w:hint="eastAsia" w:hAnsi="宋体" w:cs="宋体"/>
                <w:bCs/>
                <w:snapToGrid w:val="0"/>
                <w:highlight w:val="none"/>
              </w:rPr>
              <w:t>有，最高投标限价：</w:t>
            </w:r>
            <w:r>
              <w:rPr>
                <w:rFonts w:hint="eastAsia" w:hAnsi="宋体" w:cs="宋体"/>
                <w:bCs/>
                <w:snapToGrid w:val="0"/>
                <w:highlight w:val="none"/>
                <w:u w:val="single"/>
                <w:lang w:val="en-US" w:eastAsia="zh-CN"/>
              </w:rPr>
              <w:t>320.55</w:t>
            </w:r>
            <w:bookmarkStart w:id="1090" w:name="_GoBack"/>
            <w:bookmarkEnd w:id="1090"/>
            <w:r>
              <w:rPr>
                <w:rFonts w:hint="eastAsia" w:hAnsi="宋体" w:cs="宋体"/>
                <w:bCs/>
                <w:snapToGrid w:val="0"/>
                <w:highlight w:val="none"/>
                <w:u w:val="singl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3.2.5</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投标报价的其他要求</w:t>
            </w:r>
          </w:p>
        </w:tc>
        <w:tc>
          <w:tcPr>
            <w:tcW w:w="5684" w:type="dxa"/>
            <w:vAlign w:val="center"/>
          </w:tcPr>
          <w:p>
            <w:pPr>
              <w:snapToGrid w:val="0"/>
              <w:spacing w:line="360" w:lineRule="auto"/>
              <w:rPr>
                <w:rFonts w:hAnsi="宋体" w:cs="宋体"/>
                <w:bCs/>
                <w:snapToGrid w:val="0"/>
                <w:highlight w:val="none"/>
              </w:rPr>
            </w:pPr>
            <w:r>
              <w:rPr>
                <w:rFonts w:hint="eastAsia" w:hAnsi="宋体" w:cs="宋体"/>
                <w:bCs/>
                <w:snapToGrid w:val="0"/>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3.3.1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投标有效期</w:t>
            </w:r>
          </w:p>
        </w:tc>
        <w:tc>
          <w:tcPr>
            <w:tcW w:w="5684" w:type="dxa"/>
            <w:vAlign w:val="center"/>
          </w:tcPr>
          <w:p>
            <w:pPr>
              <w:snapToGrid w:val="0"/>
              <w:spacing w:line="360" w:lineRule="auto"/>
              <w:rPr>
                <w:rFonts w:hAnsi="宋体" w:cs="宋体"/>
                <w:snapToGrid w:val="0"/>
                <w:highlight w:val="none"/>
              </w:rPr>
            </w:pPr>
            <w:r>
              <w:rPr>
                <w:rFonts w:hint="eastAsia" w:hAnsi="宋体" w:cs="宋体"/>
                <w:snapToGrid w:val="0"/>
                <w:highlight w:val="none"/>
              </w:rPr>
              <w:t>自投标人递交投标文件截止之日起计算</w:t>
            </w:r>
            <w:r>
              <w:rPr>
                <w:rFonts w:hint="eastAsia" w:hAnsi="宋体" w:cs="宋体"/>
                <w:bCs/>
                <w:snapToGrid w:val="0"/>
                <w:highlight w:val="none"/>
                <w:u w:val="single"/>
              </w:rPr>
              <w:t xml:space="preserve"> 120 </w:t>
            </w:r>
            <w:r>
              <w:rPr>
                <w:rFonts w:hint="eastAsia" w:hAnsi="宋体" w:cs="宋体"/>
                <w:snapToGrid w:val="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3.4.1</w:t>
            </w:r>
          </w:p>
        </w:tc>
        <w:tc>
          <w:tcPr>
            <w:tcW w:w="1776" w:type="dxa"/>
            <w:vAlign w:val="center"/>
          </w:tcPr>
          <w:p>
            <w:pPr>
              <w:snapToGrid w:val="0"/>
              <w:spacing w:line="360" w:lineRule="auto"/>
              <w:jc w:val="center"/>
              <w:rPr>
                <w:rFonts w:hAnsi="宋体" w:cs="宋体"/>
                <w:highlight w:val="none"/>
              </w:rPr>
            </w:pPr>
            <w:r>
              <w:rPr>
                <w:rFonts w:hint="eastAsia" w:hAnsi="宋体" w:cs="宋体"/>
                <w:bCs/>
                <w:szCs w:val="24"/>
                <w:highlight w:val="none"/>
              </w:rPr>
              <w:t>投标保证金</w:t>
            </w:r>
          </w:p>
        </w:tc>
        <w:tc>
          <w:tcPr>
            <w:tcW w:w="5684" w:type="dxa"/>
            <w:vAlign w:val="center"/>
          </w:tcPr>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是否要求投标人提交投标保证金：</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sym w:font="Wingdings 2" w:char="00A3"/>
            </w:r>
            <w:r>
              <w:rPr>
                <w:rFonts w:hint="eastAsia" w:ascii="Times New Roman" w:cs="宋体"/>
                <w:bCs/>
                <w:sz w:val="24"/>
                <w:szCs w:val="24"/>
                <w:highlight w:val="none"/>
              </w:rPr>
              <w:t>不要求</w:t>
            </w:r>
          </w:p>
          <w:p>
            <w:pPr>
              <w:snapToGrid w:val="0"/>
              <w:spacing w:line="360" w:lineRule="auto"/>
              <w:rPr>
                <w:rFonts w:hint="eastAsia" w:ascii="Times New Roman" w:cs="宋体"/>
                <w:bCs/>
                <w:sz w:val="24"/>
                <w:szCs w:val="24"/>
                <w:highlight w:val="none"/>
              </w:rPr>
            </w:pPr>
            <w:r>
              <w:rPr>
                <w:rFonts w:hint="eastAsia" w:hAnsi="宋体"/>
                <w:b/>
                <w:bCs/>
                <w:szCs w:val="21"/>
                <w:highlight w:val="none"/>
              </w:rPr>
              <w:sym w:font="Wingdings" w:char="F0FE"/>
            </w:r>
            <w:r>
              <w:rPr>
                <w:rFonts w:hint="eastAsia" w:ascii="Times New Roman" w:cs="宋体"/>
                <w:bCs/>
                <w:sz w:val="24"/>
                <w:szCs w:val="24"/>
                <w:highlight w:val="none"/>
              </w:rPr>
              <w:t>要求，具体如下：</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（1）投标保证金的金额：</w:t>
            </w:r>
            <w:r>
              <w:rPr>
                <w:rFonts w:hint="eastAsia" w:ascii="Times New Roman" w:cs="宋体"/>
                <w:bCs/>
                <w:sz w:val="24"/>
                <w:szCs w:val="24"/>
                <w:highlight w:val="none"/>
                <w:u w:val="single"/>
              </w:rPr>
              <w:t xml:space="preserve"> </w:t>
            </w:r>
            <w:r>
              <w:rPr>
                <w:rFonts w:hint="eastAsia" w:ascii="Times New Roman" w:cs="宋体"/>
                <w:bCs/>
                <w:sz w:val="24"/>
                <w:szCs w:val="24"/>
                <w:highlight w:val="none"/>
                <w:u w:val="single"/>
                <w:lang w:val="en-US" w:eastAsia="zh-CN"/>
              </w:rPr>
              <w:t>6</w:t>
            </w:r>
            <w:r>
              <w:rPr>
                <w:rFonts w:hint="eastAsia" w:ascii="Times New Roman" w:cs="宋体"/>
                <w:bCs/>
                <w:sz w:val="24"/>
                <w:szCs w:val="24"/>
                <w:highlight w:val="none"/>
                <w:u w:val="single"/>
              </w:rPr>
              <w:t>万元</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（2）投标保证金的形式：</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sym w:font="Wingdings 2" w:char="0052"/>
            </w:r>
            <w:r>
              <w:rPr>
                <w:rFonts w:hint="eastAsia" w:ascii="Times New Roman" w:cs="宋体"/>
                <w:bCs/>
                <w:sz w:val="24"/>
                <w:szCs w:val="24"/>
                <w:highlight w:val="none"/>
              </w:rPr>
              <w:t>电子保函</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sym w:font="Wingdings 2" w:char="0052"/>
            </w:r>
            <w:r>
              <w:rPr>
                <w:rFonts w:hint="eastAsia" w:ascii="Times New Roman" w:cs="宋体"/>
                <w:bCs/>
                <w:sz w:val="24"/>
                <w:szCs w:val="24"/>
                <w:highlight w:val="none"/>
              </w:rPr>
              <w:t>现金（银行转账、银行电汇）</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sym w:font="Wingdings 2" w:char="0052"/>
            </w:r>
            <w:r>
              <w:rPr>
                <w:rFonts w:hint="eastAsia" w:ascii="Times New Roman" w:cs="宋体"/>
                <w:bCs/>
                <w:sz w:val="24"/>
                <w:szCs w:val="24"/>
                <w:highlight w:val="none"/>
              </w:rPr>
              <w:t>纸质保函（纸质银行保函、纸质担保机构担保、纸质保证保险）</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（3）具体要求：</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①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见招标公告（选择任何一家银行提交即可）。</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②采用纸质银行保函的，应为投标人基本存款账户开户行出具的不可撤销、不可转让的见索即付独立保函。</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③采用纸质担保机构担保的，应为经安徽省地方金融监督管理局审查批准，依法取得融资担保业务经营许可证的融资担保机构出具的不可撤销、不可转让的见索即付独立保函。</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④采用纸质保证保险的，应为保险公司出具的不可撤销、不可转让的见索即付保证保险。</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⑤采用纸质担保机构担保、纸质保证保险的，办理担保机构担保、保证保险的费用必须从投标人基本账户汇（支）出。投标人须将本单位针对该项目（标段）从基本账户汇出保函（或保证保险）费用的凭证（须载有所投项目标段编号或项目名称、投标人基本账户信息、收取该费用的保函或保证保险出具单位名称及其账户信息）扫描件、基本存款账户信息（或基本账户开户许可证）扫描件、保函（或保证保险）扫描件编入投标文件中，由评标委员会在评标时审查认定。未提交或未完整提交的视为未按规定提交投标保证金。</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⑥采用电子保函的，请登录全国公共资源交易平台（安徽省•合肥市）（安徽合肥公共资源交易中心网站）“电子保函”栏目查看《合肥市（信易贷）电子保函平台投标保函操作手册》并按照操作手册规定内容办理。</w:t>
            </w:r>
          </w:p>
          <w:p>
            <w:pPr>
              <w:pStyle w:val="2"/>
              <w:spacing w:before="0" w:after="0" w:line="360" w:lineRule="auto"/>
              <w:ind w:firstLine="118"/>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（4）是否适用免缴投标保证金政策：</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sym w:font="Wingdings 2" w:char="00A3"/>
            </w:r>
            <w:r>
              <w:rPr>
                <w:rFonts w:hint="eastAsia" w:ascii="Times New Roman" w:cs="宋体"/>
                <w:bCs/>
                <w:sz w:val="24"/>
                <w:szCs w:val="24"/>
                <w:highlight w:val="none"/>
              </w:rPr>
              <w:t>不适用</w:t>
            </w:r>
          </w:p>
          <w:p>
            <w:pPr>
              <w:pStyle w:val="19"/>
              <w:spacing w:after="0" w:line="360" w:lineRule="auto"/>
              <w:rPr>
                <w:rFonts w:hint="eastAsia" w:cs="宋体"/>
                <w:bCs/>
                <w:sz w:val="24"/>
                <w:szCs w:val="24"/>
                <w:highlight w:val="none"/>
                <w:lang w:val="en-US" w:eastAsia="zh-CN"/>
              </w:rPr>
            </w:pPr>
            <w:r>
              <w:rPr>
                <w:rFonts w:hint="eastAsia" w:cs="宋体"/>
                <w:b/>
                <w:bCs/>
                <w:sz w:val="24"/>
                <w:szCs w:val="24"/>
                <w:highlight w:val="none"/>
                <w:lang w:val="en-US" w:eastAsia="zh-CN"/>
              </w:rPr>
              <w:sym w:font="Wingdings" w:char="F0FE"/>
            </w:r>
            <w:r>
              <w:rPr>
                <w:rFonts w:hint="eastAsia" w:cs="宋体"/>
                <w:bCs/>
                <w:sz w:val="24"/>
                <w:szCs w:val="24"/>
                <w:highlight w:val="none"/>
                <w:lang w:val="en-US" w:eastAsia="zh-CN"/>
              </w:rPr>
              <w:t>适用，适用免缴投标保证金的情形：</w:t>
            </w:r>
            <w:r>
              <w:rPr>
                <w:rFonts w:hint="eastAsia" w:cs="宋体"/>
                <w:b/>
                <w:bCs/>
                <w:sz w:val="24"/>
                <w:szCs w:val="24"/>
                <w:highlight w:val="none"/>
                <w:u w:val="single"/>
                <w:lang w:val="en-US" w:eastAsia="zh-CN"/>
              </w:rPr>
              <w:t>投标人按招标文件第六章“投标人免缴投标保证金信用承诺函”格式进行承诺后，免缴投标保证金。</w:t>
            </w:r>
          </w:p>
          <w:p>
            <w:pPr>
              <w:spacing w:line="360" w:lineRule="auto"/>
              <w:rPr>
                <w:rFonts w:hint="eastAsia" w:ascii="Times New Roman" w:cs="宋体"/>
                <w:bCs/>
                <w:sz w:val="24"/>
                <w:szCs w:val="24"/>
                <w:highlight w:val="none"/>
              </w:rPr>
            </w:pPr>
            <w:r>
              <w:rPr>
                <w:rFonts w:hint="eastAsia" w:ascii="Times New Roman" w:cs="宋体"/>
                <w:bCs/>
                <w:sz w:val="24"/>
                <w:szCs w:val="24"/>
                <w:highlight w:val="none"/>
              </w:rPr>
              <w:t>（5）其他要求：</w:t>
            </w:r>
          </w:p>
          <w:p>
            <w:pPr>
              <w:spacing w:line="360" w:lineRule="auto"/>
              <w:rPr>
                <w:rFonts w:hint="eastAsia" w:ascii="Times New Roman" w:cs="宋体"/>
                <w:bCs/>
                <w:sz w:val="24"/>
                <w:szCs w:val="24"/>
                <w:highlight w:val="none"/>
              </w:rPr>
            </w:pPr>
            <w:r>
              <w:rPr>
                <w:rFonts w:hint="eastAsia" w:ascii="Times New Roman" w:cs="宋体"/>
                <w:bCs/>
                <w:sz w:val="24"/>
                <w:szCs w:val="24"/>
                <w:highlight w:val="none"/>
              </w:rPr>
              <w:t>①特别提醒</w:t>
            </w:r>
          </w:p>
          <w:p>
            <w:pPr>
              <w:spacing w:line="360" w:lineRule="auto"/>
              <w:rPr>
                <w:rFonts w:hint="eastAsia" w:ascii="Times New Roman" w:cs="宋体"/>
                <w:bCs/>
                <w:sz w:val="24"/>
                <w:szCs w:val="24"/>
                <w:highlight w:val="none"/>
              </w:rPr>
            </w:pPr>
            <w:r>
              <w:rPr>
                <w:rFonts w:hint="eastAsia" w:ascii="Times New Roman" w:cs="宋体"/>
                <w:bCs/>
                <w:sz w:val="24"/>
                <w:szCs w:val="24"/>
                <w:highlight w:val="none"/>
              </w:rPr>
              <w:t>投标人采用保函方式提交投标保证金的，如出现本招标项目招标文件“投标人须知”第3.4.4项所列情形的，提供担保的银行、担保机构及保险机构将无条件向招标人支付保函所列的全部投标保证金金额，该支付行为视同投标保证金不予退还。</w:t>
            </w:r>
          </w:p>
          <w:p>
            <w:pPr>
              <w:spacing w:line="360" w:lineRule="auto"/>
              <w:rPr>
                <w:rFonts w:hint="eastAsia" w:ascii="Times New Roman" w:cs="宋体"/>
                <w:bCs/>
                <w:sz w:val="24"/>
                <w:szCs w:val="24"/>
                <w:highlight w:val="none"/>
              </w:rPr>
            </w:pPr>
            <w:r>
              <w:rPr>
                <w:rFonts w:hint="eastAsia" w:ascii="Times New Roman" w:cs="宋体"/>
                <w:bCs/>
                <w:sz w:val="24"/>
                <w:szCs w:val="24"/>
                <w:highlight w:val="none"/>
              </w:rPr>
              <w:t>②投标保证金弄虚作假情形</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投标人采用虚假保函方式提交投标保证金的，除依法承担弄虚作假、骗取中标的法律责任外，还应根据招标文件规定承担投标保证金不予退还的民事责任，其承担方式为限时足额缴纳招标文件所列全部投标保证金，投标人在招标人发出追缴通知后的规定缴纳时间内不能足额支付投标保证金的，招标人将依法提起诉讼追缴，招标人因此发生的诉讼费、律师代理费等费用均由投标人承担。</w:t>
            </w:r>
          </w:p>
          <w:p>
            <w:pPr>
              <w:snapToGrid w:val="0"/>
              <w:spacing w:line="360" w:lineRule="auto"/>
              <w:rPr>
                <w:rFonts w:hint="eastAsia" w:ascii="Times New Roman" w:cs="宋体"/>
                <w:bCs/>
                <w:sz w:val="24"/>
                <w:szCs w:val="24"/>
                <w:highlight w:val="none"/>
                <w:u w:val="single"/>
              </w:rPr>
            </w:pPr>
            <w:r>
              <w:rPr>
                <w:rFonts w:hint="eastAsia" w:ascii="Times New Roman" w:cs="宋体"/>
                <w:bCs/>
                <w:sz w:val="24"/>
                <w:szCs w:val="24"/>
                <w:highlight w:val="none"/>
              </w:rPr>
              <w:t>（6）投标保证金注意事项：</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①投标人采用纸质保函形式的，须提供明确有效的查询途径（网址链接及查询方式），否则无效。</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②保函存在明显异常情形的（如多家投标人的保函编号相同；保函存在明显伪造痕迹、内容前后矛盾等情形），评标委员会应根据投标人提供的查询途径进行核查，并在评标报告中予以记录。</w:t>
            </w:r>
          </w:p>
          <w:p>
            <w:pPr>
              <w:snapToGrid w:val="0"/>
              <w:spacing w:line="360" w:lineRule="auto"/>
              <w:rPr>
                <w:rFonts w:hAnsi="宋体" w:cs="宋体"/>
                <w:bCs/>
                <w:szCs w:val="24"/>
                <w:highlight w:val="none"/>
                <w:u w:val="single"/>
              </w:rPr>
            </w:pPr>
            <w:r>
              <w:rPr>
                <w:rFonts w:hint="eastAsia" w:ascii="Times New Roman" w:cs="宋体"/>
                <w:bCs/>
                <w:sz w:val="24"/>
                <w:szCs w:val="24"/>
                <w:highlight w:val="none"/>
              </w:rPr>
              <w:t>③中标候选人须在中标候选人公示期间将其开具至本招标项目的纸质保函原件提交招标人（或招标代理机构），且原件须与投标文件中提供的扫描件一致，如存在未按照规定提交或提交内容不一致，或发现弄虚作假的，招标人（或招标代理机构）应报公共资源交易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ascii="Times New Roman" w:cs="宋体"/>
                <w:bCs/>
                <w:szCs w:val="24"/>
                <w:highlight w:val="none"/>
              </w:rPr>
            </w:pPr>
            <w:r>
              <w:rPr>
                <w:rFonts w:hint="eastAsia" w:ascii="Times New Roman" w:cs="宋体"/>
                <w:bCs/>
                <w:szCs w:val="24"/>
                <w:highlight w:val="none"/>
              </w:rPr>
              <w:t>3.4.3</w:t>
            </w:r>
          </w:p>
        </w:tc>
        <w:tc>
          <w:tcPr>
            <w:tcW w:w="1776" w:type="dxa"/>
            <w:vAlign w:val="center"/>
          </w:tcPr>
          <w:p>
            <w:pPr>
              <w:snapToGrid w:val="0"/>
              <w:spacing w:line="360" w:lineRule="auto"/>
              <w:jc w:val="center"/>
              <w:rPr>
                <w:rFonts w:ascii="Times New Roman" w:cs="宋体"/>
                <w:bCs/>
                <w:szCs w:val="24"/>
                <w:highlight w:val="none"/>
              </w:rPr>
            </w:pPr>
            <w:r>
              <w:rPr>
                <w:rFonts w:hint="eastAsia" w:ascii="Times New Roman" w:cs="宋体"/>
                <w:bCs/>
                <w:szCs w:val="24"/>
                <w:highlight w:val="none"/>
              </w:rPr>
              <w:t>投标保证金的退还</w:t>
            </w:r>
          </w:p>
        </w:tc>
        <w:tc>
          <w:tcPr>
            <w:tcW w:w="5684" w:type="dxa"/>
            <w:vAlign w:val="center"/>
          </w:tcPr>
          <w:p>
            <w:pPr>
              <w:snapToGrid w:val="0"/>
              <w:spacing w:line="360" w:lineRule="auto"/>
              <w:rPr>
                <w:rFonts w:ascii="Times New Roman" w:cs="宋体"/>
                <w:bCs/>
                <w:szCs w:val="24"/>
                <w:highlight w:val="none"/>
              </w:rPr>
            </w:pPr>
            <w:r>
              <w:rPr>
                <w:rFonts w:hint="eastAsia" w:ascii="Times New Roman" w:cs="宋体"/>
                <w:bCs/>
                <w:szCs w:val="24"/>
                <w:highlight w:val="none"/>
              </w:rPr>
              <w:t>按照安徽合肥公共资源交易中心《关于进一步优化投标保证金退还流程的通知》（合公中心〔2023〕3号）执行。</w:t>
            </w:r>
          </w:p>
          <w:p>
            <w:pPr>
              <w:snapToGrid w:val="0"/>
              <w:spacing w:line="360" w:lineRule="auto"/>
              <w:rPr>
                <w:rFonts w:ascii="Times New Roman" w:cs="宋体"/>
                <w:bCs/>
                <w:szCs w:val="24"/>
                <w:highlight w:val="none"/>
              </w:rPr>
            </w:pPr>
            <w:r>
              <w:rPr>
                <w:rFonts w:hint="eastAsia" w:ascii="Times New Roman" w:cs="宋体"/>
                <w:bCs/>
                <w:szCs w:val="24"/>
                <w:highlight w:val="none"/>
              </w:rPr>
              <w:t>（如有最新规定，按照最新规定执行）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3.4.4（3）</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其他不予退还投标保证金的情形</w:t>
            </w:r>
          </w:p>
        </w:tc>
        <w:tc>
          <w:tcPr>
            <w:tcW w:w="5684" w:type="dxa"/>
            <w:vAlign w:val="center"/>
          </w:tcPr>
          <w:p>
            <w:pPr>
              <w:snapToGrid w:val="0"/>
              <w:spacing w:line="360" w:lineRule="auto"/>
              <w:rPr>
                <w:rFonts w:hAnsi="宋体" w:cs="宋体"/>
                <w:highlight w:val="none"/>
                <w:u w:val="single"/>
              </w:rPr>
            </w:pPr>
            <w:r>
              <w:rPr>
                <w:rFonts w:hint="eastAsia" w:ascii="Times New Roman"/>
                <w:bCs/>
                <w:kern w:val="2"/>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3.6.1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是否允许递交备选投标方案</w:t>
            </w:r>
          </w:p>
        </w:tc>
        <w:tc>
          <w:tcPr>
            <w:tcW w:w="5684" w:type="dxa"/>
            <w:vAlign w:val="center"/>
          </w:tcPr>
          <w:p>
            <w:pPr>
              <w:adjustRightInd w:val="0"/>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不允许。</w:t>
            </w:r>
          </w:p>
          <w:p>
            <w:pPr>
              <w:adjustRightInd w:val="0"/>
              <w:snapToGrid w:val="0"/>
              <w:spacing w:line="360" w:lineRule="auto"/>
              <w:rPr>
                <w:rFonts w:hAnsi="宋体" w:cs="宋体"/>
                <w:snapToGrid w:val="0"/>
                <w:highlight w:val="none"/>
                <w:shd w:val="clear" w:color="auto" w:fill="FFFFFF"/>
              </w:rPr>
            </w:pPr>
            <w:r>
              <w:rPr>
                <w:rFonts w:hint="eastAsia" w:hAnsi="宋体" w:cs="宋体"/>
                <w:highlight w:val="none"/>
              </w:rPr>
              <w:t>□允许，具体要求：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3.7.4</w:t>
            </w:r>
          </w:p>
        </w:tc>
        <w:tc>
          <w:tcPr>
            <w:tcW w:w="1776" w:type="dxa"/>
            <w:vAlign w:val="center"/>
          </w:tcPr>
          <w:p>
            <w:pPr>
              <w:snapToGrid w:val="0"/>
              <w:spacing w:line="360" w:lineRule="auto"/>
              <w:jc w:val="center"/>
              <w:rPr>
                <w:rFonts w:hAnsi="宋体" w:cs="宋体"/>
                <w:snapToGrid w:val="0"/>
                <w:highlight w:val="none"/>
                <w:shd w:val="clear" w:color="auto" w:fill="FFFFFF"/>
              </w:rPr>
            </w:pPr>
            <w:r>
              <w:rPr>
                <w:rFonts w:hint="eastAsia" w:hAnsi="宋体" w:cs="宋体"/>
                <w:snapToGrid w:val="0"/>
                <w:highlight w:val="none"/>
                <w:shd w:val="clear" w:color="auto" w:fill="FFFFFF"/>
              </w:rPr>
              <w:t>非加密投标文件递交</w:t>
            </w:r>
          </w:p>
        </w:tc>
        <w:tc>
          <w:tcPr>
            <w:tcW w:w="5684" w:type="dxa"/>
            <w:vAlign w:val="center"/>
          </w:tcPr>
          <w:p>
            <w:pPr>
              <w:adjustRightInd w:val="0"/>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不允许。</w:t>
            </w:r>
          </w:p>
          <w:p>
            <w:pPr>
              <w:pStyle w:val="97"/>
              <w:spacing w:line="360" w:lineRule="auto"/>
              <w:ind w:firstLine="0" w:firstLineChars="0"/>
              <w:rPr>
                <w:rFonts w:ascii="宋体" w:hAnsi="宋体" w:cs="宋体"/>
                <w:szCs w:val="24"/>
                <w:highlight w:val="none"/>
              </w:rPr>
            </w:pPr>
            <w:r>
              <w:rPr>
                <w:rFonts w:hint="eastAsia" w:ascii="宋体" w:hAnsi="宋体" w:cs="宋体"/>
                <w:szCs w:val="24"/>
                <w:highlight w:val="none"/>
              </w:rPr>
              <w:t>□允许，具体要求如下：</w:t>
            </w:r>
          </w:p>
          <w:p>
            <w:pPr>
              <w:pStyle w:val="97"/>
              <w:spacing w:line="360" w:lineRule="auto"/>
              <w:ind w:firstLine="0" w:firstLineChars="0"/>
              <w:rPr>
                <w:rFonts w:ascii="宋体" w:hAnsi="宋体" w:cs="宋体"/>
                <w:szCs w:val="24"/>
                <w:highlight w:val="none"/>
              </w:rPr>
            </w:pPr>
            <w:r>
              <w:rPr>
                <w:rFonts w:hint="eastAsia" w:ascii="宋体" w:hAnsi="宋体" w:cs="宋体"/>
                <w:szCs w:val="24"/>
                <w:highlight w:val="none"/>
              </w:rPr>
              <w:t>非加密投标文件由投标人自行确定是否递交。</w:t>
            </w:r>
          </w:p>
          <w:p>
            <w:pPr>
              <w:pStyle w:val="97"/>
              <w:spacing w:line="360" w:lineRule="auto"/>
              <w:ind w:firstLine="0" w:firstLineChars="0"/>
              <w:rPr>
                <w:rFonts w:ascii="宋体" w:hAnsi="宋体" w:cs="宋体"/>
                <w:szCs w:val="24"/>
                <w:highlight w:val="none"/>
              </w:rPr>
            </w:pPr>
            <w:r>
              <w:rPr>
                <w:rFonts w:hint="eastAsia" w:ascii="宋体" w:hAnsi="宋体" w:cs="宋体"/>
                <w:szCs w:val="24"/>
                <w:highlight w:val="none"/>
              </w:rPr>
              <w:t>如递交，应在投标截止时间前在开标地点递交，并提供以下证明材料，否则招标人不予接收。</w:t>
            </w:r>
          </w:p>
          <w:p>
            <w:pPr>
              <w:pStyle w:val="97"/>
              <w:spacing w:line="360" w:lineRule="auto"/>
              <w:ind w:firstLine="0" w:firstLineChars="0"/>
              <w:rPr>
                <w:rFonts w:ascii="宋体" w:hAnsi="宋体" w:cs="宋体"/>
                <w:szCs w:val="24"/>
                <w:highlight w:val="none"/>
              </w:rPr>
            </w:pPr>
            <w:r>
              <w:rPr>
                <w:rFonts w:hint="eastAsia" w:ascii="宋体" w:hAnsi="宋体" w:cs="宋体"/>
                <w:szCs w:val="24"/>
                <w:highlight w:val="none"/>
              </w:rPr>
              <w:t>（1）法定代表人亲自递交的，应提供法定代表人身份证明和法定代表人的有效身份证件；</w:t>
            </w:r>
          </w:p>
          <w:p>
            <w:pPr>
              <w:pStyle w:val="97"/>
              <w:spacing w:line="360" w:lineRule="auto"/>
              <w:ind w:firstLine="0" w:firstLineChars="0"/>
              <w:rPr>
                <w:rFonts w:ascii="宋体" w:hAnsi="宋体" w:cs="宋体"/>
                <w:szCs w:val="24"/>
                <w:highlight w:val="none"/>
              </w:rPr>
            </w:pPr>
            <w:r>
              <w:rPr>
                <w:rFonts w:hint="eastAsia" w:ascii="宋体" w:hAnsi="宋体" w:cs="宋体"/>
                <w:szCs w:val="24"/>
                <w:highlight w:val="none"/>
              </w:rPr>
              <w:t>（2）委托代理人递交的，应提供授权委托书和委托代理人的有效身份证件。</w:t>
            </w:r>
          </w:p>
          <w:p>
            <w:pPr>
              <w:pStyle w:val="97"/>
              <w:spacing w:line="360" w:lineRule="auto"/>
              <w:ind w:firstLine="0" w:firstLineChars="0"/>
              <w:rPr>
                <w:rFonts w:ascii="宋体" w:hAnsi="宋体" w:cs="宋体"/>
                <w:szCs w:val="24"/>
                <w:highlight w:val="none"/>
              </w:rPr>
            </w:pPr>
            <w:r>
              <w:rPr>
                <w:rFonts w:hint="eastAsia" w:ascii="宋体" w:hAnsi="宋体" w:cs="宋体"/>
                <w:szCs w:val="24"/>
                <w:highlight w:val="none"/>
              </w:rPr>
              <w:t>非加密投标文件介质：光盘或U盘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4.1.2</w:t>
            </w:r>
          </w:p>
        </w:tc>
        <w:tc>
          <w:tcPr>
            <w:tcW w:w="1776" w:type="dxa"/>
            <w:vAlign w:val="center"/>
          </w:tcPr>
          <w:p>
            <w:pPr>
              <w:snapToGrid w:val="0"/>
              <w:spacing w:line="360" w:lineRule="auto"/>
              <w:jc w:val="center"/>
              <w:rPr>
                <w:rFonts w:hAnsi="宋体" w:cs="宋体"/>
                <w:snapToGrid w:val="0"/>
                <w:highlight w:val="none"/>
                <w:shd w:val="clear" w:color="auto" w:fill="FFFFFF"/>
              </w:rPr>
            </w:pPr>
            <w:r>
              <w:rPr>
                <w:rFonts w:hint="eastAsia" w:hAnsi="宋体" w:cs="宋体"/>
                <w:snapToGrid w:val="0"/>
                <w:highlight w:val="none"/>
                <w:shd w:val="clear" w:color="auto" w:fill="FFFFFF"/>
              </w:rPr>
              <w:t>非加密投标文件密封和标记要求</w:t>
            </w:r>
          </w:p>
        </w:tc>
        <w:tc>
          <w:tcPr>
            <w:tcW w:w="5684" w:type="dxa"/>
            <w:vAlign w:val="center"/>
          </w:tcPr>
          <w:p>
            <w:pPr>
              <w:snapToGrid w:val="0"/>
              <w:spacing w:line="360" w:lineRule="auto"/>
              <w:rPr>
                <w:rFonts w:hAnsi="宋体" w:cs="宋体"/>
                <w:bCs/>
                <w:snapToGrid w:val="0"/>
                <w:highlight w:val="none"/>
              </w:rPr>
            </w:pPr>
            <w:r>
              <w:rPr>
                <w:rFonts w:hint="eastAsia" w:hAnsi="宋体" w:cs="宋体"/>
                <w:bCs/>
                <w:snapToGrid w:val="0"/>
                <w:highlight w:val="none"/>
              </w:rPr>
              <w:t>非加密投标文件封套：</w:t>
            </w:r>
          </w:p>
          <w:p>
            <w:pPr>
              <w:snapToGrid w:val="0"/>
              <w:spacing w:line="360" w:lineRule="auto"/>
              <w:rPr>
                <w:rFonts w:hAnsi="宋体" w:cs="宋体"/>
                <w:bCs/>
                <w:snapToGrid w:val="0"/>
                <w:highlight w:val="none"/>
              </w:rPr>
            </w:pPr>
            <w:r>
              <w:rPr>
                <w:rFonts w:hint="eastAsia" w:hAnsi="宋体" w:cs="宋体"/>
                <w:bCs/>
                <w:snapToGrid w:val="0"/>
                <w:highlight w:val="none"/>
              </w:rPr>
              <w:t>投标人名称：</w:t>
            </w:r>
          </w:p>
          <w:p>
            <w:pPr>
              <w:snapToGrid w:val="0"/>
              <w:spacing w:line="360" w:lineRule="auto"/>
              <w:rPr>
                <w:rFonts w:hAnsi="宋体" w:cs="宋体"/>
                <w:bCs/>
                <w:snapToGrid w:val="0"/>
                <w:highlight w:val="none"/>
              </w:rPr>
            </w:pPr>
            <w:r>
              <w:rPr>
                <w:rFonts w:hint="eastAsia" w:hAnsi="宋体" w:cs="宋体"/>
                <w:bCs/>
                <w:snapToGrid w:val="0"/>
                <w:highlight w:val="none"/>
                <w:u w:val="single"/>
              </w:rPr>
              <w:t>（招标项目名称）</w:t>
            </w:r>
            <w:r>
              <w:rPr>
                <w:rFonts w:hint="eastAsia" w:hAnsi="宋体" w:cs="宋体"/>
                <w:bCs/>
                <w:snapToGrid w:val="0"/>
                <w:highlight w:val="none"/>
              </w:rPr>
              <w:t>标段投标文件</w:t>
            </w:r>
          </w:p>
          <w:p>
            <w:pPr>
              <w:snapToGrid w:val="0"/>
              <w:spacing w:line="360" w:lineRule="auto"/>
              <w:rPr>
                <w:rFonts w:hAnsi="宋体" w:cs="宋体"/>
                <w:bCs/>
                <w:snapToGrid w:val="0"/>
                <w:highlight w:val="none"/>
              </w:rPr>
            </w:pPr>
            <w:r>
              <w:rPr>
                <w:rFonts w:hint="eastAsia" w:hAnsi="宋体" w:cs="宋体"/>
                <w:bCs/>
                <w:snapToGrid w:val="0"/>
                <w:highlight w:val="none"/>
              </w:rPr>
              <w:t>（非加密投标文件）</w:t>
            </w:r>
          </w:p>
          <w:p>
            <w:pPr>
              <w:snapToGrid w:val="0"/>
              <w:spacing w:line="360" w:lineRule="auto"/>
              <w:rPr>
                <w:rFonts w:hAnsi="宋体" w:cs="宋体"/>
                <w:highlight w:val="none"/>
              </w:rPr>
            </w:pPr>
            <w:r>
              <w:rPr>
                <w:rFonts w:hint="eastAsia" w:hAnsi="宋体" w:cs="宋体"/>
                <w:bCs/>
                <w:snapToGrid w:val="0"/>
                <w:highlight w:val="none"/>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4.2.2</w:t>
            </w:r>
          </w:p>
        </w:tc>
        <w:tc>
          <w:tcPr>
            <w:tcW w:w="1776" w:type="dxa"/>
            <w:vAlign w:val="center"/>
          </w:tcPr>
          <w:p>
            <w:pPr>
              <w:snapToGrid w:val="0"/>
              <w:spacing w:line="360" w:lineRule="auto"/>
              <w:jc w:val="center"/>
              <w:rPr>
                <w:rFonts w:hAnsi="宋体" w:cs="宋体"/>
                <w:snapToGrid w:val="0"/>
                <w:highlight w:val="none"/>
                <w:shd w:val="clear" w:color="auto" w:fill="FFFFFF"/>
              </w:rPr>
            </w:pPr>
            <w:r>
              <w:rPr>
                <w:rFonts w:hint="eastAsia" w:hAnsi="宋体" w:cs="宋体"/>
                <w:snapToGrid w:val="0"/>
                <w:highlight w:val="none"/>
                <w:shd w:val="clear" w:color="auto" w:fill="FFFFFF"/>
              </w:rPr>
              <w:t>递交非加密投标文件地点</w:t>
            </w:r>
          </w:p>
        </w:tc>
        <w:tc>
          <w:tcPr>
            <w:tcW w:w="5684" w:type="dxa"/>
            <w:vAlign w:val="center"/>
          </w:tcPr>
          <w:p>
            <w:pPr>
              <w:snapToGrid w:val="0"/>
              <w:spacing w:line="360" w:lineRule="auto"/>
              <w:rPr>
                <w:rFonts w:hAnsi="宋体" w:cs="宋体"/>
                <w:bCs/>
                <w:snapToGrid w:val="0"/>
                <w:szCs w:val="24"/>
                <w:highlight w:val="none"/>
              </w:rPr>
            </w:pPr>
            <w:r>
              <w:rPr>
                <w:rFonts w:hint="eastAsia" w:hAnsi="宋体" w:cs="宋体"/>
                <w:bCs/>
                <w:snapToGrid w:val="0"/>
                <w:highlight w:val="none"/>
              </w:rPr>
              <w:t>同开标地点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4.2.3</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是否退还投标文件</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否</w:t>
            </w:r>
          </w:p>
          <w:p>
            <w:pPr>
              <w:snapToGrid w:val="0"/>
              <w:spacing w:line="360" w:lineRule="auto"/>
              <w:rPr>
                <w:rFonts w:hAnsi="宋体" w:cs="宋体"/>
                <w:highlight w:val="none"/>
                <w:u w:val="single"/>
              </w:rPr>
            </w:pPr>
            <w:r>
              <w:rPr>
                <w:rFonts w:hint="eastAsia" w:hAnsi="宋体" w:cs="宋体"/>
                <w:highlight w:val="none"/>
              </w:rPr>
              <w:t>□是，退还安排：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5.1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开标时间和地点</w:t>
            </w:r>
          </w:p>
        </w:tc>
        <w:tc>
          <w:tcPr>
            <w:tcW w:w="5684" w:type="dxa"/>
            <w:vAlign w:val="center"/>
          </w:tcPr>
          <w:p>
            <w:pPr>
              <w:snapToGrid w:val="0"/>
              <w:spacing w:line="360" w:lineRule="auto"/>
              <w:rPr>
                <w:rFonts w:hAnsi="宋体" w:cs="宋体"/>
                <w:highlight w:val="none"/>
              </w:rPr>
            </w:pPr>
            <w:r>
              <w:rPr>
                <w:rFonts w:hint="eastAsia" w:hAnsi="宋体" w:cs="宋体"/>
                <w:highlight w:val="none"/>
              </w:rPr>
              <w:t>开标时间：同投标截止时间</w:t>
            </w:r>
          </w:p>
          <w:p>
            <w:pPr>
              <w:snapToGrid w:val="0"/>
              <w:spacing w:line="360" w:lineRule="auto"/>
              <w:rPr>
                <w:rFonts w:hAnsi="宋体" w:cs="宋体"/>
                <w:highlight w:val="none"/>
              </w:rPr>
            </w:pPr>
            <w:r>
              <w:rPr>
                <w:rFonts w:hint="eastAsia" w:hAnsi="宋体" w:cs="宋体"/>
                <w:highlight w:val="none"/>
              </w:rPr>
              <w:t>开标地点：见招标公告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5.2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开标程序</w:t>
            </w:r>
          </w:p>
        </w:tc>
        <w:tc>
          <w:tcPr>
            <w:tcW w:w="5684" w:type="dxa"/>
            <w:vAlign w:val="center"/>
          </w:tcPr>
          <w:p>
            <w:pPr>
              <w:snapToGrid w:val="0"/>
              <w:spacing w:line="360" w:lineRule="auto"/>
              <w:rPr>
                <w:rFonts w:hAnsi="宋体" w:cs="宋体"/>
                <w:bCs/>
                <w:snapToGrid w:val="0"/>
                <w:highlight w:val="none"/>
              </w:rPr>
            </w:pPr>
            <w:r>
              <w:rPr>
                <w:rFonts w:hint="eastAsia" w:hAnsi="宋体" w:cs="宋体"/>
                <w:highlight w:val="none"/>
              </w:rPr>
              <w:t>（3）解密时间：</w:t>
            </w:r>
            <w:r>
              <w:rPr>
                <w:rFonts w:hint="eastAsia" w:hAnsi="宋体" w:cs="宋体"/>
                <w:highlight w:val="none"/>
                <w:u w:val="single"/>
              </w:rPr>
              <w:t xml:space="preserve"> 30</w:t>
            </w:r>
            <w:r>
              <w:rPr>
                <w:rFonts w:hint="eastAsia" w:hAnsi="宋体" w:cs="宋体"/>
                <w:highlight w:val="none"/>
              </w:rPr>
              <w:t>分钟</w:t>
            </w:r>
            <w:r>
              <w:rPr>
                <w:rFonts w:hint="eastAsia" w:hAnsi="宋体" w:cs="宋体"/>
                <w:bCs/>
                <w:snapToGrid w:val="0"/>
                <w:highlight w:val="none"/>
              </w:rPr>
              <w:t>（以电子交易系统解密倒计时为准）；</w:t>
            </w:r>
          </w:p>
          <w:p>
            <w:pPr>
              <w:snapToGrid w:val="0"/>
              <w:spacing w:line="360" w:lineRule="auto"/>
              <w:rPr>
                <w:rFonts w:hAnsi="宋体" w:cs="宋体"/>
                <w:highlight w:val="none"/>
              </w:rPr>
            </w:pPr>
            <w:r>
              <w:rPr>
                <w:rFonts w:hint="eastAsia" w:hAnsi="宋体" w:cs="宋体"/>
                <w:highlight w:val="none"/>
              </w:rPr>
              <w:t>□（5）公布投标人名称、标段名称、投标报价。</w:t>
            </w:r>
          </w:p>
          <w:p>
            <w:pPr>
              <w:snapToGrid w:val="0"/>
              <w:spacing w:line="360" w:lineRule="auto"/>
              <w:jc w:val="left"/>
              <w:rPr>
                <w:rFonts w:ascii="Times New Roman" w:cs="宋体"/>
                <w:szCs w:val="24"/>
                <w:highlight w:val="none"/>
              </w:rPr>
            </w:pPr>
            <w:r>
              <w:rPr>
                <w:rFonts w:hint="eastAsia" w:ascii="MS Mincho" w:hAnsi="MS Mincho" w:eastAsia="MS Mincho" w:cs="MS Mincho"/>
                <w:highlight w:val="none"/>
              </w:rPr>
              <w:t>☑</w:t>
            </w:r>
            <w:r>
              <w:rPr>
                <w:rFonts w:hint="eastAsia" w:hAnsi="宋体" w:cs="宋体"/>
                <w:highlight w:val="none"/>
              </w:rPr>
              <w:t>（5）公布投标人名称、标段名称；商务、技术文件评审完成后，根据第三章“评标办法”的规定再公布所有投标人的投标报价。</w:t>
            </w:r>
          </w:p>
          <w:p>
            <w:pPr>
              <w:snapToGrid w:val="0"/>
              <w:spacing w:line="360" w:lineRule="auto"/>
              <w:rPr>
                <w:rFonts w:hAnsi="宋体" w:cs="宋体"/>
                <w:highlight w:val="none"/>
              </w:rPr>
            </w:pPr>
            <w:r>
              <w:rPr>
                <w:rFonts w:hint="eastAsia" w:hAnsi="宋体" w:cs="宋体"/>
                <w:bCs/>
                <w:highlight w:val="none"/>
              </w:rPr>
              <w:t>多标段开标顺序：/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6.3.2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评标委员会推荐中标候选人的数量</w:t>
            </w:r>
          </w:p>
        </w:tc>
        <w:tc>
          <w:tcPr>
            <w:tcW w:w="5684" w:type="dxa"/>
            <w:vAlign w:val="center"/>
          </w:tcPr>
          <w:p>
            <w:pPr>
              <w:snapToGrid w:val="0"/>
              <w:spacing w:line="360" w:lineRule="auto"/>
              <w:rPr>
                <w:rFonts w:hAnsi="宋体" w:cs="宋体"/>
                <w:highlight w:val="none"/>
              </w:rPr>
            </w:pPr>
            <w:r>
              <w:rPr>
                <w:rFonts w:hint="eastAsia" w:ascii="Times New Roman" w:cs="宋体"/>
                <w:bCs/>
                <w:szCs w:val="24"/>
                <w:highlight w:val="none"/>
                <w:u w:val="single"/>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6.4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中标候选人公示媒介、期限及其他要求</w:t>
            </w:r>
          </w:p>
        </w:tc>
        <w:tc>
          <w:tcPr>
            <w:tcW w:w="5684" w:type="dxa"/>
            <w:vAlign w:val="center"/>
          </w:tcPr>
          <w:p>
            <w:pPr>
              <w:snapToGrid w:val="0"/>
              <w:spacing w:line="360" w:lineRule="auto"/>
              <w:rPr>
                <w:rFonts w:hAnsi="宋体" w:cs="宋体"/>
                <w:highlight w:val="none"/>
              </w:rPr>
            </w:pPr>
            <w:r>
              <w:rPr>
                <w:rFonts w:hint="eastAsia" w:ascii="Times New Roman" w:cs="宋体"/>
                <w:bCs/>
                <w:szCs w:val="24"/>
                <w:highlight w:val="none"/>
              </w:rPr>
              <w:t>（1）</w:t>
            </w:r>
            <w:r>
              <w:rPr>
                <w:rFonts w:hint="eastAsia" w:hAnsi="宋体" w:cs="宋体"/>
                <w:highlight w:val="none"/>
              </w:rPr>
              <w:t>公示媒介：同招标公告发布媒介</w:t>
            </w:r>
          </w:p>
          <w:p>
            <w:pPr>
              <w:snapToGrid w:val="0"/>
              <w:spacing w:line="360" w:lineRule="auto"/>
              <w:rPr>
                <w:rFonts w:hAnsi="宋体" w:cs="宋体"/>
                <w:highlight w:val="none"/>
                <w:u w:val="single"/>
              </w:rPr>
            </w:pPr>
            <w:r>
              <w:rPr>
                <w:rFonts w:hint="eastAsia" w:ascii="Times New Roman" w:cs="宋体"/>
                <w:bCs/>
                <w:szCs w:val="24"/>
                <w:highlight w:val="none"/>
              </w:rPr>
              <w:t>（2）</w:t>
            </w:r>
            <w:r>
              <w:rPr>
                <w:rFonts w:hint="eastAsia" w:hAnsi="宋体" w:cs="宋体"/>
                <w:highlight w:val="none"/>
              </w:rPr>
              <w:t>公示期限：</w:t>
            </w:r>
            <w:r>
              <w:rPr>
                <w:rFonts w:hint="eastAsia" w:hAnsi="宋体" w:cs="宋体"/>
                <w:highlight w:val="none"/>
                <w:u w:val="single"/>
                <w:lang w:val="en-US" w:eastAsia="zh-CN"/>
              </w:rPr>
              <w:t>不少于</w:t>
            </w:r>
            <w:r>
              <w:rPr>
                <w:rFonts w:hint="eastAsia" w:hAnsi="宋体" w:cs="宋体"/>
                <w:highlight w:val="none"/>
                <w:u w:val="single"/>
              </w:rPr>
              <w:t>3</w:t>
            </w:r>
            <w:r>
              <w:rPr>
                <w:rFonts w:hint="eastAsia" w:hAnsi="宋体" w:cs="宋体"/>
                <w:highlight w:val="none"/>
              </w:rPr>
              <w:t>日（公示期截止时间在法定休息日的应顺延至首个工作日）</w:t>
            </w:r>
          </w:p>
          <w:p>
            <w:pPr>
              <w:snapToGrid w:val="0"/>
              <w:spacing w:line="360" w:lineRule="auto"/>
              <w:rPr>
                <w:rFonts w:ascii="Times New Roman" w:cs="宋体"/>
                <w:bCs/>
                <w:szCs w:val="24"/>
                <w:highlight w:val="none"/>
                <w:u w:val="single"/>
              </w:rPr>
            </w:pPr>
            <w:r>
              <w:rPr>
                <w:rFonts w:hint="eastAsia" w:ascii="Times New Roman" w:cs="宋体"/>
                <w:bCs/>
                <w:szCs w:val="24"/>
                <w:highlight w:val="none"/>
              </w:rPr>
              <w:t>（3）其他要求：</w:t>
            </w:r>
          </w:p>
          <w:p>
            <w:pPr>
              <w:snapToGrid w:val="0"/>
              <w:spacing w:line="360" w:lineRule="auto"/>
              <w:rPr>
                <w:rFonts w:ascii="Times New Roman" w:cs="宋体"/>
                <w:bCs/>
                <w:szCs w:val="24"/>
                <w:highlight w:val="none"/>
              </w:rPr>
            </w:pPr>
            <w:r>
              <w:rPr>
                <w:rFonts w:hint="eastAsia" w:ascii="Times New Roman" w:cs="宋体"/>
                <w:bCs/>
                <w:szCs w:val="24"/>
                <w:highlight w:val="none"/>
              </w:rPr>
              <w:t>①招标人（或委托代理机构）在发布中标候选人公示时应当同时公开以下评标情况：</w:t>
            </w:r>
          </w:p>
          <w:p>
            <w:pPr>
              <w:snapToGrid w:val="0"/>
              <w:spacing w:line="360" w:lineRule="auto"/>
              <w:rPr>
                <w:rFonts w:ascii="Times New Roman" w:cs="宋体"/>
                <w:bCs/>
                <w:szCs w:val="24"/>
                <w:highlight w:val="none"/>
              </w:rPr>
            </w:pPr>
            <w:r>
              <w:rPr>
                <w:rFonts w:hint="eastAsia" w:ascii="Times New Roman" w:cs="宋体"/>
                <w:bCs/>
                <w:szCs w:val="24"/>
                <w:highlight w:val="none"/>
              </w:rPr>
              <w:t>a.投标人名称、投标报价、投标文件被否决的原因及依据；</w:t>
            </w:r>
          </w:p>
          <w:p>
            <w:pPr>
              <w:snapToGrid w:val="0"/>
              <w:spacing w:line="360" w:lineRule="auto"/>
              <w:rPr>
                <w:rFonts w:ascii="Times New Roman" w:cs="宋体"/>
                <w:bCs/>
                <w:szCs w:val="24"/>
                <w:highlight w:val="none"/>
              </w:rPr>
            </w:pPr>
            <w:r>
              <w:rPr>
                <w:rFonts w:hint="eastAsia" w:ascii="Times New Roman" w:cs="宋体"/>
                <w:bCs/>
                <w:szCs w:val="24"/>
                <w:highlight w:val="none"/>
              </w:rPr>
              <w:t>b</w:t>
            </w:r>
            <w:r>
              <w:rPr>
                <w:rFonts w:ascii="Times New Roman" w:cs="宋体"/>
                <w:bCs/>
                <w:szCs w:val="24"/>
                <w:highlight w:val="none"/>
              </w:rPr>
              <w:t>.</w:t>
            </w:r>
            <w:r>
              <w:rPr>
                <w:rFonts w:hint="eastAsia" w:ascii="Times New Roman" w:cs="宋体"/>
                <w:bCs/>
                <w:szCs w:val="24"/>
                <w:highlight w:val="none"/>
              </w:rPr>
              <w:t>评标委员会的评分情况。包括商务文件、技术文件、报价文件评分，其中技术文件还需公开采用编码标注的各评标委员会成员评分；</w:t>
            </w:r>
          </w:p>
          <w:p>
            <w:pPr>
              <w:pStyle w:val="2"/>
              <w:rPr>
                <w:rFonts w:ascii="宋体" w:hAnsi="Times New Roman" w:eastAsia="宋体"/>
                <w:bCs w:val="0"/>
                <w:kern w:val="0"/>
                <w:szCs w:val="20"/>
                <w:highlight w:val="none"/>
              </w:rPr>
            </w:pPr>
            <w:r>
              <w:rPr>
                <w:rFonts w:hint="eastAsia" w:ascii="宋体" w:hAnsi="Times New Roman" w:eastAsia="宋体"/>
                <w:bCs w:val="0"/>
                <w:kern w:val="0"/>
                <w:szCs w:val="20"/>
                <w:highlight w:val="none"/>
              </w:rPr>
              <w:t>c.中标候选人经评审通过的拟任项目负责人（如有）：</w:t>
            </w:r>
          </w:p>
          <w:p>
            <w:pPr>
              <w:pStyle w:val="2"/>
              <w:rPr>
                <w:rFonts w:ascii="宋体" w:hAnsi="Times New Roman" w:eastAsia="宋体"/>
                <w:bCs w:val="0"/>
                <w:kern w:val="0"/>
                <w:szCs w:val="20"/>
                <w:highlight w:val="none"/>
              </w:rPr>
            </w:pPr>
            <w:r>
              <w:rPr>
                <w:rFonts w:hint="eastAsia" w:ascii="宋体" w:hAnsi="Times New Roman" w:eastAsia="宋体"/>
                <w:bCs w:val="0"/>
                <w:kern w:val="0"/>
                <w:szCs w:val="20"/>
                <w:highlight w:val="none"/>
              </w:rPr>
              <w:t>项目负责人姓名；</w:t>
            </w:r>
          </w:p>
          <w:p>
            <w:pPr>
              <w:pStyle w:val="2"/>
              <w:rPr>
                <w:rFonts w:ascii="宋体" w:hAnsi="Times New Roman" w:eastAsia="宋体"/>
                <w:bCs w:val="0"/>
                <w:kern w:val="0"/>
                <w:szCs w:val="20"/>
                <w:highlight w:val="none"/>
              </w:rPr>
            </w:pPr>
            <w:r>
              <w:rPr>
                <w:rFonts w:hint="eastAsia" w:ascii="宋体" w:hAnsi="Times New Roman" w:eastAsia="宋体"/>
                <w:bCs w:val="0"/>
                <w:kern w:val="0"/>
                <w:szCs w:val="20"/>
                <w:highlight w:val="none"/>
              </w:rPr>
              <w:t>d.中标候选人经评审通过的项目负责人业绩（如有，</w:t>
            </w:r>
          </w:p>
          <w:p>
            <w:pPr>
              <w:pStyle w:val="2"/>
              <w:rPr>
                <w:rFonts w:ascii="宋体" w:hAnsi="Times New Roman" w:eastAsia="宋体"/>
                <w:bCs w:val="0"/>
                <w:kern w:val="0"/>
                <w:szCs w:val="20"/>
                <w:highlight w:val="none"/>
              </w:rPr>
            </w:pPr>
            <w:r>
              <w:rPr>
                <w:rFonts w:hint="eastAsia" w:ascii="宋体" w:hAnsi="Times New Roman" w:eastAsia="宋体"/>
                <w:bCs w:val="0"/>
                <w:kern w:val="0"/>
                <w:szCs w:val="20"/>
                <w:highlight w:val="none"/>
              </w:rPr>
              <w:t>含资格审查用业绩和商务文件评分用业绩）：项目名</w:t>
            </w:r>
          </w:p>
          <w:p>
            <w:pPr>
              <w:pStyle w:val="2"/>
              <w:rPr>
                <w:rFonts w:ascii="宋体" w:hAnsi="Times New Roman" w:eastAsia="宋体"/>
                <w:bCs w:val="0"/>
                <w:kern w:val="0"/>
                <w:szCs w:val="20"/>
                <w:highlight w:val="none"/>
              </w:rPr>
            </w:pPr>
            <w:r>
              <w:rPr>
                <w:rFonts w:hint="eastAsia" w:ascii="宋体" w:hAnsi="Times New Roman" w:eastAsia="宋体"/>
                <w:bCs w:val="0"/>
                <w:kern w:val="0"/>
                <w:szCs w:val="20"/>
                <w:highlight w:val="none"/>
              </w:rPr>
              <w:t>称；</w:t>
            </w:r>
          </w:p>
          <w:p>
            <w:pPr>
              <w:pStyle w:val="2"/>
              <w:rPr>
                <w:rFonts w:ascii="宋体" w:hAnsi="Times New Roman" w:eastAsia="宋体"/>
                <w:bCs w:val="0"/>
                <w:kern w:val="0"/>
                <w:szCs w:val="20"/>
                <w:highlight w:val="none"/>
              </w:rPr>
            </w:pPr>
            <w:r>
              <w:rPr>
                <w:rFonts w:hint="eastAsia" w:ascii="宋体" w:hAnsi="Times New Roman" w:eastAsia="宋体"/>
                <w:bCs w:val="0"/>
                <w:kern w:val="0"/>
                <w:szCs w:val="20"/>
                <w:highlight w:val="none"/>
              </w:rPr>
              <w:t>e.中标候选人经评审通过的投标人业绩（如有，含资格审查用业绩和商务文件评分用业绩）：项目名称；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7.1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是否授权评标委员会确定中标人</w:t>
            </w:r>
          </w:p>
        </w:tc>
        <w:tc>
          <w:tcPr>
            <w:tcW w:w="5684" w:type="dxa"/>
            <w:vAlign w:val="center"/>
          </w:tcPr>
          <w:p>
            <w:pPr>
              <w:snapToGrid w:val="0"/>
              <w:spacing w:line="360" w:lineRule="auto"/>
              <w:rPr>
                <w:highlight w:val="none"/>
              </w:rPr>
            </w:pPr>
            <w:r>
              <w:rPr>
                <w:rFonts w:hint="eastAsia" w:ascii="MS Mincho" w:hAnsi="MS Mincho" w:eastAsia="MS Mincho" w:cs="MS Mincho"/>
                <w:highlight w:val="none"/>
              </w:rPr>
              <w:t>☑</w:t>
            </w:r>
            <w:r>
              <w:rPr>
                <w:rFonts w:hint="eastAsia"/>
                <w:highlight w:val="none"/>
              </w:rPr>
              <w:t>是</w:t>
            </w:r>
          </w:p>
          <w:p>
            <w:pPr>
              <w:snapToGrid w:val="0"/>
              <w:spacing w:line="360" w:lineRule="auto"/>
              <w:rPr>
                <w:highlight w:val="none"/>
              </w:rPr>
            </w:pPr>
            <w:r>
              <w:rPr>
                <w:rFonts w:hint="eastAsia"/>
                <w:highlight w:val="none"/>
              </w:rPr>
              <w:sym w:font="Wingdings 2" w:char="00A3"/>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7.2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中标结果公示媒介</w:t>
            </w:r>
          </w:p>
        </w:tc>
        <w:tc>
          <w:tcPr>
            <w:tcW w:w="5684" w:type="dxa"/>
            <w:vAlign w:val="center"/>
          </w:tcPr>
          <w:p>
            <w:pPr>
              <w:snapToGrid w:val="0"/>
              <w:spacing w:line="360" w:lineRule="auto"/>
              <w:rPr>
                <w:rFonts w:hAnsi="宋体" w:cs="宋体"/>
                <w:highlight w:val="none"/>
              </w:rPr>
            </w:pPr>
            <w:r>
              <w:rPr>
                <w:rFonts w:hint="eastAsia" w:hAnsi="宋体" w:cs="宋体"/>
                <w:highlight w:val="none"/>
              </w:rPr>
              <w:t>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7.3</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中标通知书和中标结果通知发出的形式</w:t>
            </w:r>
          </w:p>
        </w:tc>
        <w:tc>
          <w:tcPr>
            <w:tcW w:w="5684" w:type="dxa"/>
            <w:vAlign w:val="center"/>
          </w:tcPr>
          <w:p>
            <w:pPr>
              <w:snapToGrid w:val="0"/>
              <w:spacing w:line="360" w:lineRule="auto"/>
              <w:rPr>
                <w:rFonts w:hAnsi="宋体" w:cs="宋体"/>
                <w:highlight w:val="none"/>
              </w:rPr>
            </w:pPr>
            <w:r>
              <w:rPr>
                <w:rFonts w:hint="eastAsia" w:ascii="Times New Roman" w:cs="宋体"/>
                <w:bCs/>
                <w:szCs w:val="24"/>
                <w:highlight w:val="none"/>
              </w:rPr>
              <w:t>（1）</w:t>
            </w:r>
            <w:r>
              <w:rPr>
                <w:rFonts w:hint="eastAsia" w:hAnsi="宋体" w:cs="宋体"/>
                <w:highlight w:val="none"/>
              </w:rPr>
              <w:t>中标通知书发出的形式：</w:t>
            </w:r>
            <w:r>
              <w:rPr>
                <w:rFonts w:hint="eastAsia" w:hAnsi="宋体" w:cs="宋体"/>
                <w:highlight w:val="none"/>
              </w:rPr>
              <w:sym w:font="Wingdings 2" w:char="0052"/>
            </w:r>
            <w:r>
              <w:rPr>
                <w:rFonts w:hint="eastAsia" w:hAnsi="宋体" w:cs="宋体"/>
                <w:highlight w:val="none"/>
              </w:rPr>
              <w:t xml:space="preserve">数据电文  </w:t>
            </w:r>
            <w:r>
              <w:rPr>
                <w:rFonts w:hint="eastAsia" w:hAnsi="宋体" w:cs="宋体"/>
                <w:highlight w:val="none"/>
              </w:rPr>
              <w:sym w:font="Wingdings 2" w:char="00A3"/>
            </w:r>
            <w:r>
              <w:rPr>
                <w:rFonts w:hint="eastAsia" w:hAnsi="宋体" w:cs="宋体"/>
                <w:highlight w:val="none"/>
              </w:rPr>
              <w:t>纸质</w:t>
            </w:r>
          </w:p>
          <w:p>
            <w:pPr>
              <w:snapToGrid w:val="0"/>
              <w:spacing w:line="360" w:lineRule="auto"/>
              <w:rPr>
                <w:rFonts w:hAnsi="宋体" w:cs="宋体"/>
                <w:highlight w:val="none"/>
              </w:rPr>
            </w:pPr>
            <w:r>
              <w:rPr>
                <w:rFonts w:hint="eastAsia" w:ascii="Times New Roman" w:cs="宋体"/>
                <w:bCs/>
                <w:szCs w:val="24"/>
                <w:highlight w:val="none"/>
              </w:rPr>
              <w:t>（2）</w:t>
            </w:r>
            <w:r>
              <w:rPr>
                <w:rFonts w:hint="eastAsia" w:hAnsi="宋体" w:cs="宋体"/>
                <w:highlight w:val="none"/>
              </w:rPr>
              <w:t>中标结果通知发出的形式：</w:t>
            </w:r>
            <w:r>
              <w:rPr>
                <w:rFonts w:hint="eastAsia" w:hAnsi="宋体" w:cs="宋体"/>
                <w:highlight w:val="none"/>
              </w:rPr>
              <w:sym w:font="Wingdings 2" w:char="0052"/>
            </w:r>
            <w:r>
              <w:rPr>
                <w:rFonts w:hint="eastAsia" w:hAnsi="宋体" w:cs="宋体"/>
                <w:highlight w:val="none"/>
              </w:rPr>
              <w:t xml:space="preserve">数据电文 </w:t>
            </w:r>
            <w:r>
              <w:rPr>
                <w:rFonts w:hint="eastAsia" w:hAnsi="宋体" w:cs="宋体"/>
                <w:highlight w:val="none"/>
              </w:rPr>
              <w:sym w:font="Wingdings 2" w:char="00A3"/>
            </w:r>
            <w:r>
              <w:rPr>
                <w:rFonts w:hint="eastAsia" w:hAnsi="宋体" w:cs="宋体"/>
                <w:highlight w:val="none"/>
              </w:rPr>
              <w:t>纸质</w:t>
            </w:r>
          </w:p>
          <w:p>
            <w:pPr>
              <w:snapToGrid w:val="0"/>
              <w:spacing w:line="360" w:lineRule="auto"/>
              <w:rPr>
                <w:rFonts w:hAnsi="宋体" w:cs="宋体"/>
                <w:highlight w:val="none"/>
              </w:rPr>
            </w:pPr>
            <w:r>
              <w:rPr>
                <w:rFonts w:hint="eastAsia" w:hAnsi="宋体" w:cs="宋体"/>
                <w:highlight w:val="none"/>
              </w:rPr>
              <w:t>特别提醒：招标人确定中标人后，通过电子交易系统向中标人发出中标通知书，中标通知书发出即视为送达。投标人应主动登录电子交易系统查询，招标人和招标代理机构不承担投标人未及时关注相关信息引发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8.1.1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履约保证金</w:t>
            </w:r>
          </w:p>
        </w:tc>
        <w:tc>
          <w:tcPr>
            <w:tcW w:w="5684" w:type="dxa"/>
            <w:vAlign w:val="center"/>
          </w:tcPr>
          <w:p>
            <w:pPr>
              <w:snapToGrid w:val="0"/>
              <w:spacing w:line="360" w:lineRule="auto"/>
              <w:rPr>
                <w:rFonts w:hAnsi="宋体" w:cs="宋体"/>
                <w:bCs/>
                <w:snapToGrid w:val="0"/>
                <w:highlight w:val="none"/>
              </w:rPr>
            </w:pPr>
            <w:r>
              <w:rPr>
                <w:rFonts w:hint="eastAsia" w:hAnsi="宋体" w:cs="宋体"/>
                <w:snapToGrid w:val="0"/>
                <w:highlight w:val="none"/>
              </w:rPr>
              <w:t>是否要求投标人递交</w:t>
            </w:r>
            <w:r>
              <w:rPr>
                <w:rFonts w:hint="eastAsia" w:hAnsi="宋体" w:cs="宋体"/>
                <w:highlight w:val="none"/>
              </w:rPr>
              <w:t>履约保证金</w:t>
            </w:r>
            <w:r>
              <w:rPr>
                <w:rFonts w:hint="eastAsia" w:hAnsi="宋体" w:cs="宋体"/>
                <w:snapToGrid w:val="0"/>
                <w:highlight w:val="none"/>
              </w:rPr>
              <w:t>：</w:t>
            </w:r>
          </w:p>
          <w:p>
            <w:pPr>
              <w:snapToGrid w:val="0"/>
              <w:spacing w:line="360" w:lineRule="auto"/>
              <w:rPr>
                <w:rFonts w:hAnsi="宋体" w:cs="宋体"/>
                <w:snapToGrid w:val="0"/>
                <w:highlight w:val="none"/>
              </w:rPr>
            </w:pPr>
            <w:r>
              <w:rPr>
                <w:rFonts w:hint="eastAsia" w:hAnsi="宋体" w:cs="宋体"/>
                <w:snapToGrid w:val="0"/>
                <w:highlight w:val="none"/>
              </w:rPr>
              <w:sym w:font="Wingdings 2" w:char="00A3"/>
            </w:r>
            <w:r>
              <w:rPr>
                <w:rFonts w:hint="eastAsia" w:hAnsi="宋体" w:cs="宋体"/>
                <w:snapToGrid w:val="0"/>
                <w:highlight w:val="none"/>
              </w:rPr>
              <w:t>不要求</w:t>
            </w:r>
          </w:p>
          <w:p>
            <w:pPr>
              <w:snapToGrid w:val="0"/>
              <w:spacing w:line="360" w:lineRule="auto"/>
              <w:rPr>
                <w:rFonts w:hAnsi="宋体" w:cs="宋体"/>
                <w:snapToGrid w:val="0"/>
                <w:highlight w:val="none"/>
              </w:rPr>
            </w:pPr>
            <w:r>
              <w:rPr>
                <w:rFonts w:hint="eastAsia" w:ascii="MS Mincho" w:hAnsi="MS Mincho" w:eastAsia="MS Mincho" w:cs="MS Mincho"/>
                <w:highlight w:val="none"/>
              </w:rPr>
              <w:t>☑</w:t>
            </w:r>
            <w:r>
              <w:rPr>
                <w:rFonts w:hint="eastAsia" w:hAnsi="宋体" w:cs="宋体"/>
                <w:snapToGrid w:val="0"/>
                <w:highlight w:val="none"/>
              </w:rPr>
              <w:t>要求，具体如下：</w:t>
            </w:r>
          </w:p>
          <w:p>
            <w:pPr>
              <w:snapToGrid w:val="0"/>
              <w:spacing w:line="360" w:lineRule="auto"/>
              <w:rPr>
                <w:rFonts w:hAnsi="宋体" w:cs="宋体"/>
                <w:bCs/>
                <w:snapToGrid w:val="0"/>
                <w:highlight w:val="none"/>
              </w:rPr>
            </w:pPr>
            <w:r>
              <w:rPr>
                <w:rFonts w:hint="eastAsia" w:hAnsi="宋体" w:cs="宋体"/>
                <w:bCs/>
                <w:snapToGrid w:val="0"/>
                <w:highlight w:val="none"/>
              </w:rPr>
              <w:t>（1）履约保证金金额：</w:t>
            </w:r>
            <w:r>
              <w:rPr>
                <w:rFonts w:hint="eastAsia" w:hAnsi="宋体" w:cs="宋体"/>
                <w:bCs/>
                <w:snapToGrid w:val="0"/>
                <w:highlight w:val="none"/>
                <w:u w:val="single"/>
              </w:rPr>
              <w:t>中标金额的2%</w:t>
            </w:r>
          </w:p>
          <w:p>
            <w:pPr>
              <w:snapToGrid w:val="0"/>
              <w:spacing w:line="360" w:lineRule="auto"/>
              <w:rPr>
                <w:rFonts w:hAnsi="宋体" w:cs="宋体"/>
                <w:highlight w:val="none"/>
              </w:rPr>
            </w:pPr>
            <w:r>
              <w:rPr>
                <w:rFonts w:hint="eastAsia" w:hAnsi="宋体" w:cs="宋体"/>
                <w:bCs/>
                <w:snapToGrid w:val="0"/>
                <w:highlight w:val="none"/>
              </w:rPr>
              <w:t>（2）履约保证金形式</w:t>
            </w:r>
            <w:r>
              <w:rPr>
                <w:rFonts w:hint="eastAsia" w:hAnsi="宋体" w:cs="宋体"/>
                <w:highlight w:val="none"/>
              </w:rPr>
              <w:t>：</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sym w:font="Wingdings 2" w:char="0052"/>
            </w:r>
            <w:r>
              <w:rPr>
                <w:rFonts w:hint="eastAsia" w:ascii="Times New Roman" w:hAnsi="Times New Roman" w:cs="宋体"/>
                <w:bCs/>
                <w:snapToGrid w:val="0"/>
                <w:sz w:val="24"/>
                <w:szCs w:val="24"/>
                <w:highlight w:val="none"/>
              </w:rPr>
              <w:t>电子保函</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sym w:font="Wingdings 2" w:char="0052"/>
            </w:r>
            <w:r>
              <w:rPr>
                <w:rFonts w:hint="eastAsia" w:ascii="Times New Roman" w:hAnsi="Times New Roman" w:cs="宋体"/>
                <w:bCs/>
                <w:snapToGrid w:val="0"/>
                <w:sz w:val="24"/>
                <w:szCs w:val="24"/>
                <w:highlight w:val="none"/>
              </w:rPr>
              <w:t>现金（银行转账、银行电汇）</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sym w:font="Wingdings 2" w:char="0052"/>
            </w:r>
            <w:r>
              <w:rPr>
                <w:rFonts w:hint="eastAsia" w:ascii="Times New Roman" w:hAnsi="Times New Roman" w:cs="宋体"/>
                <w:bCs/>
                <w:snapToGrid w:val="0"/>
                <w:sz w:val="24"/>
                <w:szCs w:val="24"/>
                <w:highlight w:val="none"/>
              </w:rPr>
              <w:t>纸质保函（纸质银行保函、纸质担保机构担保、纸质保证保险）</w:t>
            </w:r>
          </w:p>
          <w:p>
            <w:pPr>
              <w:snapToGrid w:val="0"/>
              <w:spacing w:line="360" w:lineRule="auto"/>
              <w:rPr>
                <w:rFonts w:hAnsi="宋体" w:cs="宋体"/>
                <w:highlight w:val="none"/>
              </w:rPr>
            </w:pPr>
            <w:r>
              <w:rPr>
                <w:rFonts w:hint="eastAsia" w:ascii="Times New Roman" w:cs="宋体"/>
                <w:bCs/>
                <w:szCs w:val="24"/>
                <w:highlight w:val="none"/>
              </w:rPr>
              <w:t>（3）</w:t>
            </w:r>
            <w:r>
              <w:rPr>
                <w:rFonts w:hint="eastAsia" w:hAnsi="宋体" w:cs="宋体"/>
                <w:highlight w:val="none"/>
              </w:rPr>
              <w:t>具体要求：</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t>①采用纸质银行保函的，应为不可撤销、不可转让的见索即付独立保函。</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t>②采用纸质担保机构担保的，应为经安徽省地方金融监督管理局审查批准，依法取得融资担保业务经营许可证的融资担保机构出具的不可撤销、不可转让的见索即付独立保函。</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t>③采用纸质保证保险的，应为保险公司出具的不可撤销、不可转让的见索即付保证保险。</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t>④采用电子保函的，请登录全国公共资源交易平台（安徽省•合肥市）（安徽合肥公共资源交易中心网站）“电子保函”栏目查看《合肥市（信易贷）电子保函平台履约保函操作手册》并按照操作手册规定内容办理。</w:t>
            </w:r>
          </w:p>
          <w:p>
            <w:pPr>
              <w:spacing w:line="360" w:lineRule="auto"/>
              <w:rPr>
                <w:rFonts w:hAnsi="宋体" w:cs="宋体"/>
                <w:bCs/>
                <w:highlight w:val="none"/>
              </w:rPr>
            </w:pPr>
            <w:r>
              <w:rPr>
                <w:rFonts w:hint="eastAsia" w:ascii="Times New Roman" w:cs="宋体"/>
                <w:bCs/>
                <w:szCs w:val="24"/>
                <w:highlight w:val="none"/>
              </w:rPr>
              <w:t>（4）</w:t>
            </w:r>
            <w:r>
              <w:rPr>
                <w:rFonts w:hint="eastAsia" w:hAnsi="宋体" w:cs="宋体"/>
                <w:bCs/>
                <w:highlight w:val="none"/>
              </w:rPr>
              <w:t>本招标项目是否减免履约保证金：</w:t>
            </w:r>
          </w:p>
          <w:p>
            <w:pPr>
              <w:spacing w:line="360" w:lineRule="auto"/>
              <w:rPr>
                <w:rFonts w:hAnsi="宋体" w:cs="宋体"/>
                <w:bCs/>
                <w:highlight w:val="none"/>
              </w:rPr>
            </w:pPr>
            <w:r>
              <w:rPr>
                <w:rFonts w:hint="eastAsia" w:ascii="MS Mincho" w:hAnsi="MS Mincho" w:eastAsia="MS Mincho" w:cs="MS Mincho"/>
                <w:highlight w:val="none"/>
              </w:rPr>
              <w:t>☑</w:t>
            </w:r>
            <w:r>
              <w:rPr>
                <w:rFonts w:hint="eastAsia" w:hAnsi="宋体" w:cs="宋体"/>
                <w:bCs/>
                <w:highlight w:val="none"/>
              </w:rPr>
              <w:t>不减免</w:t>
            </w:r>
          </w:p>
          <w:p>
            <w:pPr>
              <w:spacing w:line="360" w:lineRule="auto"/>
              <w:rPr>
                <w:rFonts w:hAnsi="宋体" w:cs="宋体"/>
                <w:highlight w:val="none"/>
                <w:u w:val="single"/>
              </w:rPr>
            </w:pPr>
            <w:r>
              <w:rPr>
                <w:rFonts w:hint="eastAsia" w:hAnsi="宋体" w:cs="宋体"/>
                <w:bCs/>
                <w:highlight w:val="none"/>
              </w:rPr>
              <w:t>□减免，</w:t>
            </w:r>
            <w:r>
              <w:rPr>
                <w:rFonts w:hint="eastAsia" w:hAnsi="宋体" w:cs="宋体"/>
                <w:highlight w:val="none"/>
              </w:rPr>
              <w:t>适用减免履约保证金的情形：</w:t>
            </w:r>
          </w:p>
          <w:p>
            <w:pPr>
              <w:spacing w:line="360" w:lineRule="auto"/>
              <w:rPr>
                <w:rFonts w:hAnsi="宋体" w:cs="宋体"/>
                <w:highlight w:val="none"/>
              </w:rPr>
            </w:pPr>
            <w:r>
              <w:rPr>
                <w:rFonts w:hint="eastAsia" w:ascii="Times New Roman" w:cs="宋体"/>
                <w:bCs/>
                <w:szCs w:val="24"/>
                <w:highlight w:val="none"/>
              </w:rPr>
              <w:t>（5）</w:t>
            </w:r>
            <w:r>
              <w:rPr>
                <w:rFonts w:hint="eastAsia" w:hAnsi="宋体" w:cs="宋体"/>
                <w:highlight w:val="none"/>
              </w:rPr>
              <w:t>其他要求：</w:t>
            </w:r>
            <w:r>
              <w:rPr>
                <w:rFonts w:hint="eastAsia" w:hAnsi="宋体" w:cs="宋体"/>
                <w:highlight w:val="none"/>
                <w:u w:val="single"/>
                <w:lang w:val="en-US" w:eastAsia="zh-CN"/>
              </w:rPr>
              <w:t>如</w:t>
            </w:r>
            <w:r>
              <w:rPr>
                <w:rFonts w:hint="eastAsia" w:hAnsi="宋体" w:cs="宋体"/>
                <w:bCs/>
                <w:snapToGrid w:val="0"/>
                <w:highlight w:val="none"/>
                <w:u w:val="single"/>
              </w:rPr>
              <w:t>投标人采用现金（银行转账、银行电汇）形式提交履约保证金的，同时退还银行同期活期存款利息。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6" w:type="dxa"/>
            <w:gridSpan w:val="3"/>
            <w:vAlign w:val="center"/>
          </w:tcPr>
          <w:p>
            <w:pPr>
              <w:snapToGrid w:val="0"/>
              <w:spacing w:line="360" w:lineRule="auto"/>
              <w:jc w:val="left"/>
              <w:rPr>
                <w:rFonts w:hAnsi="宋体" w:cs="宋体"/>
                <w:highlight w:val="none"/>
              </w:rPr>
            </w:pPr>
            <w:r>
              <w:rPr>
                <w:rFonts w:hint="eastAsia" w:hAnsi="宋体" w:cs="宋体"/>
                <w:highlight w:val="none"/>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10.1</w:t>
            </w:r>
          </w:p>
        </w:tc>
        <w:tc>
          <w:tcPr>
            <w:tcW w:w="1776" w:type="dxa"/>
            <w:vAlign w:val="center"/>
          </w:tcPr>
          <w:p>
            <w:pPr>
              <w:snapToGrid w:val="0"/>
              <w:spacing w:line="360" w:lineRule="auto"/>
              <w:jc w:val="center"/>
              <w:rPr>
                <w:rFonts w:hAnsi="宋体" w:cs="宋体"/>
                <w:bCs/>
                <w:snapToGrid w:val="0"/>
                <w:highlight w:val="none"/>
              </w:rPr>
            </w:pPr>
            <w:r>
              <w:rPr>
                <w:rFonts w:hint="eastAsia" w:ascii="Times New Roman" w:cs="宋体"/>
                <w:bCs/>
                <w:snapToGrid w:val="0"/>
                <w:szCs w:val="24"/>
                <w:highlight w:val="none"/>
              </w:rPr>
              <w:t>获取与查看通知</w:t>
            </w:r>
          </w:p>
        </w:tc>
        <w:tc>
          <w:tcPr>
            <w:tcW w:w="5684" w:type="dxa"/>
            <w:vAlign w:val="center"/>
          </w:tcPr>
          <w:p>
            <w:pPr>
              <w:widowControl/>
              <w:snapToGrid w:val="0"/>
              <w:spacing w:line="360" w:lineRule="auto"/>
              <w:jc w:val="left"/>
              <w:rPr>
                <w:rFonts w:hAnsi="宋体" w:cs="宋体"/>
                <w:highlight w:val="none"/>
              </w:rPr>
            </w:pPr>
            <w:r>
              <w:rPr>
                <w:rFonts w:hint="eastAsia" w:ascii="Times New Roman" w:cs="宋体"/>
                <w:bCs/>
                <w:szCs w:val="24"/>
                <w:highlight w:val="none"/>
              </w:rPr>
              <w:t>本招标项目的招标文件、图纸、工程量清单、最高投标限价、澄清及修改等相关资料均通过电子服务系统发布；投标人应当及时登录电子服务系统自行查看并下载。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10.2</w:t>
            </w:r>
          </w:p>
        </w:tc>
        <w:tc>
          <w:tcPr>
            <w:tcW w:w="177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电子招标</w:t>
            </w:r>
          </w:p>
        </w:tc>
        <w:tc>
          <w:tcPr>
            <w:tcW w:w="5684" w:type="dxa"/>
            <w:vAlign w:val="center"/>
          </w:tcPr>
          <w:p>
            <w:pPr>
              <w:widowControl/>
              <w:snapToGrid w:val="0"/>
              <w:spacing w:line="360" w:lineRule="auto"/>
              <w:jc w:val="left"/>
              <w:rPr>
                <w:rFonts w:hAnsi="宋体" w:cs="宋体"/>
                <w:highlight w:val="none"/>
              </w:rPr>
            </w:pPr>
            <w:r>
              <w:rPr>
                <w:rFonts w:hint="eastAsia" w:hAnsi="宋体" w:cs="宋体"/>
                <w:highlight w:val="none"/>
              </w:rPr>
              <w:t>本招标项目实行全流程电子化交易，除招标文件另有规定外，电子招标投标操作要求见本章附件《合肥市公共资源交易电子招标投标操作规程》。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10.3</w:t>
            </w:r>
          </w:p>
        </w:tc>
        <w:tc>
          <w:tcPr>
            <w:tcW w:w="177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相关政策要求</w:t>
            </w:r>
          </w:p>
        </w:tc>
        <w:tc>
          <w:tcPr>
            <w:tcW w:w="5684" w:type="dxa"/>
            <w:vAlign w:val="center"/>
          </w:tcPr>
          <w:p>
            <w:pPr>
              <w:spacing w:line="360" w:lineRule="auto"/>
              <w:rPr>
                <w:rFonts w:hint="eastAsia" w:hAnsi="宋体" w:cs="宋体"/>
                <w:highlight w:val="none"/>
              </w:rPr>
            </w:pPr>
            <w:r>
              <w:rPr>
                <w:rFonts w:hint="eastAsia" w:hAnsi="宋体" w:cs="宋体"/>
                <w:highlight w:val="none"/>
              </w:rPr>
              <w:t>（1）省外建设工程企业按照《关于优化进皖建设工程企业信息登记服务和管理有关工作的通知》（建市规〔2025〕4号）执行。</w:t>
            </w:r>
          </w:p>
          <w:p>
            <w:pPr>
              <w:spacing w:line="360" w:lineRule="auto"/>
              <w:rPr>
                <w:rFonts w:hint="eastAsia" w:hAnsi="宋体" w:cs="宋体"/>
                <w:highlight w:val="none"/>
              </w:rPr>
            </w:pPr>
            <w:r>
              <w:rPr>
                <w:rFonts w:hint="eastAsia" w:hAnsi="宋体" w:cs="宋体"/>
                <w:highlight w:val="none"/>
              </w:rPr>
              <w:t>（2）工程质量保证金执行《关于以保函等方式替代工程质量保证金的通知》（合建〔2020〕29 号）。</w:t>
            </w:r>
          </w:p>
          <w:p>
            <w:pPr>
              <w:spacing w:line="360" w:lineRule="auto"/>
              <w:rPr>
                <w:rFonts w:hint="eastAsia" w:hAnsi="宋体" w:cs="宋体"/>
                <w:highlight w:val="none"/>
              </w:rPr>
            </w:pPr>
            <w:r>
              <w:rPr>
                <w:rFonts w:hint="eastAsia" w:hAnsi="宋体" w:cs="宋体"/>
                <w:highlight w:val="none"/>
              </w:rPr>
              <w:t>（3）关于投标保证金、履约保证金、工程质量保证金执行《关于加快推进房屋建筑和市政基础设施工程实行工程担保制度的通知》（建市〔2020〕84 号）。</w:t>
            </w:r>
          </w:p>
          <w:p>
            <w:pPr>
              <w:spacing w:line="360" w:lineRule="auto"/>
              <w:rPr>
                <w:rFonts w:hint="eastAsia" w:hAnsi="宋体" w:cs="宋体"/>
                <w:highlight w:val="none"/>
              </w:rPr>
            </w:pPr>
            <w:r>
              <w:rPr>
                <w:rFonts w:hint="eastAsia" w:hAnsi="宋体" w:cs="宋体"/>
                <w:highlight w:val="none"/>
              </w:rPr>
              <w:t>（4）保证保险产品应按《中国银保监会办公厅关于进一步加强和改进财产保险公司产品监管有关问题的通知》执行。</w:t>
            </w:r>
          </w:p>
          <w:p>
            <w:pPr>
              <w:spacing w:line="360" w:lineRule="auto"/>
              <w:rPr>
                <w:rFonts w:hint="eastAsia" w:hAnsi="宋体" w:cs="宋体"/>
                <w:highlight w:val="none"/>
              </w:rPr>
            </w:pPr>
            <w:r>
              <w:rPr>
                <w:rFonts w:hint="eastAsia" w:hAnsi="宋体" w:cs="宋体"/>
                <w:highlight w:val="none"/>
              </w:rPr>
              <w:t>（5）采用一级建造师投标的应按《住房和城乡建设部办公厅关于全面实行一级建造师电子注册证书的通知》（建办市〔2021〕40 号）执行。</w:t>
            </w:r>
          </w:p>
          <w:p>
            <w:pPr>
              <w:spacing w:line="360" w:lineRule="auto"/>
              <w:rPr>
                <w:rFonts w:hint="eastAsia" w:hAnsi="宋体" w:cs="宋体"/>
                <w:highlight w:val="none"/>
              </w:rPr>
            </w:pPr>
            <w:r>
              <w:rPr>
                <w:rFonts w:hint="eastAsia" w:hAnsi="宋体" w:cs="宋体"/>
                <w:highlight w:val="none"/>
              </w:rPr>
              <w:t>（6）采用一级注册建筑师投标的应符合《全国注册建筑师管理委员会关于开展使用一级注册建筑师电子注册证书工作的通知》（注建〔2021〕2 号）规定，投标文件提供的一级注册建筑师证书应在个人签名处手写本人签名，未手写签名或与签名图像笔迹不一致的，该电子证书无效。</w:t>
            </w:r>
          </w:p>
          <w:p>
            <w:pPr>
              <w:spacing w:line="360" w:lineRule="auto"/>
              <w:rPr>
                <w:rFonts w:hint="eastAsia" w:hAnsi="宋体" w:cs="宋体"/>
                <w:highlight w:val="none"/>
              </w:rPr>
            </w:pPr>
            <w:r>
              <w:rPr>
                <w:rFonts w:hint="eastAsia" w:hAnsi="宋体" w:cs="宋体"/>
                <w:highlight w:val="none"/>
              </w:rPr>
              <w:t>（7）采用安徽省二级建造师投标的应按《关于加强二级建造师事中事后监管工作的通知》（建市函〔2024〕137号）执行，2024年8月31日之前新旧二级建造师电子证书具有同等法律效力。自2024年9月1日起，旧二级建造师电子证书失效。二级建造师打印电子证书后，应在个人签名处手写本人签名，未手写签名或与签名图像笔迹不一致的，该电子证书无效。</w:t>
            </w:r>
          </w:p>
          <w:p>
            <w:pPr>
              <w:spacing w:line="360" w:lineRule="auto"/>
              <w:rPr>
                <w:rFonts w:hint="eastAsia" w:hAnsi="宋体" w:cs="宋体"/>
                <w:highlight w:val="none"/>
              </w:rPr>
            </w:pPr>
            <w:r>
              <w:rPr>
                <w:rFonts w:hint="eastAsia" w:hAnsi="宋体" w:cs="宋体"/>
                <w:highlight w:val="none"/>
              </w:rPr>
              <w:t>（8）投标保证金、履约保证金、预付款担保、质量保证金缴纳执行安徽合肥公共资源交易中心发布的《关于全面推行投标保证金、履约保证金、预付款担保、质量保证金电子保函的通知》。</w:t>
            </w:r>
          </w:p>
          <w:p>
            <w:pPr>
              <w:spacing w:line="360" w:lineRule="auto"/>
              <w:rPr>
                <w:rFonts w:hint="eastAsia" w:hAnsi="宋体" w:cs="宋体"/>
                <w:highlight w:val="none"/>
              </w:rPr>
            </w:pPr>
            <w:r>
              <w:rPr>
                <w:rFonts w:hint="eastAsia" w:hAnsi="宋体" w:cs="宋体"/>
                <w:highlight w:val="none"/>
              </w:rPr>
              <w:t>注：①未列明的按照国家、省、市相关政策执行。</w:t>
            </w:r>
          </w:p>
          <w:p>
            <w:pPr>
              <w:spacing w:line="360" w:lineRule="auto"/>
              <w:rPr>
                <w:rFonts w:hAnsi="宋体" w:cs="宋体"/>
                <w:highlight w:val="none"/>
              </w:rPr>
            </w:pPr>
            <w:r>
              <w:rPr>
                <w:rFonts w:hint="eastAsia" w:hAnsi="宋体" w:cs="宋体"/>
                <w:highlight w:val="none"/>
              </w:rPr>
              <w:t>②如有相关政策文件更新，按照最新政策文件执行。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10.4</w:t>
            </w:r>
          </w:p>
        </w:tc>
        <w:tc>
          <w:tcPr>
            <w:tcW w:w="1776" w:type="dxa"/>
            <w:vAlign w:val="center"/>
          </w:tcPr>
          <w:p>
            <w:pPr>
              <w:snapToGrid w:val="0"/>
              <w:spacing w:line="360" w:lineRule="auto"/>
              <w:jc w:val="center"/>
              <w:rPr>
                <w:rFonts w:hAnsi="宋体" w:cs="宋体"/>
                <w:bCs/>
                <w:snapToGrid w:val="0"/>
                <w:highlight w:val="none"/>
              </w:rPr>
            </w:pPr>
            <w:r>
              <w:rPr>
                <w:rFonts w:hint="eastAsia" w:ascii="Times New Roman" w:cs="宋体"/>
                <w:bCs/>
                <w:snapToGrid w:val="0"/>
                <w:szCs w:val="24"/>
                <w:highlight w:val="none"/>
              </w:rPr>
              <w:t>评标过程中的澄清、说明或补正</w:t>
            </w:r>
          </w:p>
        </w:tc>
        <w:tc>
          <w:tcPr>
            <w:tcW w:w="5684"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（1）评标委员会通过电子交易系统将需要澄清、说明或补正的内容以询标函的形式发送给投标人，投标人应安排专人登录电子交易系统并保持在线状态，以便及时接收评标委员会可能发出的询标函。</w:t>
            </w:r>
          </w:p>
          <w:p>
            <w:pPr>
              <w:widowControl/>
              <w:snapToGrid w:val="0"/>
              <w:spacing w:line="360" w:lineRule="auto"/>
              <w:jc w:val="left"/>
              <w:rPr>
                <w:rFonts w:hAnsi="宋体" w:cs="宋体"/>
                <w:bCs/>
                <w:snapToGrid w:val="0"/>
                <w:highlight w:val="none"/>
              </w:rPr>
            </w:pPr>
            <w:r>
              <w:rPr>
                <w:rFonts w:hint="eastAsia" w:ascii="Times New Roman" w:cs="宋体"/>
                <w:bCs/>
                <w:szCs w:val="24"/>
                <w:highlight w:val="none"/>
              </w:rPr>
              <w:t>（2）因投标人未登录电子交易系统导致无法及时接收询标函（远程网上询标）或未在规定时间（</w:t>
            </w:r>
            <w:r>
              <w:rPr>
                <w:rFonts w:hint="eastAsia" w:ascii="Times New Roman" w:cs="宋体"/>
                <w:bCs/>
                <w:szCs w:val="24"/>
                <w:highlight w:val="none"/>
                <w:u w:val="single"/>
              </w:rPr>
              <w:t>15</w:t>
            </w:r>
            <w:r>
              <w:rPr>
                <w:rFonts w:hint="eastAsia" w:ascii="Times New Roman" w:cs="宋体"/>
                <w:bCs/>
                <w:szCs w:val="24"/>
                <w:highlight w:val="none"/>
              </w:rPr>
              <w:t>分钟）内按照评标委员会要求进行澄清、说明或补正内容的，视同投标人放弃澄清、说明或补正内容的权利，评标委员会可按照对投标人不利的解释进行判定。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szCs w:val="24"/>
                <w:highlight w:val="none"/>
              </w:rPr>
            </w:pPr>
            <w:r>
              <w:rPr>
                <w:rFonts w:hint="eastAsia" w:hAnsi="宋体" w:cs="宋体"/>
                <w:bCs/>
                <w:szCs w:val="24"/>
                <w:highlight w:val="none"/>
              </w:rPr>
              <w:t>10.5</w:t>
            </w:r>
          </w:p>
        </w:tc>
        <w:tc>
          <w:tcPr>
            <w:tcW w:w="1776" w:type="dxa"/>
            <w:vAlign w:val="center"/>
          </w:tcPr>
          <w:p>
            <w:pPr>
              <w:snapToGrid w:val="0"/>
              <w:spacing w:line="360" w:lineRule="auto"/>
              <w:jc w:val="center"/>
              <w:rPr>
                <w:rFonts w:hAnsi="宋体" w:cs="宋体"/>
                <w:bCs/>
                <w:snapToGrid w:val="0"/>
                <w:szCs w:val="24"/>
                <w:highlight w:val="none"/>
              </w:rPr>
            </w:pPr>
            <w:r>
              <w:rPr>
                <w:rFonts w:hint="eastAsia" w:hAnsi="宋体" w:cs="宋体"/>
                <w:bCs/>
                <w:snapToGrid w:val="0"/>
                <w:szCs w:val="24"/>
                <w:highlight w:val="none"/>
              </w:rPr>
              <w:t>投标人对所提供材料应承担的责任</w:t>
            </w:r>
          </w:p>
        </w:tc>
        <w:tc>
          <w:tcPr>
            <w:tcW w:w="5684"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（1）投标人提供虚假材料谋取中标的，公共资源交易监督管理部门将依法处理，并记入不良行为记录，予以披露。</w:t>
            </w:r>
          </w:p>
          <w:p>
            <w:pPr>
              <w:widowControl/>
              <w:snapToGrid w:val="0"/>
              <w:spacing w:line="360" w:lineRule="auto"/>
              <w:jc w:val="left"/>
              <w:rPr>
                <w:rFonts w:hAnsi="宋体" w:cs="宋体"/>
                <w:szCs w:val="24"/>
                <w:highlight w:val="none"/>
              </w:rPr>
            </w:pPr>
            <w:r>
              <w:rPr>
                <w:rFonts w:hint="eastAsia" w:ascii="Times New Roman" w:cs="宋体"/>
                <w:bCs/>
                <w:szCs w:val="24"/>
                <w:highlight w:val="none"/>
              </w:rPr>
              <w:t>（2）投标人对所提供的材料承担缔约过失责任和法律责任。若投诉人或举报人对前述材料存在争议，进行有效投诉或举报，被投诉人、被举报人应当主动配合公共资源交易监督管理部门调查，并在规定期限内举证，提供有关证明材料；拒绝配合</w:t>
            </w:r>
            <w:r>
              <w:rPr>
                <w:rFonts w:ascii="Times New Roman" w:cs="宋体"/>
                <w:bCs/>
                <w:szCs w:val="24"/>
                <w:highlight w:val="none"/>
              </w:rPr>
              <w:t>调查</w:t>
            </w:r>
            <w:r>
              <w:rPr>
                <w:rFonts w:hint="eastAsia" w:ascii="Times New Roman" w:cs="宋体"/>
                <w:bCs/>
                <w:szCs w:val="24"/>
                <w:highlight w:val="none"/>
              </w:rPr>
              <w:t>，且未在规定期限内举证、提供证明材料的，公共资源交易监督管理部门将依法处理。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10.6</w:t>
            </w:r>
          </w:p>
        </w:tc>
        <w:tc>
          <w:tcPr>
            <w:tcW w:w="1776" w:type="dxa"/>
            <w:vAlign w:val="center"/>
          </w:tcPr>
          <w:p>
            <w:pPr>
              <w:snapToGrid w:val="0"/>
              <w:spacing w:line="360" w:lineRule="auto"/>
              <w:jc w:val="center"/>
              <w:rPr>
                <w:rFonts w:hAnsi="宋体" w:cs="宋体"/>
                <w:bCs/>
                <w:snapToGrid w:val="0"/>
                <w:highlight w:val="none"/>
              </w:rPr>
            </w:pPr>
            <w:r>
              <w:rPr>
                <w:rFonts w:hint="eastAsia" w:ascii="Times New Roman" w:cs="宋体"/>
                <w:bCs/>
                <w:snapToGrid w:val="0"/>
                <w:szCs w:val="24"/>
                <w:highlight w:val="none"/>
              </w:rPr>
              <w:t>中标人未履行相关义务的责任</w:t>
            </w:r>
          </w:p>
        </w:tc>
        <w:tc>
          <w:tcPr>
            <w:tcW w:w="5684"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中标人未履行相关义务的，公共资源交易监督管理部门将依法对中标人进行处理，追究相关责任：</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（1）中标后，中标人被公共资源交易监督管理部门查实存在违法行为，不满足中标条件的，由招标人取消其中标资格，并做好项目后续工作；</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（2）中标人应在规定期限内提交履约保证金并与招标人签订合同，若中标人未能在规定期限内提交履约保证金或签订合同，招标人有权取消其中标资格，并报公共资源交易监督管理部门；</w:t>
            </w:r>
          </w:p>
          <w:p>
            <w:pPr>
              <w:widowControl/>
              <w:snapToGrid w:val="0"/>
              <w:spacing w:line="360" w:lineRule="auto"/>
              <w:jc w:val="left"/>
              <w:rPr>
                <w:rFonts w:hAnsi="宋体" w:cs="宋体"/>
                <w:highlight w:val="none"/>
              </w:rPr>
            </w:pPr>
            <w:r>
              <w:rPr>
                <w:rFonts w:hint="eastAsia" w:ascii="Times New Roman" w:cs="宋体"/>
                <w:bCs/>
                <w:szCs w:val="24"/>
                <w:highlight w:val="none"/>
              </w:rPr>
              <w:t>（3）合同签订后，中标人存在规定时间内不组织人员进场开工、不履行合同义务等情况，招标人有权解除合同，追究其违约责任，并报公共资源交易监督管理部门。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10.7</w:t>
            </w:r>
          </w:p>
        </w:tc>
        <w:tc>
          <w:tcPr>
            <w:tcW w:w="177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同义词语</w:t>
            </w:r>
          </w:p>
        </w:tc>
        <w:tc>
          <w:tcPr>
            <w:tcW w:w="5684" w:type="dxa"/>
            <w:vAlign w:val="center"/>
          </w:tcPr>
          <w:p>
            <w:pPr>
              <w:widowControl/>
              <w:snapToGrid w:val="0"/>
              <w:spacing w:line="360" w:lineRule="auto"/>
              <w:jc w:val="left"/>
              <w:rPr>
                <w:rFonts w:hAnsi="宋体" w:cs="宋体"/>
                <w:highlight w:val="none"/>
              </w:rPr>
            </w:pPr>
            <w:r>
              <w:rPr>
                <w:rFonts w:hint="eastAsia" w:hAnsi="宋体" w:cs="宋体"/>
                <w:highlight w:val="none"/>
              </w:rPr>
              <w:t>构成招标文件组成部分的“通用合同条款”、“专用合同条款”和“供货要求”等章节中“买方”和“卖方”，等同于招标投标阶段的“招标人”和“投标人/中标人”。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10.8</w:t>
            </w:r>
          </w:p>
        </w:tc>
        <w:tc>
          <w:tcPr>
            <w:tcW w:w="1776" w:type="dxa"/>
            <w:vAlign w:val="center"/>
          </w:tcPr>
          <w:p>
            <w:pPr>
              <w:snapToGrid w:val="0"/>
              <w:spacing w:line="360" w:lineRule="auto"/>
              <w:jc w:val="center"/>
              <w:rPr>
                <w:rFonts w:hAnsi="宋体" w:cs="宋体"/>
                <w:bCs/>
                <w:snapToGrid w:val="0"/>
                <w:highlight w:val="none"/>
              </w:rPr>
            </w:pPr>
            <w:r>
              <w:rPr>
                <w:rFonts w:hint="eastAsia" w:ascii="Times New Roman" w:cs="宋体"/>
                <w:bCs/>
                <w:snapToGrid w:val="0"/>
                <w:szCs w:val="24"/>
                <w:highlight w:val="none"/>
              </w:rPr>
              <w:t>解释权</w:t>
            </w:r>
          </w:p>
        </w:tc>
        <w:tc>
          <w:tcPr>
            <w:tcW w:w="5684"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（1）构成本招标文件的各个组成文件应互为解释，互为说明；</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（2）同一组成文件中就同一事项的规定或约定不一致的，以编排顺序在后者为准；</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（3）如有不明确或不一致，构成合同文件组成内容的，以合同文件约定内容为准，且以专用合同条款约定的合同文件优先顺序解释；</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（4）除招标文件中有特别规定外，仅适用于招标投标阶段的规定，按照招标公告、投标人须知、评标办法、投标文件格式的先后顺序解释；</w:t>
            </w:r>
          </w:p>
          <w:p>
            <w:pPr>
              <w:widowControl/>
              <w:snapToGrid w:val="0"/>
              <w:spacing w:line="360" w:lineRule="auto"/>
              <w:jc w:val="left"/>
              <w:rPr>
                <w:rFonts w:hAnsi="宋体" w:cs="宋体"/>
                <w:highlight w:val="none"/>
              </w:rPr>
            </w:pPr>
            <w:r>
              <w:rPr>
                <w:rFonts w:hint="eastAsia" w:ascii="Times New Roman" w:cs="宋体"/>
                <w:bCs/>
                <w:szCs w:val="24"/>
                <w:highlight w:val="none"/>
              </w:rPr>
              <w:t>（5）按照本款前述规定仍不能形成结论的，由招标人负责解释。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10.9</w:t>
            </w:r>
          </w:p>
        </w:tc>
        <w:tc>
          <w:tcPr>
            <w:tcW w:w="177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异议提出方式</w:t>
            </w:r>
          </w:p>
        </w:tc>
        <w:tc>
          <w:tcPr>
            <w:tcW w:w="5684" w:type="dxa"/>
            <w:vAlign w:val="center"/>
          </w:tcPr>
          <w:p>
            <w:pPr>
              <w:widowControl/>
              <w:snapToGrid w:val="0"/>
              <w:spacing w:line="360" w:lineRule="auto"/>
              <w:jc w:val="left"/>
              <w:rPr>
                <w:rFonts w:hAnsi="宋体" w:cs="宋体"/>
                <w:bCs/>
                <w:snapToGrid w:val="0"/>
                <w:highlight w:val="none"/>
              </w:rPr>
            </w:pPr>
            <w:r>
              <w:rPr>
                <w:rFonts w:hint="eastAsia" w:hAnsi="宋体" w:cs="宋体"/>
                <w:highlight w:val="none"/>
              </w:rPr>
              <w:t>通过电子交易系统在线提出或以其他书面形式提出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bCs/>
                <w:snapToGrid w:val="0"/>
                <w:highlight w:val="none"/>
              </w:rPr>
              <w:t>10.10</w:t>
            </w:r>
          </w:p>
        </w:tc>
        <w:tc>
          <w:tcPr>
            <w:tcW w:w="1776"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招标代理服务费及工程量清单和最高投标限价（招标控制价）编制费</w:t>
            </w:r>
          </w:p>
        </w:tc>
        <w:tc>
          <w:tcPr>
            <w:tcW w:w="5684" w:type="dxa"/>
            <w:vAlign w:val="center"/>
          </w:tcPr>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1、中标人须向肥东县公共资源交易有限公司缴纳招标代理服务费，可以采用转账方式。</w:t>
            </w:r>
          </w:p>
          <w:p>
            <w:pPr>
              <w:pStyle w:val="131"/>
              <w:widowControl/>
              <w:spacing w:line="360" w:lineRule="auto"/>
              <w:jc w:val="left"/>
              <w:rPr>
                <w:rFonts w:ascii="Times New Roman" w:cs="宋体"/>
                <w:bCs/>
                <w:szCs w:val="24"/>
                <w:highlight w:val="none"/>
              </w:rPr>
            </w:pPr>
            <w:r>
              <w:rPr>
                <w:rFonts w:hint="eastAsia" w:ascii="Times New Roman" w:hAnsi="Times New Roman" w:cs="宋体"/>
                <w:bCs/>
                <w:kern w:val="0"/>
                <w:sz w:val="24"/>
                <w:szCs w:val="24"/>
                <w:highlight w:val="none"/>
              </w:rPr>
              <w:t>2、招标代理服务费：以中标价为计算基数按照差额定率累进法，分标段按下表收费标准收取。</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3"/>
              <w:gridCol w:w="1248"/>
              <w:gridCol w:w="1171"/>
              <w:gridCol w:w="1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中标金额</w:t>
                  </w:r>
                </w:p>
              </w:tc>
              <w:tc>
                <w:tcPr>
                  <w:tcW w:w="1276"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货物招标</w:t>
                  </w:r>
                </w:p>
              </w:tc>
              <w:tc>
                <w:tcPr>
                  <w:tcW w:w="1195"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服务招标</w:t>
                  </w:r>
                </w:p>
              </w:tc>
              <w:tc>
                <w:tcPr>
                  <w:tcW w:w="1400"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100万元以下（含100万元）</w:t>
                  </w:r>
                </w:p>
              </w:tc>
              <w:tc>
                <w:tcPr>
                  <w:tcW w:w="1276"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1.5%</w:t>
                  </w:r>
                </w:p>
              </w:tc>
              <w:tc>
                <w:tcPr>
                  <w:tcW w:w="1195"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1.5%</w:t>
                  </w:r>
                </w:p>
              </w:tc>
              <w:tc>
                <w:tcPr>
                  <w:tcW w:w="1400"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100万元-500万元（含500万元）</w:t>
                  </w:r>
                </w:p>
              </w:tc>
              <w:tc>
                <w:tcPr>
                  <w:tcW w:w="1276"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1.1%</w:t>
                  </w:r>
                </w:p>
              </w:tc>
              <w:tc>
                <w:tcPr>
                  <w:tcW w:w="1195"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0.8%</w:t>
                  </w:r>
                </w:p>
              </w:tc>
              <w:tc>
                <w:tcPr>
                  <w:tcW w:w="1400"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500万元-1000万元（含1000万元）</w:t>
                  </w:r>
                </w:p>
              </w:tc>
              <w:tc>
                <w:tcPr>
                  <w:tcW w:w="1276"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0.8%</w:t>
                  </w:r>
                </w:p>
              </w:tc>
              <w:tc>
                <w:tcPr>
                  <w:tcW w:w="1195"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0.45%</w:t>
                  </w:r>
                </w:p>
              </w:tc>
              <w:tc>
                <w:tcPr>
                  <w:tcW w:w="1400"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1000万元-5000万元（含5000万元）</w:t>
                  </w:r>
                </w:p>
              </w:tc>
              <w:tc>
                <w:tcPr>
                  <w:tcW w:w="1276"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0.5%</w:t>
                  </w:r>
                </w:p>
              </w:tc>
              <w:tc>
                <w:tcPr>
                  <w:tcW w:w="1195"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0.25%</w:t>
                  </w:r>
                </w:p>
              </w:tc>
              <w:tc>
                <w:tcPr>
                  <w:tcW w:w="1400"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5000万元-1亿元（含1亿元）</w:t>
                  </w:r>
                </w:p>
              </w:tc>
              <w:tc>
                <w:tcPr>
                  <w:tcW w:w="1276"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0.25%</w:t>
                  </w:r>
                </w:p>
              </w:tc>
              <w:tc>
                <w:tcPr>
                  <w:tcW w:w="1195"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0.1%</w:t>
                  </w:r>
                </w:p>
              </w:tc>
              <w:tc>
                <w:tcPr>
                  <w:tcW w:w="1400"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1亿元-10亿元（含10亿元）</w:t>
                  </w:r>
                </w:p>
              </w:tc>
              <w:tc>
                <w:tcPr>
                  <w:tcW w:w="1276"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0.05%</w:t>
                  </w:r>
                </w:p>
              </w:tc>
              <w:tc>
                <w:tcPr>
                  <w:tcW w:w="1195"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0.05%</w:t>
                  </w:r>
                </w:p>
              </w:tc>
              <w:tc>
                <w:tcPr>
                  <w:tcW w:w="1400"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10亿元以上</w:t>
                  </w:r>
                </w:p>
              </w:tc>
              <w:tc>
                <w:tcPr>
                  <w:tcW w:w="1276"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0.01%</w:t>
                  </w:r>
                </w:p>
              </w:tc>
              <w:tc>
                <w:tcPr>
                  <w:tcW w:w="1195"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0.01%</w:t>
                  </w:r>
                </w:p>
              </w:tc>
              <w:tc>
                <w:tcPr>
                  <w:tcW w:w="1400" w:type="dxa"/>
                </w:tcPr>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0.01%</w:t>
                  </w:r>
                </w:p>
              </w:tc>
            </w:tr>
          </w:tbl>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注：招标代理服务费按差额定率累进法计算。例如：某工程招标代理业务中标金额为 6000 万元，计算招标代理服务费如下：</w:t>
            </w:r>
          </w:p>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 万元×1.0％＝1万元</w:t>
            </w:r>
          </w:p>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（500－100）万元×0.7％＝2.8 万元</w:t>
            </w:r>
          </w:p>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（1000－500）万元×0.55％＝2.75万元</w:t>
            </w:r>
          </w:p>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（5000－1000）万元×0.35％＝14万元</w:t>
            </w:r>
          </w:p>
          <w:p>
            <w:pPr>
              <w:pStyle w:val="131"/>
              <w:widowControl/>
              <w:snapToGrid w:val="0"/>
              <w:spacing w:line="360" w:lineRule="auto"/>
              <w:jc w:val="left"/>
              <w:rPr>
                <w:rFonts w:ascii="Times New Roman" w:cs="宋体"/>
                <w:bCs/>
                <w:szCs w:val="24"/>
                <w:highlight w:val="none"/>
              </w:rPr>
            </w:pPr>
            <w:r>
              <w:rPr>
                <w:rFonts w:hint="eastAsia" w:ascii="Times New Roman" w:cs="宋体"/>
                <w:bCs/>
                <w:szCs w:val="24"/>
                <w:highlight w:val="none"/>
              </w:rPr>
              <w:t>（6000－5000）万元×0.2％＝2万元</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合计收费＝1＋2.8＋2.75＋14＋2＝22.55(万元)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10.11</w:t>
            </w:r>
          </w:p>
        </w:tc>
        <w:tc>
          <w:tcPr>
            <w:tcW w:w="1776"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投标所需资料</w:t>
            </w:r>
          </w:p>
        </w:tc>
        <w:tc>
          <w:tcPr>
            <w:tcW w:w="5684" w:type="dxa"/>
            <w:vAlign w:val="center"/>
          </w:tcPr>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1）投标人按照招标文件要求编制投标文件并对投标文件进行电子签章并使用数字证书加密，并于招标文件规定的投标截止时间前通过电子交易系统完成上传。投标人应合理安排投标文件递交时间，特别是网络速度慢的地区防止在系统关闭前网络拥堵无法操作。如果因计算机及网络故障造成无法完成投标文件递交情形，责任自负。</w:t>
            </w:r>
          </w:p>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（2）投标人应及时查看上传的相关资料，如出现上传的相应投标资料不全、模糊不清、超出有效期等情况，评标委员会将作出对投标人不利的认定，由此产生的一切后果由投标人自行承担。</w:t>
            </w:r>
          </w:p>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3）投标人提供的营业执照、资质证书、安全生产许可证、安全生产考核合格证书、注册建造师证书、安全生产考核合格证书等证书证件应在有效期内，若法律法规或发证机构或相关主管部门另有规定的，从其规定。投标人在投标文件中提供了相关证明材料，或经询标被评标委员会认定符合相关规定的，评标委员会应予以认可。</w:t>
            </w:r>
          </w:p>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（4）采用一级建造师投标的应符合《住房和城乡建设部办公厅关于全面实行一级建造师电子注册证书的通知》(建办市〔2021〕40 号)规定，投标文件应提供一级建造师电子注册证书，且应在个人签名处手写本人签名，未手写签名或与签名图像笔迹不一致的，该电子证书无效。</w:t>
            </w:r>
          </w:p>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（5）采用一级注册建筑师投标的应符合《全国注册建筑师管理委员会关于开展使用一级注册建筑师电子注册证书工作的通知》（注建〔2021〕2 号）规定，投标文件提供的一级注册建筑师证书应在个人签名处手写本人签名，未手写签名或与签名图像笔迹不一致的，该电子证书无效。</w:t>
            </w:r>
          </w:p>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（6）具体资料以第三章“评标办法”和第六章“投标文件格式”要求为准。</w:t>
            </w:r>
          </w:p>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注：请投标人务必对照招标文件内容及要求制作投标文件，若遇到投标文件模板格式与招标文件格式不一致时一律以招标文件格式为准。招标文件中未出现而投标文件模板中存在的内容，无需提供。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10.12</w:t>
            </w:r>
          </w:p>
        </w:tc>
        <w:tc>
          <w:tcPr>
            <w:tcW w:w="1776"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招标人补充的</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其他内容</w:t>
            </w:r>
          </w:p>
        </w:tc>
        <w:tc>
          <w:tcPr>
            <w:tcW w:w="5684" w:type="dxa"/>
            <w:vAlign w:val="center"/>
          </w:tcPr>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1）投标人投标文件中填报人员及投标人按招标文件提出的最低要求填报派驻投标标段的其他管理和技术人员，经招标人审核后不得进行更换。除非招标文件另有约定，投标人派驻投标标段的项目负责人及项目管理机构主要人员均应为投标单位在职人员（不含外聘人员、返聘人员、临时聘用人员），否则招标人有权取消其中标资格。</w:t>
            </w:r>
          </w:p>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（2）因电子服务系统或电子交易系统出现软件设计或功能缺陷、运行异常等情况，可能影响招投标活动公平、公正进行的，招标人（或招标代理机构）有权中止或终止招投标活动，招投标各方免责。</w:t>
            </w:r>
          </w:p>
          <w:p>
            <w:pPr>
              <w:pStyle w:val="131"/>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（3）唱标信息内容与投标函中不一致的，以投标函中内容为准。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10.13</w:t>
            </w:r>
          </w:p>
        </w:tc>
        <w:tc>
          <w:tcPr>
            <w:tcW w:w="1776"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招标人其他要求</w:t>
            </w:r>
          </w:p>
        </w:tc>
        <w:tc>
          <w:tcPr>
            <w:tcW w:w="5684" w:type="dxa"/>
            <w:vAlign w:val="center"/>
          </w:tcPr>
          <w:p>
            <w:pPr>
              <w:pStyle w:val="131"/>
              <w:widowControl/>
              <w:snapToGrid w:val="0"/>
              <w:spacing w:line="360" w:lineRule="auto"/>
              <w:jc w:val="left"/>
              <w:rPr>
                <w:rFonts w:hint="eastAsia" w:ascii="Times New Roman" w:hAnsi="Times New Roman" w:eastAsia="宋体" w:cs="宋体"/>
                <w:bCs/>
                <w:kern w:val="0"/>
                <w:sz w:val="24"/>
                <w:szCs w:val="24"/>
                <w:highlight w:val="none"/>
                <w:lang w:eastAsia="zh-CN"/>
              </w:rPr>
            </w:pPr>
            <w:r>
              <w:rPr>
                <w:rFonts w:hint="eastAsia" w:ascii="Times New Roman" w:hAnsi="Times New Roman" w:cs="宋体"/>
                <w:bCs/>
                <w:kern w:val="0"/>
                <w:sz w:val="24"/>
                <w:szCs w:val="24"/>
                <w:highlight w:val="none"/>
                <w:lang w:val="en-US" w:eastAsia="zh-CN"/>
              </w:rPr>
              <w:t>无</w:t>
            </w:r>
          </w:p>
        </w:tc>
      </w:tr>
    </w:tbl>
    <w:p>
      <w:pPr>
        <w:pStyle w:val="4"/>
        <w:spacing w:beforeLines="100" w:afterLines="100" w:line="240" w:lineRule="auto"/>
        <w:jc w:val="center"/>
        <w:rPr>
          <w:rFonts w:ascii="Times New Roman" w:hAnsi="Times New Roman" w:eastAsia="黑体"/>
          <w:b w:val="0"/>
          <w:bCs w:val="0"/>
          <w:highlight w:val="none"/>
        </w:rPr>
      </w:pPr>
      <w:r>
        <w:rPr>
          <w:rFonts w:ascii="Times New Roman" w:hAnsi="Times New Roman" w:eastAsia="黑体"/>
          <w:b w:val="0"/>
          <w:sz w:val="28"/>
          <w:szCs w:val="28"/>
          <w:highlight w:val="none"/>
        </w:rPr>
        <w:br w:type="page"/>
      </w:r>
      <w:bookmarkStart w:id="85" w:name="_Toc460226989"/>
      <w:bookmarkStart w:id="86" w:name="_Toc11078137"/>
      <w:bookmarkStart w:id="87" w:name="_Toc14420"/>
      <w:bookmarkStart w:id="88" w:name="_Toc511"/>
      <w:bookmarkStart w:id="89" w:name="_Toc24087"/>
      <w:bookmarkStart w:id="90" w:name="_Toc460226720"/>
      <w:bookmarkStart w:id="91" w:name="_Toc460660062"/>
      <w:bookmarkStart w:id="92" w:name="_Toc283798416"/>
      <w:bookmarkStart w:id="93" w:name="_Toc140069399"/>
      <w:bookmarkStart w:id="94" w:name="_Toc38879316"/>
      <w:bookmarkStart w:id="95" w:name="_Toc421916975"/>
      <w:bookmarkStart w:id="96" w:name="_Toc184635071"/>
      <w:r>
        <w:rPr>
          <w:rFonts w:hint="eastAsia" w:ascii="Times New Roman" w:hAnsi="Times New Roman" w:eastAsia="黑体"/>
          <w:b w:val="0"/>
          <w:bCs w:val="0"/>
          <w:highlight w:val="none"/>
        </w:rPr>
        <w:t>附录1  资格审查条件（资质最低条件）</w:t>
      </w:r>
      <w:bookmarkEnd w:id="85"/>
      <w:bookmarkEnd w:id="86"/>
      <w:bookmarkEnd w:id="87"/>
      <w:bookmarkEnd w:id="88"/>
      <w:bookmarkEnd w:id="89"/>
      <w:bookmarkEnd w:id="90"/>
      <w:bookmarkEnd w:id="91"/>
      <w:bookmarkEnd w:id="92"/>
      <w:bookmarkEnd w:id="93"/>
      <w:bookmarkEnd w:id="94"/>
      <w:bookmarkEnd w:id="95"/>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5"/>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资质证书及其他要求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00" w:type="pct"/>
            <w:tcBorders>
              <w:top w:val="single" w:color="auto" w:sz="4" w:space="0"/>
              <w:left w:val="single" w:color="auto" w:sz="4" w:space="0"/>
              <w:bottom w:val="single" w:color="auto" w:sz="4" w:space="0"/>
              <w:right w:val="single" w:color="auto" w:sz="4" w:space="0"/>
            </w:tcBorders>
          </w:tcPr>
          <w:p>
            <w:pPr>
              <w:pStyle w:val="165"/>
              <w:adjustRightInd w:val="0"/>
              <w:snapToGrid w:val="0"/>
              <w:spacing w:beforeLines="50" w:line="360" w:lineRule="auto"/>
              <w:rPr>
                <w:rFonts w:ascii="Times New Roman" w:hAnsi="Times New Roman"/>
                <w:bCs/>
                <w:snapToGrid w:val="0"/>
                <w:sz w:val="24"/>
                <w:szCs w:val="24"/>
                <w:highlight w:val="none"/>
              </w:rPr>
            </w:pPr>
            <w:r>
              <w:rPr>
                <w:rFonts w:hint="eastAsia" w:ascii="Times New Roman" w:hAnsi="Times New Roman"/>
                <w:bCs/>
                <w:snapToGrid w:val="0"/>
                <w:kern w:val="0"/>
                <w:sz w:val="24"/>
                <w:szCs w:val="24"/>
                <w:highlight w:val="none"/>
              </w:rPr>
              <w:t>具备有效的营业执照。</w:t>
            </w:r>
          </w:p>
        </w:tc>
      </w:tr>
    </w:tbl>
    <w:p>
      <w:pPr>
        <w:pStyle w:val="165"/>
        <w:adjustRightInd w:val="0"/>
        <w:snapToGrid w:val="0"/>
        <w:spacing w:line="300" w:lineRule="exact"/>
        <w:ind w:firstLine="480" w:firstLineChars="200"/>
        <w:rPr>
          <w:rFonts w:ascii="Times New Roman" w:hAnsi="Times New Roman"/>
          <w:bCs/>
          <w:snapToGrid w:val="0"/>
          <w:kern w:val="0"/>
          <w:sz w:val="24"/>
          <w:szCs w:val="24"/>
          <w:highlight w:val="none"/>
        </w:rPr>
      </w:pPr>
      <w:r>
        <w:rPr>
          <w:rFonts w:hint="eastAsia" w:ascii="Times New Roman" w:hAnsi="Times New Roman"/>
          <w:bCs/>
          <w:snapToGrid w:val="0"/>
          <w:kern w:val="0"/>
          <w:sz w:val="24"/>
          <w:szCs w:val="24"/>
          <w:highlight w:val="none"/>
        </w:rPr>
        <w:t>注：投标人应提供营业执照</w:t>
      </w:r>
      <w:bookmarkStart w:id="97" w:name="_Toc460226990"/>
      <w:bookmarkStart w:id="98" w:name="_Toc460226721"/>
      <w:bookmarkStart w:id="99" w:name="_Toc460660063"/>
      <w:bookmarkStart w:id="100" w:name="_Toc421916976"/>
      <w:bookmarkStart w:id="101" w:name="_Toc283798417"/>
      <w:r>
        <w:rPr>
          <w:rFonts w:hint="eastAsia" w:ascii="Times New Roman" w:hAnsi="Times New Roman"/>
          <w:bCs/>
          <w:snapToGrid w:val="0"/>
          <w:kern w:val="0"/>
          <w:sz w:val="24"/>
          <w:szCs w:val="24"/>
          <w:highlight w:val="none"/>
        </w:rPr>
        <w:t>扫描件。</w:t>
      </w:r>
    </w:p>
    <w:p>
      <w:pPr>
        <w:pStyle w:val="4"/>
        <w:spacing w:beforeLines="100" w:afterLines="100" w:line="240" w:lineRule="auto"/>
        <w:jc w:val="center"/>
        <w:rPr>
          <w:rFonts w:ascii="Times New Roman" w:hAnsi="Times New Roman" w:eastAsia="黑体"/>
          <w:b w:val="0"/>
          <w:bCs w:val="0"/>
          <w:highlight w:val="none"/>
        </w:rPr>
      </w:pPr>
      <w:r>
        <w:rPr>
          <w:rFonts w:ascii="Times New Roman" w:hAnsi="Times New Roman" w:eastAsia="仿宋"/>
          <w:b w:val="0"/>
          <w:highlight w:val="none"/>
        </w:rPr>
        <w:br w:type="page"/>
      </w:r>
      <w:bookmarkStart w:id="102" w:name="_Toc697"/>
      <w:bookmarkStart w:id="103" w:name="_Toc13564"/>
      <w:bookmarkStart w:id="104" w:name="_Toc11078138"/>
      <w:bookmarkStart w:id="105" w:name="_Toc38879317"/>
      <w:bookmarkStart w:id="106" w:name="_Toc140069400"/>
      <w:bookmarkStart w:id="107" w:name="_Toc23161"/>
      <w:r>
        <w:rPr>
          <w:rFonts w:hint="eastAsia" w:ascii="Times New Roman" w:hAnsi="Times New Roman" w:eastAsia="黑体"/>
          <w:b w:val="0"/>
          <w:bCs w:val="0"/>
          <w:highlight w:val="none"/>
        </w:rPr>
        <w:t>附录2  资格审查条件（财务最低要求）</w:t>
      </w:r>
      <w:bookmarkEnd w:id="97"/>
      <w:bookmarkEnd w:id="98"/>
      <w:bookmarkEnd w:id="99"/>
      <w:bookmarkEnd w:id="100"/>
      <w:bookmarkEnd w:id="101"/>
      <w:bookmarkEnd w:id="102"/>
      <w:bookmarkEnd w:id="103"/>
      <w:bookmarkEnd w:id="104"/>
      <w:bookmarkEnd w:id="105"/>
      <w:bookmarkEnd w:id="106"/>
      <w:bookmarkEnd w:id="107"/>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5"/>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5"/>
              <w:adjustRightInd w:val="0"/>
              <w:snapToGrid w:val="0"/>
              <w:spacing w:line="360" w:lineRule="auto"/>
              <w:jc w:val="left"/>
              <w:rPr>
                <w:rFonts w:ascii="Times New Roman" w:hAnsi="Times New Roman"/>
                <w:bCs/>
                <w:sz w:val="24"/>
                <w:szCs w:val="24"/>
                <w:highlight w:val="none"/>
              </w:rPr>
            </w:pPr>
            <w:r>
              <w:rPr>
                <w:rFonts w:hint="eastAsia" w:ascii="MS Mincho" w:hAnsi="MS Mincho" w:eastAsia="MS Mincho" w:cs="MS Mincho"/>
                <w:highlight w:val="none"/>
              </w:rPr>
              <w:t>☑</w:t>
            </w:r>
            <w:r>
              <w:rPr>
                <w:rFonts w:hint="eastAsia" w:ascii="Times New Roman" w:hAnsi="Times New Roman"/>
                <w:bCs/>
                <w:sz w:val="24"/>
                <w:szCs w:val="24"/>
                <w:highlight w:val="none"/>
              </w:rPr>
              <w:t>无需提供。</w:t>
            </w:r>
          </w:p>
          <w:p>
            <w:pPr>
              <w:pStyle w:val="165"/>
              <w:adjustRightInd w:val="0"/>
              <w:snapToGrid w:val="0"/>
              <w:spacing w:line="360" w:lineRule="auto"/>
              <w:jc w:val="left"/>
              <w:rPr>
                <w:rFonts w:ascii="Times New Roman" w:hAnsi="Times New Roman"/>
                <w:bCs/>
                <w:sz w:val="24"/>
                <w:szCs w:val="24"/>
                <w:highlight w:val="none"/>
              </w:rPr>
            </w:pPr>
            <w:r>
              <w:rPr>
                <w:rFonts w:hint="eastAsia" w:ascii="Times New Roman" w:hAnsi="Times New Roman"/>
                <w:bCs/>
                <w:sz w:val="24"/>
                <w:szCs w:val="24"/>
                <w:highlight w:val="none"/>
              </w:rPr>
              <w:t>□需提供以下材料：</w:t>
            </w:r>
          </w:p>
          <w:p>
            <w:pPr>
              <w:pStyle w:val="165"/>
              <w:adjustRightInd w:val="0"/>
              <w:snapToGrid w:val="0"/>
              <w:spacing w:line="360" w:lineRule="auto"/>
              <w:jc w:val="left"/>
              <w:rPr>
                <w:rFonts w:ascii="Times New Roman" w:hAnsi="Times New Roman"/>
                <w:bCs/>
                <w:sz w:val="24"/>
                <w:szCs w:val="24"/>
                <w:highlight w:val="none"/>
              </w:rPr>
            </w:pPr>
            <w:r>
              <w:rPr>
                <w:rFonts w:hint="eastAsia" w:ascii="Times New Roman" w:hAnsi="Times New Roman"/>
                <w:bCs/>
                <w:sz w:val="24"/>
                <w:szCs w:val="24"/>
                <w:highlight w:val="none"/>
              </w:rPr>
              <w:t>经会计师事务所或审计机构审计的财务会计报表，包括资产负债表、现金流量表、利润表、财务情况说明书。</w:t>
            </w:r>
          </w:p>
        </w:tc>
      </w:tr>
    </w:tbl>
    <w:p>
      <w:pPr>
        <w:pStyle w:val="165"/>
        <w:adjustRightInd w:val="0"/>
        <w:snapToGrid w:val="0"/>
        <w:spacing w:line="300" w:lineRule="exact"/>
        <w:ind w:firstLine="480" w:firstLineChars="200"/>
        <w:rPr>
          <w:rFonts w:ascii="Times New Roman" w:hAnsi="Times New Roman"/>
          <w:bCs/>
          <w:snapToGrid w:val="0"/>
          <w:kern w:val="0"/>
          <w:sz w:val="24"/>
          <w:szCs w:val="24"/>
          <w:highlight w:val="none"/>
        </w:rPr>
      </w:pPr>
      <w:r>
        <w:rPr>
          <w:rFonts w:hint="eastAsia" w:ascii="Times New Roman" w:hAnsi="Times New Roman"/>
          <w:bCs/>
          <w:kern w:val="0"/>
          <w:sz w:val="24"/>
          <w:szCs w:val="24"/>
          <w:highlight w:val="none"/>
        </w:rPr>
        <w:t>注：</w:t>
      </w:r>
      <w:r>
        <w:rPr>
          <w:rFonts w:hint="eastAsia" w:ascii="Times New Roman" w:hAnsi="Times New Roman"/>
          <w:bCs/>
          <w:snapToGrid w:val="0"/>
          <w:kern w:val="0"/>
          <w:sz w:val="24"/>
          <w:szCs w:val="24"/>
          <w:highlight w:val="none"/>
        </w:rPr>
        <w:t>证明材料</w:t>
      </w:r>
      <w:r>
        <w:rPr>
          <w:rFonts w:hint="eastAsia" w:ascii="Times New Roman" w:hAnsi="Times New Roman"/>
          <w:bCs/>
          <w:kern w:val="0"/>
          <w:sz w:val="24"/>
          <w:szCs w:val="24"/>
          <w:highlight w:val="none"/>
        </w:rPr>
        <w:t>的信息应完整或能充分证明满足评审需要</w:t>
      </w:r>
      <w:r>
        <w:rPr>
          <w:rFonts w:hint="eastAsia" w:ascii="Times New Roman" w:hAnsi="Times New Roman"/>
          <w:bCs/>
          <w:snapToGrid w:val="0"/>
          <w:kern w:val="0"/>
          <w:sz w:val="24"/>
          <w:szCs w:val="24"/>
          <w:highlight w:val="none"/>
        </w:rPr>
        <w:t>。</w:t>
      </w:r>
    </w:p>
    <w:p>
      <w:pPr>
        <w:pStyle w:val="4"/>
        <w:spacing w:beforeLines="100" w:afterLines="100" w:line="240" w:lineRule="auto"/>
        <w:jc w:val="center"/>
        <w:rPr>
          <w:rFonts w:ascii="Times New Roman" w:hAnsi="Times New Roman" w:eastAsia="黑体"/>
          <w:b w:val="0"/>
          <w:bCs w:val="0"/>
          <w:highlight w:val="none"/>
        </w:rPr>
      </w:pPr>
      <w:r>
        <w:rPr>
          <w:rFonts w:ascii="Times New Roman" w:hAnsi="Times New Roman"/>
          <w:b w:val="0"/>
          <w:bCs w:val="0"/>
          <w:szCs w:val="21"/>
          <w:highlight w:val="none"/>
        </w:rPr>
        <w:br w:type="page"/>
      </w:r>
      <w:bookmarkStart w:id="108" w:name="_Toc460660064"/>
      <w:bookmarkStart w:id="109" w:name="_Toc460226991"/>
      <w:bookmarkStart w:id="110" w:name="_Toc28740"/>
      <w:bookmarkStart w:id="111" w:name="_Toc19832"/>
      <w:bookmarkStart w:id="112" w:name="_Toc283798418"/>
      <w:bookmarkStart w:id="113" w:name="_Toc460226722"/>
      <w:bookmarkStart w:id="114" w:name="_Toc421916977"/>
      <w:bookmarkStart w:id="115" w:name="_Toc8062"/>
      <w:bookmarkStart w:id="116" w:name="_Toc11078139"/>
      <w:bookmarkStart w:id="117" w:name="_Toc38879318"/>
      <w:bookmarkStart w:id="118" w:name="_Toc140069401"/>
      <w:r>
        <w:rPr>
          <w:rFonts w:hint="eastAsia" w:ascii="Times New Roman" w:hAnsi="Times New Roman" w:eastAsia="黑体"/>
          <w:b w:val="0"/>
          <w:bCs w:val="0"/>
          <w:highlight w:val="none"/>
        </w:rPr>
        <w:t>附录3  资格审查条件</w:t>
      </w:r>
      <w:bookmarkEnd w:id="108"/>
      <w:bookmarkEnd w:id="109"/>
      <w:bookmarkEnd w:id="110"/>
      <w:bookmarkEnd w:id="111"/>
      <w:bookmarkEnd w:id="112"/>
      <w:bookmarkEnd w:id="113"/>
      <w:bookmarkEnd w:id="114"/>
      <w:bookmarkEnd w:id="115"/>
      <w:bookmarkEnd w:id="116"/>
      <w:bookmarkEnd w:id="117"/>
      <w:r>
        <w:rPr>
          <w:rFonts w:hint="eastAsia" w:ascii="Times New Roman" w:hAnsi="Times New Roman" w:eastAsia="黑体"/>
          <w:b w:val="0"/>
          <w:bCs w:val="0"/>
          <w:highlight w:val="none"/>
        </w:rPr>
        <w:t>（业绩最低要求）</w:t>
      </w:r>
      <w:bookmarkEnd w:id="118"/>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5"/>
              <w:adjustRightInd w:val="0"/>
              <w:snapToGrid w:val="0"/>
              <w:jc w:val="center"/>
              <w:rPr>
                <w:rFonts w:ascii="Times New Roman" w:hAnsi="Times New Roman"/>
                <w:bCs/>
                <w:sz w:val="24"/>
                <w:szCs w:val="24"/>
                <w:highlight w:val="none"/>
              </w:rPr>
            </w:pPr>
            <w:r>
              <w:rPr>
                <w:rFonts w:ascii="Times New Roman" w:hAnsi="Times New Roman"/>
                <w:bCs/>
                <w:sz w:val="24"/>
                <w:szCs w:val="24"/>
                <w:highlight w:val="none"/>
              </w:rPr>
              <w:t>投标人</w:t>
            </w:r>
            <w:r>
              <w:rPr>
                <w:rFonts w:hint="eastAsia" w:ascii="Times New Roman" w:hAnsi="Times New Roman"/>
                <w:bCs/>
                <w:sz w:val="24"/>
                <w:szCs w:val="24"/>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bCs/>
                <w:szCs w:val="24"/>
                <w:highlight w:val="none"/>
              </w:rPr>
            </w:pPr>
            <w:r>
              <w:rPr>
                <w:rFonts w:hint="eastAsia" w:ascii="Times New Roman"/>
                <w:bCs/>
                <w:szCs w:val="24"/>
                <w:highlight w:val="none"/>
              </w:rPr>
              <w:t>见招标公告。</w:t>
            </w:r>
          </w:p>
        </w:tc>
      </w:tr>
    </w:tbl>
    <w:p>
      <w:pPr>
        <w:adjustRightInd w:val="0"/>
        <w:snapToGrid w:val="0"/>
        <w:spacing w:line="360" w:lineRule="auto"/>
        <w:ind w:firstLine="480" w:firstLineChars="200"/>
        <w:rPr>
          <w:rFonts w:hAnsi="宋体" w:cs="宋体"/>
          <w:bCs/>
          <w:snapToGrid w:val="0"/>
          <w:highlight w:val="none"/>
        </w:rPr>
      </w:pPr>
      <w:r>
        <w:rPr>
          <w:rFonts w:hint="eastAsia" w:hAnsi="宋体" w:cs="宋体"/>
          <w:bCs/>
          <w:snapToGrid w:val="0"/>
          <w:highlight w:val="none"/>
        </w:rPr>
        <w:t>注：</w:t>
      </w:r>
    </w:p>
    <w:p>
      <w:pPr>
        <w:spacing w:line="360" w:lineRule="auto"/>
        <w:ind w:firstLine="480" w:firstLineChars="200"/>
        <w:rPr>
          <w:rFonts w:hAnsi="宋体" w:cs="宋体"/>
          <w:bCs/>
          <w:highlight w:val="none"/>
        </w:rPr>
      </w:pPr>
      <w:r>
        <w:rPr>
          <w:rFonts w:hint="eastAsia" w:hAnsi="宋体" w:cs="宋体"/>
          <w:bCs/>
          <w:highlight w:val="none"/>
        </w:rPr>
        <w:t>1.</w:t>
      </w:r>
      <w:r>
        <w:rPr>
          <w:rFonts w:hint="eastAsia" w:hAnsi="宋体"/>
          <w:highlight w:val="none"/>
        </w:rPr>
        <w:t>投标人应提供下列勾选的业绩证明材料</w:t>
      </w:r>
      <w:r>
        <w:rPr>
          <w:rFonts w:hint="eastAsia" w:hAnsi="宋体" w:cs="宋体"/>
          <w:bCs/>
          <w:highlight w:val="none"/>
        </w:rPr>
        <w:t>：</w:t>
      </w:r>
    </w:p>
    <w:p>
      <w:pPr>
        <w:spacing w:line="360" w:lineRule="auto"/>
        <w:ind w:firstLine="480" w:firstLineChars="200"/>
        <w:rPr>
          <w:rFonts w:hAnsi="宋体" w:cs="宋体"/>
          <w:bCs/>
          <w:highlight w:val="none"/>
        </w:rPr>
      </w:pPr>
      <w:r>
        <w:rPr>
          <w:rFonts w:hint="eastAsia" w:hAnsi="宋体" w:cs="宋体"/>
          <w:bCs/>
          <w:highlight w:val="none"/>
        </w:rPr>
        <w:t>□（1）合同；</w:t>
      </w:r>
    </w:p>
    <w:p>
      <w:pPr>
        <w:spacing w:line="360" w:lineRule="auto"/>
        <w:ind w:firstLine="480" w:firstLineChars="200"/>
        <w:rPr>
          <w:rFonts w:hAnsi="宋体" w:cs="宋体"/>
          <w:bCs/>
          <w:highlight w:val="none"/>
        </w:rPr>
      </w:pPr>
      <w:r>
        <w:rPr>
          <w:rFonts w:hint="eastAsia" w:hAnsi="宋体" w:cs="宋体"/>
          <w:bCs/>
          <w:highlight w:val="none"/>
        </w:rPr>
        <w:t>□（2）供货安装完毕并验收合格的相关证明文件（如验收证书或合同甲方开具的证明等）；</w:t>
      </w:r>
    </w:p>
    <w:p>
      <w:pPr>
        <w:adjustRightInd w:val="0"/>
        <w:snapToGrid w:val="0"/>
        <w:spacing w:line="360" w:lineRule="auto"/>
        <w:ind w:firstLine="480" w:firstLineChars="200"/>
        <w:rPr>
          <w:rFonts w:hAnsi="宋体" w:cs="宋体"/>
          <w:bCs/>
          <w:snapToGrid w:val="0"/>
          <w:highlight w:val="none"/>
        </w:rPr>
      </w:pPr>
      <w:r>
        <w:rPr>
          <w:rFonts w:hint="eastAsia" w:hAnsi="宋体" w:cs="宋体"/>
          <w:highlight w:val="none"/>
        </w:rPr>
        <w:t>□（3）其他材料：</w:t>
      </w:r>
      <w:r>
        <w:rPr>
          <w:rFonts w:hint="eastAsia" w:hAnsi="宋体" w:cs="宋体"/>
          <w:highlight w:val="none"/>
          <w:u w:val="single"/>
        </w:rPr>
        <w:t xml:space="preserve">  /    </w:t>
      </w:r>
    </w:p>
    <w:p>
      <w:pPr>
        <w:adjustRightInd w:val="0"/>
        <w:snapToGrid w:val="0"/>
        <w:spacing w:line="360" w:lineRule="auto"/>
        <w:ind w:firstLine="480" w:firstLineChars="200"/>
        <w:rPr>
          <w:rFonts w:ascii="Times New Roman"/>
          <w:szCs w:val="21"/>
          <w:highlight w:val="none"/>
        </w:rPr>
      </w:pPr>
      <w:r>
        <w:rPr>
          <w:rFonts w:hint="eastAsia" w:hAnsi="宋体" w:cs="宋体"/>
          <w:highlight w:val="none"/>
        </w:rPr>
        <w:t>2.业绩需在商务文件中“资格审查资料”栏“投标人业绩情况表（资格审查）”中注明并提供相关证明材料。如投标人提供的上述业绩证明材料未能完整或充分反映评审因素（如</w:t>
      </w:r>
      <w:r>
        <w:rPr>
          <w:rFonts w:hint="eastAsia" w:hAnsi="宋体" w:cs="宋体"/>
          <w:highlight w:val="none"/>
          <w:u w:val="single"/>
        </w:rPr>
        <w:t xml:space="preserve">  /    </w:t>
      </w:r>
      <w:r>
        <w:rPr>
          <w:rFonts w:hint="eastAsia" w:hAnsi="宋体" w:cs="宋体"/>
          <w:highlight w:val="none"/>
        </w:rPr>
        <w:t>）的，应另附合同甲方证明材料（须加盖合同甲方单位章）予以明确说明，否则评标委员会不予认可</w:t>
      </w:r>
      <w:r>
        <w:rPr>
          <w:rFonts w:hint="eastAsia" w:ascii="Times New Roman"/>
          <w:szCs w:val="21"/>
          <w:highlight w:val="none"/>
        </w:rPr>
        <w:t>。</w:t>
      </w:r>
    </w:p>
    <w:p>
      <w:pPr>
        <w:spacing w:line="360" w:lineRule="auto"/>
        <w:ind w:firstLine="480" w:firstLineChars="200"/>
        <w:rPr>
          <w:rFonts w:hAnsi="宋体" w:cs="宋体"/>
          <w:bCs/>
          <w:highlight w:val="none"/>
        </w:rPr>
      </w:pPr>
      <w:r>
        <w:rPr>
          <w:rFonts w:hint="eastAsia" w:hAnsi="宋体" w:cs="宋体"/>
          <w:bCs/>
          <w:highlight w:val="none"/>
        </w:rPr>
        <w:t>3.本招标项目投标人业绩(资格审查)数量:</w:t>
      </w:r>
      <w:r>
        <w:rPr>
          <w:rFonts w:hint="eastAsia" w:hAnsi="宋体" w:cs="宋体"/>
          <w:bCs/>
          <w:highlight w:val="none"/>
          <w:u w:val="single"/>
        </w:rPr>
        <w:t xml:space="preserve">   0   </w:t>
      </w:r>
      <w:r>
        <w:rPr>
          <w:rFonts w:hint="eastAsia" w:hAnsi="宋体" w:cs="宋体"/>
          <w:bCs/>
          <w:highlight w:val="none"/>
        </w:rPr>
        <w:t>个。</w:t>
      </w:r>
    </w:p>
    <w:p>
      <w:pPr>
        <w:rPr>
          <w:highlight w:val="none"/>
        </w:rPr>
      </w:pPr>
    </w:p>
    <w:p>
      <w:pPr>
        <w:rPr>
          <w:highlight w:val="none"/>
        </w:rPr>
      </w:pPr>
    </w:p>
    <w:p>
      <w:pPr>
        <w:pStyle w:val="4"/>
        <w:spacing w:beforeLines="100" w:afterLines="100" w:line="240" w:lineRule="auto"/>
        <w:jc w:val="center"/>
        <w:rPr>
          <w:rFonts w:ascii="Times New Roman" w:hAnsi="Times New Roman" w:eastAsia="黑体"/>
          <w:b w:val="0"/>
          <w:bCs w:val="0"/>
          <w:highlight w:val="none"/>
        </w:rPr>
      </w:pPr>
      <w:r>
        <w:rPr>
          <w:rFonts w:ascii="Times New Roman" w:hAnsi="Times New Roman"/>
          <w:b w:val="0"/>
          <w:snapToGrid w:val="0"/>
          <w:sz w:val="21"/>
          <w:szCs w:val="21"/>
          <w:highlight w:val="none"/>
        </w:rPr>
        <w:br w:type="page"/>
      </w:r>
      <w:bookmarkStart w:id="119" w:name="_Toc11078140"/>
      <w:bookmarkStart w:id="120" w:name="_Toc140069402"/>
      <w:bookmarkStart w:id="121" w:name="_Toc10084"/>
      <w:bookmarkStart w:id="122" w:name="_Toc38879319"/>
      <w:bookmarkStart w:id="123" w:name="_Toc4225"/>
      <w:bookmarkStart w:id="124" w:name="_Toc30200"/>
      <w:bookmarkStart w:id="125" w:name="_Toc460226992"/>
      <w:bookmarkStart w:id="126" w:name="_Toc460226723"/>
      <w:bookmarkStart w:id="127" w:name="_Toc421916978"/>
      <w:r>
        <w:rPr>
          <w:rFonts w:hint="eastAsia" w:ascii="Times New Roman" w:hAnsi="Times New Roman" w:eastAsia="黑体"/>
          <w:b w:val="0"/>
          <w:bCs w:val="0"/>
          <w:highlight w:val="none"/>
        </w:rPr>
        <w:t>附录4  资格审查条件（信誉最低要求）</w:t>
      </w:r>
      <w:bookmarkEnd w:id="119"/>
      <w:bookmarkEnd w:id="120"/>
      <w:bookmarkEnd w:id="121"/>
      <w:bookmarkEnd w:id="122"/>
      <w:bookmarkEnd w:id="123"/>
      <w:bookmarkEnd w:id="124"/>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5"/>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bCs/>
                <w:szCs w:val="24"/>
                <w:highlight w:val="none"/>
              </w:rPr>
            </w:pPr>
            <w:r>
              <w:rPr>
                <w:rFonts w:hint="eastAsia" w:ascii="Times New Roman"/>
                <w:bCs/>
                <w:highlight w:val="none"/>
              </w:rPr>
              <w:t>见招标公告。</w:t>
            </w:r>
          </w:p>
        </w:tc>
      </w:tr>
    </w:tbl>
    <w:p>
      <w:pPr>
        <w:pStyle w:val="165"/>
        <w:adjustRightInd w:val="0"/>
        <w:snapToGrid w:val="0"/>
        <w:spacing w:line="360" w:lineRule="auto"/>
        <w:ind w:firstLine="480" w:firstLineChars="200"/>
        <w:rPr>
          <w:rFonts w:ascii="Times New Roman" w:hAnsi="Times New Roman"/>
          <w:bCs/>
          <w:snapToGrid w:val="0"/>
          <w:kern w:val="0"/>
          <w:sz w:val="24"/>
          <w:szCs w:val="24"/>
          <w:highlight w:val="none"/>
        </w:rPr>
      </w:pPr>
      <w:bookmarkStart w:id="128" w:name="_Toc460660065"/>
      <w:bookmarkStart w:id="129" w:name="_Toc38879320"/>
      <w:bookmarkStart w:id="130" w:name="_Toc11078141"/>
      <w:r>
        <w:rPr>
          <w:rFonts w:hint="eastAsia" w:ascii="Times New Roman" w:hAnsi="Times New Roman"/>
          <w:bCs/>
          <w:snapToGrid w:val="0"/>
          <w:kern w:val="0"/>
          <w:sz w:val="24"/>
          <w:szCs w:val="24"/>
          <w:highlight w:val="none"/>
        </w:rPr>
        <w:t>注：投标人无需提供证明材料，由评标委员会通过电子服务系统查询。</w:t>
      </w:r>
    </w:p>
    <w:p>
      <w:pPr>
        <w:pStyle w:val="4"/>
        <w:spacing w:beforeLines="100" w:afterLines="100" w:line="240" w:lineRule="auto"/>
        <w:jc w:val="center"/>
        <w:rPr>
          <w:rFonts w:ascii="Times New Roman" w:hAnsi="Times New Roman" w:eastAsia="黑体"/>
          <w:b w:val="0"/>
          <w:bCs w:val="0"/>
          <w:highlight w:val="none"/>
        </w:rPr>
      </w:pPr>
      <w:r>
        <w:rPr>
          <w:rFonts w:ascii="Times New Roman" w:hAnsi="Times New Roman" w:eastAsia="黑体"/>
          <w:b w:val="0"/>
          <w:highlight w:val="none"/>
        </w:rPr>
        <w:br w:type="page"/>
      </w:r>
      <w:bookmarkStart w:id="131" w:name="_Toc22030"/>
      <w:bookmarkStart w:id="132" w:name="_Toc140069403"/>
      <w:bookmarkStart w:id="133" w:name="_Toc2606"/>
      <w:bookmarkStart w:id="134" w:name="_Toc30197"/>
      <w:r>
        <w:rPr>
          <w:rFonts w:hint="eastAsia" w:ascii="Times New Roman" w:hAnsi="Times New Roman" w:eastAsia="黑体"/>
          <w:b w:val="0"/>
          <w:bCs w:val="0"/>
          <w:highlight w:val="none"/>
        </w:rPr>
        <w:t>附录5  资格审查条件（</w:t>
      </w:r>
      <w:r>
        <w:rPr>
          <w:rFonts w:hint="eastAsia" w:ascii="黑体" w:hAnsi="黑体" w:eastAsia="黑体" w:cs="黑体"/>
          <w:b w:val="0"/>
          <w:highlight w:val="none"/>
        </w:rPr>
        <w:t>项目负责人最低要求</w:t>
      </w:r>
      <w:r>
        <w:rPr>
          <w:rFonts w:hint="eastAsia" w:ascii="Times New Roman" w:hAnsi="Times New Roman" w:eastAsia="黑体"/>
          <w:b w:val="0"/>
          <w:bCs w:val="0"/>
          <w:highlight w:val="none"/>
        </w:rPr>
        <w:t>）</w:t>
      </w:r>
      <w:bookmarkEnd w:id="125"/>
      <w:bookmarkEnd w:id="126"/>
      <w:bookmarkEnd w:id="127"/>
      <w:bookmarkEnd w:id="128"/>
      <w:bookmarkEnd w:id="129"/>
      <w:bookmarkEnd w:id="130"/>
      <w:bookmarkEnd w:id="131"/>
      <w:bookmarkEnd w:id="132"/>
      <w:bookmarkEnd w:id="133"/>
      <w:bookmarkEnd w:id="134"/>
    </w:p>
    <w:tbl>
      <w:tblPr>
        <w:tblStyle w:val="52"/>
        <w:tblW w:w="4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5"/>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9"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5"/>
              <w:widowControl/>
              <w:spacing w:line="360" w:lineRule="auto"/>
              <w:jc w:val="left"/>
              <w:rPr>
                <w:rFonts w:ascii="宋体" w:hAnsi="宋体" w:cs="宋体"/>
                <w:bCs/>
                <w:snapToGrid w:val="0"/>
                <w:kern w:val="0"/>
                <w:sz w:val="24"/>
                <w:szCs w:val="24"/>
                <w:highlight w:val="none"/>
              </w:rPr>
            </w:pPr>
            <w:r>
              <w:rPr>
                <w:rFonts w:hint="eastAsia" w:ascii="宋体" w:hAnsi="宋体" w:cs="宋体"/>
                <w:sz w:val="24"/>
                <w:highlight w:val="none"/>
              </w:rPr>
              <w:t>1.</w:t>
            </w:r>
            <w:r>
              <w:rPr>
                <w:rFonts w:hint="eastAsia" w:ascii="宋体" w:hAnsi="宋体" w:cs="宋体"/>
                <w:bCs/>
                <w:snapToGrid w:val="0"/>
                <w:kern w:val="0"/>
                <w:sz w:val="24"/>
                <w:szCs w:val="24"/>
                <w:highlight w:val="none"/>
              </w:rPr>
              <w:t>项目负责人必须是本单位人员。</w:t>
            </w:r>
          </w:p>
          <w:p>
            <w:pPr>
              <w:widowControl/>
              <w:spacing w:line="360" w:lineRule="auto"/>
              <w:jc w:val="left"/>
              <w:rPr>
                <w:rFonts w:hAnsi="宋体" w:cs="宋体"/>
                <w:bCs/>
                <w:snapToGrid w:val="0"/>
                <w:highlight w:val="none"/>
              </w:rPr>
            </w:pPr>
            <w:r>
              <w:rPr>
                <w:rFonts w:hint="eastAsia" w:hAnsi="宋体" w:cs="宋体"/>
                <w:bCs/>
                <w:highlight w:val="none"/>
              </w:rPr>
              <w:t>2.</w:t>
            </w:r>
            <w:r>
              <w:rPr>
                <w:rFonts w:hint="eastAsia" w:hAnsi="宋体" w:cs="宋体"/>
                <w:bCs/>
                <w:snapToGrid w:val="0"/>
                <w:highlight w:val="none"/>
              </w:rPr>
              <w:t>项目负责人业绩具体要求见招标公告</w:t>
            </w:r>
            <w:r>
              <w:rPr>
                <w:rFonts w:hint="eastAsia" w:hAnsi="宋体" w:cs="宋体"/>
                <w:bCs/>
                <w:snapToGrid w:val="0"/>
                <w:highlight w:val="none"/>
                <w:lang w:eastAsia="zh-CN"/>
              </w:rPr>
              <w:t>（</w:t>
            </w:r>
            <w:r>
              <w:rPr>
                <w:rFonts w:hint="eastAsia" w:hAnsi="宋体" w:cs="宋体"/>
                <w:bCs/>
                <w:snapToGrid w:val="0"/>
                <w:highlight w:val="none"/>
                <w:lang w:val="en-US" w:eastAsia="zh-CN"/>
              </w:rPr>
              <w:t>如有</w:t>
            </w:r>
            <w:r>
              <w:rPr>
                <w:rFonts w:hint="eastAsia" w:hAnsi="宋体" w:cs="宋体"/>
                <w:bCs/>
                <w:snapToGrid w:val="0"/>
                <w:highlight w:val="none"/>
                <w:lang w:eastAsia="zh-CN"/>
              </w:rPr>
              <w:t>）</w:t>
            </w:r>
            <w:r>
              <w:rPr>
                <w:rFonts w:hint="eastAsia" w:hAnsi="宋体" w:cs="宋体"/>
                <w:bCs/>
                <w:snapToGrid w:val="0"/>
                <w:highlight w:val="none"/>
              </w:rPr>
              <w:t>。</w:t>
            </w:r>
          </w:p>
          <w:p>
            <w:pPr>
              <w:spacing w:line="360" w:lineRule="auto"/>
              <w:rPr>
                <w:rFonts w:ascii="Times New Roman" w:cs="楷体"/>
                <w:bCs/>
                <w:snapToGrid w:val="0"/>
                <w:szCs w:val="24"/>
                <w:highlight w:val="none"/>
              </w:rPr>
            </w:pPr>
            <w:r>
              <w:rPr>
                <w:rFonts w:hint="eastAsia" w:ascii="MS Mincho" w:hAnsi="MS Mincho" w:eastAsia="MS Mincho" w:cs="MS Mincho"/>
                <w:highlight w:val="none"/>
              </w:rPr>
              <w:t>☑</w:t>
            </w:r>
            <w:r>
              <w:rPr>
                <w:rFonts w:hint="eastAsia" w:hAnsi="宋体" w:cs="宋体"/>
                <w:bCs/>
                <w:snapToGrid w:val="0"/>
                <w:highlight w:val="none"/>
              </w:rPr>
              <w:t>社保要求：</w:t>
            </w:r>
            <w:r>
              <w:rPr>
                <w:rFonts w:hint="eastAsia" w:ascii="Times New Roman" w:cs="楷体"/>
                <w:bCs/>
                <w:snapToGrid w:val="0"/>
                <w:szCs w:val="24"/>
                <w:highlight w:val="none"/>
              </w:rPr>
              <w:t>提供投标人所属社保机构出具的项目负责人</w:t>
            </w:r>
            <w:r>
              <w:rPr>
                <w:rFonts w:hint="eastAsia" w:ascii="Times New Roman" w:cs="楷体"/>
                <w:bCs/>
                <w:snapToGrid w:val="0"/>
                <w:szCs w:val="24"/>
                <w:highlight w:val="none"/>
                <w:u w:val="single"/>
              </w:rPr>
              <w:t>自202</w:t>
            </w:r>
            <w:r>
              <w:rPr>
                <w:rFonts w:hint="eastAsia" w:ascii="Times New Roman" w:cs="楷体"/>
                <w:bCs/>
                <w:snapToGrid w:val="0"/>
                <w:szCs w:val="24"/>
                <w:highlight w:val="none"/>
                <w:u w:val="single"/>
                <w:lang w:val="en-US" w:eastAsia="zh-CN"/>
              </w:rPr>
              <w:t>5</w:t>
            </w:r>
            <w:r>
              <w:rPr>
                <w:rFonts w:hint="eastAsia" w:ascii="Times New Roman" w:cs="楷体"/>
                <w:bCs/>
                <w:snapToGrid w:val="0"/>
                <w:szCs w:val="24"/>
                <w:highlight w:val="none"/>
                <w:u w:val="single"/>
              </w:rPr>
              <w:t>年</w:t>
            </w:r>
            <w:r>
              <w:rPr>
                <w:rFonts w:hint="eastAsia" w:ascii="Times New Roman" w:cs="楷体"/>
                <w:bCs/>
                <w:snapToGrid w:val="0"/>
                <w:szCs w:val="24"/>
                <w:highlight w:val="none"/>
                <w:u w:val="single"/>
                <w:lang w:val="en-US" w:eastAsia="zh-CN"/>
              </w:rPr>
              <w:t>1</w:t>
            </w:r>
            <w:r>
              <w:rPr>
                <w:rFonts w:hint="eastAsia" w:ascii="Times New Roman" w:cs="楷体"/>
                <w:bCs/>
                <w:snapToGrid w:val="0"/>
                <w:szCs w:val="24"/>
                <w:highlight w:val="none"/>
                <w:u w:val="single"/>
              </w:rPr>
              <w:t>月1日以来任意连续三个月的</w:t>
            </w:r>
            <w:r>
              <w:rPr>
                <w:rFonts w:hint="eastAsia" w:ascii="Times New Roman" w:cs="楷体"/>
                <w:bCs/>
                <w:snapToGrid w:val="0"/>
                <w:szCs w:val="24"/>
                <w:highlight w:val="none"/>
              </w:rPr>
              <w:t>社保缴费证明（或其他能够证明项目负责人参加社保的有效证明）材料，项目负责人的社保缴纳单位应当是投标人或者投标人不具备独立法人资格的分支机构。</w:t>
            </w:r>
          </w:p>
          <w:p>
            <w:pPr>
              <w:spacing w:line="360" w:lineRule="auto"/>
              <w:rPr>
                <w:highlight w:val="none"/>
              </w:rPr>
            </w:pPr>
            <w:r>
              <w:rPr>
                <w:rFonts w:hint="eastAsia" w:ascii="Times New Roman" w:cs="楷体"/>
                <w:bCs/>
                <w:snapToGrid w:val="0"/>
                <w:szCs w:val="24"/>
                <w:highlight w:val="none"/>
              </w:rPr>
              <w:t>（社保缴费证明或社保的有效证明材料至少含养老保险）</w:t>
            </w:r>
          </w:p>
        </w:tc>
      </w:tr>
    </w:tbl>
    <w:p>
      <w:pPr>
        <w:pStyle w:val="165"/>
        <w:adjustRightInd w:val="0"/>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注：</w:t>
      </w:r>
    </w:p>
    <w:p>
      <w:pPr>
        <w:spacing w:line="360" w:lineRule="auto"/>
        <w:ind w:firstLine="480" w:firstLineChars="200"/>
        <w:rPr>
          <w:rFonts w:hAnsi="宋体" w:cs="宋体"/>
          <w:bCs/>
          <w:snapToGrid w:val="0"/>
          <w:highlight w:val="none"/>
        </w:rPr>
      </w:pPr>
      <w:r>
        <w:rPr>
          <w:rFonts w:hint="eastAsia" w:hAnsi="宋体" w:cs="宋体"/>
          <w:bCs/>
          <w:snapToGrid w:val="0"/>
          <w:highlight w:val="none"/>
        </w:rPr>
        <w:t>1.</w:t>
      </w:r>
      <w:r>
        <w:rPr>
          <w:rFonts w:hint="eastAsia" w:ascii="Times New Roman"/>
          <w:szCs w:val="21"/>
          <w:highlight w:val="none"/>
        </w:rPr>
        <w:t>投标人应提供</w:t>
      </w:r>
      <w:r>
        <w:rPr>
          <w:rFonts w:hint="eastAsia" w:hAnsi="宋体" w:cs="宋体"/>
          <w:highlight w:val="none"/>
        </w:rPr>
        <w:t>项目负责人</w:t>
      </w:r>
      <w:r>
        <w:rPr>
          <w:rFonts w:hint="eastAsia" w:ascii="Times New Roman"/>
          <w:szCs w:val="21"/>
          <w:highlight w:val="none"/>
        </w:rPr>
        <w:t>参加社保的有效证明材料。</w:t>
      </w:r>
    </w:p>
    <w:p>
      <w:pPr>
        <w:spacing w:line="360" w:lineRule="auto"/>
        <w:ind w:firstLine="480" w:firstLineChars="200"/>
        <w:rPr>
          <w:rFonts w:hAnsi="宋体" w:cs="宋体"/>
          <w:highlight w:val="none"/>
        </w:rPr>
      </w:pPr>
      <w:r>
        <w:rPr>
          <w:rFonts w:hint="eastAsia" w:hAnsi="宋体" w:cs="宋体"/>
          <w:bCs/>
          <w:snapToGrid w:val="0"/>
          <w:highlight w:val="none"/>
        </w:rPr>
        <w:t>2.</w:t>
      </w:r>
      <w:r>
        <w:rPr>
          <w:rFonts w:hint="eastAsia" w:ascii="Times New Roman"/>
          <w:szCs w:val="24"/>
          <w:highlight w:val="none"/>
        </w:rPr>
        <w:t>投标人应提供下列类别勾选的业绩证明材料：</w:t>
      </w:r>
    </w:p>
    <w:p>
      <w:pPr>
        <w:spacing w:line="360" w:lineRule="auto"/>
        <w:ind w:firstLine="480" w:firstLineChars="200"/>
        <w:rPr>
          <w:rFonts w:hAnsi="宋体" w:cs="宋体"/>
          <w:bCs/>
          <w:highlight w:val="none"/>
        </w:rPr>
      </w:pPr>
      <w:r>
        <w:rPr>
          <w:rFonts w:hint="eastAsia" w:hAnsi="宋体" w:cs="宋体"/>
          <w:bCs/>
          <w:highlight w:val="none"/>
        </w:rPr>
        <w:t>□（1）合同；</w:t>
      </w:r>
    </w:p>
    <w:p>
      <w:pPr>
        <w:spacing w:line="360" w:lineRule="auto"/>
        <w:ind w:firstLine="480" w:firstLineChars="200"/>
        <w:rPr>
          <w:rFonts w:hAnsi="宋体" w:cs="宋体"/>
          <w:bCs/>
          <w:highlight w:val="none"/>
        </w:rPr>
      </w:pPr>
      <w:r>
        <w:rPr>
          <w:rFonts w:hint="eastAsia" w:hAnsi="宋体" w:cs="宋体"/>
          <w:bCs/>
          <w:highlight w:val="none"/>
        </w:rPr>
        <w:t>□（2）供货安装完毕并验收合格的相关证明文件（如验收证书或合同甲方开具的证明等）；</w:t>
      </w:r>
    </w:p>
    <w:p>
      <w:pPr>
        <w:spacing w:line="360" w:lineRule="auto"/>
        <w:ind w:firstLine="480" w:firstLineChars="200"/>
        <w:rPr>
          <w:rFonts w:hAnsi="宋体" w:cs="宋体"/>
          <w:highlight w:val="none"/>
          <w:u w:val="single"/>
        </w:rPr>
      </w:pPr>
      <w:r>
        <w:rPr>
          <w:rFonts w:hint="eastAsia" w:hAnsi="宋体" w:cs="宋体"/>
          <w:highlight w:val="none"/>
        </w:rPr>
        <w:t>□（3）其他材料：</w:t>
      </w:r>
      <w:r>
        <w:rPr>
          <w:rFonts w:hint="eastAsia" w:hAnsi="宋体" w:cs="宋体"/>
          <w:highlight w:val="none"/>
          <w:u w:val="single"/>
        </w:rPr>
        <w:t xml:space="preserve">   /   </w:t>
      </w:r>
    </w:p>
    <w:p>
      <w:pPr>
        <w:adjustRightInd w:val="0"/>
        <w:snapToGrid w:val="0"/>
        <w:spacing w:line="360" w:lineRule="auto"/>
        <w:ind w:firstLine="480" w:firstLineChars="200"/>
        <w:rPr>
          <w:rFonts w:ascii="Times New Roman"/>
          <w:szCs w:val="24"/>
          <w:highlight w:val="none"/>
        </w:rPr>
      </w:pPr>
      <w:r>
        <w:rPr>
          <w:rFonts w:hint="eastAsia" w:hAnsi="宋体" w:cs="宋体"/>
          <w:highlight w:val="none"/>
        </w:rPr>
        <w:t>注：</w:t>
      </w:r>
      <w:r>
        <w:rPr>
          <w:rFonts w:hint="eastAsia" w:ascii="Times New Roman"/>
          <w:szCs w:val="24"/>
          <w:highlight w:val="none"/>
        </w:rPr>
        <w:t>业绩需在商务文件中“资格审查资料”栏“项目负责人业绩情况表（资格审查）”中注明并提供相关证明材料。如投标人提供的上述业绩证明材料未能完整或充分反映评审因素（如</w:t>
      </w:r>
      <w:r>
        <w:rPr>
          <w:rFonts w:hint="eastAsia" w:ascii="Times New Roman"/>
          <w:szCs w:val="24"/>
          <w:highlight w:val="none"/>
          <w:u w:val="single"/>
        </w:rPr>
        <w:t xml:space="preserve">  /    </w:t>
      </w:r>
      <w:r>
        <w:rPr>
          <w:rFonts w:hint="eastAsia" w:ascii="Times New Roman"/>
          <w:szCs w:val="24"/>
          <w:highlight w:val="none"/>
        </w:rPr>
        <w:t>）的，应另附合同甲方证明材料（须加盖合同甲方单位章）予以明确说明，否则评标委员会不予认可。</w:t>
      </w:r>
    </w:p>
    <w:p>
      <w:pPr>
        <w:adjustRightInd w:val="0"/>
        <w:snapToGrid w:val="0"/>
        <w:spacing w:line="360" w:lineRule="auto"/>
        <w:ind w:firstLine="480" w:firstLineChars="200"/>
        <w:rPr>
          <w:rFonts w:ascii="Times New Roman"/>
          <w:szCs w:val="24"/>
          <w:highlight w:val="none"/>
        </w:rPr>
      </w:pPr>
      <w:r>
        <w:rPr>
          <w:rFonts w:hint="eastAsia" w:ascii="Times New Roman"/>
          <w:szCs w:val="24"/>
          <w:highlight w:val="none"/>
        </w:rPr>
        <w:t>3.投标人提供的项目负责人业绩证明材料应反映出本招标项目的项目负责人在此业绩中担任过</w:t>
      </w:r>
      <w:r>
        <w:rPr>
          <w:rFonts w:hint="eastAsia" w:ascii="Times New Roman"/>
          <w:szCs w:val="24"/>
          <w:highlight w:val="none"/>
          <w:u w:val="single"/>
        </w:rPr>
        <w:t xml:space="preserve">   /   </w:t>
      </w:r>
      <w:r>
        <w:rPr>
          <w:rFonts w:hint="eastAsia" w:ascii="Times New Roman"/>
          <w:szCs w:val="24"/>
          <w:highlight w:val="none"/>
        </w:rPr>
        <w:t>的岗位。</w:t>
      </w:r>
    </w:p>
    <w:p>
      <w:pPr>
        <w:spacing w:line="360" w:lineRule="auto"/>
        <w:ind w:firstLine="480" w:firstLineChars="200"/>
        <w:rPr>
          <w:rFonts w:hAnsi="宋体" w:cs="宋体"/>
          <w:bCs/>
          <w:highlight w:val="none"/>
        </w:rPr>
      </w:pPr>
      <w:r>
        <w:rPr>
          <w:rFonts w:hint="eastAsia" w:hAnsi="宋体" w:cs="宋体"/>
          <w:bCs/>
          <w:highlight w:val="none"/>
        </w:rPr>
        <w:t>4.本招标项目的项目负责人业绩(资格审查)数量:</w:t>
      </w:r>
      <w:r>
        <w:rPr>
          <w:rFonts w:hint="eastAsia" w:hAnsi="宋体" w:cs="宋体"/>
          <w:bCs/>
          <w:highlight w:val="none"/>
          <w:u w:val="single"/>
        </w:rPr>
        <w:t xml:space="preserve">   0   </w:t>
      </w:r>
      <w:r>
        <w:rPr>
          <w:rFonts w:hint="eastAsia" w:hAnsi="宋体" w:cs="宋体"/>
          <w:bCs/>
          <w:highlight w:val="none"/>
        </w:rPr>
        <w:t>个。</w:t>
      </w:r>
    </w:p>
    <w:p>
      <w:pPr>
        <w:rPr>
          <w:highlight w:val="none"/>
        </w:rPr>
      </w:pPr>
    </w:p>
    <w:p>
      <w:pPr>
        <w:rPr>
          <w:highlight w:val="none"/>
        </w:rPr>
      </w:pPr>
    </w:p>
    <w:p>
      <w:pPr>
        <w:pStyle w:val="4"/>
        <w:spacing w:beforeLines="100" w:afterLines="100" w:line="240" w:lineRule="auto"/>
        <w:jc w:val="center"/>
        <w:rPr>
          <w:rFonts w:ascii="Times New Roman" w:hAnsi="Times New Roman" w:eastAsia="黑体"/>
          <w:b w:val="0"/>
          <w:bCs w:val="0"/>
          <w:highlight w:val="none"/>
        </w:rPr>
      </w:pPr>
      <w:r>
        <w:rPr>
          <w:rFonts w:hint="eastAsia" w:ascii="Times New Roman" w:hAnsi="Times New Roman" w:eastAsia="黑体"/>
          <w:b w:val="0"/>
          <w:bCs w:val="0"/>
          <w:highlight w:val="none"/>
        </w:rPr>
        <w:br w:type="page"/>
      </w:r>
      <w:bookmarkStart w:id="135" w:name="_Toc140069404"/>
      <w:r>
        <w:rPr>
          <w:rFonts w:hint="eastAsia" w:ascii="Times New Roman" w:hAnsi="Times New Roman" w:eastAsia="黑体"/>
          <w:b w:val="0"/>
          <w:bCs w:val="0"/>
          <w:highlight w:val="none"/>
        </w:rPr>
        <w:t>附录6  资格审查条件（</w:t>
      </w:r>
      <w:r>
        <w:rPr>
          <w:rFonts w:hint="eastAsia" w:ascii="Times New Roman" w:hAnsi="Times New Roman" w:eastAsia="黑体"/>
          <w:b w:val="0"/>
          <w:highlight w:val="none"/>
        </w:rPr>
        <w:t>其他要求</w:t>
      </w:r>
      <w:r>
        <w:rPr>
          <w:rFonts w:hint="eastAsia" w:ascii="Times New Roman" w:hAnsi="Times New Roman" w:eastAsia="黑体"/>
          <w:b w:val="0"/>
          <w:bCs w:val="0"/>
          <w:highlight w:val="none"/>
        </w:rPr>
        <w:t>）</w:t>
      </w:r>
      <w:bookmarkEnd w:id="135"/>
    </w:p>
    <w:tbl>
      <w:tblPr>
        <w:tblStyle w:val="52"/>
        <w:tblW w:w="48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5"/>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highlight w:val="none"/>
              </w:rPr>
            </w:pPr>
            <w:r>
              <w:rPr>
                <w:rFonts w:hint="eastAsia" w:hAnsi="宋体" w:cs="宋体"/>
                <w:highlight w:val="none"/>
              </w:rPr>
              <w:t>1.投标人不得存在招标文件第二章投标人须知第1.4.3项、第1.4.4项规定的情形。</w:t>
            </w:r>
          </w:p>
          <w:p>
            <w:pPr>
              <w:pStyle w:val="2"/>
              <w:spacing w:before="0" w:after="0"/>
              <w:rPr>
                <w:kern w:val="0"/>
                <w:szCs w:val="20"/>
                <w:highlight w:val="none"/>
              </w:rPr>
            </w:pPr>
            <w:r>
              <w:rPr>
                <w:rFonts w:hint="eastAsia" w:ascii="宋体" w:hAnsi="宋体" w:eastAsia="宋体" w:cs="宋体"/>
                <w:kern w:val="0"/>
                <w:szCs w:val="20"/>
                <w:highlight w:val="none"/>
              </w:rPr>
              <w:t>2.其他要求：</w:t>
            </w:r>
            <w:r>
              <w:rPr>
                <w:rFonts w:hint="eastAsia" w:ascii="宋体" w:hAnsi="宋体" w:eastAsia="宋体" w:cs="宋体"/>
                <w:kern w:val="0"/>
                <w:szCs w:val="20"/>
                <w:highlight w:val="none"/>
                <w:u w:val="single"/>
              </w:rPr>
              <w:t xml:space="preserve">   /   </w:t>
            </w:r>
          </w:p>
        </w:tc>
      </w:tr>
    </w:tbl>
    <w:p>
      <w:pPr>
        <w:pStyle w:val="165"/>
        <w:adjustRightInd w:val="0"/>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注：</w:t>
      </w:r>
    </w:p>
    <w:p>
      <w:pPr>
        <w:adjustRightInd w:val="0"/>
        <w:snapToGrid w:val="0"/>
        <w:spacing w:line="360" w:lineRule="auto"/>
        <w:ind w:firstLine="437"/>
        <w:rPr>
          <w:rFonts w:hAnsi="宋体" w:cs="宋体"/>
          <w:highlight w:val="none"/>
        </w:rPr>
      </w:pPr>
      <w:r>
        <w:rPr>
          <w:rFonts w:hint="eastAsia" w:hAnsi="宋体" w:cs="宋体"/>
          <w:highlight w:val="none"/>
        </w:rPr>
        <w:t>1.投标人应按照第六章“投标文件格式”的“诚信投标承诺书”承诺。如投标人承诺与实际不符，招标人有权取消其中标（或中标候选）资格，并报公共资源交易监督管理部门。</w:t>
      </w:r>
    </w:p>
    <w:p>
      <w:pPr>
        <w:rPr>
          <w:highlight w:val="none"/>
        </w:rPr>
      </w:pPr>
    </w:p>
    <w:p>
      <w:pPr>
        <w:rPr>
          <w:highlight w:val="none"/>
        </w:rPr>
      </w:pPr>
    </w:p>
    <w:p>
      <w:pPr>
        <w:pStyle w:val="4"/>
        <w:spacing w:beforeLines="100" w:afterLines="100" w:line="240" w:lineRule="auto"/>
        <w:jc w:val="center"/>
        <w:rPr>
          <w:rFonts w:ascii="Times New Roman" w:hAnsi="Times New Roman" w:eastAsia="黑体"/>
          <w:b w:val="0"/>
          <w:bCs w:val="0"/>
          <w:highlight w:val="none"/>
        </w:rPr>
      </w:pPr>
      <w:r>
        <w:rPr>
          <w:rFonts w:ascii="Times New Roman" w:hAnsi="Times New Roman"/>
          <w:b w:val="0"/>
          <w:szCs w:val="21"/>
          <w:highlight w:val="none"/>
        </w:rPr>
        <w:br w:type="page"/>
      </w:r>
      <w:bookmarkEnd w:id="96"/>
      <w:bookmarkStart w:id="136" w:name="_Toc283798422"/>
      <w:bookmarkStart w:id="137" w:name="_Toc17783"/>
      <w:bookmarkStart w:id="138" w:name="_Toc2985"/>
      <w:bookmarkStart w:id="139" w:name="_Toc299"/>
      <w:bookmarkStart w:id="140" w:name="_Toc31252"/>
      <w:bookmarkStart w:id="141" w:name="_Toc5852"/>
      <w:bookmarkStart w:id="142" w:name="_Toc25831"/>
      <w:bookmarkStart w:id="143" w:name="_Toc8098"/>
      <w:bookmarkStart w:id="144" w:name="_Toc38879323"/>
      <w:bookmarkStart w:id="145" w:name="_Toc140069405"/>
      <w:bookmarkStart w:id="146" w:name="_Toc16515"/>
      <w:r>
        <w:rPr>
          <w:rFonts w:hint="eastAsia" w:ascii="Times New Roman" w:hAnsi="Times New Roman" w:eastAsia="黑体"/>
          <w:b w:val="0"/>
          <w:bCs w:val="0"/>
          <w:highlight w:val="none"/>
        </w:rPr>
        <w:t>投标人须知</w:t>
      </w:r>
      <w:bookmarkEnd w:id="136"/>
      <w:r>
        <w:rPr>
          <w:rFonts w:hint="eastAsia" w:ascii="Times New Roman" w:hAnsi="Times New Roman" w:eastAsia="黑体"/>
          <w:b w:val="0"/>
          <w:bCs w:val="0"/>
          <w:highlight w:val="none"/>
        </w:rPr>
        <w:t>正文修改一览表</w:t>
      </w:r>
      <w:bookmarkEnd w:id="137"/>
      <w:bookmarkEnd w:id="138"/>
      <w:bookmarkEnd w:id="139"/>
      <w:bookmarkEnd w:id="140"/>
      <w:bookmarkEnd w:id="141"/>
      <w:bookmarkEnd w:id="142"/>
      <w:bookmarkEnd w:id="143"/>
      <w:bookmarkEnd w:id="144"/>
      <w:bookmarkEnd w:id="145"/>
      <w:bookmarkEnd w:id="146"/>
    </w:p>
    <w:p>
      <w:pPr>
        <w:pStyle w:val="129"/>
        <w:spacing w:line="360" w:lineRule="auto"/>
        <w:rPr>
          <w:kern w:val="0"/>
          <w:sz w:val="24"/>
          <w:highlight w:val="none"/>
        </w:rPr>
      </w:pPr>
      <w:r>
        <w:rPr>
          <w:rFonts w:hint="eastAsia"/>
          <w:kern w:val="0"/>
          <w:sz w:val="24"/>
          <w:highlight w:val="none"/>
        </w:rPr>
        <w:t>投标人须知正文条款内容修改如下：</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2849"/>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pStyle w:val="129"/>
              <w:jc w:val="center"/>
              <w:rPr>
                <w:sz w:val="24"/>
                <w:highlight w:val="none"/>
              </w:rPr>
            </w:pPr>
            <w:r>
              <w:rPr>
                <w:rFonts w:hint="eastAsia"/>
                <w:sz w:val="24"/>
                <w:highlight w:val="none"/>
              </w:rPr>
              <w:t>条款</w:t>
            </w:r>
          </w:p>
          <w:p>
            <w:pPr>
              <w:pStyle w:val="129"/>
              <w:jc w:val="center"/>
              <w:rPr>
                <w:sz w:val="24"/>
                <w:highlight w:val="none"/>
              </w:rPr>
            </w:pPr>
            <w:r>
              <w:rPr>
                <w:rFonts w:hint="eastAsia"/>
                <w:sz w:val="24"/>
                <w:highlight w:val="none"/>
              </w:rPr>
              <w:t>编号</w:t>
            </w:r>
          </w:p>
        </w:tc>
        <w:tc>
          <w:tcPr>
            <w:tcW w:w="2849" w:type="dxa"/>
            <w:tcBorders>
              <w:top w:val="single" w:color="auto" w:sz="4" w:space="0"/>
              <w:left w:val="single" w:color="auto" w:sz="4" w:space="0"/>
              <w:bottom w:val="single" w:color="auto" w:sz="4" w:space="0"/>
              <w:right w:val="single" w:color="auto" w:sz="4" w:space="0"/>
            </w:tcBorders>
            <w:vAlign w:val="center"/>
          </w:tcPr>
          <w:p>
            <w:pPr>
              <w:pStyle w:val="129"/>
              <w:jc w:val="center"/>
              <w:rPr>
                <w:sz w:val="24"/>
                <w:highlight w:val="none"/>
              </w:rPr>
            </w:pPr>
            <w:r>
              <w:rPr>
                <w:rFonts w:hint="eastAsia"/>
                <w:sz w:val="24"/>
                <w:highlight w:val="none"/>
              </w:rPr>
              <w:t>示范文本中条款内容</w:t>
            </w:r>
          </w:p>
        </w:tc>
        <w:tc>
          <w:tcPr>
            <w:tcW w:w="4687" w:type="dxa"/>
            <w:tcBorders>
              <w:top w:val="single" w:color="auto" w:sz="4" w:space="0"/>
              <w:left w:val="single" w:color="auto" w:sz="4" w:space="0"/>
              <w:bottom w:val="single" w:color="auto" w:sz="4" w:space="0"/>
              <w:right w:val="single" w:color="auto" w:sz="4" w:space="0"/>
            </w:tcBorders>
            <w:vAlign w:val="center"/>
          </w:tcPr>
          <w:p>
            <w:pPr>
              <w:pStyle w:val="129"/>
              <w:jc w:val="center"/>
              <w:rPr>
                <w:sz w:val="24"/>
                <w:highlight w:val="none"/>
              </w:rPr>
            </w:pPr>
            <w:r>
              <w:rPr>
                <w:rFonts w:hint="eastAsia"/>
                <w:sz w:val="24"/>
                <w:highlight w:val="none"/>
              </w:rPr>
              <w:t>修改后条款内容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none"/>
              </w:rPr>
            </w:pPr>
            <w:r>
              <w:rPr>
                <w:rFonts w:hint="eastAsia" w:hAnsi="宋体"/>
                <w:highlight w:val="none"/>
              </w:rPr>
              <w:t>/</w:t>
            </w:r>
          </w:p>
        </w:tc>
        <w:tc>
          <w:tcPr>
            <w:tcW w:w="2849" w:type="dxa"/>
            <w:tcBorders>
              <w:top w:val="single" w:color="auto" w:sz="4" w:space="0"/>
              <w:left w:val="single" w:color="auto" w:sz="4" w:space="0"/>
              <w:bottom w:val="single" w:color="auto" w:sz="4" w:space="0"/>
              <w:right w:val="single" w:color="auto" w:sz="4" w:space="0"/>
            </w:tcBorders>
            <w:vAlign w:val="center"/>
          </w:tcPr>
          <w:p>
            <w:pPr>
              <w:pStyle w:val="129"/>
              <w:jc w:val="center"/>
              <w:rPr>
                <w:rFonts w:ascii="宋体" w:hAnsi="宋体"/>
                <w:kern w:val="0"/>
                <w:sz w:val="24"/>
                <w:szCs w:val="20"/>
                <w:highlight w:val="none"/>
              </w:rPr>
            </w:pPr>
            <w:r>
              <w:rPr>
                <w:rFonts w:hint="eastAsia" w:ascii="宋体" w:hAnsi="宋体"/>
                <w:kern w:val="0"/>
                <w:sz w:val="24"/>
                <w:szCs w:val="20"/>
                <w:highlight w:val="none"/>
              </w:rPr>
              <w:t>/</w:t>
            </w:r>
          </w:p>
        </w:tc>
        <w:tc>
          <w:tcPr>
            <w:tcW w:w="4687" w:type="dxa"/>
            <w:tcBorders>
              <w:top w:val="single" w:color="auto" w:sz="4" w:space="0"/>
              <w:left w:val="single" w:color="auto" w:sz="4" w:space="0"/>
              <w:bottom w:val="single" w:color="auto" w:sz="4" w:space="0"/>
              <w:right w:val="single" w:color="auto" w:sz="4" w:space="0"/>
            </w:tcBorders>
            <w:vAlign w:val="center"/>
          </w:tcPr>
          <w:p>
            <w:pPr>
              <w:jc w:val="left"/>
              <w:rPr>
                <w:rFonts w:hAnsi="宋体"/>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none"/>
              </w:rPr>
            </w:pPr>
            <w:r>
              <w:rPr>
                <w:rFonts w:hint="eastAsia" w:hAnsi="宋体"/>
                <w:highlight w:val="none"/>
              </w:rPr>
              <w:t>/</w:t>
            </w:r>
          </w:p>
        </w:tc>
        <w:tc>
          <w:tcPr>
            <w:tcW w:w="2849"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none"/>
              </w:rPr>
            </w:pPr>
            <w:r>
              <w:rPr>
                <w:rFonts w:hint="eastAsia" w:hAnsi="宋体"/>
                <w:highlight w:val="none"/>
              </w:rPr>
              <w:t>/</w:t>
            </w:r>
          </w:p>
        </w:tc>
        <w:tc>
          <w:tcPr>
            <w:tcW w:w="4687" w:type="dxa"/>
            <w:tcBorders>
              <w:top w:val="single" w:color="auto" w:sz="4" w:space="0"/>
              <w:left w:val="single" w:color="auto" w:sz="4" w:space="0"/>
              <w:bottom w:val="single" w:color="auto" w:sz="4" w:space="0"/>
              <w:right w:val="single" w:color="auto" w:sz="4" w:space="0"/>
            </w:tcBorders>
            <w:vAlign w:val="center"/>
          </w:tcPr>
          <w:p>
            <w:pPr>
              <w:snapToGrid w:val="0"/>
              <w:rPr>
                <w:rFonts w:hAnsi="宋体"/>
                <w:highlight w:val="none"/>
              </w:rPr>
            </w:pPr>
            <w:r>
              <w:rPr>
                <w:rFonts w:hint="eastAsia" w:hAnsi="宋体"/>
                <w:highlight w:val="none"/>
              </w:rPr>
              <w:t>/</w:t>
            </w:r>
          </w:p>
        </w:tc>
      </w:tr>
      <w:bookmarkEnd w:id="75"/>
      <w:bookmarkEnd w:id="76"/>
      <w:bookmarkEnd w:id="77"/>
      <w:bookmarkEnd w:id="78"/>
      <w:bookmarkEnd w:id="79"/>
      <w:bookmarkEnd w:id="80"/>
    </w:tbl>
    <w:p>
      <w:pPr>
        <w:pStyle w:val="4"/>
        <w:numPr>
          <w:ilvl w:val="0"/>
          <w:numId w:val="2"/>
        </w:numPr>
        <w:spacing w:beforeLines="100" w:afterLines="100" w:line="240" w:lineRule="auto"/>
        <w:rPr>
          <w:rFonts w:ascii="黑体" w:hAnsi="黑体" w:eastAsia="黑体" w:cs="黑体"/>
          <w:b w:val="0"/>
          <w:bCs w:val="0"/>
          <w:highlight w:val="none"/>
        </w:rPr>
      </w:pPr>
      <w:bookmarkStart w:id="147" w:name="_Toc1641"/>
      <w:bookmarkStart w:id="148" w:name="_Toc63412030"/>
      <w:bookmarkStart w:id="149" w:name="_Toc38879335"/>
      <w:r>
        <w:rPr>
          <w:rFonts w:hint="eastAsia" w:ascii="Times New Roman" w:hAnsi="Times New Roman" w:eastAsia="黑体"/>
          <w:b w:val="0"/>
          <w:highlight w:val="none"/>
        </w:rPr>
        <w:br w:type="page"/>
      </w:r>
      <w:bookmarkEnd w:id="147"/>
      <w:bookmarkStart w:id="150" w:name="_Toc140069406"/>
      <w:bookmarkStart w:id="151" w:name="_Toc601"/>
      <w:r>
        <w:rPr>
          <w:rFonts w:hint="eastAsia" w:ascii="黑体" w:hAnsi="黑体" w:eastAsia="黑体" w:cs="黑体"/>
          <w:b w:val="0"/>
          <w:bCs w:val="0"/>
          <w:highlight w:val="none"/>
        </w:rPr>
        <w:t>总则</w:t>
      </w:r>
      <w:bookmarkEnd w:id="150"/>
      <w:bookmarkEnd w:id="151"/>
    </w:p>
    <w:p>
      <w:pPr>
        <w:pStyle w:val="2"/>
        <w:spacing w:beforeLines="100" w:afterLines="100" w:line="240" w:lineRule="auto"/>
        <w:rPr>
          <w:rFonts w:cs="黑体"/>
          <w:snapToGrid w:val="0"/>
          <w:highlight w:val="none"/>
          <w:shd w:val="clear" w:color="auto" w:fill="FFFFFF"/>
          <w:lang w:val="zh-CN"/>
        </w:rPr>
      </w:pPr>
      <w:bookmarkStart w:id="152" w:name="_Toc152045530"/>
      <w:bookmarkStart w:id="153" w:name="_Toc152042306"/>
      <w:bookmarkStart w:id="154" w:name="_Toc144974498"/>
      <w:bookmarkStart w:id="155" w:name="_Toc179632547"/>
      <w:r>
        <w:rPr>
          <w:rFonts w:hint="eastAsia" w:cs="黑体"/>
          <w:snapToGrid w:val="0"/>
          <w:highlight w:val="none"/>
          <w:shd w:val="clear" w:color="auto" w:fill="FFFFFF"/>
          <w:lang w:val="zh-CN"/>
        </w:rPr>
        <w:t>1.1项目概况</w:t>
      </w:r>
      <w:bookmarkEnd w:id="152"/>
      <w:bookmarkEnd w:id="153"/>
      <w:bookmarkEnd w:id="154"/>
      <w:bookmarkEnd w:id="155"/>
    </w:p>
    <w:p>
      <w:pPr>
        <w:spacing w:line="360" w:lineRule="auto"/>
        <w:ind w:firstLine="480" w:firstLineChars="200"/>
        <w:rPr>
          <w:rFonts w:hAnsi="宋体" w:cs="宋体"/>
          <w:highlight w:val="none"/>
        </w:rPr>
      </w:pPr>
      <w:r>
        <w:rPr>
          <w:rFonts w:hint="eastAsia" w:hAnsi="宋体" w:cs="宋体"/>
          <w:highlight w:val="none"/>
        </w:rPr>
        <w:t>1.1.1根据《中华人民共和国招标投标法》《中华人民共和国招标投标法实施条例》等有关法律、法规和规章的规定，本招标项目已具备招标条件，现对本招标项目进行招标。</w:t>
      </w:r>
    </w:p>
    <w:p>
      <w:pPr>
        <w:spacing w:line="360" w:lineRule="auto"/>
        <w:ind w:firstLine="480" w:firstLineChars="200"/>
        <w:rPr>
          <w:rFonts w:hAnsi="宋体" w:cs="宋体"/>
          <w:highlight w:val="none"/>
        </w:rPr>
      </w:pPr>
      <w:r>
        <w:rPr>
          <w:rFonts w:hint="eastAsia" w:hAnsi="宋体" w:cs="宋体"/>
          <w:highlight w:val="none"/>
        </w:rPr>
        <w:t>1.1.2招标人：见招标公告。</w:t>
      </w:r>
    </w:p>
    <w:p>
      <w:pPr>
        <w:spacing w:line="360" w:lineRule="auto"/>
        <w:ind w:firstLine="480" w:firstLineChars="200"/>
        <w:rPr>
          <w:rFonts w:hAnsi="宋体" w:cs="宋体"/>
          <w:highlight w:val="none"/>
        </w:rPr>
      </w:pPr>
      <w:r>
        <w:rPr>
          <w:rFonts w:hint="eastAsia" w:hAnsi="宋体" w:cs="宋体"/>
          <w:highlight w:val="none"/>
        </w:rPr>
        <w:t>1.1.3 招标代理机构：见招标公告。</w:t>
      </w:r>
    </w:p>
    <w:p>
      <w:pPr>
        <w:spacing w:line="360" w:lineRule="auto"/>
        <w:ind w:firstLine="480" w:firstLineChars="200"/>
        <w:rPr>
          <w:rFonts w:hAnsi="宋体" w:cs="宋体"/>
          <w:highlight w:val="none"/>
        </w:rPr>
      </w:pPr>
      <w:r>
        <w:rPr>
          <w:rFonts w:hint="eastAsia" w:hAnsi="宋体" w:cs="宋体"/>
          <w:highlight w:val="none"/>
        </w:rPr>
        <w:t>1.1.4 招标项目名称：见招标公告。</w:t>
      </w:r>
    </w:p>
    <w:p>
      <w:pPr>
        <w:spacing w:line="360" w:lineRule="auto"/>
        <w:ind w:firstLine="480" w:firstLineChars="200"/>
        <w:rPr>
          <w:rFonts w:hAnsi="宋体" w:cs="宋体"/>
          <w:highlight w:val="none"/>
        </w:rPr>
      </w:pPr>
      <w:r>
        <w:rPr>
          <w:rFonts w:hint="eastAsia" w:hAnsi="宋体" w:cs="宋体"/>
          <w:highlight w:val="none"/>
        </w:rPr>
        <w:t>1.1.5 建设地点：见招标公告。</w:t>
      </w:r>
    </w:p>
    <w:p>
      <w:pPr>
        <w:pStyle w:val="2"/>
        <w:spacing w:beforeLines="100" w:afterLines="100" w:line="240" w:lineRule="auto"/>
        <w:rPr>
          <w:rFonts w:cs="黑体"/>
          <w:snapToGrid w:val="0"/>
          <w:highlight w:val="none"/>
          <w:shd w:val="clear" w:color="auto" w:fill="FFFFFF"/>
          <w:lang w:val="zh-CN"/>
        </w:rPr>
      </w:pPr>
      <w:bookmarkStart w:id="156" w:name="_Toc152042307"/>
      <w:bookmarkStart w:id="157" w:name="_Toc152045531"/>
      <w:bookmarkStart w:id="158" w:name="_Toc144974499"/>
      <w:bookmarkStart w:id="159" w:name="_Toc179632548"/>
      <w:r>
        <w:rPr>
          <w:rFonts w:hint="eastAsia" w:cs="黑体"/>
          <w:snapToGrid w:val="0"/>
          <w:highlight w:val="none"/>
          <w:shd w:val="clear" w:color="auto" w:fill="FFFFFF"/>
          <w:lang w:val="zh-CN"/>
        </w:rPr>
        <w:t>1.2资金来源和落实情况</w:t>
      </w:r>
      <w:bookmarkEnd w:id="156"/>
      <w:bookmarkEnd w:id="157"/>
      <w:bookmarkEnd w:id="158"/>
      <w:bookmarkEnd w:id="159"/>
    </w:p>
    <w:p>
      <w:pPr>
        <w:spacing w:line="360" w:lineRule="auto"/>
        <w:ind w:firstLine="480" w:firstLineChars="200"/>
        <w:rPr>
          <w:rFonts w:hAnsi="宋体" w:cs="宋体"/>
          <w:highlight w:val="none"/>
        </w:rPr>
      </w:pPr>
      <w:r>
        <w:rPr>
          <w:rFonts w:hint="eastAsia" w:hAnsi="宋体" w:cs="宋体"/>
          <w:highlight w:val="none"/>
        </w:rPr>
        <w:t>1.2.1 资金来源：见招标公告。</w:t>
      </w:r>
    </w:p>
    <w:p>
      <w:pPr>
        <w:spacing w:line="360" w:lineRule="auto"/>
        <w:ind w:firstLine="480" w:firstLineChars="200"/>
        <w:rPr>
          <w:rFonts w:hAnsi="宋体" w:cs="宋体"/>
          <w:highlight w:val="none"/>
        </w:rPr>
      </w:pPr>
      <w:r>
        <w:rPr>
          <w:rFonts w:hint="eastAsia" w:hAnsi="宋体" w:cs="宋体"/>
          <w:highlight w:val="none"/>
        </w:rPr>
        <w:t>1.2.2 出资比例：见招标公告。</w:t>
      </w:r>
    </w:p>
    <w:p>
      <w:pPr>
        <w:spacing w:line="360" w:lineRule="auto"/>
        <w:ind w:firstLine="480" w:firstLineChars="200"/>
        <w:rPr>
          <w:rFonts w:hAnsi="宋体" w:cs="宋体"/>
          <w:highlight w:val="none"/>
        </w:rPr>
      </w:pPr>
      <w:r>
        <w:rPr>
          <w:rFonts w:hint="eastAsia" w:hAnsi="宋体" w:cs="宋体"/>
          <w:highlight w:val="none"/>
        </w:rPr>
        <w:t>1.2.3 资金落实情况：见招标公告。</w:t>
      </w:r>
    </w:p>
    <w:p>
      <w:pPr>
        <w:pStyle w:val="2"/>
        <w:spacing w:beforeLines="100" w:afterLines="100" w:line="240" w:lineRule="auto"/>
        <w:rPr>
          <w:rFonts w:cs="黑体"/>
          <w:snapToGrid w:val="0"/>
          <w:highlight w:val="none"/>
          <w:shd w:val="clear" w:color="auto" w:fill="FFFFFF"/>
          <w:lang w:val="zh-CN"/>
        </w:rPr>
      </w:pPr>
      <w:bookmarkStart w:id="160" w:name="_Toc144974500"/>
      <w:bookmarkStart w:id="161" w:name="_Toc152045532"/>
      <w:bookmarkStart w:id="162" w:name="_Toc179632549"/>
      <w:bookmarkStart w:id="163" w:name="_Toc152042308"/>
      <w:r>
        <w:rPr>
          <w:rFonts w:hint="eastAsia" w:cs="黑体"/>
          <w:snapToGrid w:val="0"/>
          <w:highlight w:val="none"/>
          <w:shd w:val="clear" w:color="auto" w:fill="FFFFFF"/>
          <w:lang w:val="zh-CN"/>
        </w:rPr>
        <w:t>1.3招标范围、交货及安装周期、交货及安装地点</w:t>
      </w:r>
      <w:r>
        <w:rPr>
          <w:rFonts w:hint="eastAsia" w:cs="黑体"/>
          <w:snapToGrid w:val="0"/>
          <w:highlight w:val="none"/>
          <w:shd w:val="clear" w:color="auto" w:fill="FFFFFF"/>
        </w:rPr>
        <w:t>和</w:t>
      </w:r>
      <w:r>
        <w:rPr>
          <w:rFonts w:hint="eastAsia" w:cs="黑体"/>
          <w:snapToGrid w:val="0"/>
          <w:highlight w:val="none"/>
          <w:shd w:val="clear" w:color="auto" w:fill="FFFFFF"/>
          <w:lang w:val="zh-CN"/>
        </w:rPr>
        <w:t>技术性能指标</w:t>
      </w:r>
      <w:bookmarkEnd w:id="160"/>
      <w:bookmarkEnd w:id="161"/>
      <w:bookmarkEnd w:id="162"/>
      <w:bookmarkEnd w:id="163"/>
    </w:p>
    <w:p>
      <w:pPr>
        <w:spacing w:line="360" w:lineRule="auto"/>
        <w:ind w:firstLine="480" w:firstLineChars="200"/>
        <w:rPr>
          <w:rFonts w:hAnsi="宋体" w:cs="宋体"/>
          <w:highlight w:val="none"/>
        </w:rPr>
      </w:pPr>
      <w:r>
        <w:rPr>
          <w:rFonts w:hint="eastAsia" w:hAnsi="宋体" w:cs="宋体"/>
          <w:highlight w:val="none"/>
        </w:rPr>
        <w:t>1.3.1 招标范围：见招标公告。</w:t>
      </w:r>
    </w:p>
    <w:p>
      <w:pPr>
        <w:spacing w:line="360" w:lineRule="auto"/>
        <w:ind w:firstLine="480" w:firstLineChars="200"/>
        <w:rPr>
          <w:rFonts w:hAnsi="宋体" w:cs="宋体"/>
          <w:highlight w:val="none"/>
        </w:rPr>
      </w:pPr>
      <w:r>
        <w:rPr>
          <w:rFonts w:hint="eastAsia" w:hAnsi="宋体" w:cs="宋体"/>
          <w:highlight w:val="none"/>
        </w:rPr>
        <w:t>1.3.2交货及安装周期：见招标公告。</w:t>
      </w:r>
    </w:p>
    <w:p>
      <w:pPr>
        <w:spacing w:line="360" w:lineRule="auto"/>
        <w:ind w:firstLine="480" w:firstLineChars="200"/>
        <w:rPr>
          <w:rFonts w:hAnsi="宋体" w:cs="宋体"/>
          <w:highlight w:val="none"/>
        </w:rPr>
      </w:pPr>
      <w:r>
        <w:rPr>
          <w:rFonts w:hint="eastAsia" w:hAnsi="宋体" w:cs="宋体"/>
          <w:highlight w:val="none"/>
        </w:rPr>
        <w:t>1.3.3交货及安装地点：见招标公告。</w:t>
      </w:r>
    </w:p>
    <w:p>
      <w:pPr>
        <w:spacing w:line="360" w:lineRule="auto"/>
        <w:ind w:firstLine="480" w:firstLineChars="200"/>
        <w:rPr>
          <w:rFonts w:hAnsi="宋体" w:cs="宋体"/>
          <w:highlight w:val="none"/>
        </w:rPr>
      </w:pPr>
      <w:r>
        <w:rPr>
          <w:rFonts w:hint="eastAsia" w:hAnsi="宋体" w:cs="宋体"/>
          <w:highlight w:val="none"/>
        </w:rPr>
        <w:t>1.3.4技术性能指标：见投标人须知前附表。</w:t>
      </w:r>
    </w:p>
    <w:p>
      <w:pPr>
        <w:pStyle w:val="2"/>
        <w:spacing w:beforeLines="100" w:afterLines="100" w:line="240" w:lineRule="auto"/>
        <w:rPr>
          <w:rFonts w:cs="黑体"/>
          <w:snapToGrid w:val="0"/>
          <w:highlight w:val="none"/>
          <w:shd w:val="clear" w:color="auto" w:fill="FFFFFF"/>
          <w:lang w:val="zh-CN"/>
        </w:rPr>
      </w:pPr>
      <w:bookmarkStart w:id="164" w:name="_Toc144974502"/>
      <w:bookmarkStart w:id="165" w:name="_Toc152042310"/>
      <w:bookmarkStart w:id="166" w:name="_Toc152045534"/>
      <w:bookmarkStart w:id="167" w:name="_Toc179632551"/>
      <w:r>
        <w:rPr>
          <w:rFonts w:hint="eastAsia" w:cs="黑体"/>
          <w:snapToGrid w:val="0"/>
          <w:highlight w:val="none"/>
          <w:shd w:val="clear" w:color="auto" w:fill="FFFFFF"/>
          <w:lang w:val="zh-CN"/>
        </w:rPr>
        <w:t>1.4投标人资格要求</w:t>
      </w:r>
      <w:bookmarkEnd w:id="164"/>
      <w:bookmarkEnd w:id="165"/>
      <w:bookmarkEnd w:id="166"/>
      <w:bookmarkEnd w:id="167"/>
    </w:p>
    <w:p>
      <w:pPr>
        <w:spacing w:line="360" w:lineRule="auto"/>
        <w:ind w:firstLine="480" w:firstLineChars="200"/>
        <w:rPr>
          <w:rFonts w:hAnsi="宋体" w:cs="宋体"/>
          <w:highlight w:val="none"/>
        </w:rPr>
      </w:pPr>
      <w:r>
        <w:rPr>
          <w:rFonts w:hint="eastAsia" w:hAnsi="宋体" w:cs="宋体"/>
          <w:highlight w:val="none"/>
        </w:rPr>
        <w:t>1.4.1投标人应具备承担本标段的资质条件、能力和信誉：</w:t>
      </w:r>
    </w:p>
    <w:p>
      <w:pPr>
        <w:spacing w:line="360" w:lineRule="auto"/>
        <w:ind w:firstLine="480" w:firstLineChars="200"/>
        <w:rPr>
          <w:rFonts w:hAnsi="宋体" w:cs="宋体"/>
          <w:highlight w:val="none"/>
        </w:rPr>
      </w:pPr>
      <w:r>
        <w:rPr>
          <w:rFonts w:hint="eastAsia" w:hAnsi="宋体" w:cs="宋体"/>
          <w:highlight w:val="none"/>
        </w:rPr>
        <w:t xml:space="preserve">（1）资质条件：见投标人须知前附表； </w:t>
      </w:r>
    </w:p>
    <w:p>
      <w:pPr>
        <w:spacing w:line="360" w:lineRule="auto"/>
        <w:ind w:firstLine="480" w:firstLineChars="200"/>
        <w:rPr>
          <w:rFonts w:hAnsi="宋体" w:cs="宋体"/>
          <w:highlight w:val="none"/>
        </w:rPr>
      </w:pPr>
      <w:r>
        <w:rPr>
          <w:rFonts w:hint="eastAsia" w:hAnsi="宋体" w:cs="宋体"/>
          <w:highlight w:val="none"/>
        </w:rPr>
        <w:t>（2）财务要求：见投标人须知前附表；</w:t>
      </w:r>
    </w:p>
    <w:p>
      <w:pPr>
        <w:spacing w:line="360" w:lineRule="auto"/>
        <w:ind w:firstLine="480" w:firstLineChars="200"/>
        <w:rPr>
          <w:rFonts w:hAnsi="宋体" w:cs="宋体"/>
          <w:highlight w:val="none"/>
        </w:rPr>
      </w:pPr>
      <w:r>
        <w:rPr>
          <w:rFonts w:hint="eastAsia" w:hAnsi="宋体" w:cs="宋体"/>
          <w:highlight w:val="none"/>
        </w:rPr>
        <w:t>（3）业绩要求：见投标人须知前附表；</w:t>
      </w:r>
    </w:p>
    <w:p>
      <w:pPr>
        <w:spacing w:line="360" w:lineRule="auto"/>
        <w:ind w:firstLine="480" w:firstLineChars="200"/>
        <w:rPr>
          <w:rFonts w:hAnsi="宋体" w:cs="宋体"/>
          <w:highlight w:val="none"/>
        </w:rPr>
      </w:pPr>
      <w:r>
        <w:rPr>
          <w:rFonts w:hint="eastAsia" w:hAnsi="宋体" w:cs="宋体"/>
          <w:highlight w:val="none"/>
        </w:rPr>
        <w:t>（4）信誉要求：见投标人须知前附表；</w:t>
      </w:r>
    </w:p>
    <w:p>
      <w:pPr>
        <w:spacing w:line="360" w:lineRule="auto"/>
        <w:ind w:firstLine="480" w:firstLineChars="200"/>
        <w:rPr>
          <w:rFonts w:hAnsi="宋体" w:cs="宋体"/>
          <w:highlight w:val="none"/>
        </w:rPr>
      </w:pPr>
      <w:r>
        <w:rPr>
          <w:rFonts w:hint="eastAsia" w:hAnsi="宋体" w:cs="宋体"/>
          <w:highlight w:val="none"/>
        </w:rPr>
        <w:t>（5）项目负责人资格：见投标人须知前附表；</w:t>
      </w:r>
    </w:p>
    <w:p>
      <w:pPr>
        <w:spacing w:line="360" w:lineRule="auto"/>
        <w:ind w:firstLine="480" w:firstLineChars="200"/>
        <w:rPr>
          <w:highlight w:val="none"/>
        </w:rPr>
      </w:pPr>
      <w:r>
        <w:rPr>
          <w:rFonts w:hint="eastAsia" w:hAnsi="宋体" w:cs="宋体"/>
          <w:highlight w:val="none"/>
        </w:rPr>
        <w:t>（6）其他要求：见投标人须知前附表。</w:t>
      </w:r>
    </w:p>
    <w:p>
      <w:pPr>
        <w:spacing w:line="360" w:lineRule="auto"/>
        <w:ind w:firstLine="480" w:firstLineChars="200"/>
        <w:rPr>
          <w:rFonts w:hAnsi="宋体" w:cs="宋体"/>
          <w:highlight w:val="none"/>
        </w:rPr>
      </w:pPr>
      <w:r>
        <w:rPr>
          <w:rFonts w:hint="eastAsia" w:hAnsi="宋体" w:cs="宋体"/>
          <w:highlight w:val="none"/>
        </w:rPr>
        <w:t>投标人为代理经销商的，对投标人的资质要求可包含对制造商的资质要求，对投标人的业绩要求可包含对投标货物的业绩要求。</w:t>
      </w:r>
    </w:p>
    <w:p>
      <w:pPr>
        <w:spacing w:line="360" w:lineRule="auto"/>
        <w:ind w:firstLine="480" w:firstLineChars="200"/>
        <w:rPr>
          <w:rFonts w:hAnsi="宋体" w:cs="宋体"/>
          <w:highlight w:val="none"/>
        </w:rPr>
      </w:pPr>
      <w:r>
        <w:rPr>
          <w:rFonts w:hint="eastAsia" w:hAnsi="宋体" w:cs="宋体"/>
          <w:highlight w:val="none"/>
        </w:rPr>
        <w:t>需要提交的相关证明材料见本章第3.5款的规定。</w:t>
      </w:r>
    </w:p>
    <w:p>
      <w:pPr>
        <w:spacing w:line="360" w:lineRule="auto"/>
        <w:ind w:firstLine="480" w:firstLineChars="200"/>
        <w:rPr>
          <w:rFonts w:hAnsi="宋体" w:cs="宋体"/>
          <w:highlight w:val="none"/>
        </w:rPr>
      </w:pPr>
      <w:r>
        <w:rPr>
          <w:rFonts w:hint="eastAsia" w:hAnsi="宋体" w:cs="宋体"/>
          <w:highlight w:val="none"/>
        </w:rPr>
        <w:t>1.4.2 投标人须知前附表规定接受联合体投标的，联合体除应符合本章第1.4.1项和投标人须知前附表的要求外，还应遵守以下规定：</w:t>
      </w:r>
    </w:p>
    <w:p>
      <w:pPr>
        <w:spacing w:line="360" w:lineRule="auto"/>
        <w:ind w:firstLine="480" w:firstLineChars="200"/>
        <w:rPr>
          <w:rFonts w:hAnsi="宋体" w:cs="宋体"/>
          <w:highlight w:val="none"/>
        </w:rPr>
      </w:pPr>
      <w:r>
        <w:rPr>
          <w:rFonts w:hint="eastAsia" w:hAnsi="宋体" w:cs="宋体"/>
          <w:highlight w:val="none"/>
        </w:rPr>
        <w:t xml:space="preserve">（1）联合体各方应按照招标文件提供的格式签订联合体协议书，明确联合体牵头人和各方权利义务，并承诺就中标项目向招标人承担连带责任； </w:t>
      </w:r>
    </w:p>
    <w:p>
      <w:pPr>
        <w:spacing w:line="360" w:lineRule="auto"/>
        <w:ind w:firstLine="480" w:firstLineChars="200"/>
        <w:rPr>
          <w:rFonts w:hAnsi="宋体" w:cs="宋体"/>
          <w:highlight w:val="none"/>
        </w:rPr>
      </w:pPr>
      <w:r>
        <w:rPr>
          <w:rFonts w:hint="eastAsia" w:hAnsi="宋体" w:cs="宋体"/>
          <w:highlight w:val="none"/>
        </w:rPr>
        <w:t>（2）联合体协议约定同一专业分工由两个以上成员共同承担的，按照承担该专业工作的资质等级最低的成员确定联合体该专业的资质；不同专业分工由不同成员分别承担的，按照各自的专业资质确定联合体的资质；</w:t>
      </w:r>
    </w:p>
    <w:p>
      <w:pPr>
        <w:spacing w:line="360" w:lineRule="auto"/>
        <w:ind w:firstLine="480" w:firstLineChars="200"/>
        <w:rPr>
          <w:rFonts w:hAnsi="宋体" w:cs="宋体"/>
          <w:highlight w:val="none"/>
        </w:rPr>
      </w:pPr>
      <w:r>
        <w:rPr>
          <w:rFonts w:hint="eastAsia" w:hAnsi="宋体" w:cs="宋体"/>
          <w:highlight w:val="none"/>
        </w:rPr>
        <w:t>（3）联合体各方不得再以自己名义单独或参加其他联合体在同一标段中投标。</w:t>
      </w:r>
    </w:p>
    <w:p>
      <w:pPr>
        <w:spacing w:line="360" w:lineRule="auto"/>
        <w:ind w:firstLine="480" w:firstLineChars="200"/>
        <w:rPr>
          <w:rFonts w:hAnsi="宋体" w:cs="宋体"/>
          <w:highlight w:val="none"/>
        </w:rPr>
      </w:pPr>
      <w:r>
        <w:rPr>
          <w:rFonts w:hint="eastAsia" w:hAnsi="宋体" w:cs="宋体"/>
          <w:highlight w:val="none"/>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pPr>
        <w:spacing w:line="360" w:lineRule="auto"/>
        <w:ind w:firstLine="480" w:firstLineChars="200"/>
        <w:rPr>
          <w:rFonts w:hAnsi="宋体" w:cs="宋体"/>
          <w:highlight w:val="none"/>
        </w:rPr>
      </w:pPr>
      <w:r>
        <w:rPr>
          <w:rFonts w:hint="eastAsia" w:hAnsi="宋体" w:cs="宋体"/>
          <w:highlight w:val="none"/>
        </w:rPr>
        <w:t>（5）尽管委任了联合体牵头人，但联合体各成员在投标、签约与履行合同过程中，仍负有连带的和各自的法律责任。</w:t>
      </w:r>
    </w:p>
    <w:p>
      <w:pPr>
        <w:spacing w:line="360" w:lineRule="auto"/>
        <w:ind w:firstLine="480" w:firstLineChars="200"/>
        <w:rPr>
          <w:rFonts w:hAnsi="宋体" w:cs="宋体"/>
          <w:highlight w:val="none"/>
        </w:rPr>
      </w:pPr>
      <w:r>
        <w:rPr>
          <w:rFonts w:hint="eastAsia" w:hAnsi="宋体" w:cs="宋体"/>
          <w:highlight w:val="none"/>
        </w:rPr>
        <w:t>1.4.3</w:t>
      </w:r>
      <w:r>
        <w:rPr>
          <w:rFonts w:hint="eastAsia" w:ascii="Times New Roman"/>
          <w:highlight w:val="none"/>
        </w:rPr>
        <w:t>投标人（包括联合体各成员）不得存在下列情形：</w:t>
      </w:r>
    </w:p>
    <w:p>
      <w:pPr>
        <w:spacing w:line="360" w:lineRule="auto"/>
        <w:ind w:firstLine="480" w:firstLineChars="200"/>
        <w:rPr>
          <w:rFonts w:hAnsi="宋体" w:cs="宋体"/>
          <w:highlight w:val="none"/>
        </w:rPr>
      </w:pPr>
      <w:r>
        <w:rPr>
          <w:rFonts w:hint="eastAsia" w:hAnsi="宋体" w:cs="宋体"/>
          <w:highlight w:val="none"/>
          <w:lang w:val="zh-CN"/>
        </w:rPr>
        <w:t>（1）为招标人不具有独立法人资格的附属机构（单位</w:t>
      </w:r>
      <w:r>
        <w:rPr>
          <w:rFonts w:hint="eastAsia" w:hAnsi="宋体" w:cs="宋体"/>
          <w:highlight w:val="none"/>
        </w:rPr>
        <w:t xml:space="preserve">）； </w:t>
      </w:r>
    </w:p>
    <w:p>
      <w:pPr>
        <w:spacing w:line="360" w:lineRule="auto"/>
        <w:ind w:firstLine="480" w:firstLineChars="200"/>
        <w:rPr>
          <w:rFonts w:hAnsi="宋体" w:cs="宋体"/>
          <w:highlight w:val="none"/>
        </w:rPr>
      </w:pPr>
      <w:r>
        <w:rPr>
          <w:rFonts w:hint="eastAsia" w:hAnsi="宋体" w:cs="宋体"/>
          <w:highlight w:val="none"/>
          <w:lang w:val="zh-CN"/>
        </w:rPr>
        <w:t>（2）与招标人存在利害关系且可能影响招标公正性；</w:t>
      </w:r>
    </w:p>
    <w:p>
      <w:pPr>
        <w:spacing w:line="360" w:lineRule="auto"/>
        <w:ind w:firstLine="480" w:firstLineChars="200"/>
        <w:rPr>
          <w:rFonts w:hAnsi="宋体" w:cs="宋体"/>
          <w:highlight w:val="none"/>
        </w:rPr>
      </w:pPr>
      <w:r>
        <w:rPr>
          <w:rFonts w:hint="eastAsia" w:hAnsi="宋体" w:cs="宋体"/>
          <w:highlight w:val="none"/>
          <w:lang w:val="zh-CN"/>
        </w:rPr>
        <w:t>（3）</w:t>
      </w:r>
      <w:r>
        <w:rPr>
          <w:rFonts w:hint="eastAsia" w:ascii="Times New Roman"/>
          <w:highlight w:val="none"/>
        </w:rPr>
        <w:t>与本标段其他投标人的单位负责人为同一人</w:t>
      </w:r>
      <w:r>
        <w:rPr>
          <w:rFonts w:hint="eastAsia" w:hAnsi="宋体" w:cs="宋体"/>
          <w:highlight w:val="none"/>
          <w:lang w:val="zh-CN"/>
        </w:rPr>
        <w:t>；</w:t>
      </w:r>
    </w:p>
    <w:p>
      <w:pPr>
        <w:spacing w:line="360" w:lineRule="auto"/>
        <w:ind w:firstLine="480" w:firstLineChars="200"/>
        <w:rPr>
          <w:rFonts w:hAnsi="宋体" w:cs="宋体"/>
          <w:highlight w:val="none"/>
          <w:lang w:val="zh-CN"/>
        </w:rPr>
      </w:pPr>
      <w:r>
        <w:rPr>
          <w:rFonts w:hint="eastAsia" w:hAnsi="宋体" w:cs="宋体"/>
          <w:highlight w:val="none"/>
          <w:lang w:val="zh-CN"/>
        </w:rPr>
        <w:t>（4）与本标段的其他投标人存在控股、管理关系；</w:t>
      </w:r>
    </w:p>
    <w:p>
      <w:pPr>
        <w:spacing w:line="360" w:lineRule="auto"/>
        <w:ind w:firstLine="480" w:firstLineChars="200"/>
        <w:rPr>
          <w:rFonts w:hAnsi="宋体" w:cs="宋体"/>
          <w:highlight w:val="none"/>
        </w:rPr>
      </w:pPr>
      <w:r>
        <w:rPr>
          <w:rFonts w:hint="eastAsia" w:hAnsi="宋体" w:cs="宋体"/>
          <w:highlight w:val="none"/>
        </w:rPr>
        <w:t xml:space="preserve">（5）为本标段前期准备提供过设计、编制技术规范和其他文件的咨询服务； </w:t>
      </w:r>
    </w:p>
    <w:p>
      <w:pPr>
        <w:spacing w:line="360" w:lineRule="auto"/>
        <w:ind w:firstLine="480" w:firstLineChars="200"/>
        <w:rPr>
          <w:rFonts w:hAnsi="宋体" w:cs="宋体"/>
          <w:highlight w:val="none"/>
          <w:lang w:val="zh-CN"/>
        </w:rPr>
      </w:pPr>
      <w:r>
        <w:rPr>
          <w:rFonts w:hint="eastAsia" w:hAnsi="宋体" w:cs="宋体"/>
          <w:highlight w:val="none"/>
        </w:rPr>
        <w:t xml:space="preserve">（6）为本工程项目的监理人，或者与本工程项目的监理人存在隶属关系或者其他利害关系； </w:t>
      </w:r>
    </w:p>
    <w:p>
      <w:pPr>
        <w:spacing w:line="360" w:lineRule="auto"/>
        <w:ind w:firstLine="480" w:firstLineChars="200"/>
        <w:rPr>
          <w:rFonts w:hAnsi="宋体" w:cs="宋体"/>
          <w:highlight w:val="none"/>
        </w:rPr>
      </w:pPr>
      <w:r>
        <w:rPr>
          <w:rFonts w:hint="eastAsia" w:hAnsi="宋体" w:cs="宋体"/>
          <w:highlight w:val="none"/>
          <w:lang w:val="zh-CN"/>
        </w:rPr>
        <w:t>（7）为本标段的代建人；</w:t>
      </w:r>
    </w:p>
    <w:p>
      <w:pPr>
        <w:spacing w:line="360" w:lineRule="auto"/>
        <w:ind w:firstLine="480" w:firstLineChars="200"/>
        <w:rPr>
          <w:rFonts w:hAnsi="宋体" w:cs="宋体"/>
          <w:highlight w:val="none"/>
        </w:rPr>
      </w:pPr>
      <w:r>
        <w:rPr>
          <w:rFonts w:hint="eastAsia" w:hAnsi="宋体" w:cs="宋体"/>
          <w:highlight w:val="none"/>
          <w:lang w:val="zh-CN"/>
        </w:rPr>
        <w:t>（8）为本标段的招标代理机构；</w:t>
      </w:r>
    </w:p>
    <w:p>
      <w:pPr>
        <w:spacing w:line="360" w:lineRule="auto"/>
        <w:ind w:firstLine="480" w:firstLineChars="200"/>
        <w:rPr>
          <w:rFonts w:hAnsi="宋体" w:cs="宋体"/>
          <w:highlight w:val="none"/>
        </w:rPr>
      </w:pPr>
      <w:r>
        <w:rPr>
          <w:rFonts w:hint="eastAsia" w:hAnsi="宋体" w:cs="宋体"/>
          <w:highlight w:val="none"/>
          <w:lang w:val="zh-CN"/>
        </w:rPr>
        <w:t>（9）与本标段的监理人或代建人或招标代理机构同为一个法定代表人；</w:t>
      </w:r>
    </w:p>
    <w:p>
      <w:pPr>
        <w:spacing w:line="360" w:lineRule="auto"/>
        <w:ind w:firstLine="480" w:firstLineChars="200"/>
        <w:rPr>
          <w:rFonts w:hAnsi="宋体" w:cs="宋体"/>
          <w:highlight w:val="none"/>
          <w:lang w:val="zh-CN"/>
        </w:rPr>
      </w:pPr>
      <w:r>
        <w:rPr>
          <w:rFonts w:hint="eastAsia" w:hAnsi="宋体" w:cs="宋体"/>
          <w:highlight w:val="none"/>
          <w:lang w:val="zh-CN"/>
        </w:rPr>
        <w:t>（10）与本标段的监理人或代建人或招标代理机构存在控股或参股关系；</w:t>
      </w:r>
    </w:p>
    <w:p>
      <w:pPr>
        <w:spacing w:line="360" w:lineRule="auto"/>
        <w:ind w:firstLine="480" w:firstLineChars="200"/>
        <w:rPr>
          <w:rFonts w:hAnsi="宋体" w:cs="宋体"/>
          <w:highlight w:val="none"/>
        </w:rPr>
      </w:pPr>
      <w:bookmarkStart w:id="168" w:name="_Toc152045535"/>
      <w:bookmarkStart w:id="169" w:name="_Toc144974503"/>
      <w:bookmarkStart w:id="170" w:name="_Toc152042311"/>
      <w:bookmarkStart w:id="171" w:name="_Toc179632552"/>
      <w:r>
        <w:rPr>
          <w:rFonts w:hint="eastAsia" w:hAnsi="宋体" w:cs="宋体"/>
          <w:highlight w:val="none"/>
          <w:lang w:val="zh-CN"/>
        </w:rPr>
        <w:t>（1</w:t>
      </w:r>
      <w:r>
        <w:rPr>
          <w:rFonts w:hint="eastAsia" w:hAnsi="宋体" w:cs="宋体"/>
          <w:highlight w:val="none"/>
        </w:rPr>
        <w:t>1</w:t>
      </w:r>
      <w:r>
        <w:rPr>
          <w:rFonts w:hint="eastAsia" w:hAnsi="宋体" w:cs="宋体"/>
          <w:highlight w:val="none"/>
          <w:lang w:val="zh-CN"/>
        </w:rPr>
        <w:t>）</w:t>
      </w:r>
      <w:r>
        <w:rPr>
          <w:rFonts w:hint="eastAsia" w:ascii="Times New Roman"/>
          <w:highlight w:val="none"/>
        </w:rPr>
        <w:t>被依法暂停或者取消投标资格，且在处罚期和处罚范围内（以有关行政管理部门的行政处罚决定或司法机关出具的有关法律文书为准）</w:t>
      </w:r>
      <w:r>
        <w:rPr>
          <w:rFonts w:hint="eastAsia" w:hAnsi="宋体" w:cs="宋体"/>
          <w:highlight w:val="none"/>
        </w:rPr>
        <w:t xml:space="preserve">； </w:t>
      </w:r>
    </w:p>
    <w:p>
      <w:pPr>
        <w:spacing w:line="360" w:lineRule="auto"/>
        <w:ind w:firstLine="480" w:firstLineChars="200"/>
        <w:rPr>
          <w:rFonts w:hAnsi="宋体" w:cs="宋体"/>
          <w:highlight w:val="none"/>
        </w:rPr>
      </w:pPr>
      <w:r>
        <w:rPr>
          <w:rFonts w:hint="eastAsia" w:hAnsi="宋体" w:cs="宋体"/>
          <w:highlight w:val="none"/>
        </w:rPr>
        <w:t>（12）在最近三年内（自投标截止之日向前追溯3年）有骗取中标或串通投标或严重违约或发生重大产品质量问题的（以相关行业主管部门的行政处罚决定或司法机关出具的有关法律文书为准），前述行政处罚已完成信用修复的，但自行政处罚作出机关或信用修复主管部门同意修复之日起满一年的，不受三年期限限制；</w:t>
      </w:r>
    </w:p>
    <w:p>
      <w:pPr>
        <w:spacing w:line="360" w:lineRule="auto"/>
        <w:ind w:firstLine="480" w:firstLineChars="200"/>
        <w:rPr>
          <w:rFonts w:hAnsi="宋体" w:cs="宋体"/>
          <w:highlight w:val="none"/>
        </w:rPr>
      </w:pPr>
      <w:r>
        <w:rPr>
          <w:rFonts w:hint="eastAsia" w:hAnsi="宋体" w:cs="宋体"/>
          <w:highlight w:val="none"/>
        </w:rPr>
        <w:t xml:space="preserve">（13）被责令停产停业，暂扣或吊销执照，或吊销资质证书； </w:t>
      </w:r>
    </w:p>
    <w:p>
      <w:pPr>
        <w:spacing w:line="360" w:lineRule="auto"/>
        <w:ind w:firstLine="480" w:firstLineChars="200"/>
        <w:rPr>
          <w:rFonts w:hAnsi="宋体" w:cs="宋体"/>
          <w:highlight w:val="none"/>
        </w:rPr>
      </w:pPr>
      <w:r>
        <w:rPr>
          <w:rFonts w:hint="eastAsia" w:hAnsi="宋体" w:cs="宋体"/>
          <w:highlight w:val="none"/>
        </w:rPr>
        <w:t>（14）进入清算程序，或被宣告破产，或其他丧失履约能力的情形；</w:t>
      </w:r>
    </w:p>
    <w:p>
      <w:pPr>
        <w:spacing w:line="360" w:lineRule="auto"/>
        <w:ind w:firstLine="480" w:firstLineChars="200"/>
        <w:rPr>
          <w:rFonts w:hAnsi="宋体" w:cs="宋体"/>
          <w:highlight w:val="none"/>
          <w:lang w:val="zh-CN"/>
        </w:rPr>
      </w:pPr>
      <w:r>
        <w:rPr>
          <w:rFonts w:hint="eastAsia" w:hAnsi="宋体" w:cs="宋体"/>
          <w:highlight w:val="none"/>
        </w:rPr>
        <w:t>（15）</w:t>
      </w:r>
      <w:r>
        <w:rPr>
          <w:rFonts w:hint="eastAsia" w:ascii="Times New Roman"/>
          <w:highlight w:val="none"/>
        </w:rPr>
        <w:t>投标人或其法定代表人、项目负责人在近三年内（自投标截止之日向前追溯3年）有行贿犯罪行为</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（16）法律法规规定的其他禁止投标的情形；</w:t>
      </w:r>
    </w:p>
    <w:p>
      <w:pPr>
        <w:spacing w:line="360" w:lineRule="auto"/>
        <w:ind w:firstLine="480" w:firstLineChars="200"/>
        <w:rPr>
          <w:rFonts w:hAnsi="宋体" w:cs="宋体"/>
          <w:highlight w:val="none"/>
        </w:rPr>
      </w:pPr>
      <w:r>
        <w:rPr>
          <w:rFonts w:hint="eastAsia" w:hAnsi="宋体" w:cs="宋体"/>
          <w:highlight w:val="none"/>
        </w:rPr>
        <w:t>（17）投标人须知前附表规定的其他情形。</w:t>
      </w:r>
    </w:p>
    <w:p>
      <w:pPr>
        <w:spacing w:line="360" w:lineRule="auto"/>
        <w:ind w:firstLine="480" w:firstLineChars="200"/>
        <w:rPr>
          <w:rFonts w:hAnsi="宋体" w:cs="宋体"/>
          <w:highlight w:val="none"/>
        </w:rPr>
      </w:pPr>
      <w:r>
        <w:rPr>
          <w:rFonts w:hint="eastAsia" w:hAnsi="宋体" w:cs="宋体"/>
          <w:highlight w:val="none"/>
        </w:rPr>
        <w:t xml:space="preserve">1.4.4 投标人（包括联合体各成员）不得存在下列不良状况或不良信用记录：  </w:t>
      </w:r>
    </w:p>
    <w:p>
      <w:pPr>
        <w:spacing w:line="360" w:lineRule="auto"/>
        <w:ind w:firstLine="480" w:firstLineChars="200"/>
        <w:rPr>
          <w:rFonts w:ascii="Times New Roman"/>
          <w:highlight w:val="none"/>
        </w:rPr>
      </w:pPr>
      <w:r>
        <w:rPr>
          <w:rFonts w:hint="eastAsia" w:ascii="Times New Roman"/>
          <w:highlight w:val="none"/>
        </w:rPr>
        <w:t>（1）在国家企业信用信息公示系统（http://www.gsxt.gov.cn/）中被列入严重违法失信企业名单；</w:t>
      </w:r>
    </w:p>
    <w:p>
      <w:pPr>
        <w:spacing w:line="360" w:lineRule="auto"/>
        <w:ind w:firstLine="480" w:firstLineChars="200"/>
        <w:rPr>
          <w:rFonts w:ascii="Times New Roman"/>
          <w:highlight w:val="none"/>
        </w:rPr>
      </w:pPr>
      <w:r>
        <w:rPr>
          <w:rFonts w:hint="eastAsia" w:ascii="Times New Roman"/>
          <w:highlight w:val="none"/>
        </w:rPr>
        <w:t>（2）在“信用中国”网站（http://www.creditchina.gov.cn/）中被列入失信被执行人名单；</w:t>
      </w:r>
    </w:p>
    <w:p>
      <w:pPr>
        <w:spacing w:line="360" w:lineRule="auto"/>
        <w:ind w:firstLine="480" w:firstLineChars="200"/>
        <w:rPr>
          <w:rFonts w:ascii="Times New Roman"/>
          <w:highlight w:val="none"/>
        </w:rPr>
      </w:pPr>
      <w:r>
        <w:rPr>
          <w:rFonts w:hint="eastAsia" w:ascii="Times New Roman"/>
          <w:highlight w:val="none"/>
        </w:rPr>
        <w:t>（3）在“信用中国”网站（http://www.creditchina.gov.cn/）中被列入重大税收违法失信主体名单；</w:t>
      </w:r>
    </w:p>
    <w:p>
      <w:pPr>
        <w:spacing w:line="360" w:lineRule="auto"/>
        <w:ind w:firstLine="480" w:firstLineChars="200"/>
        <w:rPr>
          <w:rFonts w:hAnsi="宋体" w:cs="宋体"/>
          <w:highlight w:val="none"/>
        </w:rPr>
      </w:pPr>
      <w:r>
        <w:rPr>
          <w:rFonts w:hint="eastAsia" w:ascii="Times New Roman"/>
          <w:highlight w:val="none"/>
        </w:rPr>
        <w:t>（4）投标人须知前附表规定的其他情形</w:t>
      </w:r>
      <w:r>
        <w:rPr>
          <w:rFonts w:hint="eastAsia" w:hAnsi="宋体" w:cs="宋体"/>
          <w:highlight w:val="none"/>
        </w:rPr>
        <w:t>。</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1.5费用承担</w:t>
      </w:r>
      <w:bookmarkEnd w:id="168"/>
      <w:bookmarkEnd w:id="169"/>
      <w:bookmarkEnd w:id="170"/>
      <w:bookmarkEnd w:id="171"/>
    </w:p>
    <w:p>
      <w:pPr>
        <w:spacing w:line="360" w:lineRule="auto"/>
        <w:ind w:firstLine="480" w:firstLineChars="200"/>
        <w:rPr>
          <w:rFonts w:hAnsi="宋体" w:cs="宋体"/>
          <w:highlight w:val="none"/>
        </w:rPr>
      </w:pPr>
      <w:r>
        <w:rPr>
          <w:rFonts w:hint="eastAsia" w:hAnsi="宋体" w:cs="宋体"/>
          <w:highlight w:val="none"/>
        </w:rPr>
        <w:t>投标人准备和参加投标活动发生的费用自理。</w:t>
      </w:r>
    </w:p>
    <w:p>
      <w:pPr>
        <w:pStyle w:val="2"/>
        <w:spacing w:beforeLines="100" w:afterLines="100" w:line="240" w:lineRule="auto"/>
        <w:rPr>
          <w:rFonts w:cs="黑体"/>
          <w:snapToGrid w:val="0"/>
          <w:highlight w:val="none"/>
          <w:shd w:val="clear" w:color="auto" w:fill="FFFFFF"/>
          <w:lang w:val="zh-CN"/>
        </w:rPr>
      </w:pPr>
      <w:bookmarkStart w:id="172" w:name="_Toc179632553"/>
      <w:bookmarkStart w:id="173" w:name="_Toc152045536"/>
      <w:bookmarkStart w:id="174" w:name="_Toc144974504"/>
      <w:bookmarkStart w:id="175" w:name="_Toc152042312"/>
      <w:r>
        <w:rPr>
          <w:rFonts w:hint="eastAsia" w:cs="黑体"/>
          <w:snapToGrid w:val="0"/>
          <w:highlight w:val="none"/>
          <w:shd w:val="clear" w:color="auto" w:fill="FFFFFF"/>
          <w:lang w:val="zh-CN"/>
        </w:rPr>
        <w:t>1.6保密</w:t>
      </w:r>
      <w:bookmarkEnd w:id="172"/>
      <w:bookmarkEnd w:id="173"/>
      <w:bookmarkEnd w:id="174"/>
      <w:bookmarkEnd w:id="175"/>
    </w:p>
    <w:p>
      <w:pPr>
        <w:spacing w:line="360" w:lineRule="auto"/>
        <w:ind w:firstLine="480" w:firstLineChars="200"/>
        <w:rPr>
          <w:rFonts w:hAnsi="宋体" w:cs="宋体"/>
          <w:highlight w:val="none"/>
        </w:rPr>
      </w:pPr>
      <w:bookmarkStart w:id="176" w:name="_Toc144974505"/>
      <w:bookmarkStart w:id="177" w:name="_Toc152042313"/>
      <w:bookmarkStart w:id="178" w:name="_Toc179632554"/>
      <w:bookmarkStart w:id="179" w:name="_Toc152045537"/>
      <w:r>
        <w:rPr>
          <w:rFonts w:hint="eastAsia" w:hAnsi="宋体" w:cs="宋体"/>
          <w:highlight w:val="none"/>
        </w:rPr>
        <w:t>参与招标投标活动的各方应对招标文件和投标文件中的商业和技术等秘密保密，否则应承担相应的法律责任。</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1.7语言</w:t>
      </w:r>
      <w:bookmarkEnd w:id="176"/>
      <w:r>
        <w:rPr>
          <w:rFonts w:hint="eastAsia" w:cs="黑体"/>
          <w:snapToGrid w:val="0"/>
          <w:highlight w:val="none"/>
          <w:shd w:val="clear" w:color="auto" w:fill="FFFFFF"/>
          <w:lang w:val="zh-CN"/>
        </w:rPr>
        <w:t>文字</w:t>
      </w:r>
      <w:bookmarkEnd w:id="177"/>
      <w:bookmarkEnd w:id="178"/>
      <w:bookmarkEnd w:id="179"/>
    </w:p>
    <w:p>
      <w:pPr>
        <w:spacing w:line="360" w:lineRule="auto"/>
        <w:ind w:firstLine="480" w:firstLineChars="200"/>
        <w:rPr>
          <w:rFonts w:hAnsi="宋体" w:cs="宋体"/>
          <w:highlight w:val="none"/>
        </w:rPr>
      </w:pPr>
      <w:bookmarkStart w:id="180" w:name="_Toc179632555"/>
      <w:bookmarkStart w:id="181" w:name="_Toc144974506"/>
      <w:bookmarkStart w:id="182" w:name="_Toc152045538"/>
      <w:bookmarkStart w:id="183" w:name="_Toc152042314"/>
      <w:r>
        <w:rPr>
          <w:rFonts w:hint="eastAsia" w:hAnsi="宋体" w:cs="宋体"/>
          <w:highlight w:val="none"/>
        </w:rPr>
        <w:t>招标投标文件使用的语言文字为中文。专用术语使用外文的，应附有中文注释。</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1.8计量单位</w:t>
      </w:r>
      <w:bookmarkEnd w:id="180"/>
      <w:bookmarkEnd w:id="181"/>
      <w:bookmarkEnd w:id="182"/>
      <w:bookmarkEnd w:id="183"/>
    </w:p>
    <w:p>
      <w:pPr>
        <w:spacing w:line="360" w:lineRule="auto"/>
        <w:ind w:firstLine="480" w:firstLineChars="200"/>
        <w:rPr>
          <w:rFonts w:hAnsi="宋体" w:cs="宋体"/>
          <w:highlight w:val="none"/>
        </w:rPr>
      </w:pPr>
      <w:r>
        <w:rPr>
          <w:rFonts w:hint="eastAsia" w:hAnsi="宋体" w:cs="宋体"/>
          <w:highlight w:val="none"/>
        </w:rPr>
        <w:t>所有计量均采用中华人民共和国法定计量单位。</w:t>
      </w:r>
    </w:p>
    <w:p>
      <w:pPr>
        <w:pStyle w:val="2"/>
        <w:spacing w:beforeLines="100" w:afterLines="100" w:line="240" w:lineRule="auto"/>
        <w:rPr>
          <w:rFonts w:cs="黑体"/>
          <w:snapToGrid w:val="0"/>
          <w:highlight w:val="none"/>
          <w:shd w:val="clear" w:color="auto" w:fill="FFFFFF"/>
          <w:lang w:val="zh-CN"/>
        </w:rPr>
      </w:pPr>
      <w:bookmarkStart w:id="184" w:name="_Toc152042315"/>
      <w:bookmarkStart w:id="185" w:name="_Toc144974507"/>
      <w:bookmarkStart w:id="186" w:name="_Toc179632556"/>
      <w:bookmarkStart w:id="187" w:name="_Toc152045539"/>
      <w:r>
        <w:rPr>
          <w:rFonts w:hint="eastAsia" w:cs="黑体"/>
          <w:snapToGrid w:val="0"/>
          <w:highlight w:val="none"/>
          <w:shd w:val="clear" w:color="auto" w:fill="FFFFFF"/>
          <w:lang w:val="zh-CN"/>
        </w:rPr>
        <w:t>1.9踏勘现场</w:t>
      </w:r>
      <w:bookmarkEnd w:id="184"/>
      <w:bookmarkEnd w:id="185"/>
      <w:bookmarkEnd w:id="186"/>
      <w:bookmarkEnd w:id="187"/>
    </w:p>
    <w:p>
      <w:pPr>
        <w:spacing w:line="360" w:lineRule="auto"/>
        <w:ind w:firstLine="480" w:firstLineChars="200"/>
        <w:rPr>
          <w:rFonts w:hAnsi="宋体" w:cs="宋体"/>
          <w:highlight w:val="none"/>
        </w:rPr>
      </w:pPr>
      <w:r>
        <w:rPr>
          <w:rFonts w:hint="eastAsia" w:hAnsi="宋体" w:cs="宋体"/>
          <w:highlight w:val="none"/>
        </w:rPr>
        <w:t>1.9.1 投标人须知前附表规定组织踏勘现场的，招标人</w:t>
      </w:r>
      <w:r>
        <w:rPr>
          <w:rFonts w:hint="eastAsia" w:hAnsi="宋体" w:cs="宋体"/>
          <w:bCs/>
          <w:snapToGrid w:val="0"/>
          <w:highlight w:val="none"/>
        </w:rPr>
        <w:t>按</w:t>
      </w:r>
      <w:r>
        <w:rPr>
          <w:rFonts w:hint="eastAsia" w:hAnsi="宋体" w:cs="宋体"/>
          <w:highlight w:val="none"/>
        </w:rPr>
        <w:t>投标人须知前附表规定的时间、地点组织投标人踏勘项目现场。部分投标人未按时参加踏勘现场的，不影响踏勘现场的正常进行。招标人不得组织单个或部分投标人踏勘项目现场。</w:t>
      </w:r>
    </w:p>
    <w:p>
      <w:pPr>
        <w:spacing w:line="360" w:lineRule="auto"/>
        <w:ind w:firstLine="480" w:firstLineChars="200"/>
        <w:rPr>
          <w:rFonts w:hAnsi="宋体" w:cs="宋体"/>
          <w:highlight w:val="none"/>
        </w:rPr>
      </w:pPr>
      <w:r>
        <w:rPr>
          <w:rFonts w:hint="eastAsia" w:hAnsi="宋体" w:cs="宋体"/>
          <w:highlight w:val="none"/>
        </w:rPr>
        <w:t>1.9.2 投标人踏勘现场发生的费用自理。</w:t>
      </w:r>
    </w:p>
    <w:p>
      <w:pPr>
        <w:spacing w:line="360" w:lineRule="auto"/>
        <w:ind w:firstLine="480" w:firstLineChars="200"/>
        <w:rPr>
          <w:rFonts w:hAnsi="宋体" w:cs="宋体"/>
          <w:highlight w:val="none"/>
        </w:rPr>
      </w:pPr>
      <w:r>
        <w:rPr>
          <w:rFonts w:hint="eastAsia" w:hAnsi="宋体" w:cs="宋体"/>
          <w:highlight w:val="none"/>
        </w:rPr>
        <w:t>1.9.3 除招标人的原因外，投标人自行负责在踏勘现场中所发生的人员伤亡和财产损失。</w:t>
      </w:r>
    </w:p>
    <w:p>
      <w:pPr>
        <w:spacing w:line="360" w:lineRule="auto"/>
        <w:ind w:firstLine="480" w:firstLineChars="200"/>
        <w:rPr>
          <w:rFonts w:hAnsi="宋体" w:cs="宋体"/>
          <w:highlight w:val="none"/>
        </w:rPr>
      </w:pPr>
      <w:r>
        <w:rPr>
          <w:rFonts w:hint="eastAsia" w:hAnsi="宋体" w:cs="宋体"/>
          <w:highlight w:val="none"/>
        </w:rPr>
        <w:t>1.9.4 招标人在踏勘现场中介绍的项目场地和相关的周边环境情况，供投标人在编制投标文件时参考，招标人不对投标人据此作出的判断和决策负责。</w:t>
      </w:r>
    </w:p>
    <w:p>
      <w:pPr>
        <w:spacing w:line="360" w:lineRule="auto"/>
        <w:ind w:firstLine="480" w:firstLineChars="200"/>
        <w:rPr>
          <w:rFonts w:hAnsi="宋体" w:cs="宋体"/>
          <w:highlight w:val="none"/>
        </w:rPr>
      </w:pPr>
      <w:r>
        <w:rPr>
          <w:rFonts w:hint="eastAsia" w:hAnsi="宋体" w:cs="宋体"/>
          <w:highlight w:val="none"/>
        </w:rPr>
        <w:t>1.9.5 无论投标人是否到项目现场实地踏勘，中标后签订合同时和履约过程中，投标人不得以不完全了解现场情况或现场情况与招标文件描述不一致等为由，提出任何形式的增加合同价款或索赔的要求。</w:t>
      </w:r>
    </w:p>
    <w:p>
      <w:pPr>
        <w:pStyle w:val="2"/>
        <w:spacing w:beforeLines="100" w:afterLines="100" w:line="240" w:lineRule="auto"/>
        <w:rPr>
          <w:rFonts w:cs="黑体"/>
          <w:snapToGrid w:val="0"/>
          <w:highlight w:val="none"/>
          <w:shd w:val="clear" w:color="auto" w:fill="FFFFFF"/>
          <w:lang w:val="zh-CN"/>
        </w:rPr>
      </w:pPr>
      <w:bookmarkStart w:id="188" w:name="_Toc152042316"/>
      <w:bookmarkStart w:id="189" w:name="_Toc144974508"/>
      <w:bookmarkStart w:id="190" w:name="_Toc179632557"/>
      <w:bookmarkStart w:id="191" w:name="_Toc152045540"/>
      <w:r>
        <w:rPr>
          <w:rFonts w:hint="eastAsia" w:cs="黑体"/>
          <w:snapToGrid w:val="0"/>
          <w:highlight w:val="none"/>
          <w:shd w:val="clear" w:color="auto" w:fill="FFFFFF"/>
          <w:lang w:val="zh-CN"/>
        </w:rPr>
        <w:t>1.10 投标预备会</w:t>
      </w:r>
      <w:bookmarkEnd w:id="188"/>
      <w:bookmarkEnd w:id="189"/>
      <w:bookmarkEnd w:id="190"/>
      <w:bookmarkEnd w:id="191"/>
    </w:p>
    <w:p>
      <w:pPr>
        <w:spacing w:line="360" w:lineRule="auto"/>
        <w:ind w:firstLine="480" w:firstLineChars="200"/>
        <w:rPr>
          <w:rFonts w:hAnsi="宋体" w:cs="宋体"/>
          <w:highlight w:val="none"/>
        </w:rPr>
      </w:pPr>
      <w:r>
        <w:rPr>
          <w:rFonts w:hint="eastAsia" w:hAnsi="宋体" w:cs="宋体"/>
          <w:highlight w:val="none"/>
        </w:rPr>
        <w:t>1.10.1 投标人须知前附表规定召开投标预备会的，招标人按照投标人须知前附表规定的时间和形式召开投标预备会，澄清投标人提出的问题。</w:t>
      </w:r>
    </w:p>
    <w:p>
      <w:pPr>
        <w:spacing w:line="360" w:lineRule="auto"/>
        <w:ind w:firstLine="480" w:firstLineChars="200"/>
        <w:rPr>
          <w:rFonts w:hAnsi="宋体" w:cs="宋体"/>
          <w:highlight w:val="none"/>
        </w:rPr>
      </w:pPr>
      <w:r>
        <w:rPr>
          <w:rFonts w:hint="eastAsia" w:hAnsi="宋体" w:cs="宋体"/>
          <w:highlight w:val="none"/>
        </w:rPr>
        <w:t>1.10.2 投标人应按照投标人须知前附表规定的时间和形式将提出的问题送达招标人，以便招标人在会议期间澄清。</w:t>
      </w:r>
    </w:p>
    <w:p>
      <w:pPr>
        <w:spacing w:line="360" w:lineRule="auto"/>
        <w:ind w:firstLine="480" w:firstLineChars="200"/>
        <w:rPr>
          <w:rFonts w:hAnsi="宋体" w:cs="宋体"/>
          <w:highlight w:val="none"/>
        </w:rPr>
      </w:pPr>
      <w:r>
        <w:rPr>
          <w:rFonts w:hint="eastAsia" w:hAnsi="宋体" w:cs="宋体"/>
          <w:highlight w:val="none"/>
        </w:rPr>
        <w:t>1.10.3 投标预备会后，招标人将对投标人所提问题的澄清，按照本章第2.2款规定的时间和形式通知所有获取招标文件的投标人。该澄清内容为招标文件的组成部分。</w:t>
      </w:r>
    </w:p>
    <w:p>
      <w:pPr>
        <w:pStyle w:val="2"/>
        <w:spacing w:beforeLines="100" w:afterLines="100" w:line="240" w:lineRule="auto"/>
        <w:rPr>
          <w:rFonts w:cs="黑体"/>
          <w:snapToGrid w:val="0"/>
          <w:highlight w:val="none"/>
          <w:shd w:val="clear" w:color="auto" w:fill="FFFFFF"/>
          <w:lang w:val="zh-CN"/>
        </w:rPr>
      </w:pPr>
      <w:bookmarkStart w:id="192" w:name="_Toc179632558"/>
      <w:bookmarkStart w:id="193" w:name="_Toc144974509"/>
      <w:bookmarkStart w:id="194" w:name="_Toc152045541"/>
      <w:bookmarkStart w:id="195" w:name="_Toc152042317"/>
      <w:r>
        <w:rPr>
          <w:rFonts w:hint="eastAsia" w:cs="黑体"/>
          <w:snapToGrid w:val="0"/>
          <w:highlight w:val="none"/>
          <w:shd w:val="clear" w:color="auto" w:fill="FFFFFF"/>
          <w:lang w:val="zh-CN"/>
        </w:rPr>
        <w:t>1.11分包</w:t>
      </w:r>
      <w:bookmarkEnd w:id="192"/>
      <w:bookmarkEnd w:id="193"/>
      <w:bookmarkEnd w:id="194"/>
      <w:bookmarkEnd w:id="195"/>
    </w:p>
    <w:p>
      <w:pPr>
        <w:spacing w:line="360" w:lineRule="auto"/>
        <w:ind w:firstLine="480" w:firstLineChars="200"/>
        <w:rPr>
          <w:rFonts w:hAnsi="宋体" w:cs="宋体"/>
          <w:highlight w:val="none"/>
        </w:rPr>
      </w:pPr>
      <w:r>
        <w:rPr>
          <w:rFonts w:hint="eastAsia" w:hAnsi="宋体" w:cs="宋体"/>
          <w:highlight w:val="none"/>
        </w:rPr>
        <w:t>1.11.1 投标人拟在中标后将中标项目的非主体货物进行分包的，应符合投标人须知前附表规定的分包内容、分包金额和资质要求等限制性条件，除投标人须知前附表规定的非主体货物外，其他工作不得分包。</w:t>
      </w:r>
    </w:p>
    <w:p>
      <w:pPr>
        <w:spacing w:line="360" w:lineRule="auto"/>
        <w:ind w:firstLine="480" w:firstLineChars="200"/>
        <w:rPr>
          <w:rFonts w:hAnsi="宋体" w:cs="宋体"/>
          <w:highlight w:val="none"/>
        </w:rPr>
      </w:pPr>
      <w:r>
        <w:rPr>
          <w:rFonts w:hint="eastAsia" w:hAnsi="宋体" w:cs="宋体"/>
          <w:highlight w:val="none"/>
        </w:rPr>
        <w:t>1.11.2 中标人不得向他人转让中标项目，接受分包的人不得再次分包。中标人应就分包项目向招标人负责，接受分包的人就分包项目承担连带责任。</w:t>
      </w:r>
    </w:p>
    <w:p>
      <w:pPr>
        <w:pStyle w:val="2"/>
        <w:spacing w:beforeLines="100" w:afterLines="100" w:line="240" w:lineRule="auto"/>
        <w:rPr>
          <w:rFonts w:cs="黑体"/>
          <w:snapToGrid w:val="0"/>
          <w:highlight w:val="none"/>
          <w:shd w:val="clear" w:color="auto" w:fill="FFFFFF"/>
          <w:lang w:val="zh-CN"/>
        </w:rPr>
      </w:pPr>
      <w:bookmarkStart w:id="196" w:name="_Toc179632559"/>
      <w:r>
        <w:rPr>
          <w:rFonts w:hint="eastAsia" w:cs="黑体"/>
          <w:snapToGrid w:val="0"/>
          <w:highlight w:val="none"/>
          <w:shd w:val="clear" w:color="auto" w:fill="FFFFFF"/>
          <w:lang w:val="zh-CN"/>
        </w:rPr>
        <w:t>1.12</w:t>
      </w:r>
      <w:bookmarkEnd w:id="196"/>
      <w:r>
        <w:rPr>
          <w:rFonts w:hint="eastAsia" w:cs="黑体"/>
          <w:snapToGrid w:val="0"/>
          <w:highlight w:val="none"/>
          <w:shd w:val="clear" w:color="auto" w:fill="FFFFFF"/>
          <w:lang w:val="zh-CN"/>
        </w:rPr>
        <w:t>响应和偏差</w:t>
      </w:r>
    </w:p>
    <w:p>
      <w:pPr>
        <w:spacing w:line="360" w:lineRule="auto"/>
        <w:ind w:firstLine="480" w:firstLineChars="200"/>
        <w:rPr>
          <w:rFonts w:hAnsi="宋体" w:cs="宋体"/>
          <w:highlight w:val="none"/>
        </w:rPr>
      </w:pPr>
      <w:r>
        <w:rPr>
          <w:rFonts w:hint="eastAsia" w:hAnsi="宋体" w:cs="宋体"/>
          <w:highlight w:val="none"/>
        </w:rPr>
        <w:t>1.12.1投标文件应当对招标文件的实质性要求和条件作出满足性或更有利于招标人的响应，否则，投标人的投标将被否决。实质性要求和条件见投标人须知前附表。</w:t>
      </w:r>
    </w:p>
    <w:p>
      <w:pPr>
        <w:spacing w:line="360" w:lineRule="auto"/>
        <w:ind w:firstLine="480" w:firstLineChars="200"/>
        <w:rPr>
          <w:rFonts w:hAnsi="宋体" w:cs="宋体"/>
          <w:highlight w:val="none"/>
        </w:rPr>
      </w:pPr>
      <w:r>
        <w:rPr>
          <w:rFonts w:hint="eastAsia" w:hAnsi="宋体" w:cs="宋体"/>
          <w:highlight w:val="none"/>
        </w:rPr>
        <w:t>1.12.2 投标人应根据招标文件的要求提供投标货物技术性能指标的详细描述、技术支持资料及技术服务和质保期服务计划等内容已对招标文件作出响应。</w:t>
      </w:r>
    </w:p>
    <w:p>
      <w:pPr>
        <w:spacing w:line="360" w:lineRule="auto"/>
        <w:ind w:firstLine="480" w:firstLineChars="200"/>
        <w:rPr>
          <w:rFonts w:hAnsi="宋体" w:cs="宋体"/>
          <w:highlight w:val="none"/>
        </w:rPr>
      </w:pPr>
      <w:r>
        <w:rPr>
          <w:rFonts w:hint="eastAsia" w:hAnsi="宋体" w:cs="宋体"/>
          <w:highlight w:val="none"/>
        </w:rPr>
        <w:t>1.12.3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360" w:lineRule="auto"/>
        <w:ind w:firstLine="480" w:firstLineChars="200"/>
        <w:rPr>
          <w:rFonts w:hAnsi="宋体" w:cs="宋体"/>
          <w:highlight w:val="none"/>
        </w:rPr>
      </w:pPr>
      <w:r>
        <w:rPr>
          <w:rFonts w:hint="eastAsia" w:hAnsi="宋体" w:cs="宋体"/>
          <w:highlight w:val="none"/>
        </w:rPr>
        <w:t>1.12.4 投标人须知前附表规定了可以偏差的范围和最高偏差项数的，偏差应当符合投标人须知前附表规定的偏差范围和最高项数，超出偏差范围和最高偏差项数的投标将被否决。</w:t>
      </w:r>
    </w:p>
    <w:p>
      <w:pPr>
        <w:spacing w:line="360" w:lineRule="auto"/>
        <w:ind w:firstLine="480" w:firstLineChars="200"/>
        <w:rPr>
          <w:rFonts w:hAnsi="宋体" w:cs="宋体"/>
          <w:highlight w:val="none"/>
        </w:rPr>
      </w:pPr>
      <w:r>
        <w:rPr>
          <w:rFonts w:hint="eastAsia" w:hAnsi="宋体" w:cs="宋体"/>
          <w:highlight w:val="none"/>
        </w:rPr>
        <w:t>1.12.5 投标文件对招标文件的全部偏差，均应在投标文件的商务和技术偏差表中列明，除列明的内容外，视为投标人响应招标文件的全部要求。</w:t>
      </w:r>
    </w:p>
    <w:p>
      <w:pPr>
        <w:pStyle w:val="4"/>
        <w:spacing w:beforeLines="100" w:afterLines="100" w:line="240" w:lineRule="auto"/>
        <w:rPr>
          <w:rFonts w:ascii="黑体" w:hAnsi="黑体" w:eastAsia="黑体" w:cs="黑体"/>
          <w:b w:val="0"/>
          <w:bCs w:val="0"/>
          <w:highlight w:val="none"/>
        </w:rPr>
      </w:pPr>
      <w:bookmarkStart w:id="197" w:name="_Toc9056"/>
      <w:bookmarkStart w:id="198" w:name="_Toc144974510"/>
      <w:bookmarkStart w:id="199" w:name="_Toc179632560"/>
      <w:bookmarkStart w:id="200" w:name="_Toc152042318"/>
      <w:bookmarkStart w:id="201" w:name="_Toc140069407"/>
      <w:bookmarkStart w:id="202" w:name="_Toc152045542"/>
      <w:r>
        <w:rPr>
          <w:rFonts w:hint="eastAsia" w:ascii="黑体" w:hAnsi="黑体" w:eastAsia="黑体" w:cs="黑体"/>
          <w:b w:val="0"/>
          <w:bCs w:val="0"/>
          <w:highlight w:val="none"/>
        </w:rPr>
        <w:t>2. 招标文件</w:t>
      </w:r>
      <w:bookmarkEnd w:id="197"/>
      <w:bookmarkEnd w:id="198"/>
      <w:bookmarkEnd w:id="199"/>
      <w:bookmarkEnd w:id="200"/>
      <w:bookmarkEnd w:id="201"/>
      <w:bookmarkEnd w:id="202"/>
    </w:p>
    <w:p>
      <w:pPr>
        <w:pStyle w:val="2"/>
        <w:spacing w:beforeLines="100" w:afterLines="100" w:line="240" w:lineRule="auto"/>
        <w:rPr>
          <w:rFonts w:cs="黑体"/>
          <w:snapToGrid w:val="0"/>
          <w:highlight w:val="none"/>
          <w:shd w:val="clear" w:color="auto" w:fill="FFFFFF"/>
          <w:lang w:val="zh-CN"/>
        </w:rPr>
      </w:pPr>
      <w:bookmarkStart w:id="203" w:name="_Toc144974511"/>
      <w:bookmarkStart w:id="204" w:name="_Toc152045543"/>
      <w:bookmarkStart w:id="205" w:name="_Toc152042319"/>
      <w:bookmarkStart w:id="206" w:name="_Toc179632561"/>
      <w:r>
        <w:rPr>
          <w:rFonts w:hint="eastAsia" w:cs="黑体"/>
          <w:snapToGrid w:val="0"/>
          <w:highlight w:val="none"/>
          <w:shd w:val="clear" w:color="auto" w:fill="FFFFFF"/>
          <w:lang w:val="zh-CN"/>
        </w:rPr>
        <w:t>2.1招标文件的组成</w:t>
      </w:r>
      <w:bookmarkEnd w:id="203"/>
      <w:bookmarkEnd w:id="204"/>
      <w:bookmarkEnd w:id="205"/>
      <w:bookmarkEnd w:id="206"/>
    </w:p>
    <w:p>
      <w:pPr>
        <w:spacing w:line="360" w:lineRule="auto"/>
        <w:ind w:firstLine="480" w:firstLineChars="200"/>
        <w:rPr>
          <w:rFonts w:hAnsi="宋体" w:cs="宋体"/>
          <w:highlight w:val="none"/>
        </w:rPr>
      </w:pPr>
      <w:r>
        <w:rPr>
          <w:rFonts w:hint="eastAsia" w:hAnsi="宋体" w:cs="宋体"/>
          <w:highlight w:val="none"/>
        </w:rPr>
        <w:t>本招标文件包括：</w:t>
      </w:r>
    </w:p>
    <w:p>
      <w:pPr>
        <w:spacing w:line="360" w:lineRule="auto"/>
        <w:ind w:firstLine="480" w:firstLineChars="200"/>
        <w:rPr>
          <w:rFonts w:hAnsi="宋体" w:cs="宋体"/>
          <w:highlight w:val="none"/>
        </w:rPr>
      </w:pPr>
      <w:r>
        <w:rPr>
          <w:rFonts w:hint="eastAsia" w:hAnsi="宋体" w:cs="宋体"/>
          <w:highlight w:val="none"/>
        </w:rPr>
        <w:t>（1）招标公告；</w:t>
      </w:r>
    </w:p>
    <w:p>
      <w:pPr>
        <w:spacing w:line="360" w:lineRule="auto"/>
        <w:ind w:firstLine="480" w:firstLineChars="200"/>
        <w:rPr>
          <w:rFonts w:hAnsi="宋体" w:cs="宋体"/>
          <w:highlight w:val="none"/>
        </w:rPr>
      </w:pPr>
      <w:r>
        <w:rPr>
          <w:rFonts w:hint="eastAsia" w:hAnsi="宋体" w:cs="宋体"/>
          <w:highlight w:val="none"/>
        </w:rPr>
        <w:t>（2）投标人须知；</w:t>
      </w:r>
    </w:p>
    <w:p>
      <w:pPr>
        <w:spacing w:line="360" w:lineRule="auto"/>
        <w:ind w:firstLine="480" w:firstLineChars="200"/>
        <w:rPr>
          <w:rFonts w:hAnsi="宋体" w:cs="宋体"/>
          <w:highlight w:val="none"/>
        </w:rPr>
      </w:pPr>
      <w:r>
        <w:rPr>
          <w:rFonts w:hint="eastAsia" w:hAnsi="宋体" w:cs="宋体"/>
          <w:highlight w:val="none"/>
        </w:rPr>
        <w:t>（3）评标办法；</w:t>
      </w:r>
    </w:p>
    <w:p>
      <w:pPr>
        <w:spacing w:line="360" w:lineRule="auto"/>
        <w:ind w:firstLine="480" w:firstLineChars="200"/>
        <w:rPr>
          <w:rFonts w:hAnsi="宋体" w:cs="宋体"/>
          <w:highlight w:val="none"/>
        </w:rPr>
      </w:pPr>
      <w:r>
        <w:rPr>
          <w:rFonts w:hint="eastAsia" w:hAnsi="宋体" w:cs="宋体"/>
          <w:highlight w:val="none"/>
        </w:rPr>
        <w:t>（4）合同条款及格式；</w:t>
      </w:r>
    </w:p>
    <w:p>
      <w:pPr>
        <w:spacing w:line="360" w:lineRule="auto"/>
        <w:ind w:firstLine="480" w:firstLineChars="200"/>
        <w:rPr>
          <w:rFonts w:hAnsi="宋体" w:cs="宋体"/>
          <w:highlight w:val="none"/>
        </w:rPr>
      </w:pPr>
      <w:r>
        <w:rPr>
          <w:rFonts w:hint="eastAsia" w:hAnsi="宋体" w:cs="宋体"/>
          <w:highlight w:val="none"/>
        </w:rPr>
        <w:t>（5）供货要求；</w:t>
      </w:r>
    </w:p>
    <w:p>
      <w:pPr>
        <w:spacing w:line="360" w:lineRule="auto"/>
        <w:ind w:firstLine="480" w:firstLineChars="200"/>
        <w:rPr>
          <w:rFonts w:hAnsi="宋体" w:cs="宋体"/>
          <w:highlight w:val="none"/>
        </w:rPr>
      </w:pPr>
      <w:r>
        <w:rPr>
          <w:rFonts w:hint="eastAsia" w:hAnsi="宋体" w:cs="宋体"/>
          <w:highlight w:val="none"/>
        </w:rPr>
        <w:t>（6）投标文件格式；</w:t>
      </w:r>
    </w:p>
    <w:p>
      <w:pPr>
        <w:spacing w:line="360" w:lineRule="auto"/>
        <w:ind w:firstLine="480" w:firstLineChars="200"/>
        <w:rPr>
          <w:rFonts w:hAnsi="宋体" w:cs="宋体"/>
          <w:highlight w:val="none"/>
        </w:rPr>
      </w:pPr>
      <w:r>
        <w:rPr>
          <w:rFonts w:hint="eastAsia" w:hAnsi="宋体" w:cs="宋体"/>
          <w:highlight w:val="none"/>
        </w:rPr>
        <w:t>（7）投标人须知前附表规定的其他材料。</w:t>
      </w:r>
    </w:p>
    <w:p>
      <w:pPr>
        <w:spacing w:line="360" w:lineRule="auto"/>
        <w:ind w:firstLine="480" w:firstLineChars="200"/>
        <w:rPr>
          <w:rFonts w:hAnsi="宋体" w:cs="宋体"/>
          <w:highlight w:val="none"/>
        </w:rPr>
      </w:pPr>
      <w:r>
        <w:rPr>
          <w:rFonts w:hint="eastAsia" w:hAnsi="宋体" w:cs="宋体"/>
          <w:highlight w:val="none"/>
        </w:rPr>
        <w:t>根据本章第1.10款、第2.2款和第2.3款对招标文件所作的澄清、修改，构成招标文件的组成部分。</w:t>
      </w:r>
    </w:p>
    <w:p>
      <w:pPr>
        <w:spacing w:line="360" w:lineRule="auto"/>
        <w:ind w:firstLine="480" w:firstLineChars="200"/>
        <w:rPr>
          <w:rFonts w:hAnsi="宋体" w:cs="宋体"/>
          <w:highlight w:val="none"/>
        </w:rPr>
      </w:pPr>
      <w:r>
        <w:rPr>
          <w:rFonts w:hint="eastAsia" w:hAnsi="宋体" w:cs="宋体"/>
          <w:highlight w:val="none"/>
        </w:rPr>
        <w:t>当招标文件、招标文件的澄清或修改等在同一内容的表述上不一致时，以最后发出的文件为准。</w:t>
      </w:r>
    </w:p>
    <w:p>
      <w:pPr>
        <w:pStyle w:val="2"/>
        <w:spacing w:beforeLines="100" w:afterLines="100" w:line="240" w:lineRule="auto"/>
        <w:rPr>
          <w:rFonts w:cs="黑体"/>
          <w:snapToGrid w:val="0"/>
          <w:highlight w:val="none"/>
          <w:shd w:val="clear" w:color="auto" w:fill="FFFFFF"/>
          <w:lang w:val="zh-CN"/>
        </w:rPr>
      </w:pPr>
      <w:bookmarkStart w:id="207" w:name="_Toc152045544"/>
      <w:bookmarkStart w:id="208" w:name="_Toc152042320"/>
      <w:bookmarkStart w:id="209" w:name="_Toc144974512"/>
      <w:bookmarkStart w:id="210" w:name="_Toc179632562"/>
      <w:r>
        <w:rPr>
          <w:rFonts w:hint="eastAsia" w:cs="黑体"/>
          <w:snapToGrid w:val="0"/>
          <w:highlight w:val="none"/>
          <w:shd w:val="clear" w:color="auto" w:fill="FFFFFF"/>
          <w:lang w:val="zh-CN"/>
        </w:rPr>
        <w:t>2.2招标文件的澄清</w:t>
      </w:r>
      <w:bookmarkEnd w:id="207"/>
      <w:bookmarkEnd w:id="208"/>
      <w:bookmarkEnd w:id="209"/>
      <w:bookmarkEnd w:id="210"/>
    </w:p>
    <w:p>
      <w:pPr>
        <w:spacing w:line="360" w:lineRule="auto"/>
        <w:ind w:firstLine="480" w:firstLineChars="200"/>
        <w:rPr>
          <w:rFonts w:hAnsi="宋体" w:cs="宋体"/>
          <w:highlight w:val="none"/>
        </w:rPr>
      </w:pPr>
      <w:bookmarkStart w:id="211" w:name="_Toc144974513"/>
      <w:bookmarkStart w:id="212" w:name="_Toc152045545"/>
      <w:bookmarkStart w:id="213" w:name="_Toc179632563"/>
      <w:bookmarkStart w:id="214" w:name="_Toc152042321"/>
      <w:r>
        <w:rPr>
          <w:rFonts w:hint="eastAsia" w:hAnsi="宋体" w:cs="宋体"/>
          <w:highlight w:val="none"/>
        </w:rPr>
        <w:t xml:space="preserve">2.2.1 </w:t>
      </w:r>
      <w:r>
        <w:rPr>
          <w:rFonts w:hint="eastAsia" w:hAnsi="宋体" w:cs="宋体"/>
          <w:bCs/>
          <w:snapToGrid w:val="0"/>
          <w:highlight w:val="none"/>
        </w:rPr>
        <w:t>投标人应仔细阅读和检查招标文件的全部内容。如有疑问，应</w:t>
      </w:r>
      <w:r>
        <w:rPr>
          <w:rFonts w:hint="eastAsia" w:hAnsi="宋体" w:cs="宋体"/>
          <w:highlight w:val="none"/>
        </w:rPr>
        <w:t>按照</w:t>
      </w:r>
      <w:r>
        <w:rPr>
          <w:rFonts w:hint="eastAsia" w:hAnsi="宋体" w:cs="宋体"/>
          <w:bCs/>
          <w:snapToGrid w:val="0"/>
          <w:highlight w:val="none"/>
        </w:rPr>
        <w:t>投标人须知前附表规定的时间和形式向招标人发出对招标文件进行澄清的要求</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2.2.2招标人对招标文件进行澄清的，以投标人须知前附表规定的形式向所有获取招标文件的投标人发出澄清文件，澄清文件一经发出则视为送达所有获取招标文件的投标人。因投标人未及时查阅上述澄清文件而导致的后果由投标人自行承担。</w:t>
      </w:r>
    </w:p>
    <w:p>
      <w:pPr>
        <w:spacing w:line="360" w:lineRule="auto"/>
        <w:ind w:firstLine="480" w:firstLineChars="200"/>
        <w:rPr>
          <w:rFonts w:hAnsi="宋体" w:cs="宋体"/>
          <w:highlight w:val="none"/>
          <w:lang w:val="zh-CN"/>
        </w:rPr>
      </w:pPr>
      <w:r>
        <w:rPr>
          <w:rFonts w:hint="eastAsia" w:hAnsi="宋体" w:cs="宋体"/>
          <w:highlight w:val="none"/>
        </w:rPr>
        <w:t>2.2.3澄清文件发出的时间距投标截止时间不足15日的，并且澄清内容可能影响投标文件编制的，招标人将相应顺延投标截止时间。</w:t>
      </w:r>
    </w:p>
    <w:p>
      <w:pPr>
        <w:spacing w:line="360" w:lineRule="auto"/>
        <w:ind w:firstLine="480" w:firstLineChars="200"/>
        <w:rPr>
          <w:rFonts w:hAnsi="宋体" w:cs="宋体"/>
          <w:highlight w:val="none"/>
        </w:rPr>
      </w:pPr>
      <w:r>
        <w:rPr>
          <w:rFonts w:hint="eastAsia" w:hAnsi="宋体" w:cs="宋体"/>
          <w:highlight w:val="none"/>
        </w:rPr>
        <w:t>2.2.4除非招标人认为确有必要答复，否则，招标人有权拒绝回复投标人在本章第2.2.1项规定的时间后提出的任何澄清要求。</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2.3招标文件的修改</w:t>
      </w:r>
      <w:bookmarkEnd w:id="211"/>
      <w:bookmarkEnd w:id="212"/>
      <w:bookmarkEnd w:id="213"/>
      <w:bookmarkEnd w:id="214"/>
    </w:p>
    <w:p>
      <w:pPr>
        <w:spacing w:line="360" w:lineRule="auto"/>
        <w:ind w:firstLine="480" w:firstLineChars="200"/>
        <w:rPr>
          <w:rFonts w:hAnsi="宋体" w:cs="宋体"/>
          <w:highlight w:val="none"/>
        </w:rPr>
      </w:pPr>
      <w:r>
        <w:rPr>
          <w:rFonts w:hint="eastAsia" w:hAnsi="宋体" w:cs="宋体"/>
          <w:highlight w:val="none"/>
        </w:rPr>
        <w:t>2.3.1 招标人对招标文件进行修改的，以投标人须知前附表规定的形式向所有获取招标文件的投标人发出修改文件，修改文件一经发出则视为送达所有获取招标文件的投标人。因投标人未及时查阅上述修改文件而导致的后果由投标人自行承担。</w:t>
      </w:r>
    </w:p>
    <w:p>
      <w:pPr>
        <w:spacing w:line="360" w:lineRule="auto"/>
        <w:ind w:firstLine="480" w:firstLineChars="200"/>
        <w:rPr>
          <w:rFonts w:hAnsi="宋体" w:cs="宋体"/>
          <w:highlight w:val="none"/>
        </w:rPr>
      </w:pPr>
      <w:r>
        <w:rPr>
          <w:rFonts w:hint="eastAsia" w:hAnsi="宋体" w:cs="宋体"/>
          <w:highlight w:val="none"/>
        </w:rPr>
        <w:t>2.3.2 修改文件发出的时间距投标截止时间不足15日的，并且修改内容可能影响投标文件编制的，招标人将相应顺延投标截止时间。</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2.4招标文件的异议</w:t>
      </w:r>
    </w:p>
    <w:p>
      <w:pPr>
        <w:spacing w:line="360" w:lineRule="auto"/>
        <w:ind w:firstLine="480" w:firstLineChars="200"/>
        <w:rPr>
          <w:rFonts w:hAnsi="宋体" w:cs="宋体"/>
          <w:highlight w:val="none"/>
        </w:rPr>
      </w:pPr>
      <w:bookmarkStart w:id="215" w:name="_Toc152045546"/>
      <w:bookmarkStart w:id="216" w:name="_Toc144974514"/>
      <w:bookmarkStart w:id="217" w:name="_Toc152042322"/>
      <w:bookmarkStart w:id="218" w:name="_Toc179632564"/>
      <w:r>
        <w:rPr>
          <w:rFonts w:hint="eastAsia" w:hAnsi="宋体" w:cs="宋体"/>
          <w:highlight w:val="none"/>
        </w:rPr>
        <w:t>投标人或者其他利害关系人对招标文件有异议的，应在投标截止时间10日前通过电子交易系统在线</w:t>
      </w:r>
      <w:r>
        <w:rPr>
          <w:rFonts w:hint="eastAsia" w:hAnsi="宋体" w:cs="宋体"/>
          <w:bCs/>
          <w:snapToGrid w:val="0"/>
          <w:highlight w:val="none"/>
        </w:rPr>
        <w:t>提出</w:t>
      </w:r>
      <w:r>
        <w:rPr>
          <w:rFonts w:hint="eastAsia" w:hAnsi="宋体" w:cs="宋体"/>
          <w:highlight w:val="none"/>
        </w:rPr>
        <w:t>或以其他书面形式提出。招标人将在收到异议之日起3日内作出答复；作出答复前，将暂停招标投标活动。</w:t>
      </w:r>
    </w:p>
    <w:p>
      <w:pPr>
        <w:pStyle w:val="4"/>
        <w:spacing w:beforeLines="100" w:afterLines="100" w:line="240" w:lineRule="auto"/>
        <w:rPr>
          <w:rFonts w:ascii="黑体" w:hAnsi="黑体" w:eastAsia="黑体" w:cs="黑体"/>
          <w:b w:val="0"/>
          <w:bCs w:val="0"/>
          <w:highlight w:val="none"/>
        </w:rPr>
      </w:pPr>
      <w:bookmarkStart w:id="219" w:name="_Toc140069408"/>
      <w:bookmarkStart w:id="220" w:name="_Toc21235"/>
      <w:r>
        <w:rPr>
          <w:rFonts w:hint="eastAsia" w:ascii="黑体" w:hAnsi="黑体" w:eastAsia="黑体" w:cs="黑体"/>
          <w:b w:val="0"/>
          <w:bCs w:val="0"/>
          <w:highlight w:val="none"/>
        </w:rPr>
        <w:t>3. 投标文件</w:t>
      </w:r>
      <w:bookmarkEnd w:id="215"/>
      <w:bookmarkEnd w:id="216"/>
      <w:bookmarkEnd w:id="217"/>
      <w:bookmarkEnd w:id="218"/>
      <w:bookmarkEnd w:id="219"/>
      <w:bookmarkEnd w:id="220"/>
    </w:p>
    <w:p>
      <w:pPr>
        <w:pStyle w:val="2"/>
        <w:spacing w:beforeLines="100" w:afterLines="100" w:line="240" w:lineRule="auto"/>
        <w:rPr>
          <w:rFonts w:cs="黑体"/>
          <w:snapToGrid w:val="0"/>
          <w:highlight w:val="none"/>
          <w:shd w:val="clear" w:color="auto" w:fill="FFFFFF"/>
          <w:lang w:val="zh-CN"/>
        </w:rPr>
      </w:pPr>
      <w:bookmarkStart w:id="221" w:name="_Toc152042323"/>
      <w:bookmarkStart w:id="222" w:name="_Toc179632565"/>
      <w:bookmarkStart w:id="223" w:name="_Toc152045547"/>
      <w:bookmarkStart w:id="224" w:name="_Toc144974515"/>
      <w:r>
        <w:rPr>
          <w:rFonts w:hint="eastAsia" w:cs="黑体"/>
          <w:snapToGrid w:val="0"/>
          <w:highlight w:val="none"/>
          <w:shd w:val="clear" w:color="auto" w:fill="FFFFFF"/>
          <w:lang w:val="zh-CN"/>
        </w:rPr>
        <w:t>3.1投标文件的组成</w:t>
      </w:r>
      <w:bookmarkEnd w:id="221"/>
      <w:bookmarkEnd w:id="222"/>
      <w:bookmarkEnd w:id="223"/>
      <w:bookmarkEnd w:id="224"/>
    </w:p>
    <w:p>
      <w:pPr>
        <w:spacing w:line="360" w:lineRule="auto"/>
        <w:ind w:firstLine="480" w:firstLineChars="200"/>
        <w:rPr>
          <w:rFonts w:hAnsi="宋体" w:cs="宋体"/>
          <w:highlight w:val="none"/>
        </w:rPr>
      </w:pPr>
      <w:r>
        <w:rPr>
          <w:rFonts w:hint="eastAsia" w:hAnsi="宋体" w:cs="宋体"/>
          <w:highlight w:val="none"/>
        </w:rPr>
        <w:t>3.1.1 投标文件应包括下列内容：</w:t>
      </w:r>
    </w:p>
    <w:p>
      <w:pPr>
        <w:spacing w:line="360" w:lineRule="auto"/>
        <w:ind w:firstLine="480" w:firstLineChars="200"/>
        <w:rPr>
          <w:rFonts w:hAnsi="宋体" w:cs="宋体"/>
          <w:bCs/>
          <w:snapToGrid w:val="0"/>
          <w:highlight w:val="none"/>
        </w:rPr>
      </w:pPr>
      <w:r>
        <w:rPr>
          <w:rFonts w:hint="eastAsia" w:hAnsi="宋体" w:cs="宋体"/>
          <w:bCs/>
          <w:snapToGrid w:val="0"/>
          <w:highlight w:val="none"/>
        </w:rPr>
        <w:t>（1）商务文件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（2）技术文件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（3）报价文件</w:t>
      </w:r>
    </w:p>
    <w:p>
      <w:pPr>
        <w:spacing w:line="360" w:lineRule="auto"/>
        <w:ind w:firstLine="480" w:firstLineChars="200"/>
        <w:rPr>
          <w:rFonts w:hAnsi="宋体" w:cs="宋体"/>
          <w:highlight w:val="none"/>
        </w:rPr>
      </w:pPr>
      <w:r>
        <w:rPr>
          <w:rFonts w:hint="eastAsia" w:hAnsi="宋体" w:cs="宋体"/>
          <w:bCs/>
          <w:snapToGrid w:val="0"/>
          <w:highlight w:val="none"/>
        </w:rPr>
        <w:t>3.1.2 投标人在评标过程中作出的符合法律法规和招标文件规定的澄清、说明和确认，构成投标文件的组成部分。</w:t>
      </w:r>
    </w:p>
    <w:p>
      <w:pPr>
        <w:pStyle w:val="2"/>
        <w:spacing w:beforeLines="100" w:afterLines="100" w:line="240" w:lineRule="auto"/>
        <w:rPr>
          <w:rFonts w:cs="黑体"/>
          <w:snapToGrid w:val="0"/>
          <w:highlight w:val="none"/>
          <w:shd w:val="clear" w:color="auto" w:fill="FFFFFF"/>
          <w:lang w:val="zh-CN"/>
        </w:rPr>
      </w:pPr>
      <w:bookmarkStart w:id="225" w:name="_Toc179632566"/>
      <w:bookmarkStart w:id="226" w:name="_Toc152042324"/>
      <w:bookmarkStart w:id="227" w:name="_Toc152045548"/>
      <w:bookmarkStart w:id="228" w:name="_Toc144974516"/>
      <w:r>
        <w:rPr>
          <w:rFonts w:hint="eastAsia" w:cs="黑体"/>
          <w:snapToGrid w:val="0"/>
          <w:highlight w:val="none"/>
          <w:shd w:val="clear" w:color="auto" w:fill="FFFFFF"/>
          <w:lang w:val="zh-CN"/>
        </w:rPr>
        <w:t>3.2投标报价</w:t>
      </w:r>
      <w:bookmarkEnd w:id="225"/>
      <w:bookmarkEnd w:id="226"/>
      <w:bookmarkEnd w:id="227"/>
      <w:bookmarkEnd w:id="228"/>
    </w:p>
    <w:p>
      <w:pPr>
        <w:spacing w:line="360" w:lineRule="auto"/>
        <w:ind w:firstLine="480" w:firstLineChars="200"/>
        <w:rPr>
          <w:rFonts w:hAnsi="宋体" w:cs="宋体"/>
          <w:highlight w:val="none"/>
        </w:rPr>
      </w:pPr>
      <w:bookmarkStart w:id="229" w:name="_Toc179632567"/>
      <w:bookmarkStart w:id="230" w:name="_Toc152042325"/>
      <w:bookmarkStart w:id="231" w:name="_Toc152045549"/>
      <w:bookmarkStart w:id="232" w:name="_Toc144974517"/>
      <w:r>
        <w:rPr>
          <w:rFonts w:hint="eastAsia" w:hAnsi="宋体" w:cs="宋体"/>
          <w:highlight w:val="none"/>
        </w:rPr>
        <w:t>3.2.1 投标报价应包括国家规定的增值税税金，除投标人须知前附表另有规定外，增值税税金按照一般计税方法计算。投标人应按照第六章“投标文件格式”的要求在报价文件投标函中进行报价并填写分项报价表。</w:t>
      </w:r>
    </w:p>
    <w:p>
      <w:pPr>
        <w:spacing w:line="360" w:lineRule="auto"/>
        <w:ind w:firstLine="480" w:firstLineChars="200"/>
        <w:rPr>
          <w:rFonts w:hAnsi="宋体" w:cs="宋体"/>
          <w:highlight w:val="none"/>
        </w:rPr>
      </w:pPr>
      <w:r>
        <w:rPr>
          <w:rFonts w:hint="eastAsia" w:hAnsi="宋体" w:cs="宋体"/>
          <w:highlight w:val="none"/>
        </w:rPr>
        <w:t>3.2.2 投标人应充分了解本项目的总体情况以及影响投标报价的其他要素。</w:t>
      </w:r>
    </w:p>
    <w:p>
      <w:pPr>
        <w:spacing w:line="360" w:lineRule="auto"/>
        <w:ind w:firstLine="480" w:firstLineChars="200"/>
        <w:rPr>
          <w:rFonts w:hAnsi="宋体" w:cs="宋体"/>
          <w:highlight w:val="none"/>
        </w:rPr>
      </w:pPr>
      <w:r>
        <w:rPr>
          <w:rFonts w:hint="eastAsia" w:hAnsi="宋体" w:cs="宋体"/>
          <w:highlight w:val="none"/>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报价文件投标函中的投标报价，应同时修改投标文件“分项报价表”中的相应报价。此修改须符合本章第4.3款的有关要求。</w:t>
      </w:r>
    </w:p>
    <w:p>
      <w:pPr>
        <w:spacing w:line="360" w:lineRule="auto"/>
        <w:ind w:firstLine="480" w:firstLineChars="200"/>
        <w:rPr>
          <w:rFonts w:hAnsi="宋体" w:cs="宋体"/>
          <w:highlight w:val="none"/>
        </w:rPr>
      </w:pPr>
      <w:r>
        <w:rPr>
          <w:rFonts w:hint="eastAsia" w:hAnsi="宋体" w:cs="宋体"/>
          <w:highlight w:val="none"/>
        </w:rPr>
        <w:t>3.2.4招标人设有最高投标限价的，投标人的投标报价不得超过最高投标限价，最高投标限价在投标人须知前附表中载明。</w:t>
      </w:r>
    </w:p>
    <w:p>
      <w:pPr>
        <w:spacing w:line="360" w:lineRule="auto"/>
        <w:ind w:firstLine="480" w:firstLineChars="200"/>
        <w:rPr>
          <w:rFonts w:hAnsi="宋体" w:cs="宋体"/>
          <w:highlight w:val="none"/>
        </w:rPr>
      </w:pPr>
      <w:r>
        <w:rPr>
          <w:rFonts w:hint="eastAsia" w:hAnsi="宋体" w:cs="宋体"/>
          <w:highlight w:val="none"/>
        </w:rPr>
        <w:t>3.2.5 投标报价的其他要求见投标人须知前附表。</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3.3投标有效期</w:t>
      </w:r>
      <w:bookmarkEnd w:id="229"/>
      <w:bookmarkEnd w:id="230"/>
      <w:bookmarkEnd w:id="231"/>
      <w:bookmarkEnd w:id="232"/>
    </w:p>
    <w:p>
      <w:pPr>
        <w:spacing w:line="360" w:lineRule="auto"/>
        <w:ind w:firstLine="480" w:firstLineChars="200"/>
        <w:rPr>
          <w:rFonts w:hAnsi="宋体" w:cs="宋体"/>
          <w:highlight w:val="none"/>
        </w:rPr>
      </w:pPr>
      <w:bookmarkStart w:id="233" w:name="_Toc152045550"/>
      <w:bookmarkStart w:id="234" w:name="_Toc179632568"/>
      <w:bookmarkStart w:id="235" w:name="_Toc152042326"/>
      <w:bookmarkStart w:id="236" w:name="_Toc144974518"/>
      <w:r>
        <w:rPr>
          <w:rFonts w:hint="eastAsia" w:hAnsi="宋体" w:cs="宋体"/>
          <w:highlight w:val="none"/>
        </w:rPr>
        <w:t>3.3.1 除投标人须知前附表另有规定外，投标有效期为120日。</w:t>
      </w:r>
    </w:p>
    <w:p>
      <w:pPr>
        <w:spacing w:line="360" w:lineRule="auto"/>
        <w:ind w:firstLine="480" w:firstLineChars="200"/>
        <w:rPr>
          <w:rFonts w:hAnsi="宋体" w:cs="宋体"/>
          <w:highlight w:val="none"/>
        </w:rPr>
      </w:pPr>
      <w:r>
        <w:rPr>
          <w:rFonts w:hint="eastAsia" w:hAnsi="宋体" w:cs="宋体"/>
          <w:highlight w:val="none"/>
        </w:rPr>
        <w:t>3.3.2 在投标有效期内，投标人撤销投标文件的，应承担招标文件和法律规定的责任。</w:t>
      </w:r>
    </w:p>
    <w:p>
      <w:pPr>
        <w:spacing w:line="360" w:lineRule="auto"/>
        <w:ind w:firstLine="480" w:firstLineChars="200"/>
        <w:rPr>
          <w:rFonts w:hAnsi="宋体" w:cs="宋体"/>
          <w:highlight w:val="none"/>
        </w:rPr>
      </w:pPr>
      <w:r>
        <w:rPr>
          <w:rFonts w:hint="eastAsia" w:hAnsi="宋体" w:cs="宋体"/>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银行转账、银行电汇）形式递交的投标保证金的银行同期活期存款利息。</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3.4投标保证金</w:t>
      </w:r>
      <w:bookmarkEnd w:id="233"/>
      <w:bookmarkEnd w:id="234"/>
      <w:bookmarkEnd w:id="235"/>
      <w:bookmarkEnd w:id="236"/>
    </w:p>
    <w:p>
      <w:pPr>
        <w:spacing w:line="360" w:lineRule="auto"/>
        <w:ind w:firstLine="480" w:firstLineChars="200"/>
        <w:rPr>
          <w:rFonts w:hAnsi="宋体" w:cs="宋体"/>
          <w:highlight w:val="none"/>
        </w:rPr>
      </w:pPr>
      <w:bookmarkStart w:id="237" w:name="_Toc152042328"/>
      <w:bookmarkStart w:id="238" w:name="_Toc144974520"/>
      <w:bookmarkStart w:id="239" w:name="_Toc152045552"/>
      <w:bookmarkStart w:id="240" w:name="_Toc179632570"/>
      <w:r>
        <w:rPr>
          <w:rFonts w:hint="eastAsia" w:hAnsi="宋体" w:cs="宋体"/>
          <w:highlight w:val="none"/>
        </w:rPr>
        <w:t>3.4.1 招标人在投标人须知前附表中要求投标人提交投标保证金的，投标人在递交投标文件的同时，应按照投标人须知前附表规定的金额、形式和第六章“投标文件格式”规定的投标保证金格式提交投标保证金，并作为其投标文件的组成部分。</w:t>
      </w:r>
    </w:p>
    <w:p>
      <w:pPr>
        <w:spacing w:line="360" w:lineRule="auto"/>
        <w:ind w:firstLine="480" w:firstLineChars="200"/>
        <w:rPr>
          <w:rFonts w:hAnsi="宋体" w:cs="宋体"/>
          <w:highlight w:val="none"/>
        </w:rPr>
      </w:pPr>
      <w:r>
        <w:rPr>
          <w:rFonts w:hint="eastAsia" w:hAnsi="宋体" w:cs="宋体"/>
          <w:highlight w:val="none"/>
        </w:rPr>
        <w:t>境内投标人以现金（银行转账、银行电汇）形式提交的投标保证金应当从其基本存款账户转出。联合体投标的，其投标保证金由牵头人递交，并应符合投标人须知前附表的规定。</w:t>
      </w:r>
    </w:p>
    <w:p>
      <w:pPr>
        <w:spacing w:line="360" w:lineRule="auto"/>
        <w:ind w:firstLine="480" w:firstLineChars="200"/>
        <w:rPr>
          <w:rFonts w:hAnsi="宋体" w:cs="宋体"/>
          <w:highlight w:val="none"/>
        </w:rPr>
      </w:pPr>
      <w:r>
        <w:rPr>
          <w:rFonts w:hint="eastAsia" w:hAnsi="宋体" w:cs="宋体"/>
          <w:highlight w:val="none"/>
        </w:rPr>
        <w:t>无论采取何种形式的投标保证金，投标保证金有效期均应与投标有效期一致。招标人如果按照本章第3.3.3项的规定延长了投标有效期，则投标保证金的有效期也相应延长。</w:t>
      </w:r>
    </w:p>
    <w:p>
      <w:pPr>
        <w:spacing w:line="360" w:lineRule="auto"/>
        <w:ind w:firstLine="480" w:firstLineChars="200"/>
        <w:rPr>
          <w:rFonts w:hAnsi="宋体" w:cs="宋体"/>
          <w:highlight w:val="none"/>
        </w:rPr>
      </w:pPr>
      <w:r>
        <w:rPr>
          <w:rFonts w:hint="eastAsia" w:hAnsi="宋体" w:cs="宋体"/>
          <w:highlight w:val="none"/>
        </w:rPr>
        <w:t>3.4.2 投标人不按照本章第3.4.1项要求提交投标保证金的，评标委员会将否决其投标。</w:t>
      </w:r>
    </w:p>
    <w:p>
      <w:pPr>
        <w:spacing w:line="360" w:lineRule="auto"/>
        <w:ind w:firstLine="480" w:firstLineChars="200"/>
        <w:rPr>
          <w:rFonts w:hAnsi="宋体" w:cs="宋体"/>
          <w:highlight w:val="none"/>
        </w:rPr>
      </w:pPr>
      <w:r>
        <w:rPr>
          <w:rFonts w:hint="eastAsia" w:hAnsi="宋体" w:cs="宋体"/>
          <w:highlight w:val="none"/>
        </w:rPr>
        <w:t xml:space="preserve">3.4.3 </w:t>
      </w:r>
      <w:r>
        <w:rPr>
          <w:rFonts w:hint="eastAsia" w:ascii="Times New Roman"/>
          <w:highlight w:val="none"/>
        </w:rPr>
        <w:t>除投标人须知前附表另有规定外，</w:t>
      </w:r>
      <w:r>
        <w:rPr>
          <w:rFonts w:hint="eastAsia" w:hAnsi="宋体" w:cs="宋体"/>
          <w:highlight w:val="none"/>
        </w:rPr>
        <w:t>招标人最迟将在中标通知书发出后5日内向中标候选人以外的其他投标人退还投标保证金，与中标人签订合同后5日内向中标人和其他中标候选人退还投标保证金。投标保证金以现金（银行转账、银行电汇）形式提交的，招标人应同时退还投标保证金的银行同期活期存款利息，且退还至投标人的基本存款账户。其他形式的投标保证金，在投标有效期届满时自动失效的，无需退还。</w:t>
      </w:r>
    </w:p>
    <w:p>
      <w:pPr>
        <w:spacing w:line="360" w:lineRule="auto"/>
        <w:ind w:firstLine="480" w:firstLineChars="200"/>
        <w:rPr>
          <w:rFonts w:hAnsi="宋体" w:cs="宋体"/>
          <w:highlight w:val="none"/>
        </w:rPr>
      </w:pPr>
      <w:r>
        <w:rPr>
          <w:rFonts w:hint="eastAsia" w:hAnsi="宋体" w:cs="宋体"/>
          <w:highlight w:val="none"/>
        </w:rPr>
        <w:t>3.4.4 有下列情形之一的，投标保证金将不予退还：</w:t>
      </w:r>
    </w:p>
    <w:p>
      <w:pPr>
        <w:spacing w:line="360" w:lineRule="auto"/>
        <w:ind w:firstLine="480" w:firstLineChars="200"/>
        <w:rPr>
          <w:rFonts w:hAnsi="宋体" w:cs="宋体"/>
          <w:highlight w:val="none"/>
        </w:rPr>
      </w:pPr>
      <w:r>
        <w:rPr>
          <w:rFonts w:hint="eastAsia" w:hAnsi="宋体" w:cs="宋体"/>
          <w:highlight w:val="none"/>
        </w:rPr>
        <w:t>（1）投标人在规定的投标有效期内撤销其投标文件；</w:t>
      </w:r>
    </w:p>
    <w:p>
      <w:pPr>
        <w:spacing w:line="360" w:lineRule="auto"/>
        <w:ind w:firstLine="480" w:firstLineChars="200"/>
        <w:rPr>
          <w:rFonts w:hAnsi="宋体" w:cs="宋体"/>
          <w:highlight w:val="none"/>
        </w:rPr>
      </w:pPr>
      <w:r>
        <w:rPr>
          <w:rFonts w:hint="eastAsia" w:hAnsi="宋体" w:cs="宋体"/>
          <w:highlight w:val="none"/>
        </w:rPr>
        <w:t>（2）中标人在收到中标通知书后，无正当理由不与招标人订立合同，或在签订合同时向招标人提出附加条件，或不按照招标文件要求提交履约保证金；</w:t>
      </w:r>
    </w:p>
    <w:p>
      <w:pPr>
        <w:spacing w:line="360" w:lineRule="auto"/>
        <w:ind w:firstLine="480" w:firstLineChars="200"/>
        <w:rPr>
          <w:rFonts w:hAnsi="宋体" w:cs="宋体"/>
          <w:highlight w:val="none"/>
        </w:rPr>
      </w:pPr>
      <w:r>
        <w:rPr>
          <w:rFonts w:hint="eastAsia" w:hAnsi="宋体" w:cs="宋体"/>
          <w:highlight w:val="none"/>
        </w:rPr>
        <w:t>（3）发生投标人须知前附表规定的其他不予退还投标保证金的情形。</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3.5资格审查资料</w:t>
      </w:r>
      <w:bookmarkEnd w:id="237"/>
      <w:bookmarkEnd w:id="238"/>
      <w:bookmarkEnd w:id="239"/>
      <w:bookmarkEnd w:id="240"/>
    </w:p>
    <w:p>
      <w:pPr>
        <w:spacing w:line="360" w:lineRule="auto"/>
        <w:ind w:firstLine="480" w:firstLineChars="200"/>
        <w:rPr>
          <w:rFonts w:hAnsi="宋体" w:cs="宋体"/>
          <w:bCs/>
          <w:snapToGrid w:val="0"/>
          <w:highlight w:val="none"/>
        </w:rPr>
      </w:pPr>
      <w:r>
        <w:rPr>
          <w:rFonts w:hint="eastAsia" w:hAnsi="宋体" w:cs="宋体"/>
          <w:bCs/>
          <w:snapToGrid w:val="0"/>
          <w:highlight w:val="none"/>
        </w:rPr>
        <w:t>3.5.1 投标人应</w:t>
      </w:r>
      <w:r>
        <w:rPr>
          <w:rFonts w:hint="eastAsia" w:hAnsi="宋体" w:cs="宋体"/>
          <w:highlight w:val="none"/>
        </w:rPr>
        <w:t>按照</w:t>
      </w:r>
      <w:r>
        <w:rPr>
          <w:rFonts w:hint="eastAsia" w:hAnsi="宋体" w:cs="宋体"/>
          <w:bCs/>
          <w:snapToGrid w:val="0"/>
          <w:highlight w:val="none"/>
        </w:rPr>
        <w:t>投标人须知前附表附录要求提供资格审查资料，内容及格式见第六章“投标文件格式”要求。</w:t>
      </w:r>
    </w:p>
    <w:p>
      <w:pPr>
        <w:spacing w:line="360" w:lineRule="auto"/>
        <w:ind w:firstLine="480" w:firstLineChars="200"/>
        <w:rPr>
          <w:rFonts w:hAnsi="宋体" w:cs="宋体"/>
          <w:bCs/>
          <w:snapToGrid w:val="0"/>
          <w:highlight w:val="none"/>
        </w:rPr>
      </w:pPr>
      <w:r>
        <w:rPr>
          <w:rFonts w:hint="eastAsia" w:hAnsi="宋体" w:cs="宋体"/>
          <w:bCs/>
          <w:snapToGrid w:val="0"/>
          <w:highlight w:val="none"/>
        </w:rPr>
        <w:t>3.5.2 投标人须知前附表规定接受联合体投标的，资格审查资料应包括联合体各方相关情况。</w:t>
      </w:r>
    </w:p>
    <w:p>
      <w:pPr>
        <w:spacing w:line="360" w:lineRule="auto"/>
        <w:ind w:firstLine="480" w:firstLineChars="200"/>
        <w:rPr>
          <w:rFonts w:hAnsi="宋体" w:cs="宋体"/>
          <w:bCs/>
          <w:snapToGrid w:val="0"/>
          <w:highlight w:val="none"/>
        </w:rPr>
      </w:pPr>
      <w:bookmarkStart w:id="241" w:name="_Toc152042329"/>
      <w:bookmarkStart w:id="242" w:name="_Toc144974521"/>
      <w:bookmarkStart w:id="243" w:name="_Toc179632571"/>
      <w:bookmarkStart w:id="244" w:name="_Toc152045553"/>
      <w:r>
        <w:rPr>
          <w:rFonts w:hint="eastAsia" w:hAnsi="宋体" w:cs="宋体"/>
          <w:bCs/>
          <w:snapToGrid w:val="0"/>
          <w:highlight w:val="none"/>
        </w:rPr>
        <w:t>3.5.3 招标人有权核查投标人在投标文件中提供的材料，若在评标期间发现投标人提供了虚假材料，其投标将被否决；若在签订合同前发现中标候选人、中标人提供了虚假材料，招标人有权取消其中标候选资格、中标资格。同时招标人将报公共资源交易监督管理部门。</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3.6备选投标方案</w:t>
      </w:r>
      <w:bookmarkEnd w:id="241"/>
      <w:bookmarkEnd w:id="242"/>
      <w:bookmarkEnd w:id="243"/>
      <w:bookmarkEnd w:id="244"/>
    </w:p>
    <w:p>
      <w:pPr>
        <w:spacing w:line="360" w:lineRule="auto"/>
        <w:ind w:firstLine="480" w:firstLineChars="200"/>
        <w:rPr>
          <w:rFonts w:hAnsi="宋体" w:cs="宋体"/>
          <w:highlight w:val="none"/>
        </w:rPr>
      </w:pPr>
      <w:bookmarkStart w:id="245" w:name="_Toc152042330"/>
      <w:bookmarkStart w:id="246" w:name="_Toc152045554"/>
      <w:bookmarkStart w:id="247" w:name="_Toc179632572"/>
      <w:bookmarkStart w:id="248" w:name="_Toc144974522"/>
      <w:r>
        <w:rPr>
          <w:rFonts w:hint="eastAsia" w:hAnsi="宋体" w:cs="宋体"/>
          <w:highlight w:val="none"/>
        </w:rPr>
        <w:t xml:space="preserve">3.6.1 </w:t>
      </w:r>
      <w:r>
        <w:rPr>
          <w:rFonts w:hint="eastAsia" w:hAnsi="宋体" w:cs="宋体"/>
          <w:bCs/>
          <w:snapToGrid w:val="0"/>
          <w:highlight w:val="none"/>
        </w:rPr>
        <w:t>除投标人须知前附表规定允许外，投标人不得递交备选投标方案，否则其投标将被否决。</w:t>
      </w:r>
    </w:p>
    <w:p>
      <w:pPr>
        <w:spacing w:line="360" w:lineRule="auto"/>
        <w:ind w:firstLine="480" w:firstLineChars="200"/>
        <w:rPr>
          <w:rFonts w:hAnsi="宋体" w:cs="宋体"/>
          <w:highlight w:val="none"/>
        </w:rPr>
      </w:pPr>
      <w:r>
        <w:rPr>
          <w:rFonts w:hint="eastAsia" w:hAnsi="宋体" w:cs="宋体"/>
          <w:highlight w:val="none"/>
        </w:rPr>
        <w:t xml:space="preserve">3.6.2 </w:t>
      </w:r>
      <w:r>
        <w:rPr>
          <w:rFonts w:hint="eastAsia" w:hAnsi="宋体" w:cs="宋体"/>
          <w:bCs/>
          <w:snapToGrid w:val="0"/>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rFonts w:hAnsi="宋体" w:cs="宋体"/>
          <w:bCs/>
          <w:snapToGrid w:val="0"/>
          <w:highlight w:val="none"/>
        </w:rPr>
      </w:pPr>
      <w:r>
        <w:rPr>
          <w:rFonts w:hint="eastAsia" w:hAnsi="宋体" w:cs="宋体"/>
          <w:highlight w:val="none"/>
        </w:rPr>
        <w:t xml:space="preserve">3.6.3 </w:t>
      </w:r>
      <w:r>
        <w:rPr>
          <w:rFonts w:hint="eastAsia" w:hAnsi="宋体" w:cs="宋体"/>
          <w:bCs/>
          <w:snapToGrid w:val="0"/>
          <w:highlight w:val="none"/>
        </w:rPr>
        <w:t>投标人提供两个或两个以上投标报价，或在投标文件中提供一个报价，但同时提供两个或两个以上供货方案的，视为提供备选方案。</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3.7投标文件的编制</w:t>
      </w:r>
      <w:bookmarkEnd w:id="245"/>
      <w:bookmarkEnd w:id="246"/>
      <w:bookmarkEnd w:id="247"/>
      <w:bookmarkEnd w:id="248"/>
    </w:p>
    <w:p>
      <w:pPr>
        <w:spacing w:line="360" w:lineRule="auto"/>
        <w:ind w:firstLine="480" w:firstLineChars="200"/>
        <w:rPr>
          <w:rFonts w:hAnsi="宋体" w:cs="宋体"/>
          <w:highlight w:val="none"/>
        </w:rPr>
      </w:pPr>
      <w:r>
        <w:rPr>
          <w:rFonts w:hint="eastAsia" w:hAnsi="宋体" w:cs="宋体"/>
          <w:highlight w:val="none"/>
        </w:rPr>
        <w:t>3.7.1投标文件应按照第六章“投标文件格式”进行编写，如有必要，可以增加附页，作为投标文件的组成部分。投标函在满足招标文件实质性要求的基础上，可以提出比招标文件要求更有利于招标人的承诺。</w:t>
      </w:r>
    </w:p>
    <w:p>
      <w:pPr>
        <w:spacing w:line="360" w:lineRule="auto"/>
        <w:ind w:firstLine="480" w:firstLineChars="200"/>
        <w:rPr>
          <w:rFonts w:hAnsi="宋体" w:cs="宋体"/>
          <w:highlight w:val="none"/>
        </w:rPr>
      </w:pPr>
      <w:r>
        <w:rPr>
          <w:rFonts w:hint="eastAsia" w:hAnsi="宋体" w:cs="宋体"/>
          <w:highlight w:val="none"/>
        </w:rPr>
        <w:t>3.7.2 投标文件应当对招标文件有关交货及安装周期、投标有效期、供货要求、招标范围等实质性内容作出响应。投标文件在满足招标文件实质性要求的基础上，可以提出比招标文件要求更有利于招标人的承诺。</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3.7.3 投标文件的制作应满足以下规定：</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（1）投标文件由投标人使用电子交易系统提供的“投标文件制作工具”制作生成。“投标文件制作工具”可以通过电子交易系统下载。</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2）在第六章“投标文件格式”中要求盖单位章和（或）签字处，投标人应加盖投标人单位电子印章和（或）法定代表人的个人电子印章/电子签名章。联合体投标的，除联合体协议书外，投标文件由联合体牵头人</w:t>
      </w:r>
      <w:r>
        <w:rPr>
          <w:rFonts w:hint="eastAsia" w:hAnsi="宋体" w:cs="宋体"/>
          <w:highlight w:val="none"/>
        </w:rPr>
        <w:t>按照</w:t>
      </w:r>
      <w:r>
        <w:rPr>
          <w:rFonts w:hint="eastAsia" w:hAnsi="宋体" w:cs="宋体"/>
          <w:snapToGrid w:val="0"/>
          <w:highlight w:val="none"/>
          <w:shd w:val="clear" w:color="auto" w:fill="FFFFFF"/>
        </w:rPr>
        <w:t>上述规定加盖联合体牵头人单位电子印章和（或）法定代表人的个人电子印章/电子签名章。</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3）投标文件制作完成后，投标人应对投标文件进行文件加密，形成加密的投标文件。采用数字证书加密的，加密时投标文件的所有内容均只能使用同一把数字证书进行加密，否则引起的解密失败责任由投标人自行承担。</w:t>
      </w:r>
    </w:p>
    <w:p>
      <w:pPr>
        <w:spacing w:line="360" w:lineRule="auto"/>
        <w:ind w:firstLine="480" w:firstLineChars="200"/>
        <w:rPr>
          <w:rFonts w:hAnsi="宋体" w:cs="宋体"/>
          <w:highlight w:val="none"/>
        </w:rPr>
      </w:pPr>
      <w:r>
        <w:rPr>
          <w:rFonts w:hint="eastAsia" w:hAnsi="宋体" w:cs="宋体"/>
          <w:highlight w:val="none"/>
        </w:rPr>
        <w:t>（4）投标文件中的证明材料接受扫描件（包括电子证照等电子件）形式。</w:t>
      </w:r>
    </w:p>
    <w:p>
      <w:pPr>
        <w:spacing w:line="360" w:lineRule="auto"/>
        <w:ind w:firstLine="480" w:firstLineChars="200"/>
        <w:rPr>
          <w:rFonts w:hAnsi="宋体" w:cs="宋体"/>
          <w:highlight w:val="none"/>
        </w:rPr>
      </w:pPr>
      <w:r>
        <w:rPr>
          <w:rFonts w:hint="eastAsia" w:hAnsi="宋体" w:cs="宋体"/>
          <w:highlight w:val="none"/>
        </w:rPr>
        <w:t>（5）投标文件制作的具体方法见“投标文件制作工具”中的帮助文档。</w:t>
      </w:r>
    </w:p>
    <w:p>
      <w:pPr>
        <w:spacing w:line="360" w:lineRule="auto"/>
        <w:ind w:firstLine="480" w:firstLineChars="200"/>
        <w:rPr>
          <w:rFonts w:hAnsi="宋体" w:cs="宋体"/>
          <w:highlight w:val="none"/>
        </w:rPr>
      </w:pPr>
      <w:r>
        <w:rPr>
          <w:rFonts w:hint="eastAsia" w:hAnsi="宋体" w:cs="宋体"/>
          <w:highlight w:val="none"/>
        </w:rPr>
        <w:t>3.7.4 “投标文件制作工具”生成加密投标文件时，同时生成非加密投标文件，作为加密投标文件无法解密、导入时的补救措施。非加密投标文件递交要求见投标人须知前附表。</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3.7.5 因投标人自身原因而导致投标文件（指解密后的投标文件或启用补救措施下的非加密投标文件）无法导入电子交易系统电子开标、评标系统，该投标视为无效投标，投标人自行承担由此导致的全部责任。</w:t>
      </w:r>
    </w:p>
    <w:p>
      <w:pPr>
        <w:pStyle w:val="4"/>
        <w:spacing w:beforeLines="100" w:afterLines="100" w:line="240" w:lineRule="auto"/>
        <w:rPr>
          <w:rFonts w:ascii="黑体" w:hAnsi="黑体" w:eastAsia="黑体" w:cs="黑体"/>
          <w:b w:val="0"/>
          <w:bCs w:val="0"/>
          <w:highlight w:val="none"/>
        </w:rPr>
      </w:pPr>
      <w:bookmarkStart w:id="249" w:name="_Toc152045555"/>
      <w:bookmarkStart w:id="250" w:name="_Toc144974523"/>
      <w:bookmarkStart w:id="251" w:name="_Toc140069409"/>
      <w:bookmarkStart w:id="252" w:name="_Toc179632573"/>
      <w:bookmarkStart w:id="253" w:name="_Toc152042331"/>
      <w:bookmarkStart w:id="254" w:name="_Toc16689"/>
      <w:r>
        <w:rPr>
          <w:rFonts w:hint="eastAsia" w:ascii="黑体" w:hAnsi="黑体" w:eastAsia="黑体" w:cs="黑体"/>
          <w:b w:val="0"/>
          <w:bCs w:val="0"/>
          <w:highlight w:val="none"/>
        </w:rPr>
        <w:t>4. 投标</w:t>
      </w:r>
      <w:bookmarkEnd w:id="249"/>
      <w:bookmarkEnd w:id="250"/>
      <w:bookmarkEnd w:id="251"/>
      <w:bookmarkEnd w:id="252"/>
      <w:bookmarkEnd w:id="253"/>
      <w:bookmarkEnd w:id="254"/>
    </w:p>
    <w:p>
      <w:pPr>
        <w:pStyle w:val="2"/>
        <w:spacing w:beforeLines="100" w:afterLines="100" w:line="240" w:lineRule="auto"/>
        <w:rPr>
          <w:rFonts w:cs="黑体"/>
          <w:snapToGrid w:val="0"/>
          <w:highlight w:val="none"/>
          <w:shd w:val="clear" w:color="auto" w:fill="FFFFFF"/>
          <w:lang w:val="zh-CN"/>
        </w:rPr>
      </w:pPr>
      <w:bookmarkStart w:id="255" w:name="_Toc179632574"/>
      <w:bookmarkStart w:id="256" w:name="_Toc152042332"/>
      <w:bookmarkStart w:id="257" w:name="_Toc152045556"/>
      <w:bookmarkStart w:id="258" w:name="_Toc144974524"/>
      <w:r>
        <w:rPr>
          <w:rFonts w:hint="eastAsia" w:cs="黑体"/>
          <w:snapToGrid w:val="0"/>
          <w:highlight w:val="none"/>
          <w:shd w:val="clear" w:color="auto" w:fill="FFFFFF"/>
          <w:lang w:val="zh-CN"/>
        </w:rPr>
        <w:t>4.1投标文件的加密（密封）和标记</w:t>
      </w:r>
      <w:bookmarkEnd w:id="255"/>
      <w:bookmarkEnd w:id="256"/>
      <w:bookmarkEnd w:id="257"/>
      <w:bookmarkEnd w:id="258"/>
    </w:p>
    <w:p>
      <w:pPr>
        <w:spacing w:line="360" w:lineRule="auto"/>
        <w:ind w:firstLine="480" w:firstLineChars="200"/>
        <w:rPr>
          <w:rFonts w:hAnsi="宋体" w:cs="宋体"/>
          <w:highlight w:val="none"/>
        </w:rPr>
      </w:pPr>
      <w:r>
        <w:rPr>
          <w:rFonts w:hint="eastAsia" w:hAnsi="宋体" w:cs="宋体"/>
          <w:highlight w:val="none"/>
        </w:rPr>
        <w:t xml:space="preserve">4.1.1 </w:t>
      </w:r>
      <w:r>
        <w:rPr>
          <w:rFonts w:hint="eastAsia" w:hAnsi="宋体" w:cs="宋体"/>
          <w:bCs/>
          <w:snapToGrid w:val="0"/>
          <w:highlight w:val="none"/>
        </w:rPr>
        <w:t>投标文件应按照本章第 3.7.3 项要求制作并加密，未</w:t>
      </w:r>
      <w:r>
        <w:rPr>
          <w:rFonts w:hint="eastAsia" w:hAnsi="宋体" w:cs="宋体"/>
          <w:highlight w:val="none"/>
        </w:rPr>
        <w:t>按照</w:t>
      </w:r>
      <w:r>
        <w:rPr>
          <w:rFonts w:hint="eastAsia" w:hAnsi="宋体" w:cs="宋体"/>
          <w:bCs/>
          <w:snapToGrid w:val="0"/>
          <w:highlight w:val="none"/>
        </w:rPr>
        <w:t>要求加密的投标文件将被拒绝接收。</w:t>
      </w:r>
    </w:p>
    <w:p>
      <w:pPr>
        <w:spacing w:line="360" w:lineRule="auto"/>
        <w:ind w:firstLine="480" w:firstLineChars="200"/>
        <w:rPr>
          <w:rFonts w:hAnsi="宋体" w:cs="宋体"/>
          <w:bCs/>
          <w:snapToGrid w:val="0"/>
          <w:highlight w:val="none"/>
        </w:rPr>
      </w:pPr>
      <w:r>
        <w:rPr>
          <w:rFonts w:hint="eastAsia" w:hAnsi="宋体" w:cs="宋体"/>
          <w:highlight w:val="none"/>
        </w:rPr>
        <w:t>4.1.2非加密投标文件密封和标记要求见投标人须知前附表。非加密投标文件应在封口处加盖投标人单位章或由投标人的法定代表人或其授权的代理人签字，未按照规定封装或加写标记，招标人将不承担投标文件未被开启或提前开启的责任。</w:t>
      </w:r>
    </w:p>
    <w:p>
      <w:pPr>
        <w:pStyle w:val="2"/>
        <w:spacing w:beforeLines="100" w:afterLines="100" w:line="240" w:lineRule="auto"/>
        <w:rPr>
          <w:rFonts w:cs="黑体"/>
          <w:snapToGrid w:val="0"/>
          <w:highlight w:val="none"/>
          <w:shd w:val="clear" w:color="auto" w:fill="FFFFFF"/>
          <w:lang w:val="zh-CN"/>
        </w:rPr>
      </w:pPr>
      <w:bookmarkStart w:id="259" w:name="_Toc152042333"/>
      <w:bookmarkStart w:id="260" w:name="_Toc179632575"/>
      <w:bookmarkStart w:id="261" w:name="_Toc152045557"/>
      <w:bookmarkStart w:id="262" w:name="_Toc144974525"/>
      <w:r>
        <w:rPr>
          <w:rFonts w:hint="eastAsia" w:cs="黑体"/>
          <w:snapToGrid w:val="0"/>
          <w:highlight w:val="none"/>
          <w:shd w:val="clear" w:color="auto" w:fill="FFFFFF"/>
          <w:lang w:val="zh-CN"/>
        </w:rPr>
        <w:t>4.2投标文件的递交</w:t>
      </w:r>
      <w:bookmarkEnd w:id="259"/>
      <w:bookmarkEnd w:id="260"/>
      <w:bookmarkEnd w:id="261"/>
      <w:bookmarkEnd w:id="262"/>
    </w:p>
    <w:p>
      <w:pPr>
        <w:spacing w:line="360" w:lineRule="auto"/>
        <w:ind w:firstLine="480" w:firstLineChars="200"/>
        <w:rPr>
          <w:rFonts w:hAnsi="宋体" w:cs="宋体"/>
          <w:snapToGrid w:val="0"/>
          <w:highlight w:val="none"/>
        </w:rPr>
      </w:pPr>
      <w:r>
        <w:rPr>
          <w:rFonts w:hint="eastAsia" w:hAnsi="宋体" w:cs="宋体"/>
          <w:highlight w:val="none"/>
        </w:rPr>
        <w:t>4.2.1</w:t>
      </w:r>
      <w:r>
        <w:rPr>
          <w:rFonts w:hint="eastAsia" w:hAnsi="宋体" w:cs="宋体"/>
          <w:snapToGrid w:val="0"/>
          <w:highlight w:val="none"/>
          <w:lang w:bidi="en-US"/>
        </w:rPr>
        <w:t xml:space="preserve"> 投标人应当在第一章“招标公告”规定的投标截止时间前，将加密投标文件在电子交易系统上传。</w:t>
      </w:r>
    </w:p>
    <w:p>
      <w:pPr>
        <w:spacing w:line="360" w:lineRule="auto"/>
        <w:ind w:firstLine="480" w:firstLineChars="200"/>
        <w:rPr>
          <w:rFonts w:hAnsi="宋体" w:cs="宋体"/>
          <w:highlight w:val="none"/>
        </w:rPr>
      </w:pPr>
      <w:r>
        <w:rPr>
          <w:rFonts w:hint="eastAsia" w:hAnsi="宋体" w:cs="宋体"/>
          <w:highlight w:val="none"/>
        </w:rPr>
        <w:t>4.2.2 投标人递交非加密投标文件的地点：见投标人须知前附表。招标人收到非加密投标文件后由投标人代表登记或向投标人出具签收凭证。</w:t>
      </w:r>
    </w:p>
    <w:p>
      <w:pPr>
        <w:spacing w:line="360" w:lineRule="auto"/>
        <w:ind w:firstLine="480" w:firstLineChars="200"/>
        <w:rPr>
          <w:rFonts w:hAnsi="宋体" w:cs="宋体"/>
          <w:highlight w:val="none"/>
        </w:rPr>
      </w:pPr>
      <w:r>
        <w:rPr>
          <w:rFonts w:hint="eastAsia" w:hAnsi="宋体" w:cs="宋体"/>
          <w:highlight w:val="none"/>
        </w:rPr>
        <w:t>4.2.3 除投标人须知前附表另有规定外，投标人所递交的投标文件不予退还。</w:t>
      </w:r>
    </w:p>
    <w:p>
      <w:pPr>
        <w:spacing w:line="360" w:lineRule="auto"/>
        <w:ind w:firstLine="480" w:firstLineChars="200"/>
        <w:rPr>
          <w:rFonts w:hAnsi="宋体" w:cs="宋体"/>
          <w:bCs/>
          <w:snapToGrid w:val="0"/>
          <w:highlight w:val="none"/>
        </w:rPr>
      </w:pPr>
      <w:r>
        <w:rPr>
          <w:rFonts w:hint="eastAsia" w:hAnsi="宋体" w:cs="宋体"/>
          <w:highlight w:val="none"/>
        </w:rPr>
        <w:t xml:space="preserve">4.2.4 </w:t>
      </w:r>
      <w:r>
        <w:rPr>
          <w:rFonts w:hint="eastAsia" w:hAnsi="宋体" w:cs="宋体"/>
          <w:bCs/>
          <w:snapToGrid w:val="0"/>
          <w:highlight w:val="none"/>
        </w:rPr>
        <w:t>投标人应当在投标截止时间前完成投标文件的传输递交（以接收到电子签收凭证为准），并可以补充、修改或者撤回投标文件。投标截止时间前未完成投标文件传输的，视为撤回投标文件。未</w:t>
      </w:r>
      <w:r>
        <w:rPr>
          <w:rFonts w:hint="eastAsia" w:hAnsi="宋体" w:cs="宋体"/>
          <w:highlight w:val="none"/>
        </w:rPr>
        <w:t>按照</w:t>
      </w:r>
      <w:r>
        <w:rPr>
          <w:rFonts w:hint="eastAsia" w:hAnsi="宋体" w:cs="宋体"/>
          <w:bCs/>
          <w:snapToGrid w:val="0"/>
          <w:highlight w:val="none"/>
        </w:rPr>
        <w:t>规定加密或投标截止时间后送达的投标文件，电子交易系统应当拒收。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4.2.5 如投标人须知前附表允许递交非加密投标文件，投标人逾期送达的或者未送达指定地点的非加密投标文件，招标人不予接收，但不影响其已</w:t>
      </w:r>
      <w:r>
        <w:rPr>
          <w:rFonts w:hint="eastAsia" w:hAnsi="宋体" w:cs="宋体"/>
          <w:highlight w:val="none"/>
        </w:rPr>
        <w:t>按照</w:t>
      </w:r>
      <w:r>
        <w:rPr>
          <w:rFonts w:hint="eastAsia" w:hAnsi="宋体" w:cs="宋体"/>
          <w:bCs/>
          <w:snapToGrid w:val="0"/>
          <w:highlight w:val="none"/>
        </w:rPr>
        <w:t>招标文件要求从电子交易系统递交的加密投标文件的有效性。未从电子交易系统递交加密投标文件的，投标人递交的非加密投标文件将被视为无效。</w:t>
      </w:r>
    </w:p>
    <w:p>
      <w:pPr>
        <w:spacing w:line="360" w:lineRule="auto"/>
        <w:ind w:firstLine="480" w:firstLineChars="200"/>
        <w:rPr>
          <w:rFonts w:hAnsi="宋体" w:cs="宋体"/>
          <w:highlight w:val="none"/>
        </w:rPr>
      </w:pPr>
      <w:r>
        <w:rPr>
          <w:rFonts w:hint="eastAsia" w:hAnsi="宋体" w:cs="宋体"/>
          <w:bCs/>
          <w:snapToGrid w:val="0"/>
          <w:highlight w:val="none"/>
        </w:rPr>
        <w:t>4.2.6 投标人在本章第5.2款规定的解密开始规定时间（以电子交易系统解密倒计时为准）内完成投标文件的解密工作，未能成功解密的投标人，如投标人须知前附表允许使用非加密投标文件作为备份，并且投标人在投标截止时间之前到达开标现场并递交非加密投标文件，则可导入非加密投标文件继续开标。若电子交易系统识别出非加密投标文件和加密投标文件识别码不一致，电子交易系统将拒绝导入。</w:t>
      </w:r>
    </w:p>
    <w:p>
      <w:pPr>
        <w:pStyle w:val="2"/>
        <w:spacing w:beforeLines="100" w:afterLines="100" w:line="240" w:lineRule="auto"/>
        <w:rPr>
          <w:rFonts w:cs="黑体"/>
          <w:snapToGrid w:val="0"/>
          <w:highlight w:val="none"/>
          <w:shd w:val="clear" w:color="auto" w:fill="FFFFFF"/>
          <w:lang w:val="zh-CN"/>
        </w:rPr>
      </w:pPr>
      <w:bookmarkStart w:id="263" w:name="_Toc144974526"/>
      <w:bookmarkStart w:id="264" w:name="_Toc179632576"/>
      <w:bookmarkStart w:id="265" w:name="_Toc152045558"/>
      <w:bookmarkStart w:id="266" w:name="_Toc152042334"/>
      <w:r>
        <w:rPr>
          <w:rFonts w:hint="eastAsia" w:cs="黑体"/>
          <w:snapToGrid w:val="0"/>
          <w:highlight w:val="none"/>
          <w:shd w:val="clear" w:color="auto" w:fill="FFFFFF"/>
          <w:lang w:val="zh-CN"/>
        </w:rPr>
        <w:t>4.3投标文件的修改与撤回</w:t>
      </w:r>
      <w:bookmarkEnd w:id="263"/>
      <w:bookmarkEnd w:id="264"/>
      <w:bookmarkEnd w:id="265"/>
      <w:bookmarkEnd w:id="266"/>
    </w:p>
    <w:p>
      <w:pPr>
        <w:spacing w:line="360" w:lineRule="auto"/>
        <w:ind w:firstLine="480" w:firstLineChars="200"/>
        <w:rPr>
          <w:rFonts w:hAnsi="宋体" w:cs="宋体"/>
          <w:highlight w:val="none"/>
        </w:rPr>
      </w:pPr>
      <w:r>
        <w:rPr>
          <w:rFonts w:hint="eastAsia" w:hAnsi="宋体" w:cs="宋体"/>
          <w:highlight w:val="none"/>
        </w:rPr>
        <w:t xml:space="preserve">4.3.1 </w:t>
      </w:r>
      <w:r>
        <w:rPr>
          <w:rFonts w:hint="eastAsia" w:hAnsi="宋体" w:cs="宋体"/>
          <w:bCs/>
          <w:snapToGrid w:val="0"/>
          <w:highlight w:val="none"/>
        </w:rPr>
        <w:t>在第一章“招标公告”规定的投标截止时间前，投标人可以修改或撤回已递交的投标文件。投标人对加密投标文件进行撤回的，应在电子交易系统直接进行撤回操作；投标人对加密投标文件进行修改的，应在投标截止时间前完成上传</w:t>
      </w:r>
      <w:r>
        <w:rPr>
          <w:rFonts w:hint="eastAsia" w:hAnsi="宋体" w:cs="宋体"/>
          <w:highlight w:val="none"/>
        </w:rPr>
        <w:t>。</w:t>
      </w:r>
      <w:r>
        <w:rPr>
          <w:rFonts w:hint="eastAsia" w:hAnsi="宋体" w:cs="宋体"/>
          <w:bCs/>
          <w:snapToGrid w:val="0"/>
          <w:highlight w:val="none"/>
        </w:rPr>
        <w:t>投标人修改投标文件的，应使用“投标文件制作工具”制作成完整的投标文件，并按照本章第 3 条、第 4 条规定进行编制、加密和递交。</w:t>
      </w:r>
    </w:p>
    <w:p>
      <w:pPr>
        <w:spacing w:line="360" w:lineRule="auto"/>
        <w:ind w:firstLine="480" w:firstLineChars="200"/>
        <w:rPr>
          <w:rFonts w:hAnsi="宋体" w:cs="宋体"/>
          <w:highlight w:val="none"/>
        </w:rPr>
      </w:pPr>
      <w:r>
        <w:rPr>
          <w:rFonts w:hint="eastAsia" w:hAnsi="宋体" w:cs="宋体"/>
          <w:highlight w:val="none"/>
        </w:rPr>
        <w:t>4.3.2 投标人修改或撤回已递交的</w:t>
      </w:r>
      <w:r>
        <w:rPr>
          <w:rFonts w:hint="eastAsia" w:hAnsi="宋体" w:cs="宋体"/>
          <w:bCs/>
          <w:snapToGrid w:val="0"/>
          <w:highlight w:val="none"/>
        </w:rPr>
        <w:t>非加密</w:t>
      </w:r>
      <w:r>
        <w:rPr>
          <w:rFonts w:hint="eastAsia" w:hAnsi="宋体" w:cs="宋体"/>
          <w:highlight w:val="none"/>
        </w:rPr>
        <w:t>投标文件的，应当以书面形式通知招标人，书面通知应由法定代表人（或代理人）签字或盖单位章。招标人收到书面通知后，向投标人出具签收凭证。</w:t>
      </w:r>
    </w:p>
    <w:p>
      <w:pPr>
        <w:pStyle w:val="4"/>
        <w:spacing w:beforeLines="100" w:afterLines="100" w:line="240" w:lineRule="auto"/>
        <w:rPr>
          <w:rFonts w:ascii="黑体" w:hAnsi="黑体" w:eastAsia="黑体" w:cs="黑体"/>
          <w:b w:val="0"/>
          <w:bCs w:val="0"/>
          <w:highlight w:val="none"/>
        </w:rPr>
      </w:pPr>
      <w:bookmarkStart w:id="267" w:name="_Toc152042335"/>
      <w:bookmarkStart w:id="268" w:name="_Toc140069410"/>
      <w:bookmarkStart w:id="269" w:name="_Toc144974527"/>
      <w:bookmarkStart w:id="270" w:name="_Toc179632577"/>
      <w:bookmarkStart w:id="271" w:name="_Toc8387"/>
      <w:bookmarkStart w:id="272" w:name="_Toc152045559"/>
      <w:r>
        <w:rPr>
          <w:rFonts w:hint="eastAsia" w:ascii="黑体" w:hAnsi="黑体" w:eastAsia="黑体" w:cs="黑体"/>
          <w:b w:val="0"/>
          <w:bCs w:val="0"/>
          <w:highlight w:val="none"/>
        </w:rPr>
        <w:t>5. 开标</w:t>
      </w:r>
      <w:bookmarkEnd w:id="267"/>
      <w:bookmarkEnd w:id="268"/>
      <w:bookmarkEnd w:id="269"/>
      <w:bookmarkEnd w:id="270"/>
      <w:bookmarkEnd w:id="271"/>
      <w:bookmarkEnd w:id="272"/>
    </w:p>
    <w:p>
      <w:pPr>
        <w:pStyle w:val="2"/>
        <w:spacing w:beforeLines="100" w:afterLines="100" w:line="240" w:lineRule="auto"/>
        <w:rPr>
          <w:rFonts w:cs="黑体"/>
          <w:snapToGrid w:val="0"/>
          <w:highlight w:val="none"/>
          <w:shd w:val="clear" w:color="auto" w:fill="FFFFFF"/>
          <w:lang w:val="zh-CN"/>
        </w:rPr>
      </w:pPr>
      <w:bookmarkStart w:id="273" w:name="_Toc152045560"/>
      <w:bookmarkStart w:id="274" w:name="_Toc152042336"/>
      <w:bookmarkStart w:id="275" w:name="_Toc179632578"/>
      <w:bookmarkStart w:id="276" w:name="_Toc144974528"/>
      <w:r>
        <w:rPr>
          <w:rFonts w:hint="eastAsia" w:cs="黑体"/>
          <w:snapToGrid w:val="0"/>
          <w:highlight w:val="none"/>
          <w:shd w:val="clear" w:color="auto" w:fill="FFFFFF"/>
          <w:lang w:val="zh-CN"/>
        </w:rPr>
        <w:t>5.1开标时间和地点</w:t>
      </w:r>
      <w:bookmarkEnd w:id="273"/>
      <w:bookmarkEnd w:id="274"/>
      <w:bookmarkEnd w:id="275"/>
      <w:bookmarkEnd w:id="276"/>
    </w:p>
    <w:p>
      <w:pPr>
        <w:spacing w:line="360" w:lineRule="auto"/>
        <w:ind w:firstLine="480" w:firstLineChars="200"/>
        <w:rPr>
          <w:rFonts w:hAnsi="宋体" w:cs="宋体"/>
          <w:bCs/>
          <w:snapToGrid w:val="0"/>
          <w:highlight w:val="none"/>
        </w:rPr>
      </w:pPr>
      <w:r>
        <w:rPr>
          <w:rFonts w:hint="eastAsia" w:hAnsi="宋体" w:cs="宋体"/>
          <w:bCs/>
          <w:snapToGrid w:val="0"/>
          <w:highlight w:val="none"/>
        </w:rPr>
        <w:t>招标人在投标人须知前附表规定的开标时间和地点通过电子交易系统开标，所有投标人的法定代表人或其委托代理人应当准时参加。</w:t>
      </w:r>
    </w:p>
    <w:p>
      <w:pPr>
        <w:spacing w:line="360" w:lineRule="auto"/>
        <w:ind w:firstLine="480" w:firstLineChars="200"/>
        <w:rPr>
          <w:rFonts w:hAnsi="宋体" w:cs="宋体"/>
          <w:bCs/>
          <w:snapToGrid w:val="0"/>
          <w:highlight w:val="none"/>
        </w:rPr>
      </w:pPr>
      <w:r>
        <w:rPr>
          <w:rFonts w:hint="eastAsia" w:hAnsi="宋体" w:cs="宋体"/>
          <w:bCs/>
          <w:snapToGrid w:val="0"/>
          <w:highlight w:val="none"/>
        </w:rPr>
        <w:t>投标人若未派法定代表人或其委托代理人出席开标活动，视为该投标人默认开标结果。</w:t>
      </w:r>
    </w:p>
    <w:p>
      <w:pPr>
        <w:pStyle w:val="2"/>
        <w:spacing w:beforeLines="100" w:afterLines="100" w:line="240" w:lineRule="auto"/>
        <w:rPr>
          <w:rFonts w:cs="黑体"/>
          <w:snapToGrid w:val="0"/>
          <w:highlight w:val="none"/>
          <w:shd w:val="clear" w:color="auto" w:fill="FFFFFF"/>
          <w:lang w:val="zh-CN"/>
        </w:rPr>
      </w:pPr>
      <w:bookmarkStart w:id="277" w:name="_Toc144974529"/>
      <w:bookmarkStart w:id="278" w:name="_Toc179632579"/>
      <w:bookmarkStart w:id="279" w:name="_Toc152045561"/>
      <w:bookmarkStart w:id="280" w:name="_Toc152042337"/>
      <w:r>
        <w:rPr>
          <w:rFonts w:hint="eastAsia" w:cs="黑体"/>
          <w:snapToGrid w:val="0"/>
          <w:highlight w:val="none"/>
          <w:shd w:val="clear" w:color="auto" w:fill="FFFFFF"/>
          <w:lang w:val="zh-CN"/>
        </w:rPr>
        <w:t>5.2开标程序</w:t>
      </w:r>
      <w:bookmarkEnd w:id="277"/>
      <w:bookmarkEnd w:id="278"/>
      <w:bookmarkEnd w:id="279"/>
      <w:bookmarkEnd w:id="280"/>
    </w:p>
    <w:p>
      <w:pPr>
        <w:spacing w:line="360" w:lineRule="auto"/>
        <w:ind w:firstLine="480" w:firstLineChars="200"/>
        <w:rPr>
          <w:rFonts w:hAnsi="宋体" w:cs="宋体"/>
          <w:bCs/>
          <w:snapToGrid w:val="0"/>
          <w:highlight w:val="none"/>
        </w:rPr>
      </w:pPr>
      <w:r>
        <w:rPr>
          <w:rFonts w:hint="eastAsia" w:hAnsi="宋体" w:cs="宋体"/>
          <w:bCs/>
          <w:snapToGrid w:val="0"/>
          <w:highlight w:val="none"/>
        </w:rPr>
        <w:t>除投标人须知前附表另有规定外，主持人</w:t>
      </w:r>
      <w:r>
        <w:rPr>
          <w:rFonts w:hint="eastAsia" w:hAnsi="宋体" w:cs="宋体"/>
          <w:highlight w:val="none"/>
        </w:rPr>
        <w:t>按照</w:t>
      </w:r>
      <w:r>
        <w:rPr>
          <w:rFonts w:hint="eastAsia" w:hAnsi="宋体" w:cs="宋体"/>
          <w:bCs/>
          <w:snapToGrid w:val="0"/>
          <w:highlight w:val="none"/>
        </w:rPr>
        <w:t xml:space="preserve">下列程序进行开标： </w:t>
      </w:r>
    </w:p>
    <w:p>
      <w:pPr>
        <w:spacing w:line="360" w:lineRule="auto"/>
        <w:ind w:firstLine="480" w:firstLineChars="200"/>
        <w:rPr>
          <w:rFonts w:hAnsi="宋体" w:cs="宋体"/>
          <w:bCs/>
          <w:snapToGrid w:val="0"/>
          <w:highlight w:val="none"/>
        </w:rPr>
      </w:pPr>
      <w:r>
        <w:rPr>
          <w:rFonts w:hint="eastAsia" w:hAnsi="宋体" w:cs="宋体"/>
          <w:bCs/>
          <w:snapToGrid w:val="0"/>
          <w:highlight w:val="none"/>
        </w:rPr>
        <w:t>（1）公布在投标截止时间前通过电子交易系统完成投标文件递交的投标人名称；</w:t>
      </w:r>
    </w:p>
    <w:p>
      <w:pPr>
        <w:spacing w:line="360" w:lineRule="auto"/>
        <w:ind w:firstLine="480" w:firstLineChars="200"/>
        <w:rPr>
          <w:rFonts w:hAnsi="宋体" w:cs="宋体"/>
          <w:bCs/>
          <w:snapToGrid w:val="0"/>
          <w:highlight w:val="none"/>
        </w:rPr>
      </w:pPr>
      <w:r>
        <w:rPr>
          <w:rFonts w:hint="eastAsia" w:hAnsi="宋体" w:cs="宋体"/>
          <w:bCs/>
          <w:snapToGrid w:val="0"/>
          <w:highlight w:val="none"/>
        </w:rPr>
        <w:t>（2）由投标人推选的代表检查非加密投标文件的密封情况（如有）；</w:t>
      </w:r>
    </w:p>
    <w:p>
      <w:pPr>
        <w:spacing w:line="360" w:lineRule="auto"/>
        <w:ind w:firstLine="480" w:firstLineChars="200"/>
        <w:rPr>
          <w:rFonts w:hAnsi="宋体" w:cs="宋体"/>
          <w:bCs/>
          <w:snapToGrid w:val="0"/>
          <w:highlight w:val="none"/>
        </w:rPr>
      </w:pPr>
      <w:r>
        <w:rPr>
          <w:rFonts w:hint="eastAsia" w:hAnsi="宋体" w:cs="宋体"/>
          <w:bCs/>
          <w:snapToGrid w:val="0"/>
          <w:highlight w:val="none"/>
        </w:rPr>
        <w:t>（3）投标人在投标截止时间后在投标人须知前附表规定的解密时间内完成投标文件的解密工作；</w:t>
      </w:r>
    </w:p>
    <w:p>
      <w:pPr>
        <w:spacing w:line="360" w:lineRule="auto"/>
        <w:ind w:firstLine="480" w:firstLineChars="200"/>
        <w:rPr>
          <w:rFonts w:hAnsi="宋体" w:cs="宋体"/>
          <w:bCs/>
          <w:snapToGrid w:val="0"/>
          <w:highlight w:val="none"/>
        </w:rPr>
      </w:pPr>
      <w:r>
        <w:rPr>
          <w:rFonts w:hint="eastAsia" w:hAnsi="宋体" w:cs="宋体"/>
          <w:bCs/>
          <w:snapToGrid w:val="0"/>
          <w:highlight w:val="none"/>
        </w:rPr>
        <w:t>（4）招标人完成解密工作，导入并读取所有成功解密的投标文件，或招标人成功导入现场递交的非加密投标文件；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（5）</w:t>
      </w:r>
      <w:r>
        <w:rPr>
          <w:rFonts w:hint="eastAsia" w:ascii="Times New Roman" w:cs="宋体"/>
          <w:bCs/>
          <w:snapToGrid w:val="0"/>
          <w:szCs w:val="24"/>
          <w:highlight w:val="none"/>
        </w:rPr>
        <w:t>按照投标人须知前附表规定公布投标文件相应内容；</w:t>
      </w:r>
    </w:p>
    <w:p>
      <w:pPr>
        <w:spacing w:line="360" w:lineRule="auto"/>
        <w:ind w:firstLine="480" w:firstLineChars="200"/>
        <w:rPr>
          <w:rFonts w:hAnsi="宋体" w:cs="宋体"/>
          <w:bCs/>
          <w:snapToGrid w:val="0"/>
          <w:highlight w:val="none"/>
        </w:rPr>
      </w:pPr>
      <w:r>
        <w:rPr>
          <w:rFonts w:hint="eastAsia" w:hAnsi="宋体" w:cs="宋体"/>
          <w:bCs/>
          <w:snapToGrid w:val="0"/>
          <w:highlight w:val="none"/>
        </w:rPr>
        <w:t>（6）开标结束。</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5.3 开标异议</w:t>
      </w:r>
    </w:p>
    <w:p>
      <w:pPr>
        <w:spacing w:line="360" w:lineRule="auto"/>
        <w:ind w:firstLine="480" w:firstLineChars="200"/>
        <w:rPr>
          <w:rFonts w:hAnsi="宋体" w:cs="宋体"/>
          <w:bCs/>
          <w:snapToGrid w:val="0"/>
          <w:highlight w:val="none"/>
        </w:rPr>
      </w:pPr>
      <w:r>
        <w:rPr>
          <w:rFonts w:hint="eastAsia" w:hAnsi="宋体" w:cs="宋体"/>
          <w:bCs/>
          <w:snapToGrid w:val="0"/>
          <w:highlight w:val="none"/>
        </w:rPr>
        <w:t>投标人对开标有异议的，应当在开标过程中提出；招标人当场对异议作出答复，并记入开标记录。异议与答复应通过电子交易系统进行。</w:t>
      </w:r>
    </w:p>
    <w:p>
      <w:pPr>
        <w:pStyle w:val="4"/>
        <w:numPr>
          <w:ilvl w:val="0"/>
          <w:numId w:val="3"/>
        </w:numPr>
        <w:spacing w:beforeLines="100" w:afterLines="100" w:line="240" w:lineRule="auto"/>
        <w:rPr>
          <w:rFonts w:ascii="黑体" w:hAnsi="黑体" w:eastAsia="黑体" w:cs="黑体"/>
          <w:b w:val="0"/>
          <w:bCs w:val="0"/>
          <w:highlight w:val="none"/>
        </w:rPr>
      </w:pPr>
      <w:bookmarkStart w:id="281" w:name="_Toc144974530"/>
      <w:bookmarkStart w:id="282" w:name="_Toc140069411"/>
      <w:bookmarkStart w:id="283" w:name="_Toc152042338"/>
      <w:bookmarkStart w:id="284" w:name="_Toc179632580"/>
      <w:bookmarkStart w:id="285" w:name="_Toc152045562"/>
      <w:bookmarkStart w:id="286" w:name="_Toc24472"/>
      <w:r>
        <w:rPr>
          <w:rFonts w:hint="eastAsia" w:ascii="黑体" w:hAnsi="黑体" w:eastAsia="黑体" w:cs="黑体"/>
          <w:b w:val="0"/>
          <w:bCs w:val="0"/>
          <w:highlight w:val="none"/>
        </w:rPr>
        <w:t>评标</w:t>
      </w:r>
      <w:bookmarkEnd w:id="281"/>
      <w:bookmarkEnd w:id="282"/>
      <w:bookmarkEnd w:id="283"/>
      <w:bookmarkEnd w:id="284"/>
      <w:bookmarkEnd w:id="285"/>
      <w:bookmarkEnd w:id="286"/>
    </w:p>
    <w:p>
      <w:pPr>
        <w:pStyle w:val="2"/>
        <w:spacing w:beforeLines="100" w:afterLines="100" w:line="240" w:lineRule="auto"/>
        <w:rPr>
          <w:rFonts w:cs="黑体"/>
          <w:snapToGrid w:val="0"/>
          <w:highlight w:val="none"/>
          <w:shd w:val="clear" w:color="auto" w:fill="FFFFFF"/>
          <w:lang w:val="zh-CN"/>
        </w:rPr>
      </w:pPr>
      <w:bookmarkStart w:id="287" w:name="_Toc152045563"/>
      <w:bookmarkStart w:id="288" w:name="_Toc152042339"/>
      <w:bookmarkStart w:id="289" w:name="_Toc144974531"/>
      <w:bookmarkStart w:id="290" w:name="_Toc179632581"/>
      <w:r>
        <w:rPr>
          <w:rFonts w:hint="eastAsia" w:cs="黑体"/>
          <w:snapToGrid w:val="0"/>
          <w:highlight w:val="none"/>
          <w:shd w:val="clear" w:color="auto" w:fill="FFFFFF"/>
          <w:lang w:val="zh-CN"/>
        </w:rPr>
        <w:t>6.1评标委员会</w:t>
      </w:r>
      <w:bookmarkEnd w:id="287"/>
      <w:bookmarkEnd w:id="288"/>
      <w:bookmarkEnd w:id="289"/>
      <w:bookmarkEnd w:id="290"/>
    </w:p>
    <w:p>
      <w:pPr>
        <w:spacing w:line="360" w:lineRule="auto"/>
        <w:ind w:firstLine="480" w:firstLineChars="200"/>
        <w:rPr>
          <w:rFonts w:hAnsi="宋体" w:cs="宋体"/>
          <w:highlight w:val="none"/>
        </w:rPr>
      </w:pPr>
      <w:bookmarkStart w:id="291" w:name="_Toc144974532"/>
      <w:bookmarkStart w:id="292" w:name="_Toc179632582"/>
      <w:bookmarkStart w:id="293" w:name="_Toc152042340"/>
      <w:bookmarkStart w:id="294" w:name="_Toc152045564"/>
      <w:r>
        <w:rPr>
          <w:rFonts w:hint="eastAsia" w:hAnsi="宋体" w:cs="宋体"/>
          <w:highlight w:val="none"/>
        </w:rPr>
        <w:t>6.1.1 评标由招标人依法组建的评标委员会负责。评标委员会由招标人的代表，以及有关技术、经济等方面的专家组成。</w:t>
      </w:r>
    </w:p>
    <w:p>
      <w:pPr>
        <w:spacing w:line="360" w:lineRule="auto"/>
        <w:ind w:firstLine="480" w:firstLineChars="200"/>
        <w:rPr>
          <w:rFonts w:hAnsi="宋体" w:cs="宋体"/>
          <w:highlight w:val="none"/>
        </w:rPr>
      </w:pPr>
      <w:r>
        <w:rPr>
          <w:rFonts w:hint="eastAsia" w:hAnsi="宋体" w:cs="宋体"/>
          <w:highlight w:val="none"/>
        </w:rPr>
        <w:t>6.1.2 评标委员会成员有下列情形之一的，应当主动提出回避：</w:t>
      </w:r>
    </w:p>
    <w:p>
      <w:pPr>
        <w:spacing w:line="360" w:lineRule="auto"/>
        <w:ind w:firstLine="480" w:firstLineChars="200"/>
        <w:rPr>
          <w:rFonts w:hAnsi="宋体" w:cs="宋体"/>
          <w:highlight w:val="none"/>
        </w:rPr>
      </w:pPr>
      <w:r>
        <w:rPr>
          <w:rFonts w:hint="eastAsia" w:hAnsi="宋体" w:cs="宋体"/>
          <w:highlight w:val="none"/>
        </w:rPr>
        <w:t>（1）投标人或投标人的主要负责人的近亲属；</w:t>
      </w:r>
    </w:p>
    <w:p>
      <w:pPr>
        <w:spacing w:line="360" w:lineRule="auto"/>
        <w:ind w:firstLine="480" w:firstLineChars="200"/>
        <w:rPr>
          <w:rFonts w:hAnsi="宋体" w:cs="宋体"/>
          <w:highlight w:val="none"/>
        </w:rPr>
      </w:pPr>
      <w:r>
        <w:rPr>
          <w:rFonts w:hint="eastAsia" w:hAnsi="宋体" w:cs="宋体"/>
          <w:highlight w:val="none"/>
        </w:rPr>
        <w:t>（2）项目主管部门或者行政监督部门的人员；</w:t>
      </w:r>
    </w:p>
    <w:p>
      <w:pPr>
        <w:spacing w:line="360" w:lineRule="auto"/>
        <w:ind w:firstLine="480" w:firstLineChars="200"/>
        <w:rPr>
          <w:rFonts w:hAnsi="宋体" w:cs="宋体"/>
          <w:highlight w:val="none"/>
        </w:rPr>
      </w:pPr>
      <w:r>
        <w:rPr>
          <w:rFonts w:hint="eastAsia" w:hAnsi="宋体" w:cs="宋体"/>
          <w:highlight w:val="none"/>
        </w:rPr>
        <w:t>（3）与投标人有经济利益关系，可能影响对投标公正评审的；</w:t>
      </w:r>
    </w:p>
    <w:p>
      <w:pPr>
        <w:spacing w:line="360" w:lineRule="auto"/>
        <w:ind w:firstLine="480" w:firstLineChars="200"/>
        <w:rPr>
          <w:rFonts w:hAnsi="宋体" w:cs="宋体"/>
          <w:highlight w:val="none"/>
        </w:rPr>
      </w:pPr>
      <w:r>
        <w:rPr>
          <w:rFonts w:hint="eastAsia" w:hAnsi="宋体" w:cs="宋体"/>
          <w:highlight w:val="none"/>
        </w:rPr>
        <w:t>（4）曾因在招标、评标以及其他与招标投标有关活动中从事违法行为而受过行政处罚或刑事处罚的；</w:t>
      </w:r>
    </w:p>
    <w:p>
      <w:pPr>
        <w:spacing w:line="360" w:lineRule="auto"/>
        <w:ind w:firstLine="480" w:firstLineChars="200"/>
        <w:rPr>
          <w:rFonts w:hAnsi="宋体" w:cs="宋体"/>
          <w:highlight w:val="none"/>
        </w:rPr>
      </w:pPr>
      <w:r>
        <w:rPr>
          <w:rFonts w:hint="eastAsia" w:hAnsi="宋体" w:cs="宋体"/>
          <w:highlight w:val="none"/>
        </w:rPr>
        <w:t>（5）与投标人有其他利害关系。</w:t>
      </w:r>
    </w:p>
    <w:p>
      <w:pPr>
        <w:spacing w:line="360" w:lineRule="auto"/>
        <w:ind w:firstLine="480" w:firstLineChars="200"/>
        <w:rPr>
          <w:rFonts w:hAnsi="宋体" w:cs="宋体"/>
          <w:bCs/>
          <w:snapToGrid w:val="0"/>
          <w:highlight w:val="none"/>
        </w:rPr>
      </w:pPr>
      <w:r>
        <w:rPr>
          <w:rFonts w:hint="eastAsia" w:hAnsi="宋体" w:cs="宋体"/>
          <w:highlight w:val="none"/>
        </w:rPr>
        <w:t>6.1.3 评标过程中，评标委员会成员有回避事由、擅离职守或因健康等原因不能继续评标的，招标人有权更换。被更换的评标委员会成员作出的评审结论无效，由更换后的评标委员会成员重新进行评审。</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6.2评标原则</w:t>
      </w:r>
      <w:bookmarkEnd w:id="291"/>
      <w:bookmarkEnd w:id="292"/>
      <w:bookmarkEnd w:id="293"/>
      <w:bookmarkEnd w:id="294"/>
    </w:p>
    <w:p>
      <w:pPr>
        <w:spacing w:line="360" w:lineRule="auto"/>
        <w:ind w:firstLine="480" w:firstLineChars="200"/>
        <w:rPr>
          <w:rFonts w:hAnsi="宋体" w:cs="宋体"/>
          <w:highlight w:val="none"/>
        </w:rPr>
      </w:pPr>
      <w:r>
        <w:rPr>
          <w:rFonts w:hint="eastAsia" w:hAnsi="宋体" w:cs="宋体"/>
          <w:highlight w:val="none"/>
        </w:rPr>
        <w:t>评标活动遵循公平、公正、科学和择优的原则。</w:t>
      </w:r>
    </w:p>
    <w:p>
      <w:pPr>
        <w:pStyle w:val="2"/>
        <w:spacing w:beforeLines="100" w:afterLines="100" w:line="240" w:lineRule="auto"/>
        <w:rPr>
          <w:rFonts w:cs="黑体"/>
          <w:snapToGrid w:val="0"/>
          <w:highlight w:val="none"/>
          <w:shd w:val="clear" w:color="auto" w:fill="FFFFFF"/>
          <w:lang w:val="zh-CN"/>
        </w:rPr>
      </w:pPr>
      <w:bookmarkStart w:id="295" w:name="_Toc152042341"/>
      <w:bookmarkStart w:id="296" w:name="_Toc152045565"/>
      <w:bookmarkStart w:id="297" w:name="_Toc179632583"/>
      <w:bookmarkStart w:id="298" w:name="_Toc144974533"/>
      <w:r>
        <w:rPr>
          <w:rFonts w:hint="eastAsia" w:cs="黑体"/>
          <w:snapToGrid w:val="0"/>
          <w:highlight w:val="none"/>
          <w:shd w:val="clear" w:color="auto" w:fill="FFFFFF"/>
          <w:lang w:val="zh-CN"/>
        </w:rPr>
        <w:t>6.3评标</w:t>
      </w:r>
      <w:bookmarkEnd w:id="295"/>
      <w:bookmarkEnd w:id="296"/>
      <w:bookmarkEnd w:id="297"/>
      <w:bookmarkEnd w:id="298"/>
    </w:p>
    <w:p>
      <w:pPr>
        <w:spacing w:line="360" w:lineRule="auto"/>
        <w:ind w:firstLine="480" w:firstLineChars="200"/>
        <w:rPr>
          <w:rFonts w:hAnsi="宋体" w:cs="宋体"/>
          <w:highlight w:val="none"/>
        </w:rPr>
      </w:pPr>
      <w:r>
        <w:rPr>
          <w:rFonts w:hint="eastAsia" w:hAnsi="宋体" w:cs="宋体"/>
          <w:highlight w:val="none"/>
        </w:rPr>
        <w:t>6.3.1 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hAnsi="宋体" w:cs="宋体"/>
          <w:bCs/>
          <w:snapToGrid w:val="0"/>
          <w:highlight w:val="none"/>
        </w:rPr>
      </w:pPr>
      <w:bookmarkStart w:id="299" w:name="_Toc152042342"/>
      <w:bookmarkStart w:id="300" w:name="_Toc179632584"/>
      <w:bookmarkStart w:id="301" w:name="_Toc144974534"/>
      <w:bookmarkStart w:id="302" w:name="_Toc152045566"/>
      <w:r>
        <w:rPr>
          <w:rFonts w:hint="eastAsia" w:hAnsi="宋体" w:cs="宋体"/>
          <w:highlight w:val="none"/>
        </w:rPr>
        <w:t xml:space="preserve">6.3.2 </w:t>
      </w:r>
      <w:r>
        <w:rPr>
          <w:rFonts w:hint="eastAsia" w:hAnsi="宋体" w:cs="宋体"/>
          <w:bCs/>
          <w:snapToGrid w:val="0"/>
          <w:highlight w:val="none"/>
        </w:rPr>
        <w:t>评标完成后，评标委员会应向招标人提交书面评标报告和中标候选人名单。评标委员会推荐中标候选人的数量见投标人须知前附表。</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6.4中标候选人公示</w:t>
      </w:r>
    </w:p>
    <w:p>
      <w:pPr>
        <w:spacing w:line="360" w:lineRule="auto"/>
        <w:ind w:firstLine="480" w:firstLineChars="200"/>
        <w:rPr>
          <w:rFonts w:hAnsi="宋体" w:cs="宋体"/>
          <w:highlight w:val="none"/>
        </w:rPr>
      </w:pPr>
      <w:r>
        <w:rPr>
          <w:rFonts w:hint="eastAsia" w:hAnsi="宋体" w:cs="宋体"/>
          <w:highlight w:val="none"/>
        </w:rPr>
        <w:t>招标人在收到评标报告之日起3日内，按照投标人须知前附表规定的公示媒介和期限依法公示中标候选人，公示期不得少于3日。其他要求见投标人须知前附表。</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6.5评标结果异议</w:t>
      </w:r>
    </w:p>
    <w:p>
      <w:pPr>
        <w:spacing w:line="360" w:lineRule="auto"/>
        <w:ind w:firstLine="480" w:firstLineChars="200"/>
        <w:rPr>
          <w:rFonts w:hAnsi="宋体" w:cs="宋体"/>
          <w:highlight w:val="none"/>
        </w:rPr>
      </w:pPr>
      <w:r>
        <w:rPr>
          <w:rFonts w:hint="eastAsia" w:hAnsi="宋体" w:cs="宋体"/>
          <w:highlight w:val="none"/>
        </w:rPr>
        <w:t>投标人或者其他利害关系人对评标结果有异议的，应在中标候选人公示期间通过电子交易系统在线</w:t>
      </w:r>
      <w:r>
        <w:rPr>
          <w:rFonts w:hint="eastAsia" w:hAnsi="宋体" w:cs="宋体"/>
          <w:bCs/>
          <w:snapToGrid w:val="0"/>
          <w:highlight w:val="none"/>
        </w:rPr>
        <w:t>提出</w:t>
      </w:r>
      <w:r>
        <w:rPr>
          <w:rFonts w:hint="eastAsia" w:hAnsi="宋体" w:cs="宋体"/>
          <w:highlight w:val="none"/>
        </w:rPr>
        <w:t>或以其他书面形式提出。招标人将在收到异议之日起3日内作出答复；作出答复前，将暂停招标投标活动。</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6.6中标候选人履约能力审查</w:t>
      </w:r>
    </w:p>
    <w:p>
      <w:pPr>
        <w:spacing w:line="360" w:lineRule="auto"/>
        <w:ind w:firstLine="480" w:firstLineChars="200"/>
        <w:rPr>
          <w:rFonts w:hAnsi="宋体" w:cs="宋体"/>
          <w:highlight w:val="none"/>
        </w:rPr>
      </w:pPr>
      <w:r>
        <w:rPr>
          <w:rFonts w:hint="eastAsia" w:hAnsi="宋体" w:cs="宋体"/>
          <w:highlight w:val="none"/>
        </w:rPr>
        <w:t>中标候选人的经营、财务状况发生较大变化或存在违法行为，招标人认为可能影响其履约能力的，将在发出中标通知书前提请原评标委员会按照招标文件规定的标准和方法进行审查确认。</w:t>
      </w:r>
    </w:p>
    <w:bookmarkEnd w:id="299"/>
    <w:bookmarkEnd w:id="300"/>
    <w:bookmarkEnd w:id="301"/>
    <w:bookmarkEnd w:id="302"/>
    <w:p>
      <w:pPr>
        <w:pStyle w:val="4"/>
        <w:numPr>
          <w:ilvl w:val="0"/>
          <w:numId w:val="3"/>
        </w:numPr>
        <w:spacing w:beforeLines="100" w:afterLines="100" w:line="240" w:lineRule="auto"/>
        <w:rPr>
          <w:rFonts w:ascii="黑体" w:hAnsi="黑体" w:eastAsia="黑体" w:cs="黑体"/>
          <w:b w:val="0"/>
          <w:bCs w:val="0"/>
          <w:highlight w:val="none"/>
        </w:rPr>
      </w:pPr>
      <w:bookmarkStart w:id="303" w:name="_Toc140069412"/>
      <w:bookmarkStart w:id="304" w:name="_Toc13610"/>
      <w:bookmarkStart w:id="305" w:name="_Toc179632586"/>
      <w:bookmarkStart w:id="306" w:name="_Toc152045568"/>
      <w:bookmarkStart w:id="307" w:name="_Toc152042344"/>
      <w:bookmarkStart w:id="308" w:name="_Toc144974536"/>
      <w:r>
        <w:rPr>
          <w:rFonts w:hint="eastAsia" w:ascii="黑体" w:hAnsi="黑体" w:eastAsia="黑体" w:cs="黑体"/>
          <w:b w:val="0"/>
          <w:bCs w:val="0"/>
          <w:highlight w:val="none"/>
        </w:rPr>
        <w:t>定标</w:t>
      </w:r>
      <w:bookmarkEnd w:id="303"/>
      <w:bookmarkEnd w:id="304"/>
    </w:p>
    <w:bookmarkEnd w:id="305"/>
    <w:bookmarkEnd w:id="306"/>
    <w:bookmarkEnd w:id="307"/>
    <w:bookmarkEnd w:id="308"/>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7.1定标</w:t>
      </w:r>
    </w:p>
    <w:p>
      <w:pPr>
        <w:spacing w:line="360" w:lineRule="auto"/>
        <w:ind w:firstLine="480" w:firstLineChars="200"/>
        <w:rPr>
          <w:rFonts w:hAnsi="宋体" w:cs="宋体"/>
          <w:highlight w:val="none"/>
        </w:rPr>
      </w:pPr>
      <w:r>
        <w:rPr>
          <w:rFonts w:hint="eastAsia" w:hAnsi="宋体" w:cs="宋体"/>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7.2中标结果公示</w:t>
      </w:r>
    </w:p>
    <w:p>
      <w:pPr>
        <w:spacing w:line="360" w:lineRule="auto"/>
        <w:ind w:firstLine="480" w:firstLineChars="200"/>
        <w:rPr>
          <w:rFonts w:hAnsi="宋体" w:cs="宋体"/>
          <w:bCs/>
          <w:snapToGrid w:val="0"/>
          <w:highlight w:val="none"/>
        </w:rPr>
      </w:pPr>
      <w:r>
        <w:rPr>
          <w:rFonts w:hint="eastAsia" w:hAnsi="宋体" w:cs="宋体"/>
          <w:highlight w:val="none"/>
        </w:rPr>
        <w:t>招标人在确定中标人之日起3日内，按照投标人须知前附表规定的公示媒介依法公示中标结果。</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7.3中标通知</w:t>
      </w:r>
    </w:p>
    <w:p>
      <w:pPr>
        <w:spacing w:line="360" w:lineRule="auto"/>
        <w:ind w:firstLine="480" w:firstLineChars="200"/>
        <w:rPr>
          <w:rFonts w:hAnsi="宋体" w:cs="宋体"/>
          <w:bCs/>
          <w:snapToGrid w:val="0"/>
          <w:highlight w:val="none"/>
        </w:rPr>
      </w:pPr>
      <w:r>
        <w:rPr>
          <w:rFonts w:hint="eastAsia" w:hAnsi="宋体" w:cs="宋体"/>
          <w:highlight w:val="none"/>
        </w:rPr>
        <w:t>在本章第3.3款规定的投标有效期内，招标人按照投标人须知前附表规定的形式向中标人发出中标通知书，同时将中标结果通知未中标的投标人。</w:t>
      </w:r>
    </w:p>
    <w:p>
      <w:pPr>
        <w:pStyle w:val="4"/>
        <w:numPr>
          <w:ilvl w:val="0"/>
          <w:numId w:val="3"/>
        </w:numPr>
        <w:spacing w:beforeLines="100" w:afterLines="100" w:line="240" w:lineRule="auto"/>
        <w:rPr>
          <w:rFonts w:ascii="黑体" w:hAnsi="黑体" w:eastAsia="黑体" w:cs="黑体"/>
          <w:b w:val="0"/>
          <w:bCs w:val="0"/>
          <w:highlight w:val="none"/>
        </w:rPr>
      </w:pPr>
      <w:bookmarkStart w:id="309" w:name="_Toc140069413"/>
      <w:bookmarkStart w:id="310" w:name="_Toc1007"/>
      <w:bookmarkStart w:id="311" w:name="_Toc15926"/>
      <w:bookmarkStart w:id="312" w:name="_Toc152045569"/>
      <w:bookmarkStart w:id="313" w:name="_Toc144974537"/>
      <w:bookmarkStart w:id="314" w:name="_Toc179632587"/>
      <w:bookmarkStart w:id="315" w:name="_Toc152042345"/>
      <w:r>
        <w:rPr>
          <w:rFonts w:hint="eastAsia" w:ascii="黑体" w:hAnsi="黑体" w:eastAsia="黑体" w:cs="黑体"/>
          <w:b w:val="0"/>
          <w:bCs w:val="0"/>
          <w:highlight w:val="none"/>
        </w:rPr>
        <w:t>合同授予</w:t>
      </w:r>
      <w:bookmarkEnd w:id="309"/>
      <w:bookmarkEnd w:id="310"/>
      <w:bookmarkEnd w:id="311"/>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8.1履约保证金</w:t>
      </w:r>
      <w:bookmarkEnd w:id="312"/>
      <w:bookmarkEnd w:id="313"/>
      <w:bookmarkEnd w:id="314"/>
      <w:bookmarkEnd w:id="315"/>
    </w:p>
    <w:p>
      <w:pPr>
        <w:spacing w:line="360" w:lineRule="auto"/>
        <w:ind w:firstLine="480" w:firstLineChars="200"/>
        <w:rPr>
          <w:rFonts w:hAnsi="宋体" w:cs="宋体"/>
          <w:highlight w:val="none"/>
        </w:rPr>
      </w:pPr>
      <w:r>
        <w:rPr>
          <w:rFonts w:hint="eastAsia" w:hAnsi="宋体" w:cs="宋体"/>
          <w:highlight w:val="none"/>
        </w:rPr>
        <w:t>8.1.1 在签订合同前，中标人应按照投标人须知前附表规定的金额、形式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360" w:lineRule="auto"/>
        <w:ind w:firstLine="480" w:firstLineChars="200"/>
        <w:rPr>
          <w:rFonts w:hAnsi="宋体" w:cs="宋体"/>
          <w:highlight w:val="none"/>
        </w:rPr>
      </w:pPr>
      <w:r>
        <w:rPr>
          <w:rFonts w:hint="eastAsia" w:hAnsi="宋体" w:cs="宋体"/>
          <w:highlight w:val="none"/>
        </w:rPr>
        <w:t>8.1.2 中标人不能按照本章第8.1.1项要求提交履约保证金的，视为放弃中标，其投标保证金不予退还，给招标人造成的损失超过投标保证金数额的，中标人还应当对超过部分予以赔偿。</w:t>
      </w:r>
    </w:p>
    <w:p>
      <w:pPr>
        <w:pStyle w:val="2"/>
        <w:spacing w:beforeLines="100" w:afterLines="100" w:line="240" w:lineRule="auto"/>
        <w:rPr>
          <w:rFonts w:cs="黑体"/>
          <w:snapToGrid w:val="0"/>
          <w:highlight w:val="none"/>
          <w:shd w:val="clear" w:color="auto" w:fill="FFFFFF"/>
          <w:lang w:val="zh-CN"/>
        </w:rPr>
      </w:pPr>
      <w:bookmarkStart w:id="316" w:name="_Toc152045570"/>
      <w:bookmarkStart w:id="317" w:name="_Toc179632588"/>
      <w:bookmarkStart w:id="318" w:name="_Toc152042346"/>
      <w:bookmarkStart w:id="319" w:name="_Toc144974538"/>
      <w:r>
        <w:rPr>
          <w:rFonts w:hint="eastAsia" w:cs="黑体"/>
          <w:snapToGrid w:val="0"/>
          <w:highlight w:val="none"/>
          <w:shd w:val="clear" w:color="auto" w:fill="FFFFFF"/>
          <w:lang w:val="zh-CN"/>
        </w:rPr>
        <w:t>8.2签订合同</w:t>
      </w:r>
      <w:bookmarkEnd w:id="316"/>
      <w:bookmarkEnd w:id="317"/>
      <w:bookmarkEnd w:id="318"/>
      <w:bookmarkEnd w:id="319"/>
    </w:p>
    <w:p>
      <w:pPr>
        <w:spacing w:line="360" w:lineRule="auto"/>
        <w:ind w:firstLine="480" w:firstLineChars="200"/>
        <w:rPr>
          <w:rFonts w:hAnsi="宋体" w:cs="宋体"/>
          <w:highlight w:val="none"/>
        </w:rPr>
      </w:pPr>
      <w:r>
        <w:rPr>
          <w:rFonts w:hint="eastAsia" w:hAnsi="宋体" w:cs="宋体"/>
          <w:highlight w:val="none"/>
        </w:rPr>
        <w:t>8.2.1 中标人和招标人应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对超过部分予以赔偿。</w:t>
      </w:r>
    </w:p>
    <w:p>
      <w:pPr>
        <w:spacing w:line="360" w:lineRule="auto"/>
        <w:ind w:firstLine="480" w:firstLineChars="200"/>
        <w:rPr>
          <w:rFonts w:hAnsi="宋体" w:cs="宋体"/>
          <w:highlight w:val="none"/>
        </w:rPr>
      </w:pPr>
      <w:r>
        <w:rPr>
          <w:rFonts w:hint="eastAsia" w:hAnsi="宋体" w:cs="宋体"/>
          <w:highlight w:val="none"/>
        </w:rPr>
        <w:t>8.2.2 发出中标通知书后，招标人无正当理由拒签合同，或者在签订合同时向中标人提出附加条件的，招标人应退还中标人的投标保证金。招标人存在前述情形的，由公共资源交易监督管理部门责令改正，可以处中标项目金额10‰以下的罚款；给中标人造成损失的，依法承担赔偿责任。</w:t>
      </w:r>
    </w:p>
    <w:p>
      <w:pPr>
        <w:spacing w:line="360" w:lineRule="auto"/>
        <w:ind w:firstLine="480" w:firstLineChars="200"/>
        <w:rPr>
          <w:rFonts w:hAnsi="宋体" w:cs="宋体"/>
          <w:highlight w:val="none"/>
        </w:rPr>
      </w:pPr>
      <w:r>
        <w:rPr>
          <w:rFonts w:hint="eastAsia" w:hAnsi="宋体" w:cs="宋体"/>
          <w:highlight w:val="none"/>
        </w:rPr>
        <w:t>8.2.3 联合体中标的，联合体各方应当共同与招标人签订合同，就中标项目向招标人承担连带责任。</w:t>
      </w:r>
    </w:p>
    <w:p>
      <w:pPr>
        <w:spacing w:line="360" w:lineRule="auto"/>
        <w:ind w:firstLine="480" w:firstLineChars="200"/>
        <w:rPr>
          <w:rFonts w:hAnsi="宋体" w:cs="宋体"/>
          <w:bCs/>
          <w:snapToGrid w:val="0"/>
          <w:highlight w:val="none"/>
        </w:rPr>
      </w:pPr>
      <w:r>
        <w:rPr>
          <w:rFonts w:hint="eastAsia" w:hAnsi="宋体" w:cs="宋体"/>
          <w:highlight w:val="none"/>
        </w:rPr>
        <w:t>8.2.4</w:t>
      </w:r>
      <w:r>
        <w:rPr>
          <w:rFonts w:hint="eastAsia" w:ascii="Times New Roman"/>
          <w:highlight w:val="none"/>
        </w:rPr>
        <w:t xml:space="preserve"> 招标人将及时主动公开合同订立信息，并积极推进合同履行及变更信息公开。</w:t>
      </w:r>
    </w:p>
    <w:p>
      <w:pPr>
        <w:pStyle w:val="4"/>
        <w:spacing w:beforeLines="100" w:afterLines="100" w:line="240" w:lineRule="auto"/>
        <w:rPr>
          <w:rFonts w:ascii="黑体" w:hAnsi="黑体" w:eastAsia="黑体" w:cs="黑体"/>
          <w:b w:val="0"/>
          <w:bCs w:val="0"/>
          <w:highlight w:val="none"/>
        </w:rPr>
      </w:pPr>
      <w:bookmarkStart w:id="320" w:name="_Toc20588"/>
      <w:bookmarkStart w:id="321" w:name="_Toc1531"/>
      <w:bookmarkStart w:id="322" w:name="_Toc179632592"/>
      <w:bookmarkStart w:id="323" w:name="_Toc13907"/>
      <w:bookmarkStart w:id="324" w:name="_Toc38879332"/>
      <w:bookmarkStart w:id="325" w:name="_Toc140069414"/>
      <w:bookmarkStart w:id="326" w:name="_Toc152045574"/>
      <w:bookmarkStart w:id="327" w:name="_Toc152042350"/>
      <w:bookmarkStart w:id="328" w:name="_Toc948"/>
      <w:bookmarkStart w:id="329" w:name="_Toc144974542"/>
      <w:r>
        <w:rPr>
          <w:rFonts w:hint="eastAsia" w:ascii="黑体" w:hAnsi="黑体" w:eastAsia="黑体" w:cs="黑体"/>
          <w:b w:val="0"/>
          <w:bCs w:val="0"/>
          <w:highlight w:val="none"/>
        </w:rPr>
        <w:t>9. 纪律和监督</w:t>
      </w:r>
      <w:bookmarkEnd w:id="320"/>
      <w:bookmarkEnd w:id="321"/>
      <w:bookmarkEnd w:id="322"/>
      <w:bookmarkEnd w:id="323"/>
      <w:bookmarkEnd w:id="324"/>
      <w:bookmarkEnd w:id="325"/>
      <w:bookmarkEnd w:id="326"/>
      <w:bookmarkEnd w:id="327"/>
      <w:bookmarkEnd w:id="328"/>
      <w:bookmarkEnd w:id="329"/>
    </w:p>
    <w:p>
      <w:pPr>
        <w:pStyle w:val="2"/>
        <w:spacing w:beforeLines="100" w:afterLines="100" w:line="240" w:lineRule="auto"/>
        <w:rPr>
          <w:rFonts w:cs="黑体"/>
          <w:snapToGrid w:val="0"/>
          <w:highlight w:val="none"/>
          <w:shd w:val="clear" w:color="auto" w:fill="FFFFFF"/>
          <w:lang w:val="zh-CN"/>
        </w:rPr>
      </w:pPr>
      <w:bookmarkStart w:id="330" w:name="_Toc144974543"/>
      <w:bookmarkStart w:id="331" w:name="_Toc152045575"/>
      <w:bookmarkStart w:id="332" w:name="_Toc152042351"/>
      <w:bookmarkStart w:id="333" w:name="_Toc179632593"/>
      <w:r>
        <w:rPr>
          <w:rFonts w:hint="eastAsia" w:cs="黑体"/>
          <w:snapToGrid w:val="0"/>
          <w:highlight w:val="none"/>
          <w:shd w:val="clear" w:color="auto" w:fill="FFFFFF"/>
          <w:lang w:val="zh-CN"/>
        </w:rPr>
        <w:t>9.1对招标人的纪律要求</w:t>
      </w:r>
      <w:bookmarkEnd w:id="330"/>
      <w:bookmarkEnd w:id="331"/>
      <w:bookmarkEnd w:id="332"/>
      <w:bookmarkEnd w:id="333"/>
    </w:p>
    <w:p>
      <w:pPr>
        <w:spacing w:line="360" w:lineRule="auto"/>
        <w:ind w:firstLine="480" w:firstLineChars="200"/>
        <w:rPr>
          <w:rFonts w:hAnsi="宋体" w:cs="宋体"/>
          <w:highlight w:val="none"/>
        </w:rPr>
      </w:pPr>
      <w:r>
        <w:rPr>
          <w:rFonts w:hint="eastAsia" w:hAnsi="宋体" w:cs="宋体"/>
          <w:highlight w:val="none"/>
        </w:rPr>
        <w:t>招标人不得泄露招标投标活动中应当保密的情况和资料，不得与投标人串通损害国家利益、社会公共利益或者他人合法权益。</w:t>
      </w:r>
    </w:p>
    <w:p>
      <w:pPr>
        <w:pStyle w:val="2"/>
        <w:spacing w:beforeLines="100" w:afterLines="100" w:line="240" w:lineRule="auto"/>
        <w:rPr>
          <w:rFonts w:cs="黑体"/>
          <w:snapToGrid w:val="0"/>
          <w:highlight w:val="none"/>
          <w:shd w:val="clear" w:color="auto" w:fill="FFFFFF"/>
          <w:lang w:val="zh-CN"/>
        </w:rPr>
      </w:pPr>
      <w:bookmarkStart w:id="334" w:name="_Toc152045576"/>
      <w:bookmarkStart w:id="335" w:name="_Toc179632594"/>
      <w:bookmarkStart w:id="336" w:name="_Toc144974544"/>
      <w:bookmarkStart w:id="337" w:name="_Toc152042352"/>
      <w:r>
        <w:rPr>
          <w:rFonts w:hint="eastAsia" w:cs="黑体"/>
          <w:snapToGrid w:val="0"/>
          <w:highlight w:val="none"/>
          <w:shd w:val="clear" w:color="auto" w:fill="FFFFFF"/>
          <w:lang w:val="zh-CN"/>
        </w:rPr>
        <w:t>9.2对投标人的纪律要求</w:t>
      </w:r>
      <w:bookmarkEnd w:id="334"/>
      <w:bookmarkEnd w:id="335"/>
      <w:bookmarkEnd w:id="336"/>
      <w:bookmarkEnd w:id="337"/>
    </w:p>
    <w:p>
      <w:pPr>
        <w:spacing w:line="360" w:lineRule="auto"/>
        <w:ind w:firstLine="480" w:firstLineChars="200"/>
        <w:rPr>
          <w:rFonts w:hAnsi="宋体" w:cs="宋体"/>
          <w:highlight w:val="none"/>
        </w:rPr>
      </w:pPr>
      <w:r>
        <w:rPr>
          <w:rFonts w:hint="eastAsia" w:hAnsi="宋体" w:cs="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
        <w:spacing w:beforeLines="100" w:afterLines="100" w:line="240" w:lineRule="auto"/>
        <w:rPr>
          <w:rFonts w:cs="黑体"/>
          <w:snapToGrid w:val="0"/>
          <w:highlight w:val="none"/>
          <w:shd w:val="clear" w:color="auto" w:fill="FFFFFF"/>
          <w:lang w:val="zh-CN"/>
        </w:rPr>
      </w:pPr>
      <w:bookmarkStart w:id="338" w:name="_Toc152042353"/>
      <w:bookmarkStart w:id="339" w:name="_Toc179632595"/>
      <w:bookmarkStart w:id="340" w:name="_Toc144974545"/>
      <w:bookmarkStart w:id="341" w:name="_Toc152045577"/>
      <w:r>
        <w:rPr>
          <w:rFonts w:hint="eastAsia" w:cs="黑体"/>
          <w:snapToGrid w:val="0"/>
          <w:highlight w:val="none"/>
          <w:shd w:val="clear" w:color="auto" w:fill="FFFFFF"/>
          <w:lang w:val="zh-CN"/>
        </w:rPr>
        <w:t>9.3对评标委员会成员的纪律要求</w:t>
      </w:r>
      <w:bookmarkEnd w:id="338"/>
      <w:bookmarkEnd w:id="339"/>
      <w:bookmarkEnd w:id="340"/>
      <w:bookmarkEnd w:id="341"/>
    </w:p>
    <w:p>
      <w:pPr>
        <w:spacing w:line="360" w:lineRule="auto"/>
        <w:ind w:firstLine="480" w:firstLineChars="200"/>
        <w:rPr>
          <w:rFonts w:hAnsi="宋体" w:cs="宋体"/>
          <w:highlight w:val="none"/>
        </w:rPr>
      </w:pPr>
      <w:r>
        <w:rPr>
          <w:rFonts w:hint="eastAsia" w:hAnsi="宋体" w:cs="宋体"/>
          <w:highlight w:val="none"/>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
        <w:spacing w:beforeLines="100" w:afterLines="100" w:line="240" w:lineRule="auto"/>
        <w:rPr>
          <w:rFonts w:cs="黑体"/>
          <w:snapToGrid w:val="0"/>
          <w:highlight w:val="none"/>
          <w:shd w:val="clear" w:color="auto" w:fill="FFFFFF"/>
          <w:lang w:val="zh-CN"/>
        </w:rPr>
      </w:pPr>
      <w:bookmarkStart w:id="342" w:name="_Toc179632596"/>
      <w:bookmarkStart w:id="343" w:name="_Toc152042354"/>
      <w:bookmarkStart w:id="344" w:name="_Toc152045578"/>
      <w:bookmarkStart w:id="345" w:name="_Toc144974546"/>
      <w:r>
        <w:rPr>
          <w:rFonts w:hint="eastAsia" w:cs="黑体"/>
          <w:snapToGrid w:val="0"/>
          <w:highlight w:val="none"/>
          <w:shd w:val="clear" w:color="auto" w:fill="FFFFFF"/>
          <w:lang w:val="zh-CN"/>
        </w:rPr>
        <w:t>9.4对与评标活动有关的工作人员的纪律要求</w:t>
      </w:r>
      <w:bookmarkEnd w:id="342"/>
      <w:bookmarkEnd w:id="343"/>
      <w:bookmarkEnd w:id="344"/>
    </w:p>
    <w:p>
      <w:pPr>
        <w:spacing w:line="360" w:lineRule="auto"/>
        <w:ind w:firstLine="480" w:firstLineChars="200"/>
        <w:rPr>
          <w:rFonts w:hAnsi="宋体" w:cs="宋体"/>
          <w:highlight w:val="none"/>
        </w:rPr>
      </w:pPr>
      <w:bookmarkStart w:id="346" w:name="_Toc152042355"/>
      <w:r>
        <w:rPr>
          <w:rFonts w:hint="eastAsia" w:hAnsi="宋体" w:cs="宋体"/>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346"/>
    </w:p>
    <w:p>
      <w:pPr>
        <w:pStyle w:val="2"/>
        <w:spacing w:beforeLines="100" w:afterLines="100" w:line="240" w:lineRule="auto"/>
        <w:rPr>
          <w:rFonts w:cs="黑体"/>
          <w:snapToGrid w:val="0"/>
          <w:highlight w:val="none"/>
          <w:shd w:val="clear" w:color="auto" w:fill="FFFFFF"/>
          <w:lang w:val="zh-CN"/>
        </w:rPr>
      </w:pPr>
      <w:bookmarkStart w:id="347" w:name="_Toc179632597"/>
      <w:bookmarkStart w:id="348" w:name="_Toc152045579"/>
      <w:bookmarkStart w:id="349" w:name="_Toc152042356"/>
      <w:r>
        <w:rPr>
          <w:rFonts w:hint="eastAsia" w:cs="黑体"/>
          <w:snapToGrid w:val="0"/>
          <w:highlight w:val="none"/>
          <w:shd w:val="clear" w:color="auto" w:fill="FFFFFF"/>
          <w:lang w:val="zh-CN"/>
        </w:rPr>
        <w:t>9.5投诉</w:t>
      </w:r>
      <w:bookmarkEnd w:id="345"/>
      <w:bookmarkEnd w:id="347"/>
      <w:bookmarkEnd w:id="348"/>
      <w:bookmarkEnd w:id="349"/>
    </w:p>
    <w:p>
      <w:pPr>
        <w:spacing w:line="360" w:lineRule="auto"/>
        <w:ind w:firstLine="480" w:firstLineChars="200"/>
        <w:rPr>
          <w:rFonts w:hAnsi="宋体" w:cs="宋体"/>
          <w:highlight w:val="none"/>
        </w:rPr>
      </w:pPr>
      <w:r>
        <w:rPr>
          <w:rFonts w:hint="eastAsia" w:hAnsi="宋体" w:cs="宋体"/>
          <w:highlight w:val="none"/>
        </w:rPr>
        <w:t>9.5.1 投标人或者其他利害关系人认为招标投标活动不符合法律、行政法规规定的，可以自知道或者应当知道之日起10日内通过网上投诉系统或以其他书面形式向有关行政监督部门投诉。投诉应当有明确的请求和必要的证明材料。</w:t>
      </w:r>
    </w:p>
    <w:p>
      <w:pPr>
        <w:spacing w:line="360" w:lineRule="auto"/>
        <w:ind w:firstLine="480" w:firstLineChars="200"/>
        <w:rPr>
          <w:rFonts w:hAnsi="宋体" w:cs="宋体"/>
          <w:highlight w:val="none"/>
        </w:rPr>
      </w:pPr>
      <w:r>
        <w:rPr>
          <w:rFonts w:hint="eastAsia" w:hAnsi="宋体" w:cs="宋体"/>
          <w:highlight w:val="none"/>
        </w:rPr>
        <w:t>9.5.2 投标人或者其他利害关系人对招标文件、开标和评标结果提出投诉的，应当按照投标人须知第2.4款、第5.3款和第6.5款的规定先向招标人提出异议。异议答复期间</w:t>
      </w:r>
      <w:bookmarkStart w:id="350" w:name="_Toc352691517"/>
      <w:bookmarkStart w:id="351" w:name="_Toc247513994"/>
      <w:bookmarkStart w:id="352" w:name="_Toc300834993"/>
      <w:bookmarkStart w:id="353" w:name="_Toc12776"/>
      <w:bookmarkStart w:id="354" w:name="_Toc369531561"/>
      <w:bookmarkStart w:id="355" w:name="_Toc384308255"/>
      <w:bookmarkStart w:id="356" w:name="_Toc247527595"/>
      <w:bookmarkStart w:id="357" w:name="_Toc361508630"/>
      <w:r>
        <w:rPr>
          <w:rFonts w:hint="eastAsia" w:hAnsi="宋体" w:cs="宋体"/>
          <w:highlight w:val="none"/>
        </w:rPr>
        <w:t>不计算在第9.5.</w:t>
      </w:r>
      <w:bookmarkEnd w:id="350"/>
      <w:bookmarkEnd w:id="351"/>
      <w:bookmarkEnd w:id="352"/>
      <w:bookmarkEnd w:id="353"/>
      <w:bookmarkEnd w:id="354"/>
      <w:bookmarkEnd w:id="355"/>
      <w:bookmarkEnd w:id="356"/>
      <w:bookmarkEnd w:id="357"/>
      <w:r>
        <w:rPr>
          <w:rFonts w:hint="eastAsia" w:hAnsi="宋体" w:cs="宋体"/>
          <w:highlight w:val="none"/>
        </w:rPr>
        <w:t>1项规定的期限内。</w:t>
      </w:r>
    </w:p>
    <w:p>
      <w:pPr>
        <w:pStyle w:val="4"/>
        <w:spacing w:beforeLines="100" w:afterLines="100" w:line="240" w:lineRule="auto"/>
        <w:rPr>
          <w:rFonts w:ascii="黑体" w:hAnsi="黑体" w:eastAsia="黑体" w:cs="黑体"/>
          <w:b w:val="0"/>
          <w:bCs w:val="0"/>
          <w:highlight w:val="none"/>
        </w:rPr>
      </w:pPr>
      <w:bookmarkStart w:id="358" w:name="_Toc152045580"/>
      <w:bookmarkStart w:id="359" w:name="_Toc140069415"/>
      <w:bookmarkStart w:id="360" w:name="_Toc179632598"/>
      <w:bookmarkStart w:id="361" w:name="_Toc144974547"/>
      <w:bookmarkStart w:id="362" w:name="_Toc2315"/>
      <w:bookmarkStart w:id="363" w:name="_Toc152042357"/>
      <w:bookmarkStart w:id="364" w:name="_Toc17761"/>
      <w:bookmarkStart w:id="365" w:name="_Toc38879333"/>
      <w:bookmarkStart w:id="366" w:name="_Toc3705"/>
      <w:bookmarkStart w:id="367" w:name="_Toc24351"/>
      <w:r>
        <w:rPr>
          <w:rFonts w:hint="eastAsia" w:ascii="黑体" w:hAnsi="黑体" w:eastAsia="黑体" w:cs="黑体"/>
          <w:b w:val="0"/>
          <w:bCs w:val="0"/>
          <w:highlight w:val="none"/>
        </w:rPr>
        <w:t>10. 需要补充的其他内容</w:t>
      </w:r>
      <w:bookmarkEnd w:id="358"/>
      <w:bookmarkEnd w:id="359"/>
      <w:bookmarkEnd w:id="360"/>
      <w:bookmarkEnd w:id="361"/>
      <w:bookmarkEnd w:id="362"/>
      <w:bookmarkEnd w:id="363"/>
      <w:bookmarkEnd w:id="364"/>
      <w:bookmarkEnd w:id="365"/>
      <w:bookmarkEnd w:id="366"/>
      <w:bookmarkEnd w:id="367"/>
    </w:p>
    <w:p>
      <w:pPr>
        <w:spacing w:line="360" w:lineRule="auto"/>
        <w:ind w:firstLine="480" w:firstLineChars="200"/>
        <w:rPr>
          <w:rFonts w:ascii="Times New Roman"/>
          <w:highlight w:val="none"/>
        </w:rPr>
      </w:pPr>
      <w:r>
        <w:rPr>
          <w:rFonts w:hint="eastAsia" w:hAnsi="宋体" w:cs="宋体"/>
          <w:highlight w:val="none"/>
        </w:rPr>
        <w:t>需要补充的其他内容：见投标人须知前附表</w:t>
      </w:r>
      <w:r>
        <w:rPr>
          <w:rFonts w:hint="eastAsia" w:ascii="Times New Roman"/>
          <w:highlight w:val="none"/>
        </w:rPr>
        <w:t>。</w:t>
      </w:r>
    </w:p>
    <w:p>
      <w:pPr>
        <w:pStyle w:val="4"/>
        <w:spacing w:beforeLines="100" w:afterLines="100" w:line="240" w:lineRule="auto"/>
        <w:jc w:val="center"/>
        <w:rPr>
          <w:rFonts w:ascii="Times New Roman" w:hAnsi="Times New Roman" w:eastAsia="黑体"/>
          <w:b w:val="0"/>
          <w:highlight w:val="none"/>
        </w:rPr>
      </w:pPr>
      <w:r>
        <w:rPr>
          <w:rFonts w:ascii="Times New Roman" w:hAnsi="Times New Roman"/>
          <w:b w:val="0"/>
          <w:sz w:val="24"/>
          <w:highlight w:val="none"/>
        </w:rPr>
        <w:br w:type="page"/>
      </w:r>
      <w:bookmarkStart w:id="368" w:name="_Toc10568"/>
      <w:bookmarkStart w:id="369" w:name="_Toc4779"/>
      <w:bookmarkStart w:id="370" w:name="_Toc8937"/>
      <w:bookmarkStart w:id="371" w:name="_Toc38879334"/>
      <w:bookmarkStart w:id="372" w:name="_Toc19524"/>
      <w:bookmarkStart w:id="373" w:name="_Toc22334"/>
      <w:bookmarkStart w:id="374" w:name="_Toc14838"/>
      <w:bookmarkStart w:id="375" w:name="_Toc9893"/>
      <w:bookmarkStart w:id="376" w:name="_Toc24634"/>
      <w:bookmarkStart w:id="377" w:name="_Toc140069416"/>
      <w:r>
        <w:rPr>
          <w:rFonts w:hint="eastAsia" w:ascii="Times New Roman" w:hAnsi="Times New Roman" w:eastAsia="黑体"/>
          <w:b w:val="0"/>
          <w:highlight w:val="none"/>
        </w:rPr>
        <w:t>附件：</w:t>
      </w:r>
      <w:bookmarkEnd w:id="148"/>
      <w:bookmarkEnd w:id="149"/>
      <w:bookmarkEnd w:id="368"/>
      <w:bookmarkEnd w:id="369"/>
      <w:bookmarkEnd w:id="370"/>
      <w:bookmarkEnd w:id="371"/>
      <w:bookmarkEnd w:id="372"/>
      <w:bookmarkEnd w:id="373"/>
      <w:bookmarkEnd w:id="374"/>
      <w:bookmarkEnd w:id="375"/>
      <w:bookmarkEnd w:id="376"/>
      <w:r>
        <w:rPr>
          <w:rFonts w:hint="eastAsia" w:ascii="Times New Roman" w:hAnsi="Times New Roman" w:eastAsia="黑体"/>
          <w:b w:val="0"/>
          <w:highlight w:val="none"/>
        </w:rPr>
        <w:t>合肥市公共资源交易电子招标投标操作规程</w:t>
      </w:r>
      <w:bookmarkEnd w:id="377"/>
    </w:p>
    <w:p>
      <w:pPr>
        <w:spacing w:line="360" w:lineRule="auto"/>
        <w:ind w:firstLine="480" w:firstLineChars="200"/>
        <w:rPr>
          <w:rFonts w:hAnsi="宋体" w:cs="宋体"/>
          <w:szCs w:val="24"/>
          <w:highlight w:val="none"/>
        </w:rPr>
      </w:pPr>
      <w:r>
        <w:rPr>
          <w:rFonts w:hint="eastAsia" w:hAnsi="宋体" w:cs="宋体"/>
          <w:bCs/>
          <w:szCs w:val="24"/>
          <w:highlight w:val="none"/>
        </w:rPr>
        <w:t>第一条</w:t>
      </w:r>
      <w:r>
        <w:rPr>
          <w:rFonts w:hint="eastAsia" w:hAnsi="宋体" w:cs="宋体"/>
          <w:szCs w:val="24"/>
          <w:highlight w:val="none"/>
        </w:rPr>
        <w:t xml:space="preserve">  为进一步规范招标投标行为，提高招标投标效率，充分利用信息网络技术，根据《中华人民共和国招标投标法》《中华人民共和国政府采购法》《中华人民共和国电子签名法》《合肥市公共资源交易管理条例》和《电子招标投标办法》（八部委20号令）等有关规定，结合工作实际，制定本规程。</w:t>
      </w:r>
    </w:p>
    <w:p>
      <w:pPr>
        <w:spacing w:line="360" w:lineRule="auto"/>
        <w:ind w:firstLine="480" w:firstLineChars="200"/>
        <w:rPr>
          <w:rFonts w:hAnsi="宋体" w:cs="宋体"/>
          <w:szCs w:val="24"/>
          <w:highlight w:val="none"/>
        </w:rPr>
      </w:pPr>
      <w:r>
        <w:rPr>
          <w:rFonts w:hint="eastAsia" w:hAnsi="宋体" w:cs="宋体"/>
          <w:bCs/>
          <w:szCs w:val="24"/>
          <w:highlight w:val="none"/>
        </w:rPr>
        <w:t>第二条</w:t>
      </w:r>
      <w:r>
        <w:rPr>
          <w:rFonts w:hint="eastAsia" w:hAnsi="宋体" w:cs="宋体"/>
          <w:szCs w:val="24"/>
          <w:highlight w:val="none"/>
        </w:rPr>
        <w:t xml:space="preserve">  本规程适用于进入安徽合肥公共资源交易平台交易的项目。行业主管部门另有规定的，从其规定。</w:t>
      </w:r>
    </w:p>
    <w:p>
      <w:pPr>
        <w:spacing w:line="360" w:lineRule="auto"/>
        <w:ind w:firstLine="480" w:firstLineChars="200"/>
        <w:rPr>
          <w:rFonts w:hAnsi="宋体" w:cs="宋体"/>
          <w:szCs w:val="24"/>
          <w:highlight w:val="none"/>
        </w:rPr>
      </w:pPr>
      <w:r>
        <w:rPr>
          <w:rFonts w:hint="eastAsia" w:hAnsi="宋体" w:cs="宋体"/>
          <w:bCs/>
          <w:szCs w:val="24"/>
          <w:highlight w:val="none"/>
        </w:rPr>
        <w:t>第三条</w:t>
      </w:r>
      <w:r>
        <w:rPr>
          <w:rFonts w:hint="eastAsia" w:hAnsi="宋体" w:cs="宋体"/>
          <w:szCs w:val="24"/>
          <w:highlight w:val="none"/>
        </w:rPr>
        <w:t xml:space="preserve">  本规程所称的电子招标投标，是指以数据电文形式，依托电子交易系统和电子服务系统完成的全部或者部分招标投标交易活动。</w:t>
      </w:r>
    </w:p>
    <w:p>
      <w:pPr>
        <w:spacing w:line="360" w:lineRule="auto"/>
        <w:ind w:firstLine="480" w:firstLineChars="200"/>
        <w:rPr>
          <w:rFonts w:hAnsi="宋体" w:cs="宋体"/>
          <w:szCs w:val="24"/>
          <w:highlight w:val="none"/>
        </w:rPr>
      </w:pPr>
      <w:r>
        <w:rPr>
          <w:rFonts w:hint="eastAsia" w:hAnsi="宋体" w:cs="宋体"/>
          <w:bCs/>
          <w:szCs w:val="24"/>
          <w:highlight w:val="none"/>
        </w:rPr>
        <w:t>第四条</w:t>
      </w:r>
      <w:r>
        <w:rPr>
          <w:rFonts w:hint="eastAsia" w:hAnsi="宋体" w:cs="宋体"/>
          <w:szCs w:val="24"/>
          <w:highlight w:val="none"/>
        </w:rPr>
        <w:t xml:space="preserve">  电子交易系统是招标投标当事人通过数据电文形式完成招标投标交易活动的系统。</w:t>
      </w:r>
    </w:p>
    <w:p>
      <w:pPr>
        <w:spacing w:line="360" w:lineRule="auto"/>
        <w:ind w:firstLine="480" w:firstLineChars="200"/>
        <w:rPr>
          <w:rFonts w:hAnsi="宋体" w:cs="宋体"/>
          <w:szCs w:val="24"/>
          <w:highlight w:val="none"/>
        </w:rPr>
      </w:pPr>
      <w:r>
        <w:rPr>
          <w:rFonts w:hint="eastAsia" w:hAnsi="宋体" w:cs="宋体"/>
          <w:szCs w:val="24"/>
          <w:highlight w:val="none"/>
        </w:rPr>
        <w:t>电子交易系统要具备在线完成招标投标全部交易过程，编辑、生成、对接、交换和发布有关招标投标数据信息的功能，并为行政监督部门依法实施监督和受理投诉提供所需的信息通道。</w:t>
      </w:r>
    </w:p>
    <w:p>
      <w:pPr>
        <w:spacing w:line="360" w:lineRule="auto"/>
        <w:ind w:firstLine="480" w:firstLineChars="200"/>
        <w:rPr>
          <w:rFonts w:hAnsi="宋体" w:cs="宋体"/>
          <w:szCs w:val="24"/>
          <w:highlight w:val="none"/>
        </w:rPr>
      </w:pPr>
      <w:r>
        <w:rPr>
          <w:rFonts w:hint="eastAsia" w:hAnsi="宋体" w:cs="宋体"/>
          <w:bCs/>
          <w:szCs w:val="24"/>
          <w:highlight w:val="none"/>
        </w:rPr>
        <w:t>第五条</w:t>
      </w:r>
      <w:r>
        <w:rPr>
          <w:rFonts w:hint="eastAsia" w:hAnsi="宋体" w:cs="宋体"/>
          <w:szCs w:val="24"/>
          <w:highlight w:val="none"/>
        </w:rPr>
        <w:t xml:space="preserve">  电子服务系统是满足与各电子交易系统之间电子招标投标信息对接交换、资源共享需要，并为市场主体、行政监督部门和社会公众提供信息交换、整合和发布的系统。</w:t>
      </w:r>
    </w:p>
    <w:p>
      <w:pPr>
        <w:spacing w:line="360" w:lineRule="auto"/>
        <w:ind w:firstLine="480" w:firstLineChars="200"/>
        <w:rPr>
          <w:rFonts w:hAnsi="宋体" w:cs="宋体"/>
          <w:szCs w:val="24"/>
          <w:highlight w:val="none"/>
        </w:rPr>
      </w:pPr>
      <w:r>
        <w:rPr>
          <w:rFonts w:hint="eastAsia" w:hAnsi="宋体" w:cs="宋体"/>
          <w:szCs w:val="24"/>
          <w:highlight w:val="none"/>
        </w:rPr>
        <w:t>电子服务系统要具备与各电子交易系统之间招标投标相关信息对接、交换、发布、资格信誉和业绩公开、行业统计分析、连接评标专家库、提供行政监督通道等服务功能。</w:t>
      </w:r>
    </w:p>
    <w:p>
      <w:pPr>
        <w:spacing w:line="360" w:lineRule="auto"/>
        <w:ind w:firstLine="480" w:firstLineChars="200"/>
        <w:rPr>
          <w:rFonts w:hAnsi="宋体" w:cs="宋体"/>
          <w:szCs w:val="24"/>
          <w:highlight w:val="none"/>
        </w:rPr>
      </w:pPr>
      <w:r>
        <w:rPr>
          <w:rFonts w:hint="eastAsia" w:hAnsi="宋体" w:cs="宋体"/>
          <w:bCs/>
          <w:szCs w:val="24"/>
          <w:highlight w:val="none"/>
        </w:rPr>
        <w:t>第六条</w:t>
      </w:r>
      <w:r>
        <w:rPr>
          <w:rFonts w:hint="eastAsia" w:hAnsi="宋体" w:cs="宋体"/>
          <w:szCs w:val="24"/>
          <w:highlight w:val="none"/>
        </w:rPr>
        <w:t xml:space="preserve">  招标人或招标代理机构负责电子招标投标的组织实施，电子交易系统建设单位负责电子交易系统的服务保障，电子服务系统建设单位负责电子服务系统的服务保障。</w:t>
      </w:r>
    </w:p>
    <w:p>
      <w:pPr>
        <w:spacing w:line="360" w:lineRule="auto"/>
        <w:ind w:firstLine="480" w:firstLineChars="200"/>
        <w:rPr>
          <w:rFonts w:hAnsi="宋体" w:cs="宋体"/>
          <w:szCs w:val="24"/>
          <w:highlight w:val="none"/>
        </w:rPr>
      </w:pPr>
      <w:r>
        <w:rPr>
          <w:rFonts w:hint="eastAsia" w:hAnsi="宋体" w:cs="宋体"/>
          <w:bCs/>
          <w:szCs w:val="24"/>
          <w:highlight w:val="none"/>
        </w:rPr>
        <w:t>第七条</w:t>
      </w:r>
      <w:r>
        <w:rPr>
          <w:rFonts w:hint="eastAsia" w:hAnsi="宋体" w:cs="宋体"/>
          <w:szCs w:val="24"/>
          <w:highlight w:val="none"/>
        </w:rPr>
        <w:t xml:space="preserve">  电子招标投标各方主体（招标人、投标人、招标代理机构等）应当按照相关规定取得和使用数字证书及电子签章，通过数字证书登录电子交易系统或电子服务系统进行操作。各方主体在系统中所有操作都具有法律效力,并承担法律责任。</w:t>
      </w:r>
    </w:p>
    <w:p>
      <w:pPr>
        <w:spacing w:line="360" w:lineRule="auto"/>
        <w:ind w:firstLine="480" w:firstLineChars="200"/>
        <w:rPr>
          <w:rFonts w:hAnsi="宋体" w:cs="宋体"/>
          <w:szCs w:val="24"/>
          <w:highlight w:val="none"/>
        </w:rPr>
      </w:pPr>
      <w:r>
        <w:rPr>
          <w:rFonts w:hint="eastAsia" w:hAnsi="宋体" w:cs="宋体"/>
          <w:szCs w:val="24"/>
          <w:highlight w:val="none"/>
        </w:rPr>
        <w:t>投标人应妥善保管数字证书，由于数字证书遗失、损坏、更换、续期等情况导致投标文件无法上传或解密，由投标人自行承担责任。</w:t>
      </w:r>
    </w:p>
    <w:p>
      <w:pPr>
        <w:spacing w:line="360" w:lineRule="auto"/>
        <w:ind w:firstLine="480" w:firstLineChars="200"/>
        <w:jc w:val="left"/>
        <w:rPr>
          <w:rFonts w:hAnsi="宋体" w:cs="宋体"/>
          <w:szCs w:val="24"/>
          <w:highlight w:val="none"/>
        </w:rPr>
      </w:pPr>
      <w:r>
        <w:rPr>
          <w:rFonts w:hint="eastAsia" w:hAnsi="宋体" w:cs="宋体"/>
          <w:bCs/>
          <w:szCs w:val="24"/>
          <w:highlight w:val="none"/>
        </w:rPr>
        <w:t>第八条</w:t>
      </w:r>
      <w:r>
        <w:rPr>
          <w:rFonts w:hint="eastAsia" w:hAnsi="宋体" w:cs="宋体"/>
          <w:szCs w:val="24"/>
          <w:highlight w:val="none"/>
        </w:rPr>
        <w:t xml:space="preserve">  招标人或招标代理机构应在招标公告和招标文件中明确招标项目采取电子招标投标方式，并按相关流程通过电子交易系统制作招标文件。 </w:t>
      </w:r>
    </w:p>
    <w:p>
      <w:pPr>
        <w:spacing w:line="360" w:lineRule="auto"/>
        <w:ind w:firstLine="480" w:firstLineChars="200"/>
        <w:rPr>
          <w:rFonts w:hAnsi="宋体" w:cs="宋体"/>
          <w:szCs w:val="24"/>
          <w:highlight w:val="none"/>
        </w:rPr>
      </w:pPr>
      <w:r>
        <w:rPr>
          <w:rFonts w:hint="eastAsia" w:hAnsi="宋体" w:cs="宋体"/>
          <w:bCs/>
          <w:szCs w:val="24"/>
          <w:highlight w:val="none"/>
        </w:rPr>
        <w:t>第九条</w:t>
      </w:r>
      <w:r>
        <w:rPr>
          <w:rFonts w:hint="eastAsia" w:hAnsi="宋体" w:cs="宋体"/>
          <w:szCs w:val="24"/>
          <w:highlight w:val="none"/>
        </w:rPr>
        <w:t xml:space="preserve">  招标公告、招标文件应由招标人或招标代理机构通过电子服务系统在安徽合肥公共资源交易中心网站发布，其中招标文件须加盖电子签章。</w:t>
      </w:r>
    </w:p>
    <w:p>
      <w:pPr>
        <w:spacing w:line="360" w:lineRule="auto"/>
        <w:ind w:firstLine="480" w:firstLineChars="200"/>
        <w:rPr>
          <w:rFonts w:hAnsi="宋体" w:cs="宋体"/>
          <w:szCs w:val="24"/>
          <w:highlight w:val="none"/>
        </w:rPr>
      </w:pPr>
      <w:r>
        <w:rPr>
          <w:rFonts w:hint="eastAsia" w:hAnsi="宋体" w:cs="宋体"/>
          <w:bCs/>
          <w:szCs w:val="24"/>
          <w:highlight w:val="none"/>
        </w:rPr>
        <w:t>第十条</w:t>
      </w:r>
      <w:r>
        <w:rPr>
          <w:rFonts w:hint="eastAsia" w:hAnsi="宋体" w:cs="宋体"/>
          <w:szCs w:val="24"/>
          <w:highlight w:val="none"/>
        </w:rPr>
        <w:t xml:space="preserve">  投标人登录安徽合肥公共资源交易中心电子服务系统获取招标文件。</w:t>
      </w:r>
    </w:p>
    <w:p>
      <w:pPr>
        <w:spacing w:line="360" w:lineRule="auto"/>
        <w:ind w:firstLine="480" w:firstLineChars="200"/>
        <w:rPr>
          <w:rFonts w:hAnsi="宋体" w:cs="宋体"/>
          <w:szCs w:val="24"/>
          <w:highlight w:val="none"/>
        </w:rPr>
      </w:pPr>
      <w:r>
        <w:rPr>
          <w:rFonts w:hint="eastAsia" w:hAnsi="宋体" w:cs="宋体"/>
          <w:bCs/>
          <w:szCs w:val="24"/>
          <w:highlight w:val="none"/>
        </w:rPr>
        <w:t>第十一条</w:t>
      </w:r>
      <w:r>
        <w:rPr>
          <w:rFonts w:hint="eastAsia" w:hAnsi="宋体" w:cs="宋体"/>
          <w:szCs w:val="24"/>
          <w:highlight w:val="none"/>
        </w:rPr>
        <w:t xml:space="preserve">  澄清、修改文件应由招标人或招标代理机构通过电子服务系统在安徽合肥公共资源交易中心网站发布，投标人应及时查阅相关澄清、修改信息。</w:t>
      </w:r>
    </w:p>
    <w:p>
      <w:pPr>
        <w:spacing w:line="360" w:lineRule="auto"/>
        <w:ind w:firstLine="480" w:firstLineChars="200"/>
        <w:rPr>
          <w:rFonts w:hAnsi="宋体" w:cs="宋体"/>
          <w:szCs w:val="24"/>
          <w:highlight w:val="none"/>
        </w:rPr>
      </w:pPr>
      <w:r>
        <w:rPr>
          <w:rFonts w:hint="eastAsia" w:hAnsi="宋体" w:cs="宋体"/>
          <w:bCs/>
          <w:szCs w:val="24"/>
          <w:highlight w:val="none"/>
        </w:rPr>
        <w:t>第十二条</w:t>
      </w:r>
      <w:r>
        <w:rPr>
          <w:rFonts w:hint="eastAsia" w:hAnsi="宋体" w:cs="宋体"/>
          <w:szCs w:val="24"/>
          <w:highlight w:val="none"/>
        </w:rPr>
        <w:t xml:space="preserve">  投标人应使用电子标书制作软件制作投标文件，电子标书制作软件应允许投标人离线制作投标文件，并且具备分段或整体加密、解密功能。</w:t>
      </w:r>
    </w:p>
    <w:p>
      <w:pPr>
        <w:spacing w:line="360" w:lineRule="auto"/>
        <w:ind w:firstLine="480" w:firstLineChars="200"/>
        <w:rPr>
          <w:rFonts w:hAnsi="宋体" w:cs="宋体"/>
          <w:szCs w:val="24"/>
          <w:highlight w:val="none"/>
        </w:rPr>
      </w:pPr>
      <w:r>
        <w:rPr>
          <w:rFonts w:hint="eastAsia" w:hAnsi="宋体" w:cs="宋体"/>
          <w:bCs/>
          <w:szCs w:val="24"/>
          <w:highlight w:val="none"/>
        </w:rPr>
        <w:t>第十三条</w:t>
      </w:r>
      <w:r>
        <w:rPr>
          <w:rFonts w:hint="eastAsia" w:hAnsi="宋体" w:cs="宋体"/>
          <w:szCs w:val="24"/>
          <w:highlight w:val="none"/>
        </w:rPr>
        <w:t xml:space="preserve">  投标人必须对投标文件进行电子签章并使用数字证书加密，并于招标文件规定的投标截止时间前通过电子交易系统完成上传。</w:t>
      </w:r>
    </w:p>
    <w:p>
      <w:pPr>
        <w:spacing w:line="360" w:lineRule="auto"/>
        <w:ind w:firstLine="480" w:firstLineChars="200"/>
        <w:rPr>
          <w:rFonts w:hAnsi="宋体" w:cs="宋体"/>
          <w:szCs w:val="24"/>
          <w:highlight w:val="none"/>
        </w:rPr>
      </w:pPr>
      <w:r>
        <w:rPr>
          <w:rFonts w:hint="eastAsia" w:hAnsi="宋体" w:cs="宋体"/>
          <w:szCs w:val="24"/>
          <w:highlight w:val="none"/>
        </w:rPr>
        <w:t>投标人对加密的投标文件进行撤回的，应通过电子交易系统在投标截止时间前进行撤回操作；投标人对加密的投标文件进行修改的，应在投标截止时间前完成上传。</w:t>
      </w:r>
    </w:p>
    <w:p>
      <w:pPr>
        <w:spacing w:line="360" w:lineRule="auto"/>
        <w:ind w:firstLine="480" w:firstLineChars="200"/>
        <w:rPr>
          <w:rFonts w:hAnsi="宋体" w:cs="宋体"/>
          <w:szCs w:val="24"/>
          <w:highlight w:val="none"/>
        </w:rPr>
      </w:pPr>
      <w:r>
        <w:rPr>
          <w:rFonts w:hint="eastAsia" w:hAnsi="宋体" w:cs="宋体"/>
          <w:bCs/>
          <w:szCs w:val="24"/>
          <w:highlight w:val="none"/>
        </w:rPr>
        <w:t>第十四条</w:t>
      </w:r>
      <w:r>
        <w:rPr>
          <w:rFonts w:hint="eastAsia" w:hAnsi="宋体" w:cs="宋体"/>
          <w:szCs w:val="24"/>
          <w:highlight w:val="none"/>
        </w:rPr>
        <w:t xml:space="preserve">  投标截止时间以电子交易系统显示的时间为准，逾期系统将自动关闭, 未完成上传的投标文件将被拒绝。</w:t>
      </w:r>
    </w:p>
    <w:p>
      <w:pPr>
        <w:spacing w:line="360" w:lineRule="auto"/>
        <w:ind w:firstLine="480" w:firstLineChars="200"/>
        <w:rPr>
          <w:rFonts w:hAnsi="宋体" w:cs="宋体"/>
          <w:szCs w:val="24"/>
          <w:highlight w:val="none"/>
        </w:rPr>
      </w:pPr>
      <w:r>
        <w:rPr>
          <w:rFonts w:hint="eastAsia" w:hAnsi="宋体" w:cs="宋体"/>
          <w:bCs/>
          <w:szCs w:val="24"/>
          <w:highlight w:val="none"/>
        </w:rPr>
        <w:t>第十五条</w:t>
      </w:r>
      <w:r>
        <w:rPr>
          <w:rFonts w:hint="eastAsia" w:hAnsi="宋体" w:cs="宋体"/>
          <w:szCs w:val="24"/>
          <w:highlight w:val="none"/>
        </w:rPr>
        <w:t xml:space="preserve">  投标人在投标截止时间后按招标文件规定的解密时间完成投标文件解密，加密和解密须用同一数字证书。投标人未在招标文件规定的时间内完成解密的视为其放弃投标。</w:t>
      </w:r>
    </w:p>
    <w:p>
      <w:pPr>
        <w:spacing w:line="360" w:lineRule="auto"/>
        <w:ind w:firstLine="480" w:firstLineChars="200"/>
        <w:rPr>
          <w:rFonts w:hAnsi="宋体" w:cs="宋体"/>
          <w:szCs w:val="24"/>
          <w:highlight w:val="none"/>
        </w:rPr>
      </w:pPr>
      <w:r>
        <w:rPr>
          <w:rFonts w:hint="eastAsia" w:hAnsi="宋体" w:cs="宋体"/>
          <w:szCs w:val="24"/>
          <w:highlight w:val="none"/>
        </w:rPr>
        <w:t>招标人或招标代理机构完成解密，导入并读取所有成功解密的投标文件，电子交易系统应自动记录开标过程。</w:t>
      </w:r>
    </w:p>
    <w:p>
      <w:pPr>
        <w:spacing w:line="360" w:lineRule="auto"/>
        <w:ind w:firstLine="480" w:firstLineChars="200"/>
        <w:rPr>
          <w:rFonts w:hAnsi="宋体" w:cs="宋体"/>
          <w:szCs w:val="24"/>
          <w:highlight w:val="none"/>
        </w:rPr>
      </w:pPr>
      <w:r>
        <w:rPr>
          <w:rFonts w:hint="eastAsia" w:hAnsi="宋体" w:cs="宋体"/>
          <w:szCs w:val="24"/>
          <w:highlight w:val="none"/>
        </w:rPr>
        <w:t>招标文件约定须到达指定地点或线上进行演示、答辩、磋商、谈判等情形的，投标人应按照招标文件规定的时间到达指定地点或登录电子交易系统保持在线。</w:t>
      </w:r>
    </w:p>
    <w:p>
      <w:pPr>
        <w:spacing w:line="360" w:lineRule="auto"/>
        <w:ind w:firstLine="480" w:firstLineChars="200"/>
        <w:rPr>
          <w:rFonts w:hAnsi="宋体" w:cs="宋体"/>
          <w:szCs w:val="24"/>
          <w:highlight w:val="none"/>
        </w:rPr>
      </w:pPr>
      <w:r>
        <w:rPr>
          <w:rFonts w:hint="eastAsia" w:hAnsi="宋体" w:cs="宋体"/>
          <w:bCs/>
          <w:szCs w:val="24"/>
          <w:highlight w:val="none"/>
        </w:rPr>
        <w:t>第十六条</w:t>
      </w:r>
      <w:r>
        <w:rPr>
          <w:rFonts w:hint="eastAsia" w:hAnsi="宋体" w:cs="宋体"/>
          <w:szCs w:val="24"/>
          <w:highlight w:val="none"/>
        </w:rPr>
        <w:t xml:space="preserve">  未能成功解密的投标文件，如招标文件中允许使用电子光盘或U盘作为投标文件解密失败的补救方案，并且投标人在投标截止时间之前到达开标现场并成功递交，招标人或招标代理机构可导入电子光盘或U盘中非加密投标文件继续开标。若系统识别出电子光盘或U盘中未加密的投标文件和网上递交的加密投标文件识别码不一致，电子交易系统应拒绝导入。</w:t>
      </w:r>
    </w:p>
    <w:p>
      <w:pPr>
        <w:spacing w:line="360" w:lineRule="auto"/>
        <w:ind w:firstLine="480" w:firstLineChars="200"/>
        <w:rPr>
          <w:rFonts w:hAnsi="宋体" w:cs="宋体"/>
          <w:szCs w:val="24"/>
          <w:highlight w:val="none"/>
        </w:rPr>
      </w:pPr>
      <w:r>
        <w:rPr>
          <w:rFonts w:hint="eastAsia" w:hAnsi="宋体" w:cs="宋体"/>
          <w:bCs/>
          <w:szCs w:val="24"/>
          <w:highlight w:val="none"/>
        </w:rPr>
        <w:t>第十七条</w:t>
      </w:r>
      <w:r>
        <w:rPr>
          <w:rFonts w:hint="eastAsia" w:hAnsi="宋体" w:cs="宋体"/>
          <w:szCs w:val="24"/>
          <w:highlight w:val="none"/>
        </w:rPr>
        <w:t xml:space="preserve">  招标人或招标代理机构组织评标，评标委员会依据招标文件规定的评标办法进行电子评标，并对评标结果签字或电子签名确认。</w:t>
      </w:r>
    </w:p>
    <w:p>
      <w:pPr>
        <w:spacing w:line="360" w:lineRule="auto"/>
        <w:ind w:firstLine="480" w:firstLineChars="200"/>
        <w:rPr>
          <w:rFonts w:hAnsi="宋体" w:cs="宋体"/>
          <w:szCs w:val="24"/>
          <w:highlight w:val="none"/>
        </w:rPr>
      </w:pPr>
      <w:r>
        <w:rPr>
          <w:rFonts w:hint="eastAsia" w:hAnsi="宋体" w:cs="宋体"/>
          <w:szCs w:val="24"/>
          <w:highlight w:val="none"/>
        </w:rPr>
        <w:t>多次报价应按招标文件的要求提交。</w:t>
      </w:r>
    </w:p>
    <w:p>
      <w:pPr>
        <w:spacing w:line="360" w:lineRule="auto"/>
        <w:ind w:firstLine="480" w:firstLineChars="200"/>
        <w:rPr>
          <w:rFonts w:hAnsi="宋体" w:cs="宋体"/>
          <w:szCs w:val="24"/>
          <w:highlight w:val="none"/>
        </w:rPr>
      </w:pPr>
      <w:r>
        <w:rPr>
          <w:rFonts w:hint="eastAsia" w:hAnsi="宋体" w:cs="宋体"/>
          <w:bCs/>
          <w:szCs w:val="24"/>
          <w:highlight w:val="none"/>
        </w:rPr>
        <w:t>第十八条</w:t>
      </w:r>
      <w:r>
        <w:rPr>
          <w:rFonts w:hint="eastAsia" w:hAnsi="宋体" w:cs="宋体"/>
          <w:szCs w:val="24"/>
          <w:highlight w:val="none"/>
        </w:rPr>
        <w:t xml:space="preserve">  评标委员会通过电子交易系统将需要澄清、说明或补正的内容以询标函的形式发送给投标人，投标人应登录电子交易系统并保持在线状态，以便及时接收评标委员会可能发出的询标函，并在规定时间内回复，若投标人未及时回复，视为放弃澄清、说明或补正。</w:t>
      </w:r>
    </w:p>
    <w:p>
      <w:pPr>
        <w:spacing w:line="360" w:lineRule="auto"/>
        <w:ind w:firstLine="480" w:firstLineChars="200"/>
        <w:rPr>
          <w:rFonts w:hAnsi="宋体" w:cs="宋体"/>
          <w:szCs w:val="24"/>
          <w:highlight w:val="none"/>
        </w:rPr>
      </w:pPr>
      <w:r>
        <w:rPr>
          <w:rFonts w:hint="eastAsia" w:hAnsi="宋体" w:cs="宋体"/>
          <w:bCs/>
          <w:szCs w:val="24"/>
          <w:highlight w:val="none"/>
        </w:rPr>
        <w:t>第十九条</w:t>
      </w:r>
      <w:r>
        <w:rPr>
          <w:rFonts w:hint="eastAsia" w:hAnsi="宋体" w:cs="宋体"/>
          <w:szCs w:val="24"/>
          <w:highlight w:val="none"/>
        </w:rPr>
        <w:t xml:space="preserve">  评标委员会完成评标后，应通过电子交易系统提交评标报告。招标人或招标代理机构将评标报告及时交互至电子服务系统。</w:t>
      </w:r>
    </w:p>
    <w:p>
      <w:pPr>
        <w:spacing w:line="360" w:lineRule="auto"/>
        <w:ind w:firstLine="480" w:firstLineChars="200"/>
        <w:rPr>
          <w:rFonts w:hAnsi="宋体" w:cs="宋体"/>
          <w:szCs w:val="24"/>
          <w:highlight w:val="none"/>
        </w:rPr>
      </w:pPr>
      <w:r>
        <w:rPr>
          <w:rFonts w:hint="eastAsia" w:hAnsi="宋体" w:cs="宋体"/>
          <w:bCs/>
          <w:szCs w:val="24"/>
          <w:highlight w:val="none"/>
        </w:rPr>
        <w:t>第二十条</w:t>
      </w:r>
      <w:r>
        <w:rPr>
          <w:rFonts w:hint="eastAsia" w:hAnsi="宋体" w:cs="宋体"/>
          <w:szCs w:val="24"/>
          <w:highlight w:val="none"/>
        </w:rPr>
        <w:t xml:space="preserve">  招标人或招标代理机构应通过电子服务系统在安徽合肥公共资源交易中心网站公示和公布中标候选人及中标结果。</w:t>
      </w:r>
    </w:p>
    <w:p>
      <w:pPr>
        <w:spacing w:line="360" w:lineRule="auto"/>
        <w:ind w:firstLine="480" w:firstLineChars="200"/>
        <w:rPr>
          <w:rFonts w:hAnsi="宋体" w:cs="宋体"/>
          <w:szCs w:val="24"/>
          <w:highlight w:val="none"/>
        </w:rPr>
      </w:pPr>
      <w:r>
        <w:rPr>
          <w:rFonts w:hint="eastAsia" w:hAnsi="宋体" w:cs="宋体"/>
          <w:bCs/>
          <w:szCs w:val="24"/>
          <w:highlight w:val="none"/>
        </w:rPr>
        <w:t>第二十一条</w:t>
      </w:r>
      <w:r>
        <w:rPr>
          <w:rFonts w:hint="eastAsia" w:hAnsi="宋体" w:cs="宋体"/>
          <w:szCs w:val="24"/>
          <w:highlight w:val="none"/>
        </w:rPr>
        <w:t xml:space="preserve">  投标人如对招标投标活动有异议（质疑），在规定时限内，可以通过电子交易系统在线提交异议（质疑）材料。投标人对招标人、招标代理机构异议（质疑）答复不满意或者招标人、招标代理机构未在规定时间内作出答复的，可以在规定时间内在线向行政监督部门提出投诉。</w:t>
      </w:r>
    </w:p>
    <w:p>
      <w:pPr>
        <w:spacing w:line="360" w:lineRule="auto"/>
        <w:ind w:firstLine="480" w:firstLineChars="200"/>
        <w:rPr>
          <w:rFonts w:hAnsi="宋体" w:cs="宋体"/>
          <w:szCs w:val="24"/>
          <w:highlight w:val="none"/>
        </w:rPr>
      </w:pPr>
      <w:r>
        <w:rPr>
          <w:rFonts w:hint="eastAsia" w:hAnsi="宋体" w:cs="宋体"/>
          <w:bCs/>
          <w:szCs w:val="24"/>
          <w:highlight w:val="none"/>
        </w:rPr>
        <w:t>第二十二条</w:t>
      </w:r>
      <w:r>
        <w:rPr>
          <w:rFonts w:hint="eastAsia" w:hAnsi="宋体" w:cs="宋体"/>
          <w:szCs w:val="24"/>
          <w:highlight w:val="none"/>
        </w:rPr>
        <w:t>招标人确定中标人后，应通过电子交易系统向中标人发出中标通知书，中标通知书发出即视为送达。</w:t>
      </w:r>
    </w:p>
    <w:p>
      <w:pPr>
        <w:spacing w:line="360" w:lineRule="auto"/>
        <w:ind w:firstLine="480" w:firstLineChars="200"/>
        <w:rPr>
          <w:rFonts w:hAnsi="宋体" w:cs="宋体"/>
          <w:szCs w:val="24"/>
          <w:highlight w:val="none"/>
        </w:rPr>
      </w:pPr>
      <w:r>
        <w:rPr>
          <w:rFonts w:hint="eastAsia" w:hAnsi="宋体" w:cs="宋体"/>
          <w:bCs/>
          <w:szCs w:val="24"/>
          <w:highlight w:val="none"/>
        </w:rPr>
        <w:t>第二十三条</w:t>
      </w:r>
      <w:r>
        <w:rPr>
          <w:rFonts w:hint="eastAsia" w:hAnsi="宋体" w:cs="宋体"/>
          <w:szCs w:val="24"/>
          <w:highlight w:val="none"/>
        </w:rPr>
        <w:t xml:space="preserve">  出现下列情形导致电子服务系统或电子交易系统无法正常运行，影响招标投标过程的公平、公正和信息安全，经第三方机构认定后，各方当事人免责：</w:t>
      </w:r>
    </w:p>
    <w:p>
      <w:pPr>
        <w:spacing w:line="360" w:lineRule="auto"/>
        <w:ind w:firstLine="480" w:firstLineChars="200"/>
        <w:rPr>
          <w:rFonts w:hAnsi="宋体" w:cs="宋体"/>
          <w:szCs w:val="24"/>
          <w:highlight w:val="none"/>
        </w:rPr>
      </w:pPr>
      <w:r>
        <w:rPr>
          <w:rFonts w:hint="eastAsia" w:hAnsi="宋体" w:cs="宋体"/>
          <w:szCs w:val="24"/>
          <w:highlight w:val="none"/>
        </w:rPr>
        <w:t>（一）网络、服务器、数据库发生故障造成无法访问或使用的；</w:t>
      </w:r>
    </w:p>
    <w:p>
      <w:pPr>
        <w:spacing w:line="360" w:lineRule="auto"/>
        <w:ind w:firstLine="480" w:firstLineChars="200"/>
        <w:rPr>
          <w:rFonts w:hAnsi="宋体" w:cs="宋体"/>
          <w:szCs w:val="24"/>
          <w:highlight w:val="none"/>
        </w:rPr>
      </w:pPr>
      <w:r>
        <w:rPr>
          <w:rFonts w:hint="eastAsia" w:hAnsi="宋体" w:cs="宋体"/>
          <w:szCs w:val="24"/>
          <w:highlight w:val="none"/>
        </w:rPr>
        <w:t>（二）电力系统发生故障导致电子服务系统或电子交易系统无法运行的；</w:t>
      </w:r>
    </w:p>
    <w:p>
      <w:pPr>
        <w:spacing w:line="360" w:lineRule="auto"/>
        <w:ind w:firstLine="480" w:firstLineChars="200"/>
        <w:rPr>
          <w:rFonts w:hAnsi="宋体" w:cs="宋体"/>
          <w:szCs w:val="24"/>
          <w:highlight w:val="none"/>
        </w:rPr>
      </w:pPr>
      <w:r>
        <w:rPr>
          <w:rFonts w:hint="eastAsia" w:hAnsi="宋体" w:cs="宋体"/>
          <w:szCs w:val="24"/>
          <w:highlight w:val="none"/>
        </w:rPr>
        <w:t>（三）出现网络攻击、病毒入侵以及电子服务系统或电子交易系统安全漏洞导致无法正常提供服务的；</w:t>
      </w:r>
    </w:p>
    <w:p>
      <w:pPr>
        <w:spacing w:line="360" w:lineRule="auto"/>
        <w:ind w:firstLine="480" w:firstLineChars="200"/>
        <w:rPr>
          <w:rFonts w:hAnsi="宋体" w:cs="宋体"/>
          <w:szCs w:val="24"/>
          <w:highlight w:val="none"/>
        </w:rPr>
      </w:pPr>
      <w:r>
        <w:rPr>
          <w:rFonts w:hint="eastAsia" w:hAnsi="宋体" w:cs="宋体"/>
          <w:szCs w:val="24"/>
          <w:highlight w:val="none"/>
        </w:rPr>
        <w:t>（四）其他无法保证招标投标过程公平、公正和信息安全的情形。</w:t>
      </w:r>
    </w:p>
    <w:p>
      <w:pPr>
        <w:spacing w:line="360" w:lineRule="auto"/>
        <w:ind w:firstLine="480" w:firstLineChars="200"/>
        <w:rPr>
          <w:rFonts w:hAnsi="宋体" w:cs="宋体"/>
          <w:szCs w:val="24"/>
          <w:highlight w:val="none"/>
        </w:rPr>
      </w:pPr>
      <w:r>
        <w:rPr>
          <w:rFonts w:hint="eastAsia" w:hAnsi="宋体" w:cs="宋体"/>
          <w:bCs/>
          <w:szCs w:val="24"/>
          <w:highlight w:val="none"/>
        </w:rPr>
        <w:t>第二十四条</w:t>
      </w:r>
      <w:r>
        <w:rPr>
          <w:rFonts w:hint="eastAsia" w:hAnsi="宋体" w:cs="宋体"/>
          <w:szCs w:val="24"/>
          <w:highlight w:val="none"/>
        </w:rPr>
        <w:t xml:space="preserve">  出现上述情形，系统建设方应及时组织相关方查明原因，排除故障。若能保证在开标前恢复系统运行的，招投标程序继续进行；若导致开评标程序无法按时开展，但能在原开标时间后1小时内恢复系统运行的，招投标程序继续进行；若导致开评标程序无法按时开展，在原开标时间后1小时内无法恢复系统运行的，按以下程序操作：</w:t>
      </w:r>
    </w:p>
    <w:p>
      <w:pPr>
        <w:spacing w:line="360" w:lineRule="auto"/>
        <w:ind w:firstLine="480" w:firstLineChars="200"/>
        <w:rPr>
          <w:rFonts w:hAnsi="宋体" w:cs="宋体"/>
          <w:szCs w:val="24"/>
          <w:highlight w:val="none"/>
        </w:rPr>
      </w:pPr>
      <w:r>
        <w:rPr>
          <w:rFonts w:hint="eastAsia" w:hAnsi="宋体" w:cs="宋体"/>
          <w:szCs w:val="24"/>
          <w:highlight w:val="none"/>
        </w:rPr>
        <w:t>（一）项目中止，中止期限由招标人或招标代理机构根据项目具体情况确定。中止期限届满后中止情形尚未消除的，招标人或招标代理机构可以根据实际情况决定延长中止期限。决定延长中止期限的，应向投标人发出延长中止期限通知，并在安徽合肥公共资源交易中心网站进行公布。</w:t>
      </w:r>
    </w:p>
    <w:p>
      <w:pPr>
        <w:spacing w:line="360" w:lineRule="auto"/>
        <w:ind w:firstLine="480" w:firstLineChars="200"/>
        <w:rPr>
          <w:rFonts w:hAnsi="宋体" w:cs="宋体"/>
          <w:szCs w:val="24"/>
          <w:highlight w:val="none"/>
        </w:rPr>
      </w:pPr>
      <w:r>
        <w:rPr>
          <w:rFonts w:hint="eastAsia" w:hAnsi="宋体" w:cs="宋体"/>
          <w:szCs w:val="24"/>
          <w:highlight w:val="none"/>
        </w:rPr>
        <w:t>（二）项目恢复，导致项目中止的情形消除后，招标人或招标代理机构应当尽快恢复招投标程序，向投标人发出恢复交易通知，并在安徽合肥公共资源交易中心网站进行公布；已发出延长中止期限通知的，按通知执行。</w:t>
      </w:r>
    </w:p>
    <w:p>
      <w:pPr>
        <w:spacing w:line="360" w:lineRule="auto"/>
        <w:ind w:firstLine="480" w:firstLineChars="200"/>
        <w:rPr>
          <w:rFonts w:hAnsi="宋体" w:cs="宋体"/>
          <w:szCs w:val="24"/>
          <w:highlight w:val="none"/>
        </w:rPr>
      </w:pPr>
      <w:r>
        <w:rPr>
          <w:rFonts w:hint="eastAsia" w:hAnsi="宋体" w:cs="宋体"/>
          <w:bCs/>
          <w:szCs w:val="24"/>
          <w:highlight w:val="none"/>
        </w:rPr>
        <w:t>第二十五条</w:t>
      </w:r>
      <w:r>
        <w:rPr>
          <w:rFonts w:hint="eastAsia" w:hAnsi="宋体" w:cs="宋体"/>
          <w:szCs w:val="24"/>
          <w:highlight w:val="none"/>
        </w:rPr>
        <w:t xml:space="preserve">  在招标文件规定的解密时间内出现第二十三条规定的意外情形时，如部分投标人未完成投标文件解密的，系统恢复后，允许投标人继续解密，解密时限重新计时；在规定的解密时间外出现上述情况的，系统恢复后，除原已解密文件无法恢复外，将不再允许未解密的投标人进行解密。</w:t>
      </w:r>
    </w:p>
    <w:p>
      <w:pPr>
        <w:spacing w:line="360" w:lineRule="auto"/>
        <w:ind w:firstLine="480" w:firstLineChars="200"/>
        <w:rPr>
          <w:rFonts w:hAnsi="宋体" w:cs="宋体"/>
          <w:szCs w:val="24"/>
          <w:highlight w:val="none"/>
        </w:rPr>
      </w:pPr>
      <w:r>
        <w:rPr>
          <w:rFonts w:hint="eastAsia" w:hAnsi="宋体" w:cs="宋体"/>
          <w:bCs/>
          <w:szCs w:val="24"/>
          <w:highlight w:val="none"/>
        </w:rPr>
        <w:t>第二十六条</w:t>
      </w:r>
      <w:r>
        <w:rPr>
          <w:rFonts w:hint="eastAsia" w:hAnsi="宋体" w:cs="宋体"/>
          <w:szCs w:val="24"/>
          <w:highlight w:val="none"/>
        </w:rPr>
        <w:t xml:space="preserve">  本规程由合肥市公共资源交易监督管理局负责解释。</w:t>
      </w:r>
    </w:p>
    <w:p>
      <w:pPr>
        <w:spacing w:line="360" w:lineRule="auto"/>
        <w:ind w:firstLine="480" w:firstLineChars="200"/>
        <w:rPr>
          <w:rFonts w:hAnsi="宋体" w:cs="宋体"/>
          <w:bCs/>
          <w:szCs w:val="24"/>
          <w:highlight w:val="none"/>
        </w:rPr>
      </w:pPr>
      <w:r>
        <w:rPr>
          <w:rFonts w:hint="eastAsia" w:hAnsi="宋体" w:cs="宋体"/>
          <w:bCs/>
          <w:szCs w:val="24"/>
          <w:highlight w:val="none"/>
        </w:rPr>
        <w:t>第二十七条</w:t>
      </w:r>
      <w:r>
        <w:rPr>
          <w:rFonts w:hint="eastAsia" w:hAnsi="宋体" w:cs="宋体"/>
          <w:szCs w:val="24"/>
          <w:highlight w:val="none"/>
        </w:rPr>
        <w:t xml:space="preserve">  本规程自发布之日起施行，有效期2年。原《合肥市公共资源交易电子招标投标操作规程》（合公法〔2020〕16号）同时废止。</w:t>
      </w:r>
    </w:p>
    <w:p>
      <w:pPr>
        <w:pStyle w:val="3"/>
        <w:spacing w:beforeLines="100" w:afterLines="100" w:line="240" w:lineRule="auto"/>
        <w:jc w:val="center"/>
        <w:rPr>
          <w:b w:val="0"/>
          <w:highlight w:val="none"/>
        </w:rPr>
      </w:pPr>
      <w:r>
        <w:rPr>
          <w:rFonts w:hint="eastAsia"/>
          <w:b w:val="0"/>
          <w:highlight w:val="none"/>
        </w:rPr>
        <w:br w:type="page"/>
      </w:r>
      <w:bookmarkStart w:id="378" w:name="_Toc140069417"/>
      <w:r>
        <w:rPr>
          <w:rFonts w:hint="eastAsia"/>
          <w:b w:val="0"/>
          <w:highlight w:val="none"/>
        </w:rPr>
        <w:t>第三章  评标办法</w:t>
      </w:r>
      <w:bookmarkEnd w:id="378"/>
    </w:p>
    <w:p>
      <w:pPr>
        <w:pStyle w:val="3"/>
        <w:spacing w:beforeLines="100" w:afterLines="100" w:line="240" w:lineRule="auto"/>
        <w:jc w:val="center"/>
        <w:rPr>
          <w:b w:val="0"/>
          <w:highlight w:val="none"/>
        </w:rPr>
      </w:pPr>
      <w:bookmarkStart w:id="379" w:name="_Toc6350"/>
      <w:bookmarkStart w:id="380" w:name="_Toc4951"/>
      <w:bookmarkStart w:id="381" w:name="_Toc140069418"/>
      <w:r>
        <w:rPr>
          <w:rFonts w:hint="eastAsia" w:hAnsi="宋体" w:cs="宋体"/>
          <w:b w:val="0"/>
          <w:highlight w:val="none"/>
        </w:rPr>
        <w:t>综合评估法（一次平均）</w:t>
      </w:r>
      <w:bookmarkEnd w:id="379"/>
      <w:bookmarkEnd w:id="380"/>
      <w:bookmarkEnd w:id="381"/>
    </w:p>
    <w:p>
      <w:pPr>
        <w:spacing w:beforeLines="100" w:afterLines="100"/>
        <w:jc w:val="center"/>
        <w:outlineLvl w:val="1"/>
        <w:rPr>
          <w:rFonts w:ascii="Times New Roman" w:eastAsia="黑体"/>
          <w:sz w:val="32"/>
          <w:szCs w:val="32"/>
          <w:highlight w:val="none"/>
        </w:rPr>
      </w:pPr>
      <w:bookmarkStart w:id="382" w:name="_Toc140069419"/>
      <w:r>
        <w:rPr>
          <w:rFonts w:hint="eastAsia" w:ascii="Times New Roman" w:eastAsia="黑体"/>
          <w:sz w:val="32"/>
          <w:szCs w:val="32"/>
          <w:highlight w:val="none"/>
        </w:rPr>
        <w:t>评标办法前附表</w:t>
      </w:r>
      <w:bookmarkEnd w:id="382"/>
    </w:p>
    <w:tbl>
      <w:tblPr>
        <w:tblStyle w:val="52"/>
        <w:tblW w:w="5043" w:type="pct"/>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6"/>
        <w:gridCol w:w="1393"/>
        <w:gridCol w:w="5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widowControl/>
              <w:spacing w:line="360" w:lineRule="auto"/>
              <w:jc w:val="center"/>
              <w:rPr>
                <w:rFonts w:hAnsi="宋体" w:cs="宋体"/>
                <w:bCs/>
                <w:highlight w:val="none"/>
              </w:rPr>
            </w:pPr>
            <w:r>
              <w:rPr>
                <w:rFonts w:hint="eastAsia" w:ascii="Times New Roman" w:cs="宋体"/>
                <w:bCs/>
                <w:szCs w:val="24"/>
                <w:highlight w:val="none"/>
              </w:rPr>
              <w:t>条款号</w:t>
            </w:r>
          </w:p>
        </w:tc>
        <w:tc>
          <w:tcPr>
            <w:tcW w:w="1393" w:type="dxa"/>
            <w:vAlign w:val="center"/>
          </w:tcPr>
          <w:p>
            <w:pPr>
              <w:widowControl/>
              <w:spacing w:line="360" w:lineRule="auto"/>
              <w:ind w:firstLine="120" w:firstLineChars="50"/>
              <w:jc w:val="center"/>
              <w:rPr>
                <w:rFonts w:hAnsi="宋体" w:cs="宋体"/>
                <w:bCs/>
                <w:highlight w:val="none"/>
              </w:rPr>
            </w:pPr>
            <w:r>
              <w:rPr>
                <w:rFonts w:hint="eastAsia" w:ascii="Times New Roman" w:cs="宋体"/>
                <w:bCs/>
                <w:szCs w:val="24"/>
                <w:highlight w:val="none"/>
              </w:rPr>
              <w:t>评审因素</w:t>
            </w:r>
          </w:p>
        </w:tc>
        <w:tc>
          <w:tcPr>
            <w:tcW w:w="5531" w:type="dxa"/>
            <w:vAlign w:val="center"/>
          </w:tcPr>
          <w:p>
            <w:pPr>
              <w:widowControl/>
              <w:spacing w:line="360" w:lineRule="auto"/>
              <w:ind w:firstLine="120" w:firstLineChars="50"/>
              <w:jc w:val="center"/>
              <w:rPr>
                <w:rFonts w:hAnsi="宋体" w:cs="宋体"/>
                <w:bCs/>
                <w:highlight w:val="none"/>
              </w:rPr>
            </w:pPr>
            <w:r>
              <w:rPr>
                <w:rFonts w:hint="eastAsia" w:ascii="Times New Roman" w:cs="宋体"/>
                <w:bCs/>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widowControl/>
              <w:spacing w:line="360" w:lineRule="auto"/>
              <w:jc w:val="center"/>
              <w:rPr>
                <w:rFonts w:hAnsi="宋体" w:cs="宋体"/>
                <w:bCs/>
                <w:highlight w:val="none"/>
              </w:rPr>
            </w:pPr>
            <w:r>
              <w:rPr>
                <w:rFonts w:hint="eastAsia" w:hAnsi="宋体" w:cs="宋体"/>
                <w:bCs/>
                <w:highlight w:val="none"/>
              </w:rPr>
              <w:t>1.2</w:t>
            </w:r>
          </w:p>
        </w:tc>
        <w:tc>
          <w:tcPr>
            <w:tcW w:w="1393" w:type="dxa"/>
            <w:tcMar>
              <w:left w:w="75" w:type="dxa"/>
            </w:tcMar>
            <w:vAlign w:val="center"/>
          </w:tcPr>
          <w:p>
            <w:pPr>
              <w:widowControl/>
              <w:snapToGrid w:val="0"/>
              <w:spacing w:line="360" w:lineRule="auto"/>
              <w:jc w:val="center"/>
              <w:rPr>
                <w:rFonts w:hAnsi="宋体" w:cs="宋体"/>
                <w:highlight w:val="none"/>
              </w:rPr>
            </w:pPr>
            <w:r>
              <w:rPr>
                <w:rFonts w:hint="eastAsia" w:hAnsi="宋体" w:cs="宋体"/>
                <w:highlight w:val="none"/>
              </w:rPr>
              <w:t>中标候选人排序方法</w:t>
            </w:r>
          </w:p>
        </w:tc>
        <w:tc>
          <w:tcPr>
            <w:tcW w:w="5531" w:type="dxa"/>
            <w:tcMar>
              <w:left w:w="75" w:type="dxa"/>
            </w:tcMar>
            <w:vAlign w:val="center"/>
          </w:tcPr>
          <w:p>
            <w:pPr>
              <w:widowControl/>
              <w:snapToGrid w:val="0"/>
              <w:spacing w:line="360" w:lineRule="auto"/>
              <w:jc w:val="left"/>
              <w:rPr>
                <w:rFonts w:hAnsi="宋体" w:cs="宋体"/>
                <w:highlight w:val="none"/>
                <w:u w:val="single"/>
              </w:rPr>
            </w:pPr>
            <w:r>
              <w:rPr>
                <w:rFonts w:hint="eastAsia" w:hAnsi="宋体" w:cs="宋体"/>
                <w:highlight w:val="none"/>
                <w:u w:val="single"/>
              </w:rPr>
              <w:t>综合得分相等时，评标委员会应按照以下优先顺序确定中标候选人顺序：</w:t>
            </w:r>
          </w:p>
          <w:p>
            <w:pPr>
              <w:widowControl/>
              <w:snapToGrid w:val="0"/>
              <w:spacing w:line="360" w:lineRule="auto"/>
              <w:jc w:val="left"/>
              <w:rPr>
                <w:rFonts w:hAnsi="宋体" w:cs="宋体"/>
                <w:highlight w:val="none"/>
                <w:u w:val="single"/>
              </w:rPr>
            </w:pPr>
            <w:r>
              <w:rPr>
                <w:rFonts w:hint="eastAsia" w:hAnsi="宋体" w:cs="宋体"/>
                <w:highlight w:val="none"/>
                <w:u w:val="single"/>
              </w:rPr>
              <w:t>（1）商务及技术文件得分高的优先；</w:t>
            </w:r>
          </w:p>
          <w:p>
            <w:pPr>
              <w:widowControl/>
              <w:snapToGrid w:val="0"/>
              <w:spacing w:line="360" w:lineRule="auto"/>
              <w:jc w:val="left"/>
              <w:rPr>
                <w:rFonts w:hAnsi="宋体" w:cs="宋体"/>
                <w:highlight w:val="none"/>
                <w:u w:val="single"/>
              </w:rPr>
            </w:pPr>
            <w:r>
              <w:rPr>
                <w:rFonts w:hint="eastAsia" w:hAnsi="宋体" w:cs="宋体"/>
                <w:highlight w:val="none"/>
                <w:u w:val="single"/>
              </w:rPr>
              <w:t>（2）投标报价低的优先；</w:t>
            </w:r>
          </w:p>
          <w:p>
            <w:pPr>
              <w:widowControl/>
              <w:snapToGrid w:val="0"/>
              <w:spacing w:line="360" w:lineRule="auto"/>
              <w:jc w:val="left"/>
              <w:rPr>
                <w:rFonts w:hAnsi="宋体" w:cs="宋体"/>
                <w:highlight w:val="none"/>
              </w:rPr>
            </w:pPr>
            <w:r>
              <w:rPr>
                <w:rFonts w:hint="eastAsia" w:hAnsi="宋体" w:cs="宋体"/>
                <w:highlight w:val="none"/>
                <w:u w:val="single"/>
              </w:rPr>
              <w:t>（3）由评标委员会根据投标文件投票，按少数服从多数的原则确定中标候选人顺序。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widowControl/>
              <w:spacing w:line="360" w:lineRule="auto"/>
              <w:jc w:val="center"/>
              <w:rPr>
                <w:rFonts w:hAnsi="宋体" w:cs="宋体"/>
                <w:bCs/>
                <w:highlight w:val="none"/>
              </w:rPr>
            </w:pPr>
            <w:r>
              <w:rPr>
                <w:rFonts w:hint="eastAsia" w:hAnsi="宋体" w:cs="宋体"/>
                <w:bCs/>
                <w:highlight w:val="none"/>
              </w:rPr>
              <w:t>1.3</w:t>
            </w:r>
          </w:p>
        </w:tc>
        <w:tc>
          <w:tcPr>
            <w:tcW w:w="1393" w:type="dxa"/>
            <w:tcMar>
              <w:left w:w="75" w:type="dxa"/>
            </w:tcMar>
            <w:vAlign w:val="center"/>
          </w:tcPr>
          <w:p>
            <w:pPr>
              <w:widowControl/>
              <w:snapToGrid w:val="0"/>
              <w:spacing w:line="360" w:lineRule="auto"/>
              <w:jc w:val="center"/>
              <w:rPr>
                <w:rFonts w:hAnsi="宋体" w:cs="宋体"/>
                <w:highlight w:val="none"/>
              </w:rPr>
            </w:pPr>
            <w:r>
              <w:rPr>
                <w:rFonts w:hint="eastAsia" w:hAnsi="宋体" w:cs="宋体"/>
                <w:highlight w:val="none"/>
              </w:rPr>
              <w:t>推荐中标候选人先后顺序</w:t>
            </w:r>
          </w:p>
        </w:tc>
        <w:tc>
          <w:tcPr>
            <w:tcW w:w="5531" w:type="dxa"/>
            <w:tcMar>
              <w:left w:w="75" w:type="dxa"/>
            </w:tcMar>
            <w:vAlign w:val="center"/>
          </w:tcPr>
          <w:p>
            <w:pPr>
              <w:widowControl/>
              <w:snapToGrid w:val="0"/>
              <w:spacing w:line="360" w:lineRule="auto"/>
              <w:jc w:val="left"/>
              <w:rPr>
                <w:rFonts w:hAnsi="宋体" w:cs="宋体"/>
                <w:highlight w:val="none"/>
              </w:rPr>
            </w:pPr>
            <w:r>
              <w:rPr>
                <w:rFonts w:hint="eastAsia" w:hAnsi="宋体" w:cs="宋体"/>
                <w:highlight w:val="none"/>
              </w:rPr>
              <w:t>仅适用于多标段项目（本招标项目仅1个标段，本条不适用）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widowControl/>
              <w:spacing w:line="360" w:lineRule="auto"/>
              <w:jc w:val="center"/>
              <w:rPr>
                <w:rFonts w:hAnsi="宋体" w:cs="宋体"/>
                <w:bCs/>
                <w:highlight w:val="none"/>
              </w:rPr>
            </w:pPr>
            <w:r>
              <w:rPr>
                <w:rFonts w:hint="eastAsia" w:hAnsi="宋体" w:cs="宋体"/>
                <w:bCs/>
                <w:highlight w:val="none"/>
              </w:rPr>
              <w:t>1.3</w:t>
            </w:r>
          </w:p>
        </w:tc>
        <w:tc>
          <w:tcPr>
            <w:tcW w:w="1393"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最多可中标段数量</w:t>
            </w:r>
          </w:p>
        </w:tc>
        <w:tc>
          <w:tcPr>
            <w:tcW w:w="5531" w:type="dxa"/>
            <w:tcMar>
              <w:left w:w="75" w:type="dxa"/>
            </w:tcMar>
            <w:vAlign w:val="center"/>
          </w:tcPr>
          <w:p>
            <w:pPr>
              <w:widowControl/>
              <w:spacing w:line="360" w:lineRule="auto"/>
              <w:jc w:val="left"/>
              <w:rPr>
                <w:rFonts w:hAnsi="宋体" w:cs="宋体"/>
                <w:highlight w:val="none"/>
              </w:rPr>
            </w:pPr>
            <w:r>
              <w:rPr>
                <w:rFonts w:hint="eastAsia" w:hAnsi="宋体" w:cs="宋体"/>
                <w:highlight w:val="none"/>
                <w:u w:val="none"/>
              </w:rPr>
              <w:t>仅适用于多标段项目（本招标项目仅1个标段，本条不适用）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keepNext/>
              <w:keepLines/>
              <w:widowControl/>
              <w:spacing w:before="340" w:after="330" w:line="360" w:lineRule="auto"/>
              <w:jc w:val="center"/>
              <w:rPr>
                <w:rFonts w:hAnsi="宋体" w:cs="宋体"/>
                <w:bCs/>
                <w:highlight w:val="none"/>
              </w:rPr>
            </w:pPr>
            <w:r>
              <w:rPr>
                <w:rFonts w:hAnsi="宋体" w:cs="宋体"/>
                <w:szCs w:val="24"/>
                <w:highlight w:val="none"/>
              </w:rPr>
              <w:t>2.1</w:t>
            </w:r>
          </w:p>
        </w:tc>
        <w:tc>
          <w:tcPr>
            <w:tcW w:w="1393" w:type="dxa"/>
            <w:tcMar>
              <w:left w:w="75" w:type="dxa"/>
            </w:tcMar>
            <w:vAlign w:val="center"/>
          </w:tcPr>
          <w:p>
            <w:pPr>
              <w:widowControl/>
              <w:spacing w:line="360" w:lineRule="auto"/>
              <w:jc w:val="center"/>
              <w:rPr>
                <w:rFonts w:hAnsi="宋体" w:cs="宋体"/>
                <w:highlight w:val="none"/>
              </w:rPr>
            </w:pPr>
            <w:r>
              <w:rPr>
                <w:rFonts w:hAnsi="宋体" w:cs="宋体"/>
                <w:szCs w:val="24"/>
                <w:highlight w:val="none"/>
              </w:rPr>
              <w:t>初步评审标准</w:t>
            </w:r>
          </w:p>
        </w:tc>
        <w:tc>
          <w:tcPr>
            <w:tcW w:w="5531" w:type="dxa"/>
            <w:tcMar>
              <w:left w:w="75" w:type="dxa"/>
            </w:tcMar>
            <w:vAlign w:val="center"/>
          </w:tcPr>
          <w:p>
            <w:pPr>
              <w:widowControl/>
              <w:spacing w:line="360" w:lineRule="auto"/>
              <w:jc w:val="left"/>
              <w:rPr>
                <w:rFonts w:hAnsi="宋体" w:cs="宋体"/>
                <w:highlight w:val="none"/>
                <w:u w:val="single"/>
              </w:rPr>
            </w:pPr>
            <w:r>
              <w:rPr>
                <w:rFonts w:hAnsi="宋体" w:cs="宋体"/>
                <w:szCs w:val="24"/>
                <w:highlight w:val="none"/>
              </w:rPr>
              <w:t>见</w:t>
            </w:r>
            <w:r>
              <w:rPr>
                <w:rFonts w:hint="eastAsia" w:hAnsi="宋体" w:cs="宋体"/>
                <w:szCs w:val="24"/>
                <w:highlight w:val="none"/>
              </w:rPr>
              <w:t>“商务及技术文件初步评审标准”表、“报价文件初步评审标准”表。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snapToGrid w:val="0"/>
              <w:spacing w:line="360" w:lineRule="auto"/>
              <w:jc w:val="center"/>
              <w:rPr>
                <w:rFonts w:hAnsi="宋体" w:cs="宋体"/>
                <w:bCs/>
                <w:highlight w:val="none"/>
              </w:rPr>
            </w:pPr>
            <w:r>
              <w:rPr>
                <w:rFonts w:hint="eastAsia" w:hAnsi="宋体" w:cs="宋体"/>
                <w:bCs/>
                <w:highlight w:val="none"/>
              </w:rPr>
              <w:t>2.2.1</w:t>
            </w:r>
          </w:p>
        </w:tc>
        <w:tc>
          <w:tcPr>
            <w:tcW w:w="1393" w:type="dxa"/>
            <w:tcMar>
              <w:left w:w="75" w:type="dxa"/>
            </w:tcMar>
            <w:vAlign w:val="center"/>
          </w:tcPr>
          <w:p>
            <w:pPr>
              <w:spacing w:line="360" w:lineRule="auto"/>
              <w:jc w:val="center"/>
              <w:rPr>
                <w:rFonts w:hAnsi="宋体" w:cs="宋体"/>
                <w:highlight w:val="none"/>
              </w:rPr>
            </w:pPr>
            <w:r>
              <w:rPr>
                <w:rFonts w:hint="eastAsia" w:hAnsi="宋体" w:cs="宋体"/>
                <w:highlight w:val="none"/>
              </w:rPr>
              <w:t>分值构成</w:t>
            </w:r>
          </w:p>
          <w:p>
            <w:pPr>
              <w:spacing w:line="360" w:lineRule="auto"/>
              <w:jc w:val="center"/>
              <w:rPr>
                <w:rFonts w:hAnsi="宋体" w:cs="宋体"/>
                <w:highlight w:val="none"/>
              </w:rPr>
            </w:pPr>
            <w:r>
              <w:rPr>
                <w:rFonts w:hint="eastAsia" w:hAnsi="宋体" w:cs="宋体"/>
                <w:highlight w:val="none"/>
              </w:rPr>
              <w:t>（</w:t>
            </w:r>
            <w:r>
              <w:rPr>
                <w:rFonts w:hint="eastAsia" w:hAnsi="宋体" w:cs="宋体"/>
                <w:highlight w:val="none"/>
                <w:u w:val="single"/>
              </w:rPr>
              <w:t xml:space="preserve">100 </w:t>
            </w:r>
            <w:r>
              <w:rPr>
                <w:rFonts w:hint="eastAsia" w:hAnsi="宋体" w:cs="宋体"/>
                <w:highlight w:val="none"/>
              </w:rPr>
              <w:t>分）</w:t>
            </w:r>
          </w:p>
        </w:tc>
        <w:tc>
          <w:tcPr>
            <w:tcW w:w="5531" w:type="dxa"/>
            <w:tcMar>
              <w:left w:w="75" w:type="dxa"/>
            </w:tcMar>
            <w:vAlign w:val="center"/>
          </w:tcPr>
          <w:p>
            <w:pPr>
              <w:spacing w:line="360" w:lineRule="auto"/>
              <w:ind w:firstLine="120" w:firstLineChars="50"/>
              <w:rPr>
                <w:rFonts w:hAnsi="宋体" w:cs="宋体"/>
                <w:szCs w:val="24"/>
                <w:highlight w:val="none"/>
              </w:rPr>
            </w:pPr>
            <w:r>
              <w:rPr>
                <w:rFonts w:hint="eastAsia" w:hAnsi="宋体" w:cs="宋体"/>
                <w:szCs w:val="24"/>
                <w:highlight w:val="none"/>
              </w:rPr>
              <w:t>技术文件：</w:t>
            </w:r>
            <w:r>
              <w:rPr>
                <w:rFonts w:hint="eastAsia" w:hAnsi="宋体" w:cs="宋体"/>
                <w:szCs w:val="24"/>
                <w:highlight w:val="none"/>
                <w:u w:val="single"/>
              </w:rPr>
              <w:t xml:space="preserve"> 2</w:t>
            </w:r>
            <w:r>
              <w:rPr>
                <w:rFonts w:hint="eastAsia" w:hAnsi="宋体" w:cs="宋体"/>
                <w:szCs w:val="24"/>
                <w:highlight w:val="none"/>
                <w:u w:val="single"/>
                <w:lang w:val="en-US" w:eastAsia="zh-CN"/>
              </w:rPr>
              <w:t>1</w:t>
            </w:r>
            <w:r>
              <w:rPr>
                <w:rFonts w:hint="eastAsia" w:hAnsi="宋体" w:cs="宋体"/>
                <w:szCs w:val="24"/>
                <w:highlight w:val="none"/>
                <w:u w:val="single"/>
              </w:rPr>
              <w:t xml:space="preserve"> </w:t>
            </w:r>
            <w:r>
              <w:rPr>
                <w:rFonts w:hint="eastAsia" w:hAnsi="宋体" w:cs="宋体"/>
                <w:szCs w:val="24"/>
                <w:highlight w:val="none"/>
              </w:rPr>
              <w:t>分</w:t>
            </w:r>
          </w:p>
          <w:p>
            <w:pPr>
              <w:spacing w:line="360" w:lineRule="auto"/>
              <w:ind w:firstLine="120" w:firstLineChars="50"/>
              <w:rPr>
                <w:rFonts w:hAnsi="宋体" w:cs="宋体"/>
                <w:szCs w:val="24"/>
                <w:highlight w:val="none"/>
              </w:rPr>
            </w:pPr>
            <w:r>
              <w:rPr>
                <w:rFonts w:hint="eastAsia" w:hAnsi="宋体" w:cs="宋体"/>
                <w:szCs w:val="24"/>
                <w:highlight w:val="none"/>
              </w:rPr>
              <w:t>商务文件：</w:t>
            </w:r>
            <w:r>
              <w:rPr>
                <w:rFonts w:hint="eastAsia" w:hAnsi="宋体" w:cs="宋体"/>
                <w:szCs w:val="24"/>
                <w:highlight w:val="none"/>
                <w:u w:val="single"/>
              </w:rPr>
              <w:t xml:space="preserve"> 4</w:t>
            </w:r>
            <w:r>
              <w:rPr>
                <w:rFonts w:hint="eastAsia" w:hAnsi="宋体" w:cs="宋体"/>
                <w:szCs w:val="24"/>
                <w:highlight w:val="none"/>
                <w:u w:val="single"/>
                <w:lang w:val="en-US" w:eastAsia="zh-CN"/>
              </w:rPr>
              <w:t>9</w:t>
            </w:r>
            <w:r>
              <w:rPr>
                <w:rFonts w:hint="eastAsia" w:hAnsi="宋体" w:cs="宋体"/>
                <w:szCs w:val="24"/>
                <w:highlight w:val="none"/>
                <w:u w:val="single"/>
              </w:rPr>
              <w:t xml:space="preserve"> </w:t>
            </w:r>
            <w:r>
              <w:rPr>
                <w:rFonts w:hint="eastAsia" w:hAnsi="宋体" w:cs="宋体"/>
                <w:szCs w:val="24"/>
                <w:highlight w:val="none"/>
              </w:rPr>
              <w:t>分</w:t>
            </w:r>
          </w:p>
          <w:p>
            <w:pPr>
              <w:spacing w:line="360" w:lineRule="auto"/>
              <w:ind w:firstLine="120" w:firstLineChars="50"/>
              <w:rPr>
                <w:rFonts w:hAnsi="宋体" w:cs="宋体"/>
                <w:highlight w:val="none"/>
              </w:rPr>
            </w:pPr>
            <w:r>
              <w:rPr>
                <w:rFonts w:hint="eastAsia" w:hAnsi="宋体" w:cs="宋体"/>
                <w:szCs w:val="24"/>
                <w:highlight w:val="none"/>
              </w:rPr>
              <w:t>报价文件：</w:t>
            </w:r>
            <w:r>
              <w:rPr>
                <w:rFonts w:hint="eastAsia" w:hAnsi="宋体" w:cs="宋体"/>
                <w:szCs w:val="24"/>
                <w:highlight w:val="none"/>
                <w:u w:val="single"/>
              </w:rPr>
              <w:t xml:space="preserve"> 30 </w:t>
            </w:r>
            <w:r>
              <w:rPr>
                <w:rFonts w:hint="eastAsia" w:hAnsi="宋体" w:cs="宋体"/>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keepNext/>
              <w:keepLines/>
              <w:widowControl/>
              <w:spacing w:before="340" w:after="330" w:line="360" w:lineRule="auto"/>
              <w:jc w:val="center"/>
              <w:rPr>
                <w:rFonts w:hAnsi="宋体" w:cs="宋体"/>
                <w:bCs/>
                <w:highlight w:val="none"/>
              </w:rPr>
            </w:pPr>
            <w:r>
              <w:rPr>
                <w:rFonts w:hAnsi="宋体" w:cs="宋体"/>
                <w:szCs w:val="24"/>
                <w:highlight w:val="none"/>
              </w:rPr>
              <w:t>2.2</w:t>
            </w:r>
            <w:r>
              <w:rPr>
                <w:rFonts w:hint="eastAsia" w:hAnsi="宋体" w:cs="宋体"/>
                <w:szCs w:val="24"/>
                <w:highlight w:val="none"/>
              </w:rPr>
              <w:t>.2</w:t>
            </w:r>
          </w:p>
        </w:tc>
        <w:tc>
          <w:tcPr>
            <w:tcW w:w="1393" w:type="dxa"/>
            <w:tcMar>
              <w:left w:w="75" w:type="dxa"/>
            </w:tcMar>
            <w:vAlign w:val="center"/>
          </w:tcPr>
          <w:p>
            <w:pPr>
              <w:widowControl/>
              <w:spacing w:line="360" w:lineRule="auto"/>
              <w:jc w:val="center"/>
              <w:rPr>
                <w:rFonts w:hAnsi="宋体" w:cs="宋体"/>
                <w:highlight w:val="none"/>
              </w:rPr>
            </w:pPr>
            <w:r>
              <w:rPr>
                <w:rFonts w:hint="eastAsia" w:hAnsi="宋体" w:cs="宋体"/>
                <w:szCs w:val="24"/>
                <w:highlight w:val="none"/>
              </w:rPr>
              <w:t>评分</w:t>
            </w:r>
            <w:r>
              <w:rPr>
                <w:rFonts w:hAnsi="宋体" w:cs="宋体"/>
                <w:szCs w:val="24"/>
                <w:highlight w:val="none"/>
              </w:rPr>
              <w:t>标准</w:t>
            </w:r>
          </w:p>
        </w:tc>
        <w:tc>
          <w:tcPr>
            <w:tcW w:w="5531" w:type="dxa"/>
            <w:tcMar>
              <w:left w:w="75" w:type="dxa"/>
            </w:tcMar>
            <w:vAlign w:val="center"/>
          </w:tcPr>
          <w:p>
            <w:pPr>
              <w:widowControl/>
              <w:spacing w:line="360" w:lineRule="auto"/>
              <w:jc w:val="left"/>
              <w:rPr>
                <w:rFonts w:hAnsi="宋体" w:cs="宋体"/>
                <w:highlight w:val="none"/>
                <w:u w:val="single"/>
              </w:rPr>
            </w:pPr>
            <w:r>
              <w:rPr>
                <w:rFonts w:hAnsi="宋体" w:cs="宋体"/>
                <w:szCs w:val="24"/>
                <w:highlight w:val="none"/>
              </w:rPr>
              <w:t>见</w:t>
            </w:r>
            <w:r>
              <w:rPr>
                <w:rFonts w:hint="eastAsia" w:hAnsi="宋体" w:cs="宋体"/>
                <w:szCs w:val="24"/>
                <w:highlight w:val="none"/>
              </w:rPr>
              <w:t>“商务、技术及报价文件详细评审标准”表。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snapToGrid w:val="0"/>
              <w:spacing w:line="360" w:lineRule="auto"/>
              <w:jc w:val="center"/>
              <w:rPr>
                <w:rFonts w:hAnsi="宋体" w:cs="宋体"/>
                <w:bCs/>
                <w:highlight w:val="none"/>
              </w:rPr>
            </w:pPr>
            <w:r>
              <w:rPr>
                <w:rFonts w:hint="eastAsia" w:hAnsi="宋体" w:cs="宋体"/>
                <w:bCs/>
                <w:highlight w:val="none"/>
              </w:rPr>
              <w:t>3.2.2（1）</w:t>
            </w:r>
          </w:p>
        </w:tc>
        <w:tc>
          <w:tcPr>
            <w:tcW w:w="1393" w:type="dxa"/>
            <w:tcMar>
              <w:left w:w="75" w:type="dxa"/>
            </w:tcMar>
            <w:vAlign w:val="center"/>
          </w:tcPr>
          <w:p>
            <w:pPr>
              <w:snapToGrid w:val="0"/>
              <w:spacing w:line="360" w:lineRule="auto"/>
              <w:jc w:val="center"/>
              <w:rPr>
                <w:rFonts w:hAnsi="宋体" w:cs="宋体"/>
                <w:highlight w:val="none"/>
              </w:rPr>
            </w:pPr>
            <w:r>
              <w:rPr>
                <w:rFonts w:hint="eastAsia" w:hAnsi="宋体" w:cs="宋体"/>
                <w:highlight w:val="none"/>
              </w:rPr>
              <w:t>技术文件详细评审得分计算规则</w:t>
            </w:r>
          </w:p>
        </w:tc>
        <w:tc>
          <w:tcPr>
            <w:tcW w:w="5531" w:type="dxa"/>
            <w:tcMar>
              <w:left w:w="75" w:type="dxa"/>
            </w:tcMar>
            <w:vAlign w:val="center"/>
          </w:tcPr>
          <w:p>
            <w:pPr>
              <w:widowControl/>
              <w:snapToGrid w:val="0"/>
              <w:spacing w:line="360" w:lineRule="auto"/>
              <w:jc w:val="left"/>
              <w:rPr>
                <w:rFonts w:hAnsi="宋体" w:cs="宋体"/>
                <w:highlight w:val="none"/>
              </w:rPr>
            </w:pPr>
            <w:r>
              <w:rPr>
                <w:rFonts w:hint="eastAsia" w:hAnsi="宋体" w:cs="宋体"/>
                <w:highlight w:val="none"/>
              </w:rPr>
              <w:t>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snapToGrid w:val="0"/>
              <w:spacing w:line="360" w:lineRule="auto"/>
              <w:jc w:val="center"/>
              <w:rPr>
                <w:rFonts w:hAnsi="宋体" w:cs="宋体"/>
                <w:bCs/>
                <w:highlight w:val="none"/>
              </w:rPr>
            </w:pPr>
            <w:r>
              <w:rPr>
                <w:rFonts w:hint="eastAsia" w:hAnsi="宋体" w:cs="宋体"/>
                <w:bCs/>
                <w:highlight w:val="none"/>
              </w:rPr>
              <w:t>3.7.2</w:t>
            </w:r>
          </w:p>
        </w:tc>
        <w:tc>
          <w:tcPr>
            <w:tcW w:w="1393" w:type="dxa"/>
            <w:tcMar>
              <w:left w:w="75" w:type="dxa"/>
            </w:tcMar>
            <w:vAlign w:val="center"/>
          </w:tcPr>
          <w:p>
            <w:pPr>
              <w:snapToGrid w:val="0"/>
              <w:spacing w:line="360" w:lineRule="auto"/>
              <w:jc w:val="center"/>
              <w:rPr>
                <w:rFonts w:hAnsi="宋体" w:cs="宋体"/>
                <w:highlight w:val="none"/>
              </w:rPr>
            </w:pPr>
            <w:r>
              <w:rPr>
                <w:rFonts w:hint="eastAsia" w:hAnsi="宋体" w:cs="宋体"/>
                <w:highlight w:val="none"/>
              </w:rPr>
              <w:t>否决投标的其他情形</w:t>
            </w:r>
          </w:p>
        </w:tc>
        <w:tc>
          <w:tcPr>
            <w:tcW w:w="5531" w:type="dxa"/>
            <w:tcMar>
              <w:left w:w="75" w:type="dxa"/>
            </w:tcMar>
            <w:vAlign w:val="center"/>
          </w:tcPr>
          <w:p>
            <w:pPr>
              <w:widowControl/>
              <w:snapToGrid w:val="0"/>
              <w:spacing w:line="360" w:lineRule="auto"/>
              <w:jc w:val="left"/>
              <w:rPr>
                <w:rFonts w:hAnsi="宋体" w:cs="宋体"/>
                <w:highlight w:val="none"/>
              </w:rPr>
            </w:pPr>
            <w:r>
              <w:rPr>
                <w:rFonts w:hint="eastAsia" w:hAnsi="宋体" w:cs="宋体"/>
                <w:highlight w:val="none"/>
              </w:rPr>
              <w:t>见附件2。</w:t>
            </w:r>
          </w:p>
        </w:tc>
      </w:tr>
    </w:tbl>
    <w:p>
      <w:pPr>
        <w:spacing w:beforeLines="100" w:afterLines="100"/>
        <w:jc w:val="center"/>
        <w:outlineLvl w:val="1"/>
        <w:rPr>
          <w:rFonts w:ascii="Times New Roman" w:eastAsia="黑体"/>
          <w:sz w:val="32"/>
          <w:szCs w:val="32"/>
          <w:highlight w:val="none"/>
        </w:rPr>
      </w:pPr>
      <w:r>
        <w:rPr>
          <w:rFonts w:hint="eastAsia" w:ascii="Times New Roman" w:eastAsia="黑体"/>
          <w:sz w:val="32"/>
          <w:szCs w:val="32"/>
          <w:highlight w:val="none"/>
        </w:rPr>
        <w:br w:type="page"/>
      </w:r>
      <w:bookmarkStart w:id="383" w:name="_Toc140069420"/>
      <w:bookmarkStart w:id="384" w:name="_Toc8614"/>
      <w:r>
        <w:rPr>
          <w:rFonts w:hint="eastAsia" w:eastAsia="黑体" w:cs="宋体"/>
          <w:sz w:val="32"/>
          <w:szCs w:val="32"/>
          <w:highlight w:val="none"/>
        </w:rPr>
        <w:t>商务及技术文件初步评审标准</w:t>
      </w:r>
      <w:bookmarkEnd w:id="383"/>
      <w:bookmarkEnd w:id="384"/>
    </w:p>
    <w:tbl>
      <w:tblPr>
        <w:tblStyle w:val="52"/>
        <w:tblW w:w="5031" w:type="pct"/>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5"/>
        <w:gridCol w:w="808"/>
        <w:gridCol w:w="1389"/>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2" w:type="dxa"/>
            <w:gridSpan w:val="2"/>
            <w:vAlign w:val="center"/>
          </w:tcPr>
          <w:p>
            <w:pPr>
              <w:widowControl/>
              <w:spacing w:line="360" w:lineRule="auto"/>
              <w:jc w:val="center"/>
              <w:rPr>
                <w:rFonts w:hAnsi="宋体" w:cs="宋体"/>
                <w:bCs/>
                <w:highlight w:val="none"/>
              </w:rPr>
            </w:pPr>
            <w:r>
              <w:rPr>
                <w:rFonts w:hint="eastAsia" w:hAnsi="宋体" w:cs="宋体"/>
                <w:bCs/>
                <w:highlight w:val="none"/>
              </w:rPr>
              <w:t>条款号</w:t>
            </w:r>
          </w:p>
        </w:tc>
        <w:tc>
          <w:tcPr>
            <w:tcW w:w="1389" w:type="dxa"/>
            <w:vAlign w:val="center"/>
          </w:tcPr>
          <w:p>
            <w:pPr>
              <w:widowControl/>
              <w:spacing w:line="360" w:lineRule="auto"/>
              <w:ind w:firstLine="120" w:firstLineChars="50"/>
              <w:jc w:val="center"/>
              <w:rPr>
                <w:rFonts w:hAnsi="宋体" w:cs="宋体"/>
                <w:bCs/>
                <w:highlight w:val="none"/>
              </w:rPr>
            </w:pPr>
            <w:r>
              <w:rPr>
                <w:rFonts w:hint="eastAsia" w:hAnsi="宋体" w:cs="宋体"/>
                <w:bCs/>
                <w:highlight w:val="none"/>
              </w:rPr>
              <w:t>评审因素</w:t>
            </w:r>
          </w:p>
        </w:tc>
        <w:tc>
          <w:tcPr>
            <w:tcW w:w="5518" w:type="dxa"/>
            <w:vAlign w:val="center"/>
          </w:tcPr>
          <w:p>
            <w:pPr>
              <w:widowControl/>
              <w:spacing w:line="360" w:lineRule="auto"/>
              <w:ind w:firstLine="120" w:firstLineChars="50"/>
              <w:jc w:val="center"/>
              <w:rPr>
                <w:rFonts w:hAnsi="宋体" w:cs="宋体"/>
                <w:bCs/>
                <w:highlight w:val="none"/>
              </w:rPr>
            </w:pPr>
            <w:r>
              <w:rPr>
                <w:rFonts w:hint="eastAsia" w:hAnsi="宋体" w:cs="宋体"/>
                <w:bCs/>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restart"/>
            <w:vAlign w:val="center"/>
          </w:tcPr>
          <w:p>
            <w:pPr>
              <w:widowControl/>
              <w:spacing w:line="360" w:lineRule="auto"/>
              <w:jc w:val="center"/>
              <w:rPr>
                <w:rFonts w:hAnsi="宋体" w:cs="宋体"/>
                <w:bCs/>
                <w:highlight w:val="none"/>
              </w:rPr>
            </w:pPr>
            <w:r>
              <w:rPr>
                <w:rFonts w:hint="eastAsia" w:hAnsi="宋体" w:cs="宋体"/>
                <w:bCs/>
                <w:highlight w:val="none"/>
              </w:rPr>
              <w:t>2.1.1</w:t>
            </w:r>
          </w:p>
        </w:tc>
        <w:tc>
          <w:tcPr>
            <w:tcW w:w="808" w:type="dxa"/>
            <w:vMerge w:val="restart"/>
            <w:vAlign w:val="center"/>
          </w:tcPr>
          <w:p>
            <w:pPr>
              <w:widowControl/>
              <w:spacing w:line="360" w:lineRule="auto"/>
              <w:jc w:val="center"/>
              <w:rPr>
                <w:rFonts w:hAnsi="宋体" w:cs="宋体"/>
                <w:bCs/>
                <w:highlight w:val="none"/>
              </w:rPr>
            </w:pPr>
            <w:r>
              <w:rPr>
                <w:rFonts w:hint="eastAsia" w:hAnsi="宋体" w:cs="宋体"/>
                <w:bCs/>
                <w:highlight w:val="none"/>
              </w:rPr>
              <w:t>形式评审标准</w:t>
            </w: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投标人名称</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签字盖章</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投标文件格式</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符合第六章“投标文件格式”的规定</w:t>
            </w:r>
            <w:r>
              <w:rPr>
                <w:rFonts w:hint="eastAsia" w:hAnsi="宋体" w:cs="宋体"/>
                <w:szCs w:val="24"/>
                <w:highlight w:val="none"/>
              </w:rPr>
              <w:t>，关键字迹清晰可辨。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联合体投标人（如有）</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备选投标方案</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除招标文件明确允许备选投标方案外，投标人不得提交备选投标方案。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未出现异常情形</w:t>
            </w:r>
          </w:p>
        </w:tc>
        <w:tc>
          <w:tcPr>
            <w:tcW w:w="5518" w:type="dxa"/>
            <w:tcMar>
              <w:left w:w="75" w:type="dxa"/>
            </w:tcMar>
            <w:vAlign w:val="center"/>
          </w:tcPr>
          <w:p>
            <w:pPr>
              <w:widowControl/>
              <w:spacing w:line="360" w:lineRule="auto"/>
              <w:jc w:val="left"/>
              <w:rPr>
                <w:rFonts w:hAnsi="宋体" w:cs="宋体"/>
                <w:highlight w:val="none"/>
              </w:rPr>
            </w:pPr>
            <w:r>
              <w:rPr>
                <w:rFonts w:hint="eastAsia" w:ascii="Times New Roman" w:cs="宋体"/>
                <w:szCs w:val="24"/>
                <w:highlight w:val="none"/>
              </w:rPr>
              <w:t>不同投标人未出现使用相同的投标文件制作机器码进行投标的情形。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未出现投标报价</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商务及技术文件中未出现有关投标报价的内容。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restart"/>
            <w:vAlign w:val="center"/>
          </w:tcPr>
          <w:p>
            <w:pPr>
              <w:widowControl/>
              <w:spacing w:line="360" w:lineRule="auto"/>
              <w:jc w:val="center"/>
              <w:rPr>
                <w:rFonts w:hAnsi="宋体" w:cs="宋体"/>
                <w:bCs/>
                <w:highlight w:val="none"/>
              </w:rPr>
            </w:pPr>
            <w:r>
              <w:rPr>
                <w:rFonts w:hint="eastAsia" w:hAnsi="宋体" w:cs="宋体"/>
                <w:bCs/>
                <w:highlight w:val="none"/>
              </w:rPr>
              <w:t>2.1.2</w:t>
            </w:r>
          </w:p>
        </w:tc>
        <w:tc>
          <w:tcPr>
            <w:tcW w:w="808" w:type="dxa"/>
            <w:vMerge w:val="restart"/>
            <w:vAlign w:val="center"/>
          </w:tcPr>
          <w:p>
            <w:pPr>
              <w:widowControl/>
              <w:spacing w:line="360" w:lineRule="auto"/>
              <w:jc w:val="center"/>
              <w:rPr>
                <w:rFonts w:hAnsi="宋体" w:cs="宋体"/>
                <w:highlight w:val="none"/>
              </w:rPr>
            </w:pPr>
            <w:r>
              <w:rPr>
                <w:rFonts w:hint="eastAsia" w:hAnsi="宋体" w:cs="宋体"/>
                <w:bCs/>
                <w:highlight w:val="none"/>
              </w:rPr>
              <w:t>资格评审标准</w:t>
            </w: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营业执照</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符合第二章“投标人须知”第3.5.1项规定，具备有效的营业执照，如为联合体投标，联合体各方均须提供。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资质要求</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项目负责人资格要求</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投标货物制造商的资质要求（如有）</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符合第二章“投标人须知”第1.4.1项规定。</w:t>
            </w:r>
          </w:p>
          <w:p>
            <w:pPr>
              <w:spacing w:line="360" w:lineRule="auto"/>
              <w:rPr>
                <w:rFonts w:hAnsi="宋体" w:cs="宋体"/>
                <w:highlight w:val="none"/>
              </w:rPr>
            </w:pPr>
            <w:r>
              <w:rPr>
                <w:rFonts w:hint="eastAsia" w:hAnsi="宋体" w:cs="宋体"/>
                <w:highlight w:val="none"/>
              </w:rPr>
              <w:t>具备有效的生产/制造许可证（如要求）。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财务要求</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投标人业绩要求</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项目负责人业绩要求</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投标货物的业绩要求（如有）</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信誉要求</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其他要求</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联合体投标人</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不存在禁止投标的情形</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不存在第二章“投标人须知”第1.4.3项或第1.4.4项规定的任何一种情形。</w:t>
            </w:r>
            <w:r>
              <w:rPr>
                <w:rFonts w:hint="eastAsia" w:hAnsi="宋体" w:cs="宋体"/>
                <w:bCs/>
                <w:szCs w:val="24"/>
                <w:highlight w:val="none"/>
              </w:rPr>
              <w:t>投标人</w:t>
            </w:r>
            <w:r>
              <w:rPr>
                <w:rFonts w:hint="eastAsia" w:hAnsi="宋体"/>
                <w:bCs/>
                <w:snapToGrid w:val="0"/>
                <w:szCs w:val="24"/>
                <w:highlight w:val="none"/>
              </w:rPr>
              <w:t>应按照</w:t>
            </w:r>
            <w:r>
              <w:rPr>
                <w:rFonts w:hint="eastAsia" w:hAnsi="宋体" w:cs="宋体"/>
                <w:bCs/>
                <w:szCs w:val="24"/>
                <w:highlight w:val="none"/>
              </w:rPr>
              <w:t>第六章“投标文件格式”的“诚信投标承诺书”承诺。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restart"/>
            <w:vAlign w:val="center"/>
          </w:tcPr>
          <w:p>
            <w:pPr>
              <w:widowControl/>
              <w:spacing w:line="360" w:lineRule="auto"/>
              <w:jc w:val="center"/>
              <w:rPr>
                <w:rFonts w:hAnsi="宋体" w:cs="宋体"/>
                <w:highlight w:val="none"/>
              </w:rPr>
            </w:pPr>
            <w:r>
              <w:rPr>
                <w:rFonts w:hint="eastAsia" w:hAnsi="宋体" w:cs="宋体"/>
                <w:highlight w:val="none"/>
              </w:rPr>
              <w:t>2.1.3</w:t>
            </w:r>
          </w:p>
        </w:tc>
        <w:tc>
          <w:tcPr>
            <w:tcW w:w="808" w:type="dxa"/>
            <w:vMerge w:val="restart"/>
            <w:vAlign w:val="center"/>
          </w:tcPr>
          <w:p>
            <w:pPr>
              <w:widowControl/>
              <w:spacing w:line="360" w:lineRule="auto"/>
              <w:jc w:val="center"/>
              <w:rPr>
                <w:rFonts w:hAnsi="宋体" w:cs="宋体"/>
                <w:highlight w:val="none"/>
              </w:rPr>
            </w:pPr>
            <w:r>
              <w:rPr>
                <w:rFonts w:hint="eastAsia" w:hAnsi="宋体" w:cs="宋体"/>
                <w:bCs/>
                <w:highlight w:val="none"/>
              </w:rPr>
              <w:t>响应性评审标准</w:t>
            </w: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投标内容</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bCs/>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交货及安装周期</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bCs/>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交货及安装地点</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技术性能指标</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bCs/>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投标有效期</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投标保证金</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符合第二章“投标人须知”第3.4.1项规定（符合免缴投标保证金的须满足免缴条件且须进行相应承诺）。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投标货物及技术服务和质保期服务</w:t>
            </w:r>
          </w:p>
        </w:tc>
        <w:tc>
          <w:tcPr>
            <w:tcW w:w="5518" w:type="dxa"/>
            <w:tcMar>
              <w:left w:w="75" w:type="dxa"/>
            </w:tcMar>
            <w:vAlign w:val="center"/>
          </w:tcPr>
          <w:p>
            <w:pPr>
              <w:widowControl/>
              <w:spacing w:line="360" w:lineRule="auto"/>
              <w:rPr>
                <w:rFonts w:hAnsi="宋体" w:cs="宋体"/>
                <w:highlight w:val="none"/>
              </w:rPr>
            </w:pPr>
            <w:r>
              <w:rPr>
                <w:rFonts w:hint="eastAsia" w:hAnsi="宋体" w:cs="宋体"/>
                <w:highlight w:val="none"/>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技术支持资料</w:t>
            </w:r>
          </w:p>
        </w:tc>
        <w:tc>
          <w:tcPr>
            <w:tcW w:w="5518" w:type="dxa"/>
            <w:tcMar>
              <w:left w:w="75" w:type="dxa"/>
            </w:tcMar>
            <w:vAlign w:val="center"/>
          </w:tcPr>
          <w:p>
            <w:pPr>
              <w:widowControl/>
              <w:spacing w:line="360" w:lineRule="auto"/>
              <w:rPr>
                <w:rFonts w:hAnsi="宋体" w:cs="宋体"/>
                <w:highlight w:val="none"/>
              </w:rPr>
            </w:pPr>
            <w:r>
              <w:rPr>
                <w:rFonts w:hint="eastAsia" w:hAnsi="宋体" w:cs="宋体"/>
                <w:highlight w:val="none"/>
              </w:rPr>
              <w:t>符合第二章“投标人须知”第1.12.3项规定。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其他实质性要求</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符合招标文件的其他实质性要求和条件。</w:t>
            </w:r>
          </w:p>
        </w:tc>
      </w:tr>
    </w:tbl>
    <w:p>
      <w:pPr>
        <w:widowControl/>
        <w:adjustRightInd w:val="0"/>
        <w:snapToGrid w:val="0"/>
        <w:spacing w:line="360" w:lineRule="auto"/>
        <w:ind w:firstLine="480" w:firstLineChars="200"/>
        <w:jc w:val="left"/>
        <w:rPr>
          <w:rFonts w:ascii="Times New Roman" w:cs="宋体"/>
          <w:szCs w:val="24"/>
          <w:highlight w:val="none"/>
        </w:rPr>
      </w:pPr>
      <w:r>
        <w:rPr>
          <w:rFonts w:hint="eastAsia" w:ascii="Times New Roman" w:cs="宋体"/>
          <w:szCs w:val="24"/>
          <w:highlight w:val="none"/>
        </w:rPr>
        <w:t>注：</w:t>
      </w:r>
    </w:p>
    <w:p>
      <w:pPr>
        <w:widowControl/>
        <w:adjustRightInd w:val="0"/>
        <w:snapToGrid w:val="0"/>
        <w:spacing w:line="360" w:lineRule="auto"/>
        <w:ind w:firstLine="480" w:firstLineChars="200"/>
        <w:jc w:val="left"/>
        <w:rPr>
          <w:rFonts w:ascii="Times New Roman" w:cs="宋体"/>
          <w:szCs w:val="24"/>
          <w:highlight w:val="none"/>
        </w:rPr>
      </w:pPr>
      <w:r>
        <w:rPr>
          <w:rFonts w:hint="eastAsia" w:ascii="Times New Roman" w:cs="宋体"/>
          <w:szCs w:val="24"/>
          <w:highlight w:val="none"/>
        </w:rPr>
        <w:t>1.评审因素“投标人业绩”和“项目负责人业绩”，投标人应按照第六章“投标文件格式”的要求填写相应表格，并附相应业绩证明材料。</w:t>
      </w:r>
    </w:p>
    <w:p>
      <w:pPr>
        <w:widowControl/>
        <w:adjustRightInd w:val="0"/>
        <w:snapToGrid w:val="0"/>
        <w:spacing w:line="360" w:lineRule="auto"/>
        <w:ind w:firstLine="480" w:firstLineChars="200"/>
        <w:jc w:val="center"/>
        <w:rPr>
          <w:rFonts w:ascii="Times New Roman" w:eastAsia="黑体"/>
          <w:sz w:val="32"/>
          <w:szCs w:val="32"/>
          <w:highlight w:val="none"/>
        </w:rPr>
      </w:pPr>
      <w:r>
        <w:rPr>
          <w:rFonts w:hint="eastAsia" w:ascii="Times New Roman" w:cs="宋体"/>
          <w:szCs w:val="24"/>
          <w:highlight w:val="none"/>
        </w:rPr>
        <w:t>2.评标委员会应按照第六章“投标文件格式”中“投标人业绩情况表（资格审查）”“项目负责人业绩情况表（资格审查）”列明的业绩序号先后顺序依次进行评审，且仅评审“附录3  资格审查条件（业绩最低要求）”“附录5  资格审查条件（项目负责人最低要求）”规定数量的业绩，超出规定数量部分或未在表中列明的业绩均不作为资格审查投标人业绩（或项目负责人业绩）予以评审。</w:t>
      </w:r>
      <w:r>
        <w:rPr>
          <w:rFonts w:hint="eastAsia" w:ascii="Times New Roman" w:eastAsia="黑体"/>
          <w:sz w:val="32"/>
          <w:szCs w:val="32"/>
          <w:highlight w:val="none"/>
        </w:rPr>
        <w:br w:type="page"/>
      </w:r>
      <w:bookmarkStart w:id="385" w:name="_Toc24609"/>
      <w:r>
        <w:rPr>
          <w:rFonts w:hint="eastAsia" w:eastAsia="黑体" w:cs="宋体"/>
          <w:sz w:val="32"/>
          <w:szCs w:val="32"/>
          <w:highlight w:val="none"/>
        </w:rPr>
        <w:t>报价文件初步评审标准</w:t>
      </w:r>
      <w:bookmarkEnd w:id="385"/>
    </w:p>
    <w:tbl>
      <w:tblPr>
        <w:tblStyle w:val="52"/>
        <w:tblW w:w="5029" w:type="pct"/>
        <w:tblInd w:w="14"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19"/>
        <w:gridCol w:w="897"/>
        <w:gridCol w:w="2107"/>
        <w:gridCol w:w="484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1414" w:type="dxa"/>
            <w:gridSpan w:val="2"/>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r>
              <w:rPr>
                <w:rFonts w:hint="eastAsia" w:hAnsi="宋体" w:cs="宋体"/>
                <w:bCs/>
                <w:highlight w:val="none"/>
              </w:rPr>
              <w:t>条款号</w:t>
            </w:r>
          </w:p>
        </w:tc>
        <w:tc>
          <w:tcPr>
            <w:tcW w:w="2103" w:type="dxa"/>
            <w:tcBorders>
              <w:top w:val="outset" w:color="auto" w:sz="6" w:space="0"/>
              <w:left w:val="single" w:color="auto" w:sz="4" w:space="0"/>
              <w:bottom w:val="outset" w:color="auto" w:sz="6" w:space="0"/>
              <w:right w:val="single" w:color="auto" w:sz="4" w:space="0"/>
            </w:tcBorders>
            <w:vAlign w:val="center"/>
          </w:tcPr>
          <w:p>
            <w:pPr>
              <w:widowControl/>
              <w:spacing w:line="360" w:lineRule="auto"/>
              <w:ind w:firstLine="120" w:firstLineChars="50"/>
              <w:jc w:val="center"/>
              <w:rPr>
                <w:rFonts w:hAnsi="宋体" w:cs="宋体"/>
                <w:highlight w:val="none"/>
              </w:rPr>
            </w:pPr>
            <w:r>
              <w:rPr>
                <w:rFonts w:hint="eastAsia" w:hAnsi="宋体" w:cs="宋体"/>
                <w:bCs/>
                <w:highlight w:val="none"/>
              </w:rPr>
              <w:t>评审因素</w:t>
            </w:r>
          </w:p>
        </w:tc>
        <w:tc>
          <w:tcPr>
            <w:tcW w:w="4832" w:type="dxa"/>
            <w:tcBorders>
              <w:top w:val="outset" w:color="auto" w:sz="6" w:space="0"/>
              <w:left w:val="single" w:color="auto" w:sz="4" w:space="0"/>
              <w:bottom w:val="outset" w:color="auto" w:sz="6" w:space="0"/>
              <w:right w:val="outset" w:color="auto" w:sz="6" w:space="0"/>
            </w:tcBorders>
            <w:vAlign w:val="center"/>
          </w:tcPr>
          <w:p>
            <w:pPr>
              <w:widowControl/>
              <w:spacing w:line="360" w:lineRule="auto"/>
              <w:ind w:firstLine="120" w:firstLineChars="50"/>
              <w:jc w:val="center"/>
              <w:rPr>
                <w:rFonts w:hAnsi="宋体" w:cs="宋体"/>
                <w:highlight w:val="none"/>
              </w:rPr>
            </w:pPr>
            <w:r>
              <w:rPr>
                <w:rFonts w:hint="eastAsia" w:hAnsi="宋体" w:cs="宋体"/>
                <w:bCs/>
                <w:highlight w:val="none"/>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Ansi="宋体" w:cs="宋体"/>
                <w:highlight w:val="none"/>
              </w:rPr>
            </w:pPr>
            <w:r>
              <w:rPr>
                <w:rFonts w:hint="eastAsia" w:hAnsi="宋体" w:cs="宋体"/>
                <w:bCs/>
                <w:highlight w:val="none"/>
              </w:rPr>
              <w:t>2.1.1</w:t>
            </w:r>
          </w:p>
        </w:tc>
        <w:tc>
          <w:tcPr>
            <w:tcW w:w="895" w:type="dxa"/>
            <w:vMerge w:val="restart"/>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r>
              <w:rPr>
                <w:rFonts w:hint="eastAsia" w:hAnsi="宋体" w:cs="宋体"/>
                <w:bCs/>
                <w:highlight w:val="none"/>
              </w:rPr>
              <w:t>形式评审标准</w:t>
            </w: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spacing w:line="360" w:lineRule="auto"/>
              <w:jc w:val="center"/>
              <w:rPr>
                <w:rFonts w:hAnsi="宋体" w:cs="宋体"/>
                <w:highlight w:val="none"/>
              </w:rPr>
            </w:pPr>
            <w:r>
              <w:rPr>
                <w:rFonts w:hint="eastAsia" w:hAnsi="宋体" w:cs="宋体"/>
                <w:highlight w:val="none"/>
              </w:rPr>
              <w:t>投标人名称</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spacing w:line="360" w:lineRule="auto"/>
              <w:rPr>
                <w:rFonts w:hAnsi="宋体" w:cs="宋体"/>
                <w:highlight w:val="none"/>
              </w:rPr>
            </w:pPr>
            <w:r>
              <w:rPr>
                <w:rFonts w:hint="eastAsia" w:hAnsi="宋体" w:cs="宋体"/>
                <w:highlight w:val="none"/>
              </w:rPr>
              <w:t>与营业执照、资质证书一致。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投标文件格式</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hAnsi="宋体" w:cs="宋体"/>
                <w:highlight w:val="none"/>
              </w:rPr>
              <w:t>（1）报价文件电子文件可以正常读取；</w:t>
            </w:r>
          </w:p>
          <w:p>
            <w:pPr>
              <w:widowControl/>
              <w:spacing w:line="360" w:lineRule="auto"/>
              <w:jc w:val="left"/>
              <w:rPr>
                <w:rFonts w:hAnsi="宋体" w:cs="宋体"/>
                <w:highlight w:val="none"/>
              </w:rPr>
            </w:pPr>
            <w:r>
              <w:rPr>
                <w:rFonts w:hint="eastAsia" w:hAnsi="宋体" w:cs="宋体"/>
                <w:highlight w:val="none"/>
              </w:rPr>
              <w:t>（2）符合第六章“投标文件格式”的规定，关键字迹清晰可辨。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备选投标方案</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hAnsi="宋体" w:cs="宋体"/>
                <w:highlight w:val="none"/>
              </w:rPr>
              <w:t>除招标文件明确允许备选投标方案外，投标人不得提交备选投标方案。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签字盖章</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ascii="Times New Roman" w:cs="宋体"/>
                <w:szCs w:val="24"/>
                <w:highlight w:val="none"/>
              </w:rPr>
              <w:t>符合第二章“投标人须知”第3.7.3项规定。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未出现异常情形</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ascii="Times New Roman" w:cs="宋体"/>
                <w:szCs w:val="24"/>
                <w:highlight w:val="none"/>
              </w:rPr>
              <w:t>不同投标人未出现使用相同的投标文件制作机器码进行投标的情形。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restart"/>
            <w:tcBorders>
              <w:top w:val="single" w:color="auto" w:sz="4" w:space="0"/>
              <w:left w:val="outset" w:color="auto" w:sz="6" w:space="0"/>
              <w:bottom w:val="outset" w:color="auto" w:sz="6" w:space="0"/>
              <w:right w:val="outset" w:color="auto" w:sz="6" w:space="0"/>
            </w:tcBorders>
            <w:vAlign w:val="center"/>
          </w:tcPr>
          <w:p>
            <w:pPr>
              <w:spacing w:line="360" w:lineRule="auto"/>
              <w:jc w:val="center"/>
              <w:rPr>
                <w:rFonts w:hAnsi="宋体" w:cs="宋体"/>
                <w:highlight w:val="none"/>
              </w:rPr>
            </w:pPr>
            <w:r>
              <w:rPr>
                <w:rFonts w:hint="eastAsia" w:hAnsi="宋体" w:cs="宋体"/>
                <w:bCs/>
                <w:highlight w:val="none"/>
              </w:rPr>
              <w:t>2.1.3</w:t>
            </w:r>
          </w:p>
        </w:tc>
        <w:tc>
          <w:tcPr>
            <w:tcW w:w="895" w:type="dxa"/>
            <w:vMerge w:val="restart"/>
            <w:tcBorders>
              <w:top w:val="single" w:color="auto" w:sz="4" w:space="0"/>
              <w:left w:val="outset" w:color="auto" w:sz="6" w:space="0"/>
              <w:bottom w:val="outset" w:color="auto" w:sz="6" w:space="0"/>
              <w:right w:val="single" w:color="auto" w:sz="4" w:space="0"/>
            </w:tcBorders>
            <w:vAlign w:val="center"/>
          </w:tcPr>
          <w:p>
            <w:pPr>
              <w:spacing w:line="360" w:lineRule="auto"/>
              <w:jc w:val="center"/>
              <w:rPr>
                <w:rFonts w:hAnsi="宋体" w:cs="宋体"/>
                <w:highlight w:val="none"/>
              </w:rPr>
            </w:pPr>
            <w:r>
              <w:rPr>
                <w:rFonts w:hint="eastAsia" w:hAnsi="宋体" w:cs="宋体"/>
                <w:bCs/>
                <w:highlight w:val="none"/>
              </w:rPr>
              <w:t>响应性评审标准</w:t>
            </w:r>
          </w:p>
        </w:tc>
        <w:tc>
          <w:tcPr>
            <w:tcW w:w="2103" w:type="dxa"/>
            <w:tcBorders>
              <w:top w:val="single" w:color="auto" w:sz="4"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投标内容</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single" w:color="auto" w:sz="4" w:space="0"/>
              <w:left w:val="outset" w:color="auto" w:sz="6" w:space="0"/>
              <w:bottom w:val="outset" w:color="auto" w:sz="6" w:space="0"/>
              <w:right w:val="outset" w:color="auto" w:sz="6" w:space="0"/>
            </w:tcBorders>
            <w:vAlign w:val="center"/>
          </w:tcPr>
          <w:p>
            <w:pPr>
              <w:spacing w:line="360" w:lineRule="auto"/>
              <w:jc w:val="center"/>
              <w:rPr>
                <w:rFonts w:hAnsi="宋体" w:cs="宋体"/>
                <w:bCs/>
                <w:highlight w:val="none"/>
              </w:rPr>
            </w:pPr>
          </w:p>
        </w:tc>
        <w:tc>
          <w:tcPr>
            <w:tcW w:w="895" w:type="dxa"/>
            <w:vMerge w:val="continue"/>
            <w:tcBorders>
              <w:top w:val="single" w:color="auto" w:sz="4" w:space="0"/>
              <w:left w:val="outset" w:color="auto" w:sz="6" w:space="0"/>
              <w:bottom w:val="outset" w:color="auto" w:sz="6" w:space="0"/>
              <w:right w:val="single" w:color="auto" w:sz="4" w:space="0"/>
            </w:tcBorders>
            <w:vAlign w:val="center"/>
          </w:tcPr>
          <w:p>
            <w:pPr>
              <w:spacing w:line="360" w:lineRule="auto"/>
              <w:jc w:val="center"/>
              <w:rPr>
                <w:rFonts w:hAnsi="宋体" w:cs="宋体"/>
                <w:bCs/>
                <w:highlight w:val="none"/>
              </w:rPr>
            </w:pPr>
          </w:p>
        </w:tc>
        <w:tc>
          <w:tcPr>
            <w:tcW w:w="2103" w:type="dxa"/>
            <w:tcBorders>
              <w:top w:val="single" w:color="auto" w:sz="4" w:space="0"/>
              <w:left w:val="single" w:color="auto" w:sz="4" w:space="0"/>
              <w:bottom w:val="outset" w:color="auto" w:sz="6" w:space="0"/>
              <w:right w:val="outset" w:color="auto" w:sz="6" w:space="0"/>
            </w:tcBorders>
            <w:tcMar>
              <w:left w:w="75" w:type="dxa"/>
            </w:tcMar>
            <w:vAlign w:val="center"/>
          </w:tcPr>
          <w:p>
            <w:pPr>
              <w:spacing w:line="360" w:lineRule="auto"/>
              <w:jc w:val="center"/>
              <w:rPr>
                <w:rFonts w:hAnsi="宋体" w:cs="宋体"/>
                <w:highlight w:val="none"/>
              </w:rPr>
            </w:pPr>
            <w:r>
              <w:rPr>
                <w:rFonts w:hint="eastAsia" w:hAnsi="宋体" w:cs="宋体"/>
                <w:highlight w:val="none"/>
              </w:rPr>
              <w:t>投标报价</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符合第二章“投标人须知”第3.2款规定。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left"/>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ind w:left="-65" w:leftChars="-27"/>
              <w:jc w:val="center"/>
              <w:rPr>
                <w:rFonts w:hAnsi="宋体" w:cs="宋体"/>
                <w:highlight w:val="none"/>
              </w:rPr>
            </w:pPr>
            <w:r>
              <w:rPr>
                <w:rFonts w:hint="eastAsia" w:hAnsi="宋体" w:cs="宋体"/>
                <w:highlight w:val="none"/>
              </w:rPr>
              <w:t>其他情形</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szCs w:val="24"/>
                <w:highlight w:val="none"/>
              </w:rPr>
            </w:pPr>
            <w:r>
              <w:rPr>
                <w:rFonts w:hint="eastAsia" w:hAnsi="宋体" w:cs="宋体"/>
                <w:szCs w:val="24"/>
                <w:highlight w:val="none"/>
              </w:rPr>
              <w:t>（1）投标文件中不得存在招标人不能接受的其他实质性条件；</w:t>
            </w:r>
          </w:p>
          <w:p>
            <w:pPr>
              <w:widowControl/>
              <w:spacing w:line="360" w:lineRule="auto"/>
              <w:jc w:val="left"/>
              <w:rPr>
                <w:rFonts w:hAnsi="宋体" w:cs="宋体"/>
                <w:highlight w:val="none"/>
              </w:rPr>
            </w:pPr>
            <w:r>
              <w:rPr>
                <w:rFonts w:hint="eastAsia" w:hAnsi="宋体" w:cs="宋体"/>
                <w:szCs w:val="24"/>
                <w:highlight w:val="none"/>
              </w:rPr>
              <w:t>（2）法律、法规规定的其他情形。</w:t>
            </w:r>
          </w:p>
        </w:tc>
      </w:tr>
    </w:tbl>
    <w:p>
      <w:pPr>
        <w:spacing w:beforeLines="100" w:afterLines="100"/>
        <w:jc w:val="center"/>
        <w:outlineLvl w:val="1"/>
        <w:rPr>
          <w:rFonts w:ascii="Times New Roman" w:eastAsia="黑体"/>
          <w:sz w:val="32"/>
          <w:szCs w:val="32"/>
          <w:highlight w:val="none"/>
        </w:rPr>
      </w:pPr>
      <w:r>
        <w:rPr>
          <w:rFonts w:hint="eastAsia" w:ascii="Times New Roman" w:eastAsia="黑体"/>
          <w:sz w:val="32"/>
          <w:szCs w:val="32"/>
          <w:highlight w:val="none"/>
        </w:rPr>
        <w:br w:type="page"/>
      </w:r>
      <w:bookmarkStart w:id="386" w:name="_Toc140069421"/>
      <w:bookmarkStart w:id="387" w:name="_Toc32506"/>
      <w:r>
        <w:rPr>
          <w:rFonts w:hint="eastAsia" w:eastAsia="黑体" w:cs="宋体"/>
          <w:sz w:val="32"/>
          <w:szCs w:val="32"/>
          <w:highlight w:val="none"/>
        </w:rPr>
        <w:t>商务、技术及报价文件详细评审标准</w:t>
      </w:r>
      <w:bookmarkEnd w:id="386"/>
      <w:bookmarkEnd w:id="387"/>
    </w:p>
    <w:tbl>
      <w:tblPr>
        <w:tblStyle w:val="52"/>
        <w:tblW w:w="5078"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7"/>
        <w:gridCol w:w="972"/>
        <w:gridCol w:w="1276"/>
        <w:gridCol w:w="783"/>
        <w:gridCol w:w="4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7" w:type="dxa"/>
            <w:gridSpan w:val="2"/>
            <w:noWrap w:val="0"/>
            <w:vAlign w:val="center"/>
          </w:tcPr>
          <w:p>
            <w:pPr>
              <w:snapToGrid w:val="0"/>
              <w:spacing w:line="360" w:lineRule="auto"/>
              <w:jc w:val="center"/>
              <w:rPr>
                <w:rFonts w:hint="eastAsia" w:hAnsi="宋体" w:cs="宋体"/>
                <w:b/>
                <w:bCs/>
                <w:highlight w:val="none"/>
              </w:rPr>
            </w:pPr>
            <w:r>
              <w:rPr>
                <w:rFonts w:hint="eastAsia" w:hAnsi="宋体" w:cs="宋体"/>
                <w:b/>
                <w:bCs/>
                <w:highlight w:val="none"/>
              </w:rPr>
              <w:t xml:space="preserve"> 条款号</w:t>
            </w:r>
          </w:p>
        </w:tc>
        <w:tc>
          <w:tcPr>
            <w:tcW w:w="1274" w:type="dxa"/>
            <w:noWrap w:val="0"/>
            <w:tcMar>
              <w:left w:w="75" w:type="dxa"/>
            </w:tcMar>
            <w:vAlign w:val="center"/>
          </w:tcPr>
          <w:p>
            <w:pPr>
              <w:snapToGrid w:val="0"/>
              <w:spacing w:line="360" w:lineRule="auto"/>
              <w:jc w:val="center"/>
              <w:rPr>
                <w:rFonts w:hint="eastAsia" w:hAnsi="宋体" w:cs="宋体"/>
                <w:b/>
                <w:bCs/>
                <w:highlight w:val="none"/>
              </w:rPr>
            </w:pPr>
            <w:r>
              <w:rPr>
                <w:rFonts w:hint="eastAsia" w:hAnsi="宋体" w:cs="宋体"/>
                <w:b/>
                <w:bCs/>
                <w:highlight w:val="none"/>
              </w:rPr>
              <w:t>评审因素</w:t>
            </w:r>
          </w:p>
        </w:tc>
        <w:tc>
          <w:tcPr>
            <w:tcW w:w="782" w:type="dxa"/>
            <w:noWrap w:val="0"/>
            <w:vAlign w:val="center"/>
          </w:tcPr>
          <w:p>
            <w:pPr>
              <w:snapToGrid w:val="0"/>
              <w:spacing w:line="360" w:lineRule="auto"/>
              <w:jc w:val="center"/>
              <w:rPr>
                <w:rFonts w:hint="eastAsia" w:hAnsi="宋体" w:cs="宋体"/>
                <w:b/>
                <w:bCs/>
                <w:highlight w:val="none"/>
              </w:rPr>
            </w:pPr>
            <w:r>
              <w:rPr>
                <w:rFonts w:hint="eastAsia" w:hAnsi="宋体" w:cs="宋体"/>
                <w:b/>
                <w:bCs/>
                <w:highlight w:val="none"/>
              </w:rPr>
              <w:t>分值</w:t>
            </w:r>
          </w:p>
        </w:tc>
        <w:tc>
          <w:tcPr>
            <w:tcW w:w="4627" w:type="dxa"/>
            <w:noWrap w:val="0"/>
            <w:vAlign w:val="center"/>
          </w:tcPr>
          <w:p>
            <w:pPr>
              <w:snapToGrid w:val="0"/>
              <w:spacing w:line="360" w:lineRule="auto"/>
              <w:jc w:val="center"/>
              <w:rPr>
                <w:rFonts w:hint="eastAsia" w:hAnsi="宋体" w:cs="宋体"/>
                <w:b/>
                <w:bCs/>
                <w:highlight w:val="none"/>
              </w:rPr>
            </w:pPr>
            <w:r>
              <w:rPr>
                <w:rFonts w:hint="eastAsia" w:hAnsi="宋体" w:cs="宋体"/>
                <w:b/>
                <w:bCs/>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3" w:hRule="atLeast"/>
        </w:trPr>
        <w:tc>
          <w:tcPr>
            <w:tcW w:w="776" w:type="dxa"/>
            <w:vMerge w:val="restart"/>
            <w:noWrap w:val="0"/>
            <w:vAlign w:val="center"/>
          </w:tcPr>
          <w:p>
            <w:pPr>
              <w:spacing w:line="360" w:lineRule="auto"/>
              <w:jc w:val="center"/>
              <w:rPr>
                <w:rFonts w:hint="eastAsia" w:hAnsi="宋体" w:cs="宋体"/>
                <w:sz w:val="21"/>
                <w:szCs w:val="21"/>
                <w:highlight w:val="none"/>
              </w:rPr>
            </w:pPr>
          </w:p>
        </w:tc>
        <w:tc>
          <w:tcPr>
            <w:tcW w:w="971" w:type="dxa"/>
            <w:vMerge w:val="restart"/>
            <w:noWrap w:val="0"/>
            <w:vAlign w:val="center"/>
          </w:tcPr>
          <w:p>
            <w:pPr>
              <w:spacing w:line="360" w:lineRule="auto"/>
              <w:jc w:val="center"/>
              <w:rPr>
                <w:rFonts w:hint="eastAsia" w:hAnsi="宋体" w:cs="宋体"/>
                <w:sz w:val="21"/>
                <w:szCs w:val="21"/>
                <w:highlight w:val="none"/>
              </w:rPr>
            </w:pPr>
          </w:p>
        </w:tc>
        <w:tc>
          <w:tcPr>
            <w:tcW w:w="1274" w:type="dxa"/>
            <w:noWrap w:val="0"/>
            <w:tcMar>
              <w:left w:w="75"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施工组织设计</w:t>
            </w:r>
          </w:p>
        </w:tc>
        <w:tc>
          <w:tcPr>
            <w:tcW w:w="782" w:type="dxa"/>
            <w:noWrap w:val="0"/>
            <w:vAlign w:val="center"/>
          </w:tcPr>
          <w:p>
            <w:pPr>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4627" w:type="dxa"/>
            <w:noWrap w:val="0"/>
            <w:vAlign w:val="top"/>
          </w:tcPr>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根据投标人投标文件中提供的质量管理体系与措施，</w:t>
            </w:r>
            <w:r>
              <w:rPr>
                <w:rFonts w:hint="eastAsia" w:ascii="宋体" w:hAnsi="宋体" w:eastAsia="宋体" w:cs="宋体"/>
                <w:sz w:val="21"/>
                <w:szCs w:val="21"/>
                <w:highlight w:val="none"/>
                <w:lang w:eastAsia="zh-CN"/>
              </w:rPr>
              <w:t>新老系统对接，</w:t>
            </w:r>
            <w:r>
              <w:rPr>
                <w:rFonts w:hint="eastAsia" w:ascii="宋体" w:hAnsi="宋体" w:eastAsia="宋体" w:cs="宋体"/>
                <w:sz w:val="21"/>
                <w:szCs w:val="21"/>
                <w:highlight w:val="none"/>
              </w:rPr>
              <w:t>项目人员配备，安全、文明施工管理体系与措施，进度计划，工期保证措施，劳动力安排、物资供应计划等情况，由评标委员会根据方案综合评分：</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优秀的，得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分＜F≤</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良好的，得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分＜F≤</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一般的，得0分＜F≤</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注：未提供方案的不得分。“F”为本项得分。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3" w:hRule="atLeast"/>
        </w:trPr>
        <w:tc>
          <w:tcPr>
            <w:tcW w:w="776" w:type="dxa"/>
            <w:vMerge w:val="continue"/>
            <w:noWrap w:val="0"/>
            <w:vAlign w:val="center"/>
          </w:tcPr>
          <w:p>
            <w:pPr>
              <w:spacing w:line="360" w:lineRule="auto"/>
              <w:jc w:val="center"/>
              <w:rPr>
                <w:rFonts w:hint="eastAsia" w:hAnsi="宋体" w:cs="宋体"/>
                <w:sz w:val="21"/>
                <w:szCs w:val="21"/>
                <w:highlight w:val="none"/>
              </w:rPr>
            </w:pPr>
          </w:p>
        </w:tc>
        <w:tc>
          <w:tcPr>
            <w:tcW w:w="971" w:type="dxa"/>
            <w:vMerge w:val="continue"/>
            <w:noWrap w:val="0"/>
            <w:vAlign w:val="center"/>
          </w:tcPr>
          <w:p>
            <w:pPr>
              <w:spacing w:line="360" w:lineRule="auto"/>
              <w:jc w:val="center"/>
              <w:rPr>
                <w:rFonts w:hint="eastAsia" w:hAnsi="宋体" w:cs="宋体"/>
                <w:sz w:val="21"/>
                <w:szCs w:val="21"/>
                <w:highlight w:val="none"/>
              </w:rPr>
            </w:pPr>
          </w:p>
        </w:tc>
        <w:tc>
          <w:tcPr>
            <w:tcW w:w="1274" w:type="dxa"/>
            <w:noWrap w:val="0"/>
            <w:tcMar>
              <w:left w:w="75"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重难点分析</w:t>
            </w:r>
          </w:p>
        </w:tc>
        <w:tc>
          <w:tcPr>
            <w:tcW w:w="782" w:type="dxa"/>
            <w:noWrap w:val="0"/>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4627" w:type="dxa"/>
            <w:noWrap w:val="0"/>
            <w:vAlign w:val="top"/>
          </w:tcPr>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投标人提供经过实际现场踏勘，综合本项目特点，分析施工重点</w:t>
            </w:r>
            <w:r>
              <w:rPr>
                <w:rFonts w:hint="eastAsia" w:ascii="宋体" w:hAnsi="宋体" w:eastAsia="宋体" w:cs="宋体"/>
                <w:sz w:val="21"/>
                <w:szCs w:val="21"/>
                <w:highlight w:val="none"/>
                <w:lang w:eastAsia="zh-CN"/>
              </w:rPr>
              <w:t>与</w:t>
            </w:r>
            <w:r>
              <w:rPr>
                <w:rFonts w:hint="eastAsia" w:ascii="宋体" w:hAnsi="宋体" w:eastAsia="宋体" w:cs="宋体"/>
                <w:sz w:val="21"/>
                <w:szCs w:val="21"/>
                <w:highlight w:val="none"/>
              </w:rPr>
              <w:t>难点，提出针对性的解决方案，与总包及各专业承包单位的配合方案。由评标委员会根据方案综合评分：</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优秀的，得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分＜F≤</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良好的，得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分＜F≤</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一般的，得0分＜F≤</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注：未提供方案的不得分。“F”为本项得分。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trPr>
        <w:tc>
          <w:tcPr>
            <w:tcW w:w="776" w:type="dxa"/>
            <w:vMerge w:val="continue"/>
            <w:noWrap w:val="0"/>
            <w:vAlign w:val="center"/>
          </w:tcPr>
          <w:p>
            <w:pPr>
              <w:spacing w:line="360" w:lineRule="auto"/>
              <w:jc w:val="center"/>
              <w:rPr>
                <w:rFonts w:hint="eastAsia" w:hAnsi="宋体" w:cs="宋体"/>
                <w:sz w:val="21"/>
                <w:szCs w:val="21"/>
                <w:highlight w:val="none"/>
              </w:rPr>
            </w:pPr>
          </w:p>
        </w:tc>
        <w:tc>
          <w:tcPr>
            <w:tcW w:w="971" w:type="dxa"/>
            <w:vMerge w:val="continue"/>
            <w:noWrap w:val="0"/>
            <w:vAlign w:val="center"/>
          </w:tcPr>
          <w:p>
            <w:pPr>
              <w:spacing w:line="360" w:lineRule="auto"/>
              <w:jc w:val="center"/>
              <w:rPr>
                <w:rFonts w:hint="eastAsia" w:hAnsi="宋体" w:cs="宋体"/>
                <w:sz w:val="21"/>
                <w:szCs w:val="21"/>
                <w:highlight w:val="none"/>
              </w:rPr>
            </w:pPr>
          </w:p>
        </w:tc>
        <w:tc>
          <w:tcPr>
            <w:tcW w:w="1274" w:type="dxa"/>
            <w:noWrap w:val="0"/>
            <w:tcMar>
              <w:left w:w="75"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售后服务与维保方案</w:t>
            </w:r>
          </w:p>
        </w:tc>
        <w:tc>
          <w:tcPr>
            <w:tcW w:w="782"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4627" w:type="dxa"/>
            <w:noWrap w:val="0"/>
            <w:vAlign w:val="top"/>
          </w:tcPr>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根据投标人提供的售后服务及维保方案进行综合</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，投标人须提供详细的响应速度、培训计划（包括目标、课程、教材、时间、培训对象等）、售后服务承诺，确保售后服务的及时性和有效性。</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由评标委员会根据方案综合评分：</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优秀的，得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分＜F≤</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良好的，得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分＜F≤</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一般的，得0分＜F≤</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注：未提供方案的不得分。“F”为本项得分。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6" w:type="dxa"/>
            <w:vMerge w:val="restart"/>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2.2.2（2）</w:t>
            </w:r>
          </w:p>
        </w:tc>
        <w:tc>
          <w:tcPr>
            <w:tcW w:w="971" w:type="dxa"/>
            <w:vMerge w:val="restart"/>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商务文件评分标准</w:t>
            </w:r>
          </w:p>
        </w:tc>
        <w:tc>
          <w:tcPr>
            <w:tcW w:w="1274" w:type="dxa"/>
            <w:noWrap w:val="0"/>
            <w:tcMar>
              <w:left w:w="75" w:type="dxa"/>
            </w:tcMar>
            <w:vAlign w:val="top"/>
          </w:tcPr>
          <w:p>
            <w:pPr>
              <w:spacing w:line="360" w:lineRule="auto"/>
              <w:jc w:val="center"/>
              <w:rPr>
                <w:rFonts w:hint="eastAsia" w:hAnsi="宋体" w:cs="宋体"/>
                <w:sz w:val="21"/>
                <w:szCs w:val="21"/>
                <w:highlight w:val="none"/>
              </w:rPr>
            </w:pPr>
          </w:p>
          <w:p>
            <w:pPr>
              <w:spacing w:line="360" w:lineRule="auto"/>
              <w:jc w:val="center"/>
              <w:rPr>
                <w:rFonts w:hint="eastAsia" w:hAnsi="宋体" w:cs="宋体"/>
                <w:sz w:val="21"/>
                <w:szCs w:val="21"/>
                <w:highlight w:val="none"/>
              </w:rPr>
            </w:pPr>
          </w:p>
          <w:p>
            <w:pPr>
              <w:spacing w:line="360" w:lineRule="auto"/>
              <w:jc w:val="center"/>
              <w:rPr>
                <w:rFonts w:hint="eastAsia" w:hAnsi="宋体" w:cs="宋体"/>
                <w:sz w:val="21"/>
                <w:szCs w:val="21"/>
                <w:highlight w:val="none"/>
              </w:rPr>
            </w:pPr>
            <w:r>
              <w:rPr>
                <w:rFonts w:hint="eastAsia" w:hAnsi="宋体" w:cs="宋体"/>
                <w:sz w:val="21"/>
                <w:szCs w:val="21"/>
                <w:highlight w:val="none"/>
              </w:rPr>
              <w:t>投标人资信、认证</w:t>
            </w:r>
          </w:p>
        </w:tc>
        <w:tc>
          <w:tcPr>
            <w:tcW w:w="782" w:type="dxa"/>
            <w:noWrap w:val="0"/>
            <w:vAlign w:val="center"/>
          </w:tcPr>
          <w:p>
            <w:pPr>
              <w:widowControl/>
              <w:snapToGrid w:val="0"/>
              <w:spacing w:line="360" w:lineRule="auto"/>
              <w:jc w:val="center"/>
              <w:rPr>
                <w:rFonts w:hint="eastAsia" w:hAnsi="宋体" w:cs="宋体"/>
                <w:sz w:val="21"/>
                <w:szCs w:val="21"/>
                <w:highlight w:val="none"/>
              </w:rPr>
            </w:pPr>
            <w:r>
              <w:rPr>
                <w:rFonts w:hint="eastAsia" w:hAnsi="宋体" w:cs="宋体"/>
                <w:sz w:val="21"/>
                <w:szCs w:val="21"/>
                <w:highlight w:val="none"/>
              </w:rPr>
              <w:t>6分</w:t>
            </w:r>
          </w:p>
        </w:tc>
        <w:tc>
          <w:tcPr>
            <w:tcW w:w="4627" w:type="dxa"/>
            <w:noWrap w:val="0"/>
            <w:vAlign w:val="center"/>
          </w:tcPr>
          <w:p>
            <w:pPr>
              <w:rPr>
                <w:rFonts w:hint="eastAsia" w:ascii="Times New Roman" w:hAnsi="宋体" w:cs="仿宋"/>
                <w:b w:val="0"/>
                <w:bCs/>
                <w:kern w:val="2"/>
                <w:sz w:val="21"/>
                <w:szCs w:val="21"/>
                <w:highlight w:val="none"/>
              </w:rPr>
            </w:pPr>
            <w:r>
              <w:rPr>
                <w:rFonts w:hint="eastAsia" w:ascii="Times New Roman" w:hAnsi="宋体" w:cs="仿宋"/>
                <w:b w:val="0"/>
                <w:bCs/>
                <w:kern w:val="2"/>
                <w:sz w:val="21"/>
                <w:szCs w:val="21"/>
                <w:highlight w:val="none"/>
              </w:rPr>
              <w:t>投标人具有</w:t>
            </w:r>
            <w:r>
              <w:rPr>
                <w:rFonts w:hint="eastAsia" w:ascii="Times New Roman" w:hAnsi="宋体" w:cs="仿宋"/>
                <w:b w:val="0"/>
                <w:bCs/>
                <w:kern w:val="2"/>
                <w:sz w:val="21"/>
                <w:szCs w:val="21"/>
                <w:highlight w:val="none"/>
                <w:lang w:val="en-US" w:eastAsia="zh-CN"/>
              </w:rPr>
              <w:t>有效的</w:t>
            </w:r>
            <w:r>
              <w:rPr>
                <w:rFonts w:hint="eastAsia" w:ascii="Times New Roman" w:hAnsi="宋体" w:cs="仿宋"/>
                <w:b w:val="0"/>
                <w:bCs/>
                <w:kern w:val="2"/>
                <w:sz w:val="21"/>
                <w:szCs w:val="21"/>
                <w:highlight w:val="none"/>
              </w:rPr>
              <w:t>以下认证证书的，每提供一类，得2分，本项满分6分。</w:t>
            </w:r>
          </w:p>
          <w:p>
            <w:pPr>
              <w:rPr>
                <w:rFonts w:hint="eastAsia" w:ascii="Times New Roman" w:hAnsi="宋体" w:cs="仿宋"/>
                <w:b w:val="0"/>
                <w:bCs/>
                <w:kern w:val="2"/>
                <w:sz w:val="21"/>
                <w:szCs w:val="21"/>
                <w:highlight w:val="none"/>
              </w:rPr>
            </w:pPr>
            <w:r>
              <w:rPr>
                <w:rFonts w:hint="eastAsia" w:ascii="Times New Roman" w:hAnsi="宋体" w:cs="仿宋"/>
                <w:b w:val="0"/>
                <w:bCs/>
                <w:kern w:val="2"/>
                <w:sz w:val="21"/>
                <w:szCs w:val="21"/>
                <w:highlight w:val="none"/>
              </w:rPr>
              <w:t>（1）质量管理体系认证证书；</w:t>
            </w:r>
          </w:p>
          <w:p>
            <w:pPr>
              <w:rPr>
                <w:rFonts w:hint="eastAsia" w:ascii="Times New Roman" w:hAnsi="宋体" w:cs="仿宋"/>
                <w:b w:val="0"/>
                <w:bCs/>
                <w:kern w:val="2"/>
                <w:sz w:val="21"/>
                <w:szCs w:val="21"/>
                <w:highlight w:val="none"/>
              </w:rPr>
            </w:pPr>
            <w:r>
              <w:rPr>
                <w:rFonts w:hint="eastAsia" w:ascii="Times New Roman" w:hAnsi="宋体" w:cs="仿宋"/>
                <w:b w:val="0"/>
                <w:bCs/>
                <w:kern w:val="2"/>
                <w:sz w:val="21"/>
                <w:szCs w:val="21"/>
                <w:highlight w:val="none"/>
              </w:rPr>
              <w:t>（2）环境管理体系认证证书；</w:t>
            </w:r>
          </w:p>
          <w:p>
            <w:pPr>
              <w:rPr>
                <w:rFonts w:hint="eastAsia" w:ascii="Times New Roman" w:hAnsi="宋体" w:cs="仿宋"/>
                <w:b w:val="0"/>
                <w:bCs/>
                <w:kern w:val="2"/>
                <w:sz w:val="21"/>
                <w:szCs w:val="21"/>
                <w:highlight w:val="none"/>
              </w:rPr>
            </w:pPr>
            <w:r>
              <w:rPr>
                <w:rFonts w:hint="eastAsia" w:ascii="Times New Roman" w:hAnsi="宋体" w:cs="仿宋"/>
                <w:b w:val="0"/>
                <w:bCs/>
                <w:kern w:val="2"/>
                <w:sz w:val="21"/>
                <w:szCs w:val="21"/>
                <w:highlight w:val="none"/>
              </w:rPr>
              <w:t>（3）职业健康安全管理体系认证证书；</w:t>
            </w:r>
          </w:p>
          <w:p>
            <w:pPr>
              <w:rPr>
                <w:rFonts w:hint="eastAsia" w:ascii="Times New Roman" w:hAnsi="宋体" w:cs="仿宋"/>
                <w:b w:val="0"/>
                <w:bCs/>
                <w:kern w:val="2"/>
                <w:sz w:val="21"/>
                <w:szCs w:val="21"/>
                <w:highlight w:val="none"/>
              </w:rPr>
            </w:pPr>
            <w:r>
              <w:rPr>
                <w:rFonts w:hint="eastAsia" w:ascii="Times New Roman" w:hAnsi="宋体" w:cs="仿宋"/>
                <w:b w:val="0"/>
                <w:bCs/>
                <w:kern w:val="2"/>
                <w:sz w:val="21"/>
                <w:szCs w:val="21"/>
                <w:highlight w:val="none"/>
              </w:rPr>
              <w:t>（4）信息安全管理体系认证证书；</w:t>
            </w:r>
          </w:p>
          <w:p>
            <w:pPr>
              <w:rPr>
                <w:rFonts w:hint="eastAsia" w:ascii="Times New Roman" w:hAnsi="宋体" w:cs="仿宋"/>
                <w:b w:val="0"/>
                <w:bCs/>
                <w:kern w:val="2"/>
                <w:sz w:val="21"/>
                <w:szCs w:val="21"/>
                <w:highlight w:val="none"/>
              </w:rPr>
            </w:pPr>
            <w:r>
              <w:rPr>
                <w:rFonts w:hint="eastAsia" w:ascii="Times New Roman" w:hAnsi="宋体" w:cs="仿宋"/>
                <w:b w:val="0"/>
                <w:bCs/>
                <w:kern w:val="2"/>
                <w:sz w:val="21"/>
                <w:szCs w:val="21"/>
                <w:highlight w:val="none"/>
              </w:rPr>
              <w:t>（5）信息技术服务管理体系认证证书；</w:t>
            </w:r>
          </w:p>
          <w:p>
            <w:pPr>
              <w:rPr>
                <w:rFonts w:hint="eastAsia" w:ascii="Times New Roman" w:hAnsi="宋体" w:cs="仿宋"/>
                <w:b w:val="0"/>
                <w:bCs/>
                <w:kern w:val="2"/>
                <w:sz w:val="21"/>
                <w:szCs w:val="21"/>
                <w:highlight w:val="none"/>
              </w:rPr>
            </w:pPr>
            <w:r>
              <w:rPr>
                <w:rFonts w:hint="eastAsia" w:ascii="Times New Roman" w:hAnsi="宋体" w:cs="仿宋"/>
                <w:b w:val="0"/>
                <w:bCs/>
                <w:kern w:val="2"/>
                <w:sz w:val="21"/>
                <w:szCs w:val="21"/>
                <w:highlight w:val="none"/>
              </w:rPr>
              <w:t>（6）诚 信 管 理 体 系 认 证 评 价 证 书</w:t>
            </w:r>
          </w:p>
          <w:p>
            <w:pPr>
              <w:rPr>
                <w:rFonts w:hint="eastAsia" w:ascii="Times New Roman" w:hAnsi="宋体" w:cs="仿宋"/>
                <w:b w:val="0"/>
                <w:bCs/>
                <w:kern w:val="2"/>
                <w:sz w:val="21"/>
                <w:szCs w:val="21"/>
                <w:highlight w:val="none"/>
              </w:rPr>
            </w:pPr>
            <w:r>
              <w:rPr>
                <w:rFonts w:hint="eastAsia" w:ascii="Times New Roman" w:hAnsi="宋体" w:cs="仿宋"/>
                <w:b w:val="0"/>
                <w:bCs/>
                <w:kern w:val="2"/>
                <w:sz w:val="21"/>
                <w:szCs w:val="21"/>
                <w:highlight w:val="none"/>
              </w:rPr>
              <w:t>（GB/T31950-2023）；</w:t>
            </w:r>
          </w:p>
          <w:p>
            <w:pPr>
              <w:rPr>
                <w:rFonts w:hint="eastAsia" w:hAnsi="宋体" w:cs="宋体"/>
                <w:b/>
                <w:sz w:val="21"/>
                <w:szCs w:val="21"/>
                <w:highlight w:val="none"/>
              </w:rPr>
            </w:pPr>
            <w:r>
              <w:rPr>
                <w:rFonts w:hint="eastAsia" w:ascii="Times New Roman" w:hAnsi="宋体" w:cs="仿宋"/>
                <w:b/>
                <w:kern w:val="2"/>
                <w:sz w:val="21"/>
                <w:szCs w:val="21"/>
                <w:highlight w:val="none"/>
              </w:rPr>
              <w:t>注：投标文件中提供全国认证认可信息公共服务平台认证查询截图。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6" w:type="dxa"/>
            <w:vMerge w:val="continue"/>
            <w:noWrap w:val="0"/>
            <w:vAlign w:val="center"/>
          </w:tcPr>
          <w:p>
            <w:pPr>
              <w:snapToGrid w:val="0"/>
              <w:spacing w:line="360" w:lineRule="auto"/>
              <w:jc w:val="center"/>
              <w:rPr>
                <w:rFonts w:hint="eastAsia" w:hAnsi="宋体" w:cs="宋体"/>
                <w:bCs/>
                <w:sz w:val="21"/>
                <w:szCs w:val="21"/>
                <w:highlight w:val="none"/>
              </w:rPr>
            </w:pPr>
          </w:p>
        </w:tc>
        <w:tc>
          <w:tcPr>
            <w:tcW w:w="971" w:type="dxa"/>
            <w:vMerge w:val="continue"/>
            <w:noWrap w:val="0"/>
            <w:vAlign w:val="top"/>
          </w:tcPr>
          <w:p>
            <w:pPr>
              <w:snapToGrid w:val="0"/>
              <w:spacing w:line="360" w:lineRule="auto"/>
              <w:jc w:val="center"/>
              <w:rPr>
                <w:rFonts w:hint="eastAsia" w:hAnsi="宋体" w:cs="宋体"/>
                <w:bCs/>
                <w:sz w:val="21"/>
                <w:szCs w:val="21"/>
                <w:highlight w:val="none"/>
              </w:rPr>
            </w:pPr>
          </w:p>
        </w:tc>
        <w:tc>
          <w:tcPr>
            <w:tcW w:w="1274" w:type="dxa"/>
            <w:noWrap w:val="0"/>
            <w:tcMar>
              <w:left w:w="75" w:type="dxa"/>
            </w:tcMar>
            <w:vAlign w:val="center"/>
          </w:tcPr>
          <w:p>
            <w:pPr>
              <w:snapToGrid w:val="0"/>
              <w:spacing w:line="360" w:lineRule="auto"/>
              <w:jc w:val="center"/>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拟委任人员资格</w:t>
            </w:r>
          </w:p>
        </w:tc>
        <w:tc>
          <w:tcPr>
            <w:tcW w:w="782" w:type="dxa"/>
            <w:noWrap w:val="0"/>
            <w:vAlign w:val="center"/>
          </w:tcPr>
          <w:p>
            <w:pPr>
              <w:widowControl/>
              <w:snapToGrid w:val="0"/>
              <w:spacing w:line="360" w:lineRule="auto"/>
              <w:jc w:val="center"/>
              <w:rPr>
                <w:rFonts w:hint="eastAsia" w:hAnsi="宋体" w:cs="宋体"/>
                <w:sz w:val="21"/>
                <w:szCs w:val="21"/>
                <w:highlight w:val="none"/>
              </w:rPr>
            </w:pPr>
            <w:r>
              <w:rPr>
                <w:rFonts w:hint="eastAsia" w:hAnsi="宋体" w:cs="宋体"/>
                <w:sz w:val="21"/>
                <w:szCs w:val="21"/>
                <w:highlight w:val="none"/>
                <w:lang w:val="en-US" w:eastAsia="zh-CN"/>
              </w:rPr>
              <w:t>6</w:t>
            </w:r>
            <w:r>
              <w:rPr>
                <w:rFonts w:hint="eastAsia" w:hAnsi="宋体" w:cs="宋体"/>
                <w:sz w:val="21"/>
                <w:szCs w:val="21"/>
                <w:highlight w:val="none"/>
              </w:rPr>
              <w:t>分</w:t>
            </w:r>
          </w:p>
        </w:tc>
        <w:tc>
          <w:tcPr>
            <w:tcW w:w="4627" w:type="dxa"/>
            <w:noWrap w:val="0"/>
            <w:vAlign w:val="center"/>
          </w:tcPr>
          <w:p>
            <w:pPr>
              <w:rPr>
                <w:rFonts w:hint="eastAsia" w:hAnsi="宋体" w:eastAsia="宋体" w:cs="仿宋"/>
                <w:kern w:val="2"/>
                <w:sz w:val="21"/>
                <w:szCs w:val="21"/>
                <w:highlight w:val="none"/>
                <w:lang w:eastAsia="zh-CN"/>
              </w:rPr>
            </w:pPr>
            <w:r>
              <w:rPr>
                <w:rFonts w:hint="eastAsia" w:hAnsi="宋体" w:eastAsia="宋体" w:cs="仿宋"/>
                <w:kern w:val="2"/>
                <w:sz w:val="21"/>
                <w:szCs w:val="21"/>
                <w:highlight w:val="none"/>
                <w:lang w:eastAsia="zh-CN"/>
              </w:rPr>
              <w:t>（1）</w:t>
            </w:r>
            <w:r>
              <w:rPr>
                <w:rFonts w:hint="eastAsia" w:hAnsi="宋体" w:cs="仿宋"/>
                <w:kern w:val="2"/>
                <w:sz w:val="21"/>
                <w:szCs w:val="21"/>
                <w:highlight w:val="none"/>
                <w:lang w:val="en-US" w:eastAsia="zh-CN"/>
              </w:rPr>
              <w:t>拟任</w:t>
            </w:r>
            <w:r>
              <w:rPr>
                <w:rFonts w:hint="eastAsia" w:hAnsi="宋体" w:eastAsia="宋体" w:cs="仿宋"/>
                <w:kern w:val="2"/>
                <w:sz w:val="21"/>
                <w:szCs w:val="21"/>
                <w:highlight w:val="none"/>
                <w:lang w:eastAsia="zh-CN"/>
              </w:rPr>
              <w:t>项目负责人具有机电工程</w:t>
            </w:r>
            <w:r>
              <w:rPr>
                <w:rFonts w:hint="eastAsia" w:hAnsi="宋体" w:cs="仿宋"/>
                <w:kern w:val="2"/>
                <w:sz w:val="21"/>
                <w:szCs w:val="21"/>
                <w:highlight w:val="none"/>
                <w:lang w:val="en-US" w:eastAsia="zh-CN"/>
              </w:rPr>
              <w:t>相关专业中级及以上职称的</w:t>
            </w:r>
            <w:r>
              <w:rPr>
                <w:rFonts w:hint="eastAsia" w:hAnsi="宋体" w:eastAsia="宋体" w:cs="仿宋"/>
                <w:kern w:val="2"/>
                <w:sz w:val="21"/>
                <w:szCs w:val="21"/>
                <w:highlight w:val="none"/>
                <w:lang w:eastAsia="zh-CN"/>
              </w:rPr>
              <w:t>得</w:t>
            </w:r>
            <w:r>
              <w:rPr>
                <w:rFonts w:hint="eastAsia" w:hAnsi="宋体" w:cs="仿宋"/>
                <w:kern w:val="2"/>
                <w:sz w:val="21"/>
                <w:szCs w:val="21"/>
                <w:highlight w:val="none"/>
                <w:lang w:val="en-US" w:eastAsia="zh-CN"/>
              </w:rPr>
              <w:t>2</w:t>
            </w:r>
            <w:r>
              <w:rPr>
                <w:rFonts w:hint="eastAsia" w:hAnsi="宋体" w:eastAsia="宋体" w:cs="仿宋"/>
                <w:kern w:val="2"/>
                <w:sz w:val="21"/>
                <w:szCs w:val="21"/>
                <w:highlight w:val="none"/>
                <w:lang w:eastAsia="zh-CN"/>
              </w:rPr>
              <w:t>分。</w:t>
            </w:r>
          </w:p>
          <w:p>
            <w:pPr>
              <w:rPr>
                <w:rFonts w:hint="eastAsia" w:hAnsi="宋体" w:eastAsia="宋体" w:cs="仿宋"/>
                <w:kern w:val="2"/>
                <w:sz w:val="21"/>
                <w:szCs w:val="21"/>
                <w:highlight w:val="none"/>
                <w:lang w:eastAsia="zh-CN"/>
              </w:rPr>
            </w:pPr>
            <w:r>
              <w:rPr>
                <w:rFonts w:hint="eastAsia" w:hAnsi="宋体" w:eastAsia="宋体" w:cs="仿宋"/>
                <w:kern w:val="2"/>
                <w:sz w:val="21"/>
                <w:szCs w:val="21"/>
                <w:highlight w:val="none"/>
                <w:lang w:eastAsia="zh-CN"/>
              </w:rPr>
              <w:t>（2）</w:t>
            </w:r>
            <w:r>
              <w:rPr>
                <w:rFonts w:hint="eastAsia" w:hAnsi="宋体" w:cs="仿宋"/>
                <w:kern w:val="2"/>
                <w:sz w:val="21"/>
                <w:szCs w:val="21"/>
                <w:highlight w:val="none"/>
                <w:lang w:val="en-US" w:eastAsia="zh-CN"/>
              </w:rPr>
              <w:t>拟任</w:t>
            </w:r>
            <w:r>
              <w:rPr>
                <w:rFonts w:hint="eastAsia" w:hAnsi="宋体" w:eastAsia="宋体" w:cs="仿宋"/>
                <w:kern w:val="2"/>
                <w:sz w:val="21"/>
                <w:szCs w:val="21"/>
                <w:highlight w:val="none"/>
                <w:lang w:eastAsia="zh-CN"/>
              </w:rPr>
              <w:t>项目技术负责人</w:t>
            </w:r>
            <w:r>
              <w:rPr>
                <w:rFonts w:hint="eastAsia" w:hAnsi="宋体" w:cs="仿宋"/>
                <w:kern w:val="2"/>
                <w:sz w:val="21"/>
                <w:szCs w:val="21"/>
                <w:highlight w:val="none"/>
                <w:lang w:val="en-US" w:eastAsia="zh-CN"/>
              </w:rPr>
              <w:t>具有</w:t>
            </w:r>
            <w:r>
              <w:rPr>
                <w:rFonts w:hint="eastAsia" w:hAnsi="宋体" w:eastAsia="宋体" w:cs="仿宋"/>
                <w:kern w:val="2"/>
                <w:sz w:val="21"/>
                <w:szCs w:val="21"/>
                <w:highlight w:val="none"/>
                <w:lang w:eastAsia="zh-CN"/>
              </w:rPr>
              <w:t>信息系统项目管理师（软考高级）含PMP</w:t>
            </w:r>
            <w:r>
              <w:rPr>
                <w:rFonts w:hint="eastAsia" w:hAnsi="宋体" w:cs="仿宋"/>
                <w:kern w:val="2"/>
                <w:sz w:val="21"/>
                <w:szCs w:val="21"/>
                <w:highlight w:val="none"/>
                <w:lang w:val="en-US" w:eastAsia="zh-CN"/>
              </w:rPr>
              <w:t>的，</w:t>
            </w:r>
            <w:r>
              <w:rPr>
                <w:rFonts w:hint="eastAsia" w:hAnsi="宋体" w:eastAsia="宋体" w:cs="仿宋"/>
                <w:kern w:val="2"/>
                <w:sz w:val="21"/>
                <w:szCs w:val="21"/>
                <w:highlight w:val="none"/>
                <w:lang w:eastAsia="zh-CN"/>
              </w:rPr>
              <w:t>得2分</w:t>
            </w:r>
          </w:p>
          <w:p>
            <w:pPr>
              <w:rPr>
                <w:rFonts w:hint="eastAsia" w:hAnsi="宋体" w:eastAsia="宋体" w:cs="仿宋"/>
                <w:kern w:val="2"/>
                <w:sz w:val="21"/>
                <w:szCs w:val="21"/>
                <w:highlight w:val="none"/>
                <w:lang w:eastAsia="zh-CN"/>
              </w:rPr>
            </w:pPr>
            <w:r>
              <w:rPr>
                <w:rFonts w:hint="eastAsia" w:hAnsi="宋体" w:eastAsia="宋体" w:cs="仿宋"/>
                <w:kern w:val="2"/>
                <w:sz w:val="21"/>
                <w:szCs w:val="21"/>
                <w:highlight w:val="none"/>
                <w:lang w:eastAsia="zh-CN"/>
              </w:rPr>
              <w:t>（3）团队人员中具有网络工程师、系统集成项目管理工程师、机电工程专业工程师，</w:t>
            </w:r>
            <w:r>
              <w:rPr>
                <w:rFonts w:hint="eastAsia" w:hAnsi="宋体" w:cs="仿宋"/>
                <w:kern w:val="2"/>
                <w:sz w:val="21"/>
                <w:szCs w:val="21"/>
                <w:highlight w:val="none"/>
                <w:lang w:val="en-US" w:eastAsia="zh-CN"/>
              </w:rPr>
              <w:t>提供任意一个证书</w:t>
            </w:r>
            <w:r>
              <w:rPr>
                <w:rFonts w:hint="eastAsia" w:hAnsi="宋体" w:eastAsia="宋体" w:cs="仿宋"/>
                <w:kern w:val="2"/>
                <w:sz w:val="21"/>
                <w:szCs w:val="21"/>
                <w:highlight w:val="none"/>
                <w:lang w:eastAsia="zh-CN"/>
              </w:rPr>
              <w:t>得</w:t>
            </w:r>
            <w:r>
              <w:rPr>
                <w:rFonts w:hint="eastAsia" w:hAnsi="宋体" w:cs="仿宋"/>
                <w:kern w:val="2"/>
                <w:sz w:val="21"/>
                <w:szCs w:val="21"/>
                <w:highlight w:val="none"/>
                <w:lang w:val="en-US" w:eastAsia="zh-CN"/>
              </w:rPr>
              <w:t>2</w:t>
            </w:r>
            <w:r>
              <w:rPr>
                <w:rFonts w:hint="eastAsia" w:hAnsi="宋体" w:eastAsia="宋体" w:cs="仿宋"/>
                <w:kern w:val="2"/>
                <w:sz w:val="21"/>
                <w:szCs w:val="21"/>
                <w:highlight w:val="none"/>
                <w:lang w:eastAsia="zh-CN"/>
              </w:rPr>
              <w:t>分。</w:t>
            </w:r>
          </w:p>
          <w:p>
            <w:pPr>
              <w:rPr>
                <w:rFonts w:hint="eastAsia" w:hAnsi="宋体" w:eastAsia="宋体" w:cs="仿宋"/>
                <w:b/>
                <w:bCs/>
                <w:kern w:val="2"/>
                <w:sz w:val="21"/>
                <w:szCs w:val="21"/>
                <w:highlight w:val="none"/>
                <w:lang w:eastAsia="zh-CN"/>
              </w:rPr>
            </w:pPr>
            <w:r>
              <w:rPr>
                <w:rFonts w:hint="eastAsia" w:hAnsi="宋体" w:eastAsia="宋体" w:cs="仿宋"/>
                <w:b/>
                <w:bCs/>
                <w:kern w:val="2"/>
                <w:sz w:val="21"/>
                <w:szCs w:val="21"/>
                <w:highlight w:val="none"/>
                <w:lang w:eastAsia="zh-CN"/>
              </w:rPr>
              <w:t>注：（1）拟派项目</w:t>
            </w:r>
            <w:r>
              <w:rPr>
                <w:rFonts w:hint="eastAsia" w:hAnsi="宋体" w:cs="仿宋"/>
                <w:b/>
                <w:bCs/>
                <w:kern w:val="2"/>
                <w:sz w:val="21"/>
                <w:szCs w:val="21"/>
                <w:highlight w:val="none"/>
                <w:lang w:val="en-US" w:eastAsia="zh-CN"/>
              </w:rPr>
              <w:t>负责人</w:t>
            </w:r>
            <w:r>
              <w:rPr>
                <w:rFonts w:hint="eastAsia" w:hAnsi="宋体" w:eastAsia="宋体" w:cs="仿宋"/>
                <w:b/>
                <w:bCs/>
                <w:kern w:val="2"/>
                <w:sz w:val="21"/>
                <w:szCs w:val="21"/>
                <w:highlight w:val="none"/>
                <w:lang w:eastAsia="zh-CN"/>
              </w:rPr>
              <w:t>、技术负责人不得是同一人。</w:t>
            </w:r>
          </w:p>
          <w:p>
            <w:pPr>
              <w:rPr>
                <w:rFonts w:hint="eastAsia" w:hAnsi="宋体" w:eastAsia="宋体" w:cs="仿宋"/>
                <w:kern w:val="2"/>
                <w:sz w:val="21"/>
                <w:szCs w:val="21"/>
                <w:highlight w:val="none"/>
                <w:lang w:eastAsia="zh-CN"/>
              </w:rPr>
            </w:pPr>
            <w:r>
              <w:rPr>
                <w:rFonts w:hint="eastAsia" w:hAnsi="宋体" w:eastAsia="宋体" w:cs="仿宋"/>
                <w:b/>
                <w:bCs/>
                <w:kern w:val="2"/>
                <w:sz w:val="21"/>
                <w:szCs w:val="21"/>
                <w:highlight w:val="none"/>
                <w:lang w:eastAsia="zh-CN"/>
              </w:rPr>
              <w:t>（2）投标文件中提供上述人员的证书扫描件及投标人所属社保机构出具的上述人员202</w:t>
            </w:r>
            <w:r>
              <w:rPr>
                <w:rFonts w:hint="eastAsia" w:hAnsi="宋体" w:cs="仿宋"/>
                <w:b/>
                <w:bCs/>
                <w:kern w:val="2"/>
                <w:sz w:val="21"/>
                <w:szCs w:val="21"/>
                <w:highlight w:val="none"/>
                <w:lang w:val="en-US" w:eastAsia="zh-CN"/>
              </w:rPr>
              <w:t>5</w:t>
            </w:r>
            <w:r>
              <w:rPr>
                <w:rFonts w:hint="eastAsia" w:hAnsi="宋体" w:eastAsia="宋体" w:cs="仿宋"/>
                <w:b/>
                <w:bCs/>
                <w:kern w:val="2"/>
                <w:sz w:val="21"/>
                <w:szCs w:val="21"/>
                <w:highlight w:val="none"/>
                <w:lang w:eastAsia="zh-CN"/>
              </w:rPr>
              <w:t>年</w:t>
            </w:r>
            <w:r>
              <w:rPr>
                <w:rFonts w:hint="eastAsia" w:hAnsi="宋体" w:cs="仿宋"/>
                <w:b/>
                <w:bCs/>
                <w:kern w:val="2"/>
                <w:sz w:val="21"/>
                <w:szCs w:val="21"/>
                <w:highlight w:val="none"/>
                <w:lang w:val="en-US" w:eastAsia="zh-CN"/>
              </w:rPr>
              <w:t>1</w:t>
            </w:r>
            <w:r>
              <w:rPr>
                <w:rFonts w:hint="eastAsia" w:hAnsi="宋体" w:eastAsia="宋体" w:cs="仿宋"/>
                <w:b/>
                <w:bCs/>
                <w:kern w:val="2"/>
                <w:sz w:val="21"/>
                <w:szCs w:val="21"/>
                <w:highlight w:val="none"/>
                <w:lang w:eastAsia="zh-CN"/>
              </w:rPr>
              <w:t>月 1日以来任意连续3个月社保缴费证明（或其他能够证明上述人员参加社保的有效证明）材料，上述人员的社保缴纳单位应当是投标人。社保缴费证明或社保的有效证明材料至少含养老保险。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6" w:type="dxa"/>
            <w:vMerge w:val="continue"/>
            <w:noWrap w:val="0"/>
            <w:vAlign w:val="top"/>
          </w:tcPr>
          <w:p>
            <w:pPr>
              <w:snapToGrid w:val="0"/>
              <w:spacing w:line="360" w:lineRule="auto"/>
              <w:jc w:val="center"/>
              <w:rPr>
                <w:rFonts w:hint="eastAsia" w:hAnsi="宋体" w:cs="宋体"/>
                <w:bCs/>
                <w:sz w:val="21"/>
                <w:szCs w:val="21"/>
                <w:highlight w:val="none"/>
              </w:rPr>
            </w:pPr>
          </w:p>
        </w:tc>
        <w:tc>
          <w:tcPr>
            <w:tcW w:w="971" w:type="dxa"/>
            <w:vMerge w:val="continue"/>
            <w:noWrap w:val="0"/>
            <w:vAlign w:val="top"/>
          </w:tcPr>
          <w:p>
            <w:pPr>
              <w:snapToGrid w:val="0"/>
              <w:spacing w:line="360" w:lineRule="auto"/>
              <w:jc w:val="center"/>
              <w:rPr>
                <w:rFonts w:hint="eastAsia" w:hAnsi="宋体" w:cs="宋体"/>
                <w:bCs/>
                <w:sz w:val="21"/>
                <w:szCs w:val="21"/>
                <w:highlight w:val="none"/>
              </w:rPr>
            </w:pPr>
          </w:p>
        </w:tc>
        <w:tc>
          <w:tcPr>
            <w:tcW w:w="1274" w:type="dxa"/>
            <w:noWrap w:val="0"/>
            <w:tcMar>
              <w:left w:w="75" w:type="dxa"/>
            </w:tcMar>
            <w:vAlign w:val="center"/>
          </w:tcPr>
          <w:p>
            <w:pPr>
              <w:snapToGrid w:val="0"/>
              <w:spacing w:line="360" w:lineRule="auto"/>
              <w:jc w:val="center"/>
              <w:rPr>
                <w:rFonts w:hint="eastAsia" w:hAnsi="宋体" w:cs="宋体"/>
                <w:sz w:val="21"/>
                <w:szCs w:val="21"/>
                <w:highlight w:val="none"/>
              </w:rPr>
            </w:pPr>
            <w:r>
              <w:rPr>
                <w:rFonts w:hint="eastAsia" w:hAnsi="宋体" w:cs="宋体"/>
                <w:sz w:val="21"/>
                <w:szCs w:val="21"/>
                <w:highlight w:val="none"/>
              </w:rPr>
              <w:t>投标人业绩</w:t>
            </w:r>
          </w:p>
        </w:tc>
        <w:tc>
          <w:tcPr>
            <w:tcW w:w="782" w:type="dxa"/>
            <w:noWrap w:val="0"/>
            <w:vAlign w:val="center"/>
          </w:tcPr>
          <w:p>
            <w:pPr>
              <w:widowControl/>
              <w:snapToGrid w:val="0"/>
              <w:spacing w:line="360" w:lineRule="auto"/>
              <w:jc w:val="center"/>
              <w:rPr>
                <w:rFonts w:hint="eastAsia" w:hAnsi="宋体" w:cs="宋体"/>
                <w:sz w:val="21"/>
                <w:szCs w:val="21"/>
                <w:highlight w:val="none"/>
              </w:rPr>
            </w:pPr>
            <w:r>
              <w:rPr>
                <w:rFonts w:hint="eastAsia" w:hAnsi="宋体" w:cs="宋体"/>
                <w:sz w:val="21"/>
                <w:szCs w:val="21"/>
                <w:highlight w:val="none"/>
              </w:rPr>
              <w:t>9分</w:t>
            </w:r>
          </w:p>
        </w:tc>
        <w:tc>
          <w:tcPr>
            <w:tcW w:w="4627" w:type="dxa"/>
            <w:noWrap w:val="0"/>
            <w:vAlign w:val="center"/>
          </w:tcPr>
          <w:p>
            <w:pPr>
              <w:widowControl/>
              <w:jc w:val="left"/>
              <w:rPr>
                <w:rFonts w:hint="eastAsia" w:hAnsi="宋体" w:cs="宋体"/>
                <w:b w:val="0"/>
                <w:bCs w:val="0"/>
                <w:color w:val="000000"/>
                <w:sz w:val="21"/>
                <w:szCs w:val="21"/>
                <w:highlight w:val="none"/>
                <w:lang w:bidi="ar"/>
              </w:rPr>
            </w:pPr>
            <w:r>
              <w:rPr>
                <w:rFonts w:hint="eastAsia" w:hAnsi="宋体" w:cs="宋体"/>
                <w:b w:val="0"/>
                <w:bCs w:val="0"/>
                <w:color w:val="000000"/>
                <w:sz w:val="21"/>
                <w:szCs w:val="21"/>
                <w:highlight w:val="none"/>
                <w:lang w:bidi="ar"/>
              </w:rPr>
              <w:t>2022年1月1日以来（以竣工验收时间为准），投标人具有建筑智能化或信息化项目业绩，且同时满足下列要求：</w:t>
            </w:r>
          </w:p>
          <w:p>
            <w:pPr>
              <w:widowControl/>
              <w:jc w:val="left"/>
              <w:rPr>
                <w:rFonts w:hint="eastAsia" w:hAnsi="宋体" w:cs="宋体"/>
                <w:b w:val="0"/>
                <w:bCs w:val="0"/>
                <w:color w:val="000000"/>
                <w:sz w:val="21"/>
                <w:szCs w:val="21"/>
                <w:highlight w:val="none"/>
                <w:lang w:bidi="ar"/>
              </w:rPr>
            </w:pPr>
            <w:r>
              <w:rPr>
                <w:rFonts w:hint="eastAsia" w:hAnsi="宋体" w:cs="宋体"/>
                <w:b w:val="0"/>
                <w:bCs w:val="0"/>
                <w:color w:val="000000"/>
                <w:sz w:val="21"/>
                <w:szCs w:val="21"/>
                <w:highlight w:val="none"/>
                <w:lang w:bidi="ar"/>
              </w:rPr>
              <w:t>（1）业绩中须包含以下基础系统中的任意三项：计算机网络系统、视频监控系统、机房工程、公共广播系统、多媒体教学系统、多媒体会议系统（系统功能一致即可，系统名称无须完全一致）；</w:t>
            </w:r>
          </w:p>
          <w:p>
            <w:pPr>
              <w:widowControl/>
              <w:jc w:val="left"/>
              <w:rPr>
                <w:rFonts w:hint="eastAsia" w:hAnsi="宋体" w:cs="宋体"/>
                <w:b w:val="0"/>
                <w:bCs w:val="0"/>
                <w:color w:val="000000"/>
                <w:sz w:val="21"/>
                <w:szCs w:val="21"/>
                <w:highlight w:val="none"/>
                <w:lang w:bidi="ar"/>
              </w:rPr>
            </w:pPr>
            <w:r>
              <w:rPr>
                <w:rFonts w:hint="eastAsia" w:hAnsi="宋体" w:cs="宋体"/>
                <w:b w:val="0"/>
                <w:bCs w:val="0"/>
                <w:color w:val="000000"/>
                <w:sz w:val="21"/>
                <w:szCs w:val="21"/>
                <w:highlight w:val="none"/>
                <w:lang w:bidi="ar"/>
              </w:rPr>
              <w:t>（2）单个合同总金额不少于240万元。</w:t>
            </w:r>
          </w:p>
          <w:p>
            <w:pPr>
              <w:widowControl/>
              <w:jc w:val="left"/>
              <w:rPr>
                <w:rFonts w:hint="eastAsia" w:hAnsi="宋体" w:cs="宋体"/>
                <w:b w:val="0"/>
                <w:bCs w:val="0"/>
                <w:color w:val="000000"/>
                <w:sz w:val="21"/>
                <w:szCs w:val="21"/>
                <w:highlight w:val="none"/>
                <w:lang w:bidi="ar"/>
              </w:rPr>
            </w:pPr>
            <w:r>
              <w:rPr>
                <w:rFonts w:hint="eastAsia" w:hAnsi="宋体" w:cs="宋体"/>
                <w:b w:val="0"/>
                <w:bCs w:val="0"/>
                <w:color w:val="000000"/>
                <w:sz w:val="21"/>
                <w:szCs w:val="21"/>
                <w:highlight w:val="none"/>
                <w:lang w:bidi="ar"/>
              </w:rPr>
              <w:t>每提供一个符合上述要求的业绩得3分，本小项满分9分。</w:t>
            </w:r>
          </w:p>
          <w:p>
            <w:pPr>
              <w:widowControl/>
              <w:jc w:val="left"/>
              <w:rPr>
                <w:rFonts w:hint="eastAsia" w:hAnsi="宋体" w:cs="宋体"/>
                <w:b/>
                <w:bCs/>
                <w:color w:val="000000"/>
                <w:sz w:val="21"/>
                <w:szCs w:val="21"/>
                <w:highlight w:val="none"/>
                <w:lang w:val="en-US" w:eastAsia="zh-CN" w:bidi="ar"/>
              </w:rPr>
            </w:pPr>
            <w:r>
              <w:rPr>
                <w:rFonts w:hint="eastAsia" w:hAnsi="宋体" w:cs="宋体"/>
                <w:b/>
                <w:bCs/>
                <w:color w:val="000000"/>
                <w:sz w:val="21"/>
                <w:szCs w:val="21"/>
                <w:highlight w:val="none"/>
                <w:lang w:bidi="ar"/>
              </w:rPr>
              <w:t>注：</w:t>
            </w:r>
            <w:r>
              <w:rPr>
                <w:rFonts w:hint="eastAsia" w:hAnsi="宋体" w:cs="宋体"/>
                <w:b/>
                <w:bCs/>
                <w:color w:val="000000"/>
                <w:sz w:val="21"/>
                <w:szCs w:val="21"/>
                <w:highlight w:val="none"/>
                <w:lang w:val="en-US" w:eastAsia="zh-CN" w:bidi="ar"/>
              </w:rPr>
              <w:t>1、</w:t>
            </w:r>
            <w:r>
              <w:rPr>
                <w:rFonts w:hint="eastAsia" w:hAnsi="宋体" w:cs="宋体"/>
                <w:b/>
                <w:bCs/>
                <w:color w:val="000000"/>
                <w:sz w:val="21"/>
                <w:szCs w:val="21"/>
                <w:highlight w:val="none"/>
                <w:lang w:bidi="ar"/>
              </w:rPr>
              <w:t>投标人须</w:t>
            </w:r>
            <w:r>
              <w:rPr>
                <w:rFonts w:hint="eastAsia" w:hAnsi="宋体" w:cs="宋体"/>
                <w:b/>
                <w:bCs/>
                <w:color w:val="000000"/>
                <w:sz w:val="21"/>
                <w:szCs w:val="21"/>
                <w:highlight w:val="none"/>
                <w:lang w:val="en-US" w:eastAsia="zh-CN" w:bidi="ar"/>
              </w:rPr>
              <w:t>下列业绩证明材料：</w:t>
            </w:r>
          </w:p>
          <w:p>
            <w:pPr>
              <w:widowControl/>
              <w:jc w:val="left"/>
              <w:rPr>
                <w:rFonts w:hint="eastAsia" w:hAnsi="宋体" w:eastAsia="宋体" w:cs="宋体"/>
                <w:b/>
                <w:bCs/>
                <w:color w:val="000000"/>
                <w:sz w:val="21"/>
                <w:szCs w:val="21"/>
                <w:highlight w:val="none"/>
                <w:lang w:eastAsia="zh-CN" w:bidi="ar"/>
              </w:rPr>
            </w:pPr>
            <w:r>
              <w:rPr>
                <w:rFonts w:hint="eastAsia" w:hAnsi="宋体" w:cs="宋体"/>
                <w:b/>
                <w:bCs/>
                <w:color w:val="000000"/>
                <w:sz w:val="21"/>
                <w:szCs w:val="21"/>
                <w:highlight w:val="none"/>
                <w:lang w:val="en-US" w:eastAsia="zh-CN" w:bidi="ar"/>
              </w:rPr>
              <w:t>（1）</w:t>
            </w:r>
            <w:r>
              <w:rPr>
                <w:rFonts w:hint="eastAsia" w:hAnsi="宋体" w:cs="宋体"/>
                <w:b/>
                <w:bCs/>
                <w:color w:val="000000"/>
                <w:sz w:val="21"/>
                <w:szCs w:val="21"/>
                <w:highlight w:val="none"/>
                <w:lang w:bidi="ar"/>
              </w:rPr>
              <w:t>符合要求的合同关键页</w:t>
            </w:r>
            <w:r>
              <w:rPr>
                <w:rFonts w:hint="eastAsia" w:hAnsi="宋体" w:cs="宋体"/>
                <w:b/>
                <w:bCs/>
                <w:color w:val="000000"/>
                <w:sz w:val="21"/>
                <w:szCs w:val="21"/>
                <w:highlight w:val="none"/>
                <w:lang w:eastAsia="zh-CN" w:bidi="ar"/>
              </w:rPr>
              <w:t>；</w:t>
            </w:r>
          </w:p>
          <w:p>
            <w:pPr>
              <w:widowControl/>
              <w:jc w:val="left"/>
              <w:rPr>
                <w:rFonts w:hint="eastAsia" w:hAnsi="宋体" w:cs="宋体"/>
                <w:b/>
                <w:bCs/>
                <w:color w:val="000000"/>
                <w:sz w:val="21"/>
                <w:szCs w:val="21"/>
                <w:highlight w:val="none"/>
                <w:lang w:eastAsia="zh-CN" w:bidi="ar"/>
              </w:rPr>
            </w:pPr>
            <w:r>
              <w:rPr>
                <w:rFonts w:hint="eastAsia" w:hAnsi="宋体" w:cs="宋体"/>
                <w:b/>
                <w:bCs/>
                <w:color w:val="000000"/>
                <w:sz w:val="21"/>
                <w:szCs w:val="21"/>
                <w:highlight w:val="none"/>
                <w:lang w:eastAsia="zh-CN" w:bidi="ar"/>
              </w:rPr>
              <w:t>（</w:t>
            </w:r>
            <w:r>
              <w:rPr>
                <w:rFonts w:hint="eastAsia" w:hAnsi="宋体" w:cs="宋体"/>
                <w:b/>
                <w:bCs/>
                <w:color w:val="000000"/>
                <w:sz w:val="21"/>
                <w:szCs w:val="21"/>
                <w:highlight w:val="none"/>
                <w:lang w:val="en-US" w:eastAsia="zh-CN" w:bidi="ar"/>
              </w:rPr>
              <w:t>2</w:t>
            </w:r>
            <w:r>
              <w:rPr>
                <w:rFonts w:hint="eastAsia" w:hAnsi="宋体" w:cs="宋体"/>
                <w:b/>
                <w:bCs/>
                <w:color w:val="000000"/>
                <w:sz w:val="21"/>
                <w:szCs w:val="21"/>
                <w:highlight w:val="none"/>
                <w:lang w:eastAsia="zh-CN" w:bidi="ar"/>
              </w:rPr>
              <w:t>）</w:t>
            </w:r>
            <w:r>
              <w:rPr>
                <w:rFonts w:hint="eastAsia" w:hAnsi="宋体" w:cs="宋体"/>
                <w:b/>
                <w:bCs/>
                <w:color w:val="000000"/>
                <w:sz w:val="21"/>
                <w:szCs w:val="21"/>
                <w:highlight w:val="none"/>
                <w:lang w:bidi="ar"/>
              </w:rPr>
              <w:t>工程竣工验收资料（工程竣工验收资料指：竣工验收报告或竣工验收单或竣工验收备案表，且必须不少于有建设、监理、施工、设计四方单位盖章认可）</w:t>
            </w:r>
            <w:r>
              <w:rPr>
                <w:rFonts w:hint="eastAsia" w:hAnsi="宋体" w:cs="宋体"/>
                <w:b/>
                <w:bCs/>
                <w:color w:val="000000"/>
                <w:sz w:val="21"/>
                <w:szCs w:val="21"/>
                <w:highlight w:val="none"/>
                <w:lang w:eastAsia="zh-CN" w:bidi="ar"/>
              </w:rPr>
              <w:t>；</w:t>
            </w:r>
          </w:p>
          <w:p>
            <w:pPr>
              <w:widowControl/>
              <w:jc w:val="left"/>
              <w:rPr>
                <w:rFonts w:hint="eastAsia" w:hAnsi="宋体" w:cs="宋体"/>
                <w:b/>
                <w:bCs/>
                <w:color w:val="000000"/>
                <w:sz w:val="21"/>
                <w:szCs w:val="21"/>
                <w:highlight w:val="none"/>
                <w:lang w:eastAsia="zh-CN" w:bidi="ar"/>
              </w:rPr>
            </w:pPr>
            <w:r>
              <w:rPr>
                <w:rFonts w:hint="eastAsia" w:hAnsi="宋体" w:cs="宋体"/>
                <w:b/>
                <w:bCs/>
                <w:color w:val="000000"/>
                <w:sz w:val="21"/>
                <w:szCs w:val="21"/>
                <w:highlight w:val="none"/>
                <w:lang w:val="en-US" w:eastAsia="zh-CN" w:bidi="ar"/>
              </w:rPr>
              <w:t>2、</w:t>
            </w:r>
            <w:r>
              <w:rPr>
                <w:rFonts w:hint="eastAsia" w:hAnsi="宋体" w:cs="宋体"/>
                <w:b/>
                <w:bCs/>
                <w:color w:val="000000"/>
                <w:sz w:val="21"/>
                <w:szCs w:val="21"/>
                <w:highlight w:val="none"/>
                <w:lang w:eastAsia="zh-CN" w:bidi="ar"/>
              </w:rPr>
              <w:t>本招标项目投标人业绩(详细评审)数量：3个。</w:t>
            </w:r>
            <w:r>
              <w:rPr>
                <w:rFonts w:hint="eastAsia" w:hAnsi="宋体" w:cs="宋体"/>
                <w:b/>
                <w:bCs/>
                <w:color w:val="000000"/>
                <w:sz w:val="21"/>
                <w:szCs w:val="21"/>
                <w:highlight w:val="none"/>
                <w:lang w:val="en-US" w:eastAsia="zh-CN" w:bidi="ar"/>
              </w:rPr>
              <w:t>3、如投标人提供的上述业绩证明材料未能完整或充分反映评审因素（如合同金额、项目负责人姓名、业绩内容等）的，应另附合同甲方证明材料（须加盖合同甲方单位章）予以明确说明，否则评标委员会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2" w:hRule="atLeast"/>
        </w:trPr>
        <w:tc>
          <w:tcPr>
            <w:tcW w:w="776" w:type="dxa"/>
            <w:vMerge w:val="continue"/>
            <w:noWrap w:val="0"/>
            <w:vAlign w:val="top"/>
          </w:tcPr>
          <w:p>
            <w:pPr>
              <w:snapToGrid w:val="0"/>
              <w:spacing w:line="360" w:lineRule="auto"/>
              <w:jc w:val="center"/>
              <w:rPr>
                <w:rFonts w:hint="eastAsia" w:hAnsi="宋体" w:cs="宋体"/>
                <w:bCs/>
                <w:sz w:val="21"/>
                <w:szCs w:val="21"/>
                <w:highlight w:val="none"/>
              </w:rPr>
            </w:pPr>
          </w:p>
        </w:tc>
        <w:tc>
          <w:tcPr>
            <w:tcW w:w="971" w:type="dxa"/>
            <w:vMerge w:val="continue"/>
            <w:noWrap w:val="0"/>
            <w:vAlign w:val="top"/>
          </w:tcPr>
          <w:p>
            <w:pPr>
              <w:snapToGrid w:val="0"/>
              <w:spacing w:line="360" w:lineRule="auto"/>
              <w:jc w:val="center"/>
              <w:rPr>
                <w:rFonts w:hint="eastAsia" w:hAnsi="宋体" w:cs="宋体"/>
                <w:bCs/>
                <w:sz w:val="21"/>
                <w:szCs w:val="21"/>
                <w:highlight w:val="none"/>
              </w:rPr>
            </w:pPr>
          </w:p>
        </w:tc>
        <w:tc>
          <w:tcPr>
            <w:tcW w:w="1274" w:type="dxa"/>
            <w:noWrap w:val="0"/>
            <w:tcMar>
              <w:left w:w="75" w:type="dxa"/>
            </w:tcMar>
            <w:vAlign w:val="center"/>
          </w:tcPr>
          <w:p>
            <w:pPr>
              <w:snapToGrid w:val="0"/>
              <w:spacing w:line="360" w:lineRule="auto"/>
              <w:jc w:val="center"/>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人员业绩</w:t>
            </w:r>
          </w:p>
        </w:tc>
        <w:tc>
          <w:tcPr>
            <w:tcW w:w="782" w:type="dxa"/>
            <w:noWrap w:val="0"/>
            <w:vAlign w:val="center"/>
          </w:tcPr>
          <w:p>
            <w:pPr>
              <w:widowControl/>
              <w:snapToGrid w:val="0"/>
              <w:spacing w:line="360" w:lineRule="auto"/>
              <w:jc w:val="center"/>
              <w:rPr>
                <w:rFonts w:hint="eastAsia" w:hAnsi="宋体" w:cs="宋体"/>
                <w:sz w:val="21"/>
                <w:szCs w:val="21"/>
                <w:highlight w:val="none"/>
              </w:rPr>
            </w:pPr>
            <w:r>
              <w:rPr>
                <w:rFonts w:hint="eastAsia" w:hAnsi="宋体" w:cs="宋体"/>
                <w:sz w:val="21"/>
                <w:szCs w:val="21"/>
                <w:highlight w:val="none"/>
                <w:lang w:val="en-US" w:eastAsia="zh-CN"/>
              </w:rPr>
              <w:t>9</w:t>
            </w:r>
            <w:r>
              <w:rPr>
                <w:rFonts w:hint="eastAsia" w:hAnsi="宋体" w:cs="宋体"/>
                <w:sz w:val="21"/>
                <w:szCs w:val="21"/>
                <w:highlight w:val="none"/>
              </w:rPr>
              <w:t>分</w:t>
            </w:r>
          </w:p>
        </w:tc>
        <w:tc>
          <w:tcPr>
            <w:tcW w:w="4627" w:type="dxa"/>
            <w:noWrap w:val="0"/>
            <w:vAlign w:val="center"/>
          </w:tcPr>
          <w:p>
            <w:pPr>
              <w:widowControl/>
              <w:jc w:val="left"/>
              <w:rPr>
                <w:rFonts w:hint="eastAsia" w:hAnsi="宋体" w:eastAsia="宋体" w:cs="宋体"/>
                <w:b w:val="0"/>
                <w:bCs w:val="0"/>
                <w:color w:val="000000"/>
                <w:sz w:val="21"/>
                <w:szCs w:val="21"/>
                <w:highlight w:val="none"/>
                <w:lang w:eastAsia="zh-CN" w:bidi="ar"/>
              </w:rPr>
            </w:pPr>
            <w:r>
              <w:rPr>
                <w:rFonts w:hint="eastAsia" w:hAnsi="宋体" w:eastAsia="宋体" w:cs="宋体"/>
                <w:b w:val="0"/>
                <w:bCs w:val="0"/>
                <w:color w:val="000000"/>
                <w:sz w:val="21"/>
                <w:szCs w:val="21"/>
                <w:highlight w:val="none"/>
                <w:lang w:eastAsia="zh-CN" w:bidi="ar"/>
              </w:rPr>
              <w:t>2022年1月1日以来（以竣工验收时间为准），拟派项目负责人（或技术负责人）具有建筑智能化或信息化项目业绩，且同时满足下列要求：</w:t>
            </w:r>
          </w:p>
          <w:p>
            <w:pPr>
              <w:widowControl/>
              <w:jc w:val="left"/>
              <w:rPr>
                <w:rFonts w:hint="eastAsia" w:hAnsi="宋体" w:eastAsia="宋体" w:cs="宋体"/>
                <w:b w:val="0"/>
                <w:bCs w:val="0"/>
                <w:color w:val="000000"/>
                <w:sz w:val="21"/>
                <w:szCs w:val="21"/>
                <w:highlight w:val="none"/>
                <w:lang w:eastAsia="zh-CN" w:bidi="ar"/>
              </w:rPr>
            </w:pPr>
            <w:r>
              <w:rPr>
                <w:rFonts w:hint="eastAsia" w:hAnsi="宋体" w:eastAsia="宋体" w:cs="宋体"/>
                <w:b w:val="0"/>
                <w:bCs w:val="0"/>
                <w:color w:val="000000"/>
                <w:sz w:val="21"/>
                <w:szCs w:val="21"/>
                <w:highlight w:val="none"/>
                <w:lang w:eastAsia="zh-CN" w:bidi="ar"/>
              </w:rPr>
              <w:t>（1）业绩中须包含以下基础系统中的任意三项：计算机网络系统、视频监控系统、机房工程、公共广播系统、多媒体教学系统、多媒体会议系统（系统功能一致即可，系统名称无须完全一致）；</w:t>
            </w:r>
          </w:p>
          <w:p>
            <w:pPr>
              <w:widowControl/>
              <w:jc w:val="left"/>
              <w:rPr>
                <w:rFonts w:hint="eastAsia" w:hAnsi="宋体" w:eastAsia="宋体" w:cs="宋体"/>
                <w:b w:val="0"/>
                <w:bCs w:val="0"/>
                <w:color w:val="000000"/>
                <w:sz w:val="21"/>
                <w:szCs w:val="21"/>
                <w:highlight w:val="none"/>
                <w:lang w:eastAsia="zh-CN" w:bidi="ar"/>
              </w:rPr>
            </w:pPr>
            <w:r>
              <w:rPr>
                <w:rFonts w:hint="eastAsia" w:hAnsi="宋体" w:eastAsia="宋体" w:cs="宋体"/>
                <w:b w:val="0"/>
                <w:bCs w:val="0"/>
                <w:color w:val="000000"/>
                <w:sz w:val="21"/>
                <w:szCs w:val="21"/>
                <w:highlight w:val="none"/>
                <w:lang w:eastAsia="zh-CN" w:bidi="ar"/>
              </w:rPr>
              <w:t>（2）单个合同总金额不少于240万元。</w:t>
            </w:r>
          </w:p>
          <w:p>
            <w:pPr>
              <w:widowControl/>
              <w:jc w:val="left"/>
              <w:rPr>
                <w:rFonts w:hint="eastAsia" w:hAnsi="宋体" w:eastAsia="宋体" w:cs="宋体"/>
                <w:b w:val="0"/>
                <w:bCs w:val="0"/>
                <w:color w:val="000000"/>
                <w:sz w:val="21"/>
                <w:szCs w:val="21"/>
                <w:highlight w:val="none"/>
                <w:lang w:eastAsia="zh-CN" w:bidi="ar"/>
              </w:rPr>
            </w:pPr>
            <w:r>
              <w:rPr>
                <w:rFonts w:hint="eastAsia" w:hAnsi="宋体" w:eastAsia="宋体" w:cs="宋体"/>
                <w:b w:val="0"/>
                <w:bCs w:val="0"/>
                <w:color w:val="000000"/>
                <w:sz w:val="21"/>
                <w:szCs w:val="21"/>
                <w:highlight w:val="none"/>
                <w:lang w:eastAsia="zh-CN" w:bidi="ar"/>
              </w:rPr>
              <w:t>每提供一个符合上述要求的业绩得</w:t>
            </w:r>
            <w:r>
              <w:rPr>
                <w:rFonts w:hint="eastAsia" w:hAnsi="宋体" w:cs="宋体"/>
                <w:b w:val="0"/>
                <w:bCs w:val="0"/>
                <w:color w:val="000000"/>
                <w:sz w:val="21"/>
                <w:szCs w:val="21"/>
                <w:highlight w:val="none"/>
                <w:lang w:val="en-US" w:eastAsia="zh-CN" w:bidi="ar"/>
              </w:rPr>
              <w:t>3</w:t>
            </w:r>
            <w:r>
              <w:rPr>
                <w:rFonts w:hint="eastAsia" w:hAnsi="宋体" w:eastAsia="宋体" w:cs="宋体"/>
                <w:b w:val="0"/>
                <w:bCs w:val="0"/>
                <w:color w:val="000000"/>
                <w:sz w:val="21"/>
                <w:szCs w:val="21"/>
                <w:highlight w:val="none"/>
                <w:lang w:eastAsia="zh-CN" w:bidi="ar"/>
              </w:rPr>
              <w:t>分，满分</w:t>
            </w:r>
            <w:r>
              <w:rPr>
                <w:rFonts w:hint="eastAsia" w:hAnsi="宋体" w:cs="宋体"/>
                <w:b w:val="0"/>
                <w:bCs w:val="0"/>
                <w:color w:val="000000"/>
                <w:sz w:val="21"/>
                <w:szCs w:val="21"/>
                <w:highlight w:val="none"/>
                <w:lang w:val="en-US" w:eastAsia="zh-CN" w:bidi="ar"/>
              </w:rPr>
              <w:t>9</w:t>
            </w:r>
            <w:r>
              <w:rPr>
                <w:rFonts w:hint="eastAsia" w:hAnsi="宋体" w:eastAsia="宋体" w:cs="宋体"/>
                <w:b w:val="0"/>
                <w:bCs w:val="0"/>
                <w:color w:val="000000"/>
                <w:sz w:val="21"/>
                <w:szCs w:val="21"/>
                <w:highlight w:val="none"/>
                <w:lang w:eastAsia="zh-CN" w:bidi="ar"/>
              </w:rPr>
              <w:t>分。</w:t>
            </w:r>
          </w:p>
          <w:p>
            <w:pPr>
              <w:widowControl/>
              <w:jc w:val="left"/>
              <w:rPr>
                <w:rFonts w:hint="eastAsia" w:hAnsi="宋体" w:cs="宋体"/>
                <w:b/>
                <w:bCs/>
                <w:color w:val="000000"/>
                <w:sz w:val="21"/>
                <w:szCs w:val="21"/>
                <w:highlight w:val="none"/>
                <w:lang w:val="en-US" w:eastAsia="zh-CN" w:bidi="ar"/>
              </w:rPr>
            </w:pPr>
            <w:r>
              <w:rPr>
                <w:rFonts w:hint="eastAsia" w:hAnsi="宋体" w:eastAsia="宋体" w:cs="宋体"/>
                <w:b/>
                <w:bCs/>
                <w:color w:val="000000"/>
                <w:sz w:val="21"/>
                <w:szCs w:val="21"/>
                <w:highlight w:val="none"/>
                <w:lang w:eastAsia="zh-CN" w:bidi="ar"/>
              </w:rPr>
              <w:t>注：</w:t>
            </w:r>
            <w:r>
              <w:rPr>
                <w:rFonts w:hint="eastAsia" w:hAnsi="宋体" w:cs="宋体"/>
                <w:b/>
                <w:bCs/>
                <w:color w:val="000000"/>
                <w:sz w:val="21"/>
                <w:szCs w:val="21"/>
                <w:highlight w:val="none"/>
                <w:lang w:val="en-US" w:eastAsia="zh-CN" w:bidi="ar"/>
              </w:rPr>
              <w:t>1、</w:t>
            </w:r>
            <w:r>
              <w:rPr>
                <w:rFonts w:hint="eastAsia" w:hAnsi="宋体" w:cs="宋体"/>
                <w:b/>
                <w:bCs/>
                <w:color w:val="000000"/>
                <w:sz w:val="21"/>
                <w:szCs w:val="21"/>
                <w:highlight w:val="none"/>
                <w:lang w:bidi="ar"/>
              </w:rPr>
              <w:t>投标人须</w:t>
            </w:r>
            <w:r>
              <w:rPr>
                <w:rFonts w:hint="eastAsia" w:hAnsi="宋体" w:cs="宋体"/>
                <w:b/>
                <w:bCs/>
                <w:color w:val="000000"/>
                <w:sz w:val="21"/>
                <w:szCs w:val="21"/>
                <w:highlight w:val="none"/>
                <w:lang w:val="en-US" w:eastAsia="zh-CN" w:bidi="ar"/>
              </w:rPr>
              <w:t>下列业绩证明材料：</w:t>
            </w:r>
          </w:p>
          <w:p>
            <w:pPr>
              <w:widowControl/>
              <w:jc w:val="left"/>
              <w:rPr>
                <w:rFonts w:hint="eastAsia" w:hAnsi="宋体" w:eastAsia="宋体" w:cs="宋体"/>
                <w:b/>
                <w:bCs/>
                <w:color w:val="000000"/>
                <w:sz w:val="21"/>
                <w:szCs w:val="21"/>
                <w:highlight w:val="none"/>
                <w:lang w:eastAsia="zh-CN" w:bidi="ar"/>
              </w:rPr>
            </w:pPr>
            <w:r>
              <w:rPr>
                <w:rFonts w:hint="eastAsia" w:hAnsi="宋体" w:cs="宋体"/>
                <w:b/>
                <w:bCs/>
                <w:color w:val="000000"/>
                <w:sz w:val="21"/>
                <w:szCs w:val="21"/>
                <w:highlight w:val="none"/>
                <w:lang w:val="en-US" w:eastAsia="zh-CN" w:bidi="ar"/>
              </w:rPr>
              <w:t>（1）</w:t>
            </w:r>
            <w:r>
              <w:rPr>
                <w:rFonts w:hint="eastAsia" w:hAnsi="宋体" w:cs="宋体"/>
                <w:b/>
                <w:bCs/>
                <w:color w:val="000000"/>
                <w:sz w:val="21"/>
                <w:szCs w:val="21"/>
                <w:highlight w:val="none"/>
                <w:lang w:bidi="ar"/>
              </w:rPr>
              <w:t>符合要求的合同关键页</w:t>
            </w:r>
            <w:r>
              <w:rPr>
                <w:rFonts w:hint="eastAsia" w:hAnsi="宋体" w:cs="宋体"/>
                <w:b/>
                <w:bCs/>
                <w:color w:val="000000"/>
                <w:sz w:val="21"/>
                <w:szCs w:val="21"/>
                <w:highlight w:val="none"/>
                <w:lang w:eastAsia="zh-CN" w:bidi="ar"/>
              </w:rPr>
              <w:t>；</w:t>
            </w:r>
          </w:p>
          <w:p>
            <w:pPr>
              <w:widowControl/>
              <w:jc w:val="left"/>
              <w:rPr>
                <w:rFonts w:hint="eastAsia" w:hAnsi="宋体" w:cs="宋体"/>
                <w:b/>
                <w:bCs/>
                <w:color w:val="000000"/>
                <w:sz w:val="21"/>
                <w:szCs w:val="21"/>
                <w:highlight w:val="none"/>
                <w:lang w:eastAsia="zh-CN" w:bidi="ar"/>
              </w:rPr>
            </w:pPr>
            <w:r>
              <w:rPr>
                <w:rFonts w:hint="eastAsia" w:hAnsi="宋体" w:cs="宋体"/>
                <w:b/>
                <w:bCs/>
                <w:color w:val="000000"/>
                <w:sz w:val="21"/>
                <w:szCs w:val="21"/>
                <w:highlight w:val="none"/>
                <w:lang w:eastAsia="zh-CN" w:bidi="ar"/>
              </w:rPr>
              <w:t>（</w:t>
            </w:r>
            <w:r>
              <w:rPr>
                <w:rFonts w:hint="eastAsia" w:hAnsi="宋体" w:cs="宋体"/>
                <w:b/>
                <w:bCs/>
                <w:color w:val="000000"/>
                <w:sz w:val="21"/>
                <w:szCs w:val="21"/>
                <w:highlight w:val="none"/>
                <w:lang w:val="en-US" w:eastAsia="zh-CN" w:bidi="ar"/>
              </w:rPr>
              <w:t>2</w:t>
            </w:r>
            <w:r>
              <w:rPr>
                <w:rFonts w:hint="eastAsia" w:hAnsi="宋体" w:cs="宋体"/>
                <w:b/>
                <w:bCs/>
                <w:color w:val="000000"/>
                <w:sz w:val="21"/>
                <w:szCs w:val="21"/>
                <w:highlight w:val="none"/>
                <w:lang w:eastAsia="zh-CN" w:bidi="ar"/>
              </w:rPr>
              <w:t>）</w:t>
            </w:r>
            <w:r>
              <w:rPr>
                <w:rFonts w:hint="eastAsia" w:hAnsi="宋体" w:cs="宋体"/>
                <w:b/>
                <w:bCs/>
                <w:color w:val="000000"/>
                <w:sz w:val="21"/>
                <w:szCs w:val="21"/>
                <w:highlight w:val="none"/>
                <w:lang w:bidi="ar"/>
              </w:rPr>
              <w:t>工程竣工验收资料（工程竣工验收资料指：竣工验收报告或竣工验收单或竣工验收备案表，且必须不少于有建设、监理、施工、设计四方单位盖章认可）</w:t>
            </w:r>
            <w:r>
              <w:rPr>
                <w:rFonts w:hint="eastAsia" w:hAnsi="宋体" w:cs="宋体"/>
                <w:b/>
                <w:bCs/>
                <w:color w:val="000000"/>
                <w:sz w:val="21"/>
                <w:szCs w:val="21"/>
                <w:highlight w:val="none"/>
                <w:lang w:eastAsia="zh-CN" w:bidi="ar"/>
              </w:rPr>
              <w:t>；</w:t>
            </w:r>
          </w:p>
          <w:p>
            <w:pPr>
              <w:widowControl/>
              <w:jc w:val="left"/>
              <w:rPr>
                <w:rFonts w:hint="eastAsia" w:hAnsi="宋体" w:eastAsia="宋体" w:cs="宋体"/>
                <w:b/>
                <w:bCs/>
                <w:color w:val="000000"/>
                <w:sz w:val="21"/>
                <w:szCs w:val="21"/>
                <w:highlight w:val="none"/>
                <w:lang w:eastAsia="zh-CN" w:bidi="ar"/>
              </w:rPr>
            </w:pPr>
            <w:r>
              <w:rPr>
                <w:rFonts w:hint="eastAsia" w:hAnsi="宋体" w:cs="宋体"/>
                <w:b/>
                <w:bCs/>
                <w:color w:val="000000"/>
                <w:sz w:val="21"/>
                <w:szCs w:val="21"/>
                <w:highlight w:val="none"/>
                <w:lang w:val="en-US" w:eastAsia="zh-CN" w:bidi="ar"/>
              </w:rPr>
              <w:t>2、</w:t>
            </w:r>
            <w:r>
              <w:rPr>
                <w:rFonts w:hint="eastAsia" w:hAnsi="宋体" w:eastAsia="宋体" w:cs="宋体"/>
                <w:b/>
                <w:bCs/>
                <w:color w:val="000000"/>
                <w:sz w:val="21"/>
                <w:szCs w:val="21"/>
                <w:highlight w:val="none"/>
                <w:lang w:eastAsia="zh-CN" w:bidi="ar"/>
              </w:rPr>
              <w:t>投标人提供的人员业绩证明材料应反映出本招标项目拟任的项目负责人（或技术负责人）在此业绩中担任</w:t>
            </w:r>
            <w:r>
              <w:rPr>
                <w:rFonts w:hint="eastAsia" w:hAnsi="宋体" w:cs="宋体"/>
                <w:b/>
                <w:bCs/>
                <w:color w:val="000000"/>
                <w:sz w:val="21"/>
                <w:szCs w:val="21"/>
                <w:highlight w:val="none"/>
                <w:lang w:val="en-US" w:eastAsia="zh-CN" w:bidi="ar"/>
              </w:rPr>
              <w:t>项目负责人或</w:t>
            </w:r>
            <w:r>
              <w:rPr>
                <w:rFonts w:hint="eastAsia" w:hAnsi="宋体" w:eastAsia="宋体" w:cs="宋体"/>
                <w:b/>
                <w:bCs/>
                <w:color w:val="000000"/>
                <w:sz w:val="21"/>
                <w:szCs w:val="21"/>
                <w:highlight w:val="none"/>
                <w:lang w:eastAsia="zh-CN" w:bidi="ar"/>
              </w:rPr>
              <w:t>项目经理的</w:t>
            </w:r>
            <w:r>
              <w:rPr>
                <w:rFonts w:hint="eastAsia" w:hAnsi="宋体" w:cs="宋体"/>
                <w:b/>
                <w:bCs/>
                <w:color w:val="000000"/>
                <w:sz w:val="21"/>
                <w:szCs w:val="21"/>
                <w:highlight w:val="none"/>
                <w:lang w:val="en-US" w:eastAsia="zh-CN" w:bidi="ar"/>
              </w:rPr>
              <w:t>或技术负责人</w:t>
            </w:r>
            <w:r>
              <w:rPr>
                <w:rFonts w:hint="eastAsia" w:hAnsi="宋体" w:eastAsia="宋体" w:cs="宋体"/>
                <w:b/>
                <w:bCs/>
                <w:color w:val="000000"/>
                <w:sz w:val="21"/>
                <w:szCs w:val="21"/>
                <w:highlight w:val="none"/>
                <w:lang w:eastAsia="zh-CN" w:bidi="ar"/>
              </w:rPr>
              <w:t xml:space="preserve">岗位。 </w:t>
            </w:r>
          </w:p>
          <w:p>
            <w:pPr>
              <w:widowControl/>
              <w:jc w:val="left"/>
              <w:rPr>
                <w:rFonts w:hint="eastAsia" w:hAnsi="宋体" w:eastAsia="宋体" w:cs="宋体"/>
                <w:b/>
                <w:bCs/>
                <w:color w:val="000000"/>
                <w:sz w:val="21"/>
                <w:szCs w:val="21"/>
                <w:highlight w:val="none"/>
                <w:lang w:eastAsia="zh-CN" w:bidi="ar"/>
              </w:rPr>
            </w:pPr>
            <w:r>
              <w:rPr>
                <w:rFonts w:hint="eastAsia" w:hAnsi="宋体" w:cs="宋体"/>
                <w:b/>
                <w:bCs/>
                <w:color w:val="000000"/>
                <w:sz w:val="21"/>
                <w:szCs w:val="21"/>
                <w:highlight w:val="none"/>
                <w:lang w:val="en-US" w:eastAsia="zh-CN" w:bidi="ar"/>
              </w:rPr>
              <w:t>3</w:t>
            </w:r>
            <w:r>
              <w:rPr>
                <w:rFonts w:hint="eastAsia" w:hAnsi="宋体" w:eastAsia="宋体" w:cs="宋体"/>
                <w:b/>
                <w:bCs/>
                <w:color w:val="000000"/>
                <w:sz w:val="21"/>
                <w:szCs w:val="21"/>
                <w:highlight w:val="none"/>
                <w:lang w:eastAsia="zh-CN" w:bidi="ar"/>
              </w:rPr>
              <w:t>.人员业绩与投标人业绩可重复</w:t>
            </w:r>
            <w:r>
              <w:rPr>
                <w:rFonts w:hint="eastAsia" w:hAnsi="宋体" w:cs="宋体"/>
                <w:b/>
                <w:bCs/>
                <w:color w:val="000000"/>
                <w:sz w:val="21"/>
                <w:szCs w:val="21"/>
                <w:highlight w:val="none"/>
                <w:lang w:val="en-US" w:eastAsia="zh-CN" w:bidi="ar"/>
              </w:rPr>
              <w:t>计分</w:t>
            </w:r>
            <w:r>
              <w:rPr>
                <w:rFonts w:hint="eastAsia" w:hAnsi="宋体" w:eastAsia="宋体" w:cs="宋体"/>
                <w:b/>
                <w:bCs/>
                <w:color w:val="000000"/>
                <w:sz w:val="21"/>
                <w:szCs w:val="21"/>
                <w:highlight w:val="none"/>
                <w:lang w:eastAsia="zh-CN" w:bidi="ar"/>
              </w:rPr>
              <w:t xml:space="preserve">。 </w:t>
            </w:r>
          </w:p>
          <w:p>
            <w:pPr>
              <w:widowControl/>
              <w:jc w:val="left"/>
              <w:rPr>
                <w:rFonts w:hint="eastAsia" w:hAnsi="宋体" w:eastAsia="宋体" w:cs="宋体"/>
                <w:b/>
                <w:bCs/>
                <w:color w:val="000000"/>
                <w:sz w:val="21"/>
                <w:szCs w:val="21"/>
                <w:highlight w:val="none"/>
                <w:lang w:eastAsia="zh-CN" w:bidi="ar"/>
              </w:rPr>
            </w:pPr>
            <w:r>
              <w:rPr>
                <w:rFonts w:hint="eastAsia" w:hAnsi="宋体" w:cs="宋体"/>
                <w:b/>
                <w:bCs/>
                <w:color w:val="000000"/>
                <w:sz w:val="21"/>
                <w:szCs w:val="21"/>
                <w:highlight w:val="none"/>
                <w:lang w:val="en-US" w:eastAsia="zh-CN" w:bidi="ar"/>
              </w:rPr>
              <w:t>4</w:t>
            </w:r>
            <w:r>
              <w:rPr>
                <w:rFonts w:hint="eastAsia" w:hAnsi="宋体" w:eastAsia="宋体" w:cs="宋体"/>
                <w:b/>
                <w:bCs/>
                <w:color w:val="000000"/>
                <w:sz w:val="21"/>
                <w:szCs w:val="21"/>
                <w:highlight w:val="none"/>
                <w:lang w:eastAsia="zh-CN" w:bidi="ar"/>
              </w:rPr>
              <w:t>.本招标项目人员业绩(详细评审)数量</w:t>
            </w:r>
            <w:r>
              <w:rPr>
                <w:rFonts w:hint="eastAsia" w:hAnsi="宋体" w:cs="宋体"/>
                <w:b/>
                <w:bCs/>
                <w:color w:val="000000"/>
                <w:sz w:val="21"/>
                <w:szCs w:val="21"/>
                <w:highlight w:val="none"/>
                <w:lang w:eastAsia="zh-CN" w:bidi="ar"/>
              </w:rPr>
              <w:t>：</w:t>
            </w:r>
            <w:r>
              <w:rPr>
                <w:rFonts w:hint="eastAsia" w:hAnsi="宋体" w:eastAsia="宋体" w:cs="宋体"/>
                <w:b/>
                <w:bCs/>
                <w:color w:val="000000"/>
                <w:sz w:val="21"/>
                <w:szCs w:val="21"/>
                <w:highlight w:val="none"/>
                <w:lang w:eastAsia="zh-CN" w:bidi="ar"/>
              </w:rPr>
              <w:t>2个。</w:t>
            </w:r>
          </w:p>
          <w:p>
            <w:pPr>
              <w:widowControl/>
              <w:jc w:val="left"/>
              <w:rPr>
                <w:rFonts w:hint="default" w:hAnsi="宋体" w:eastAsia="宋体" w:cs="宋体"/>
                <w:b/>
                <w:bCs/>
                <w:color w:val="000000"/>
                <w:sz w:val="21"/>
                <w:szCs w:val="21"/>
                <w:highlight w:val="none"/>
                <w:lang w:val="en-US" w:eastAsia="zh-CN" w:bidi="ar"/>
              </w:rPr>
            </w:pPr>
            <w:r>
              <w:rPr>
                <w:rFonts w:hint="eastAsia" w:hAnsi="宋体" w:cs="宋体"/>
                <w:b/>
                <w:bCs/>
                <w:color w:val="000000"/>
                <w:sz w:val="21"/>
                <w:szCs w:val="21"/>
                <w:highlight w:val="none"/>
                <w:lang w:val="en-US" w:eastAsia="zh-CN" w:bidi="ar"/>
              </w:rPr>
              <w:t>5、如投标人提供的上述业绩证明材料未能完整或充分反映评审因素（如合同金额、项目负责人姓名、业绩内容等）的，应另附合同甲方证明材料（须加盖合同甲方单位章）予以明确说明，否则评标委员会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776" w:type="dxa"/>
            <w:vMerge w:val="restart"/>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2.2.2（3）</w:t>
            </w:r>
          </w:p>
        </w:tc>
        <w:tc>
          <w:tcPr>
            <w:tcW w:w="971" w:type="dxa"/>
            <w:vMerge w:val="restart"/>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报价文件评分标准</w:t>
            </w:r>
          </w:p>
        </w:tc>
        <w:tc>
          <w:tcPr>
            <w:tcW w:w="1274" w:type="dxa"/>
            <w:noWrap w:val="0"/>
            <w:vAlign w:val="center"/>
          </w:tcPr>
          <w:p>
            <w:pPr>
              <w:spacing w:line="360" w:lineRule="auto"/>
              <w:jc w:val="center"/>
              <w:rPr>
                <w:rFonts w:hint="eastAsia" w:hAnsi="宋体" w:eastAsia="宋体" w:cs="宋体"/>
                <w:sz w:val="21"/>
                <w:szCs w:val="21"/>
                <w:highlight w:val="none"/>
                <w:lang w:eastAsia="zh-CN"/>
              </w:rPr>
            </w:pPr>
            <w:r>
              <w:rPr>
                <w:rFonts w:hint="eastAsia" w:hAnsi="宋体" w:cs="宋体"/>
                <w:sz w:val="21"/>
                <w:szCs w:val="21"/>
                <w:highlight w:val="none"/>
                <w:lang w:val="en-US" w:eastAsia="zh-CN"/>
              </w:rPr>
              <w:t>价格分</w:t>
            </w:r>
          </w:p>
        </w:tc>
        <w:tc>
          <w:tcPr>
            <w:tcW w:w="782" w:type="dxa"/>
            <w:noWrap w:val="0"/>
            <w:vAlign w:val="center"/>
          </w:tcPr>
          <w:p>
            <w:pPr>
              <w:spacing w:line="360" w:lineRule="auto"/>
              <w:ind w:firstLine="210" w:firstLineChars="100"/>
              <w:jc w:val="left"/>
              <w:rPr>
                <w:rFonts w:hint="eastAsia" w:hAnsi="宋体" w:cs="宋体"/>
                <w:sz w:val="21"/>
                <w:szCs w:val="21"/>
                <w:highlight w:val="none"/>
              </w:rPr>
            </w:pPr>
            <w:r>
              <w:rPr>
                <w:rFonts w:hint="eastAsia" w:hAnsi="宋体" w:cs="宋体"/>
                <w:sz w:val="21"/>
                <w:szCs w:val="21"/>
                <w:highlight w:val="none"/>
                <w:lang w:val="en-US" w:eastAsia="zh-CN"/>
              </w:rPr>
              <w:t>40</w:t>
            </w:r>
            <w:r>
              <w:rPr>
                <w:rFonts w:hint="eastAsia" w:hAnsi="宋体" w:cs="宋体"/>
                <w:sz w:val="21"/>
                <w:szCs w:val="21"/>
                <w:highlight w:val="none"/>
              </w:rPr>
              <w:t>分</w:t>
            </w:r>
          </w:p>
        </w:tc>
        <w:tc>
          <w:tcPr>
            <w:tcW w:w="4627" w:type="dxa"/>
            <w:noWrap w:val="0"/>
            <w:vAlign w:val="center"/>
          </w:tcPr>
          <w:p>
            <w:pPr>
              <w:widowControl/>
              <w:spacing w:line="360" w:lineRule="auto"/>
              <w:jc w:val="left"/>
              <w:rPr>
                <w:rFonts w:hint="eastAsia" w:hAnsi="宋体" w:cs="宋体"/>
                <w:spacing w:val="-2"/>
                <w:sz w:val="21"/>
                <w:szCs w:val="21"/>
                <w:highlight w:val="none"/>
              </w:rPr>
            </w:pPr>
            <w:r>
              <w:rPr>
                <w:rFonts w:hint="eastAsia" w:hAnsi="宋体" w:cs="宋体"/>
                <w:spacing w:val="-2"/>
                <w:sz w:val="21"/>
                <w:szCs w:val="21"/>
                <w:highlight w:val="none"/>
              </w:rPr>
              <w:t>①确定评标价</w:t>
            </w:r>
          </w:p>
          <w:p>
            <w:pPr>
              <w:widowControl/>
              <w:spacing w:line="360" w:lineRule="auto"/>
              <w:jc w:val="left"/>
              <w:rPr>
                <w:rFonts w:hint="eastAsia" w:hAnsi="宋体" w:cs="宋体"/>
                <w:spacing w:val="-2"/>
                <w:sz w:val="21"/>
                <w:szCs w:val="21"/>
                <w:highlight w:val="none"/>
              </w:rPr>
            </w:pPr>
            <w:r>
              <w:rPr>
                <w:rFonts w:hint="eastAsia" w:hAnsi="宋体" w:cs="宋体"/>
                <w:spacing w:val="-2"/>
                <w:sz w:val="21"/>
                <w:szCs w:val="21"/>
                <w:highlight w:val="none"/>
              </w:rPr>
              <w:t>评标价=投标函文字报价</w:t>
            </w:r>
          </w:p>
          <w:p>
            <w:pPr>
              <w:widowControl/>
              <w:spacing w:line="360" w:lineRule="auto"/>
              <w:jc w:val="left"/>
              <w:rPr>
                <w:rFonts w:hint="eastAsia" w:hAnsi="宋体" w:cs="宋体"/>
                <w:spacing w:val="-2"/>
                <w:sz w:val="21"/>
                <w:szCs w:val="21"/>
                <w:highlight w:val="none"/>
              </w:rPr>
            </w:pPr>
            <w:r>
              <w:rPr>
                <w:rFonts w:hint="eastAsia" w:hAnsi="宋体" w:cs="宋体"/>
                <w:spacing w:val="-2"/>
                <w:sz w:val="21"/>
                <w:szCs w:val="21"/>
                <w:highlight w:val="none"/>
              </w:rPr>
              <w:t>②确定评标基准价</w:t>
            </w:r>
          </w:p>
          <w:p>
            <w:pPr>
              <w:widowControl/>
              <w:spacing w:line="360" w:lineRule="auto"/>
              <w:jc w:val="left"/>
              <w:rPr>
                <w:rFonts w:hint="eastAsia" w:hAnsi="宋体" w:cs="宋体"/>
                <w:spacing w:val="-2"/>
                <w:sz w:val="21"/>
                <w:szCs w:val="21"/>
                <w:highlight w:val="none"/>
              </w:rPr>
            </w:pPr>
            <w:r>
              <w:rPr>
                <w:rFonts w:hint="eastAsia" w:hAnsi="宋体" w:cs="宋体"/>
                <w:spacing w:val="-2"/>
                <w:sz w:val="21"/>
                <w:szCs w:val="21"/>
                <w:highlight w:val="none"/>
              </w:rPr>
              <w:t>以通过报价文件初步评审的投标文件的最低评标价作为评标基准价</w:t>
            </w:r>
          </w:p>
          <w:p>
            <w:pPr>
              <w:widowControl/>
              <w:spacing w:line="360" w:lineRule="auto"/>
              <w:jc w:val="left"/>
              <w:rPr>
                <w:rFonts w:hint="eastAsia" w:hAnsi="宋体" w:cs="宋体"/>
                <w:spacing w:val="-2"/>
                <w:sz w:val="21"/>
                <w:szCs w:val="21"/>
                <w:highlight w:val="none"/>
              </w:rPr>
            </w:pPr>
            <w:r>
              <w:rPr>
                <w:rFonts w:hint="eastAsia" w:hAnsi="宋体" w:cs="宋体"/>
                <w:spacing w:val="-2"/>
                <w:sz w:val="21"/>
                <w:szCs w:val="21"/>
                <w:highlight w:val="none"/>
              </w:rPr>
              <w:t>③评标价得分计算</w:t>
            </w:r>
          </w:p>
          <w:p>
            <w:pPr>
              <w:widowControl/>
              <w:spacing w:line="360" w:lineRule="auto"/>
              <w:jc w:val="left"/>
              <w:rPr>
                <w:rFonts w:hint="eastAsia" w:hAnsi="宋体" w:cs="宋体"/>
                <w:spacing w:val="-2"/>
                <w:sz w:val="21"/>
                <w:szCs w:val="21"/>
                <w:highlight w:val="none"/>
              </w:rPr>
            </w:pPr>
            <w:r>
              <w:rPr>
                <w:rFonts w:hint="eastAsia" w:hAnsi="宋体" w:cs="宋体"/>
                <w:spacing w:val="-2"/>
                <w:sz w:val="21"/>
                <w:szCs w:val="21"/>
                <w:highlight w:val="none"/>
              </w:rPr>
              <w:t>评标价得分按照下列公式计算：评标价得分＝（评标基准价/评标价）*F。</w:t>
            </w:r>
          </w:p>
          <w:p>
            <w:pPr>
              <w:widowControl/>
              <w:spacing w:line="360" w:lineRule="auto"/>
              <w:jc w:val="left"/>
              <w:rPr>
                <w:rFonts w:hint="eastAsia" w:hAnsi="宋体" w:cs="宋体"/>
                <w:spacing w:val="-2"/>
                <w:sz w:val="21"/>
                <w:szCs w:val="21"/>
                <w:highlight w:val="none"/>
              </w:rPr>
            </w:pPr>
            <w:r>
              <w:rPr>
                <w:rFonts w:hint="eastAsia" w:hAnsi="宋体" w:cs="宋体"/>
                <w:spacing w:val="-2"/>
                <w:sz w:val="21"/>
                <w:szCs w:val="21"/>
                <w:highlight w:val="none"/>
              </w:rPr>
              <w:t>其中：F=</w:t>
            </w:r>
            <w:r>
              <w:rPr>
                <w:rFonts w:hint="eastAsia" w:hAnsi="宋体" w:cs="宋体"/>
                <w:spacing w:val="-2"/>
                <w:sz w:val="21"/>
                <w:szCs w:val="21"/>
                <w:highlight w:val="none"/>
                <w:lang w:val="en-US" w:eastAsia="zh-CN"/>
              </w:rPr>
              <w:t>40</w:t>
            </w:r>
            <w:r>
              <w:rPr>
                <w:rFonts w:hint="eastAsia" w:hAnsi="宋体" w:cs="宋体"/>
                <w:spacing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trPr>
        <w:tc>
          <w:tcPr>
            <w:tcW w:w="776" w:type="dxa"/>
            <w:vMerge w:val="continue"/>
            <w:noWrap w:val="0"/>
            <w:vAlign w:val="center"/>
          </w:tcPr>
          <w:p>
            <w:pPr>
              <w:spacing w:line="360" w:lineRule="auto"/>
              <w:jc w:val="center"/>
              <w:rPr>
                <w:rFonts w:hint="eastAsia" w:hAnsi="宋体" w:cs="宋体"/>
                <w:sz w:val="21"/>
                <w:szCs w:val="21"/>
                <w:highlight w:val="none"/>
              </w:rPr>
            </w:pPr>
          </w:p>
        </w:tc>
        <w:tc>
          <w:tcPr>
            <w:tcW w:w="971" w:type="dxa"/>
            <w:vMerge w:val="continue"/>
            <w:noWrap w:val="0"/>
            <w:vAlign w:val="center"/>
          </w:tcPr>
          <w:p>
            <w:pPr>
              <w:spacing w:line="360" w:lineRule="auto"/>
              <w:jc w:val="center"/>
              <w:rPr>
                <w:rFonts w:hint="eastAsia" w:hAnsi="宋体" w:cs="宋体"/>
                <w:sz w:val="21"/>
                <w:szCs w:val="21"/>
                <w:highlight w:val="none"/>
              </w:rPr>
            </w:pPr>
          </w:p>
        </w:tc>
        <w:tc>
          <w:tcPr>
            <w:tcW w:w="1274" w:type="dxa"/>
            <w:noWrap w:val="0"/>
            <w:vAlign w:val="center"/>
          </w:tcPr>
          <w:p>
            <w:pPr>
              <w:spacing w:line="360" w:lineRule="auto"/>
              <w:jc w:val="center"/>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合理性得分</w:t>
            </w:r>
          </w:p>
        </w:tc>
        <w:tc>
          <w:tcPr>
            <w:tcW w:w="782" w:type="dxa"/>
            <w:noWrap w:val="0"/>
            <w:vAlign w:val="center"/>
          </w:tcPr>
          <w:p>
            <w:pPr>
              <w:spacing w:line="360" w:lineRule="auto"/>
              <w:ind w:firstLine="210" w:firstLineChars="100"/>
              <w:jc w:val="left"/>
              <w:rPr>
                <w:rFonts w:hint="default" w:hAnsi="宋体" w:cs="宋体"/>
                <w:sz w:val="21"/>
                <w:szCs w:val="21"/>
                <w:highlight w:val="none"/>
                <w:lang w:val="en-US" w:eastAsia="zh-CN"/>
              </w:rPr>
            </w:pPr>
            <w:r>
              <w:rPr>
                <w:rFonts w:hint="eastAsia" w:hAnsi="宋体" w:cs="宋体"/>
                <w:sz w:val="21"/>
                <w:szCs w:val="21"/>
                <w:highlight w:val="none"/>
                <w:lang w:val="en-US" w:eastAsia="zh-CN"/>
              </w:rPr>
              <w:t>0分</w:t>
            </w:r>
          </w:p>
        </w:tc>
        <w:tc>
          <w:tcPr>
            <w:tcW w:w="4627" w:type="dxa"/>
            <w:noWrap w:val="0"/>
            <w:vAlign w:val="center"/>
          </w:tcPr>
          <w:p>
            <w:pPr>
              <w:widowControl/>
              <w:spacing w:line="360" w:lineRule="auto"/>
              <w:jc w:val="left"/>
              <w:rPr>
                <w:rFonts w:hint="eastAsia" w:hAnsi="宋体" w:eastAsia="宋体"/>
                <w:kern w:val="2"/>
                <w:sz w:val="21"/>
                <w:szCs w:val="21"/>
                <w:highlight w:val="none"/>
                <w:lang w:val="en-US" w:eastAsia="zh-CN"/>
              </w:rPr>
            </w:pPr>
            <w:r>
              <w:rPr>
                <w:rFonts w:hint="eastAsia" w:hAnsi="宋体"/>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0" w:type="dxa"/>
            <w:gridSpan w:val="5"/>
            <w:noWrap w:val="0"/>
            <w:vAlign w:val="center"/>
          </w:tcPr>
          <w:p>
            <w:pPr>
              <w:widowControl/>
              <w:snapToGrid w:val="0"/>
              <w:spacing w:line="360" w:lineRule="auto"/>
              <w:jc w:val="left"/>
              <w:rPr>
                <w:rFonts w:hint="eastAsia" w:hAnsi="宋体" w:cs="宋体"/>
                <w:b/>
                <w:highlight w:val="none"/>
              </w:rPr>
            </w:pPr>
            <w:r>
              <w:rPr>
                <w:rFonts w:hint="eastAsia" w:hAnsi="宋体" w:cs="宋体"/>
                <w:b/>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0" w:type="dxa"/>
            <w:gridSpan w:val="5"/>
            <w:noWrap w:val="0"/>
            <w:vAlign w:val="center"/>
          </w:tcPr>
          <w:p>
            <w:pPr>
              <w:pStyle w:val="2"/>
              <w:keepNext w:val="0"/>
              <w:keepLines w:val="0"/>
              <w:spacing w:line="240" w:lineRule="auto"/>
              <w:rPr>
                <w:rFonts w:hint="eastAsia" w:ascii="宋体" w:hAnsi="宋体" w:eastAsia="宋体" w:cs="宋体"/>
                <w:b/>
                <w:snapToGrid w:val="0"/>
                <w:kern w:val="0"/>
                <w:szCs w:val="20"/>
                <w:highlight w:val="none"/>
                <w:lang w:val="en-US" w:eastAsia="zh-CN"/>
              </w:rPr>
            </w:pPr>
            <w:r>
              <w:rPr>
                <w:rFonts w:hint="eastAsia" w:ascii="宋体" w:hAnsi="宋体" w:eastAsia="宋体" w:cs="宋体"/>
                <w:b/>
                <w:snapToGrid w:val="0"/>
                <w:kern w:val="0"/>
                <w:szCs w:val="20"/>
                <w:highlight w:val="none"/>
                <w:lang w:val="en-US" w:eastAsia="zh-CN"/>
              </w:rPr>
              <w:t>无</w:t>
            </w:r>
          </w:p>
        </w:tc>
      </w:tr>
    </w:tbl>
    <w:p>
      <w:pPr>
        <w:spacing w:line="360" w:lineRule="auto"/>
        <w:jc w:val="center"/>
        <w:outlineLvl w:val="0"/>
        <w:rPr>
          <w:rFonts w:hAnsi="宋体" w:cs="宋体"/>
          <w:highlight w:val="none"/>
        </w:rPr>
      </w:pPr>
      <w:r>
        <w:rPr>
          <w:rFonts w:hint="eastAsia" w:ascii="Times New Roman" w:eastAsia="黑体"/>
          <w:sz w:val="32"/>
          <w:szCs w:val="32"/>
          <w:highlight w:val="none"/>
        </w:rPr>
        <w:br w:type="page"/>
      </w:r>
      <w:bookmarkStart w:id="388" w:name="_Toc140069422"/>
      <w:bookmarkStart w:id="389" w:name="_Toc32641"/>
      <w:r>
        <w:rPr>
          <w:rFonts w:hint="eastAsia" w:ascii="黑体" w:hAnsi="黑体" w:eastAsia="黑体" w:cs="黑体"/>
          <w:highlight w:val="none"/>
        </w:rPr>
        <w:t>附件1：技术文件详细评审得分计算规则</w:t>
      </w:r>
      <w:bookmarkEnd w:id="388"/>
      <w:bookmarkEnd w:id="389"/>
    </w:p>
    <w:p>
      <w:pPr>
        <w:spacing w:line="360" w:lineRule="auto"/>
        <w:ind w:firstLine="480" w:firstLineChars="200"/>
        <w:rPr>
          <w:rFonts w:hAnsi="宋体" w:cs="宋体"/>
          <w:bCs/>
          <w:highlight w:val="none"/>
        </w:rPr>
      </w:pPr>
      <w:r>
        <w:rPr>
          <w:rFonts w:hint="eastAsia" w:hAnsi="宋体" w:cs="宋体"/>
          <w:bCs/>
          <w:highlight w:val="none"/>
        </w:rPr>
        <w:t>针对评标办法正文“3.2商务及技术文件详细评审”中“技术文件详细评审得分计算”规则，</w:t>
      </w:r>
      <w:r>
        <w:rPr>
          <w:rFonts w:hint="eastAsia" w:ascii="Times New Roman"/>
          <w:bCs/>
          <w:szCs w:val="24"/>
          <w:highlight w:val="none"/>
        </w:rPr>
        <w:t>具体如下，计算保留小数点后两位，小数点后第三位“四舍五入”：</w:t>
      </w:r>
    </w:p>
    <w:p>
      <w:pPr>
        <w:spacing w:line="360" w:lineRule="auto"/>
        <w:ind w:firstLine="480" w:firstLineChars="200"/>
        <w:rPr>
          <w:rFonts w:ascii="Times New Roman"/>
          <w:szCs w:val="24"/>
          <w:highlight w:val="none"/>
        </w:rPr>
      </w:pPr>
      <w:r>
        <w:rPr>
          <w:rFonts w:hint="eastAsia" w:ascii="Times New Roman"/>
          <w:szCs w:val="24"/>
          <w:highlight w:val="none"/>
        </w:rPr>
        <w:t>技术文件详细评审得分计算如下：</w:t>
      </w:r>
    </w:p>
    <w:p>
      <w:pPr>
        <w:spacing w:line="360" w:lineRule="auto"/>
        <w:ind w:firstLine="480" w:firstLineChars="200"/>
        <w:rPr>
          <w:rFonts w:ascii="Times New Roman"/>
          <w:szCs w:val="24"/>
          <w:highlight w:val="none"/>
        </w:rPr>
      </w:pPr>
      <w:r>
        <w:rPr>
          <w:rFonts w:hint="eastAsia" w:ascii="Times New Roman"/>
          <w:szCs w:val="24"/>
          <w:highlight w:val="none"/>
        </w:rPr>
        <w:t>①首先，根据评委技术文件详细评审打分汇总（以下简称“技术打分”），计算偏差率</w:t>
      </w:r>
    </w:p>
    <w:p>
      <w:pPr>
        <w:spacing w:line="360" w:lineRule="auto"/>
        <w:ind w:firstLine="480" w:firstLineChars="200"/>
        <w:rPr>
          <w:rFonts w:ascii="Times New Roman"/>
          <w:szCs w:val="24"/>
          <w:highlight w:val="none"/>
        </w:rPr>
      </w:pPr>
      <w:r>
        <w:rPr>
          <w:rFonts w:hint="eastAsia" w:ascii="Times New Roman"/>
          <w:szCs w:val="24"/>
          <w:highlight w:val="none"/>
        </w:rPr>
        <w:t>根据评委对其评审的各投标人的技术打分进行排序，计算该评委最高与次高技术打分的纵向偏差率（该评委最高与次高技术打分的差值占该评委最高技术打分的百分比）；</w:t>
      </w:r>
    </w:p>
    <w:p>
      <w:pPr>
        <w:spacing w:line="360" w:lineRule="auto"/>
        <w:ind w:firstLine="480" w:firstLineChars="200"/>
        <w:rPr>
          <w:rFonts w:ascii="Times New Roman"/>
          <w:szCs w:val="24"/>
          <w:highlight w:val="none"/>
        </w:rPr>
      </w:pPr>
      <w:r>
        <w:rPr>
          <w:rFonts w:hint="eastAsia" w:ascii="Times New Roman"/>
          <w:szCs w:val="24"/>
          <w:highlight w:val="none"/>
        </w:rPr>
        <w:t>针对上述评委确定的最高技术打分的投标人，计算该投标人最高技术打分与其他评委对该投标人平均技术打分（技术打分的算术平均值）的横向偏差率（该投标人最高技术打分与其他评委对该投标人平均技术打分的差值占其他评委对该投标人平均技术打分的百分比；出现同一评委不同投标人的最高技术打分相同时，分别计算确定）；</w:t>
      </w:r>
    </w:p>
    <w:p>
      <w:pPr>
        <w:spacing w:line="360" w:lineRule="auto"/>
        <w:ind w:firstLine="480" w:firstLineChars="200"/>
        <w:rPr>
          <w:rFonts w:ascii="Times New Roman"/>
          <w:szCs w:val="24"/>
          <w:highlight w:val="none"/>
        </w:rPr>
      </w:pPr>
      <w:r>
        <w:rPr>
          <w:rFonts w:hint="eastAsia" w:ascii="Times New Roman"/>
          <w:szCs w:val="24"/>
          <w:highlight w:val="none"/>
        </w:rPr>
        <w:t>当纵向偏差率达到或超过20%，同时横向偏差率达到或超过15%时，该评委的技术打分不纳入投标人得分计算。当出现2名或以上评委技术打分同时出现上述情况时，纵向偏差率最大的评委技术打分不纳入投标人得分计算；如纵向偏差率最大的相同时，以横向偏差率最大的评委技术打分不纳入投标人得分计算；如横向偏差率最大的也相同时，则计算该情形评委最高与次次高技术打分的偏差率，该偏差率最大的评委技术打分不纳入投标人得分计算；若最终仍然无法判断的，由评标委员会随机确定1位该情形评委技术打分不纳入投标人得分计算。</w:t>
      </w:r>
    </w:p>
    <w:p>
      <w:pPr>
        <w:spacing w:line="360" w:lineRule="auto"/>
        <w:ind w:firstLine="480" w:firstLineChars="200"/>
        <w:rPr>
          <w:rFonts w:ascii="Times New Roman"/>
          <w:szCs w:val="24"/>
          <w:highlight w:val="none"/>
        </w:rPr>
      </w:pPr>
      <w:r>
        <w:rPr>
          <w:rFonts w:hint="eastAsia" w:ascii="Times New Roman"/>
          <w:szCs w:val="24"/>
          <w:highlight w:val="none"/>
        </w:rPr>
        <w:t>注：技术打分相同的，一并纳入同情形偏差率计算（见示例标示）。上述差值按照绝对值计算；</w:t>
      </w:r>
    </w:p>
    <w:p>
      <w:pPr>
        <w:spacing w:line="360" w:lineRule="auto"/>
        <w:ind w:firstLine="480" w:firstLineChars="200"/>
        <w:rPr>
          <w:rFonts w:ascii="Times New Roman"/>
          <w:szCs w:val="24"/>
          <w:highlight w:val="none"/>
        </w:rPr>
      </w:pPr>
      <w:r>
        <w:rPr>
          <w:rFonts w:hint="eastAsia" w:ascii="Times New Roman"/>
          <w:szCs w:val="24"/>
          <w:highlight w:val="none"/>
        </w:rPr>
        <w:t>示例：如某项目的投标人共6家，共有5位评委参与评审，评委进行技术打分分值见下表，现列举其中1位评委相关计算，具体如下：</w:t>
      </w:r>
    </w:p>
    <w:tbl>
      <w:tblPr>
        <w:tblStyle w:val="52"/>
        <w:tblW w:w="8566" w:type="dxa"/>
        <w:tblInd w:w="118" w:type="dxa"/>
        <w:tblLayout w:type="fixed"/>
        <w:tblCellMar>
          <w:top w:w="0" w:type="dxa"/>
          <w:left w:w="108" w:type="dxa"/>
          <w:bottom w:w="0" w:type="dxa"/>
          <w:right w:w="108" w:type="dxa"/>
        </w:tblCellMar>
      </w:tblPr>
      <w:tblGrid>
        <w:gridCol w:w="1253"/>
        <w:gridCol w:w="129"/>
        <w:gridCol w:w="1358"/>
        <w:gridCol w:w="1550"/>
        <w:gridCol w:w="1475"/>
        <w:gridCol w:w="1450"/>
        <w:gridCol w:w="1351"/>
      </w:tblGrid>
      <w:tr>
        <w:tblPrEx>
          <w:tblCellMar>
            <w:top w:w="0" w:type="dxa"/>
            <w:left w:w="108" w:type="dxa"/>
            <w:bottom w:w="0" w:type="dxa"/>
            <w:right w:w="108" w:type="dxa"/>
          </w:tblCellMar>
        </w:tblPrEx>
        <w:trPr>
          <w:trHeight w:val="387" w:hRule="atLeast"/>
        </w:trPr>
        <w:tc>
          <w:tcPr>
            <w:tcW w:w="8566" w:type="dxa"/>
            <w:gridSpan w:val="7"/>
            <w:tcBorders>
              <w:top w:val="single" w:color="000000" w:sz="8" w:space="0"/>
              <w:left w:val="single" w:color="000000" w:sz="8" w:space="0"/>
              <w:bottom w:val="single" w:color="auto" w:sz="4" w:space="0"/>
              <w:right w:val="single" w:color="000000" w:sz="8" w:space="0"/>
            </w:tcBorders>
            <w:shd w:val="clear" w:color="auto" w:fill="BEBEBE"/>
            <w:noWrap/>
            <w:vAlign w:val="center"/>
          </w:tcPr>
          <w:p>
            <w:pPr>
              <w:widowControl/>
              <w:adjustRightInd w:val="0"/>
              <w:snapToGrid w:val="0"/>
              <w:jc w:val="center"/>
              <w:textAlignment w:val="center"/>
              <w:rPr>
                <w:rFonts w:ascii="Times New Roman" w:cs="宋体"/>
                <w:bCs/>
                <w:sz w:val="18"/>
                <w:szCs w:val="18"/>
                <w:highlight w:val="none"/>
              </w:rPr>
            </w:pPr>
            <w:r>
              <w:rPr>
                <w:rFonts w:hint="eastAsia" w:ascii="Times New Roman" w:cs="宋体"/>
                <w:bCs/>
                <w:sz w:val="20"/>
                <w:highlight w:val="none"/>
              </w:rPr>
              <w:t>技术打分分值</w:t>
            </w:r>
          </w:p>
        </w:tc>
      </w:tr>
      <w:tr>
        <w:tblPrEx>
          <w:tblCellMar>
            <w:top w:w="0" w:type="dxa"/>
            <w:left w:w="108" w:type="dxa"/>
            <w:bottom w:w="0" w:type="dxa"/>
            <w:right w:w="108" w:type="dxa"/>
          </w:tblCellMar>
        </w:tblPrEx>
        <w:trPr>
          <w:trHeight w:val="387" w:hRule="atLeast"/>
        </w:trPr>
        <w:tc>
          <w:tcPr>
            <w:tcW w:w="1253" w:type="dxa"/>
            <w:tcBorders>
              <w:top w:val="single" w:color="000000" w:sz="8" w:space="0"/>
              <w:left w:val="single" w:color="000000" w:sz="8" w:space="0"/>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评委名称</w:t>
            </w:r>
          </w:p>
        </w:tc>
        <w:tc>
          <w:tcPr>
            <w:tcW w:w="1487" w:type="dxa"/>
            <w:gridSpan w:val="2"/>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评委1</w:t>
            </w:r>
          </w:p>
        </w:tc>
        <w:tc>
          <w:tcPr>
            <w:tcW w:w="1550" w:type="dxa"/>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评委2</w:t>
            </w:r>
          </w:p>
        </w:tc>
        <w:tc>
          <w:tcPr>
            <w:tcW w:w="1475" w:type="dxa"/>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评委3</w:t>
            </w:r>
          </w:p>
        </w:tc>
        <w:tc>
          <w:tcPr>
            <w:tcW w:w="1450" w:type="dxa"/>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评委4</w:t>
            </w:r>
          </w:p>
        </w:tc>
        <w:tc>
          <w:tcPr>
            <w:tcW w:w="1351" w:type="dxa"/>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评委5</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投标人1</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30.0分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25.0分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20.0分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投标人2</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24.0分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textAlignment w:val="center"/>
              <w:rPr>
                <w:rFonts w:ascii="Times New Roman" w:cs="宋体"/>
                <w:sz w:val="18"/>
                <w:szCs w:val="18"/>
                <w:highlight w:val="none"/>
              </w:rPr>
            </w:pPr>
            <w:r>
              <w:rPr>
                <w:rFonts w:hint="eastAsia" w:ascii="Times New Roman" w:cs="宋体"/>
                <w:sz w:val="18"/>
                <w:szCs w:val="18"/>
                <w:highlight w:val="none"/>
              </w:rPr>
              <w:t>（次次高分）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投标人3</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26.0分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25.0分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25.0分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23.0分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投标人4</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24.0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24.0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23.0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20.0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投标人5</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24.0分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投标人6</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30.0分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r>
      <w:tr>
        <w:tblPrEx>
          <w:tblCellMar>
            <w:top w:w="0" w:type="dxa"/>
            <w:left w:w="108" w:type="dxa"/>
            <w:bottom w:w="0" w:type="dxa"/>
            <w:right w:w="108" w:type="dxa"/>
          </w:tblCellMar>
        </w:tblPrEx>
        <w:trPr>
          <w:trHeight w:val="415" w:hRule="atLeast"/>
        </w:trPr>
        <w:tc>
          <w:tcPr>
            <w:tcW w:w="8566" w:type="dxa"/>
            <w:gridSpan w:val="7"/>
            <w:tcBorders>
              <w:top w:val="single" w:color="auto" w:sz="4" w:space="0"/>
              <w:left w:val="single" w:color="000000" w:sz="4" w:space="0"/>
              <w:bottom w:val="single" w:color="auto" w:sz="4" w:space="0"/>
              <w:right w:val="single" w:color="000000" w:sz="4" w:space="0"/>
            </w:tcBorders>
            <w:shd w:val="clear" w:color="auto" w:fill="BEBEBE"/>
            <w:noWrap/>
            <w:vAlign w:val="center"/>
          </w:tcPr>
          <w:p>
            <w:pPr>
              <w:widowControl/>
              <w:adjustRightInd w:val="0"/>
              <w:snapToGrid w:val="0"/>
              <w:jc w:val="center"/>
              <w:textAlignment w:val="center"/>
              <w:rPr>
                <w:rFonts w:ascii="Times New Roman" w:cs="宋体"/>
                <w:bCs/>
                <w:sz w:val="20"/>
                <w:highlight w:val="none"/>
              </w:rPr>
            </w:pPr>
            <w:r>
              <w:rPr>
                <w:rFonts w:hint="eastAsia" w:ascii="Times New Roman" w:cs="宋体"/>
                <w:bCs/>
                <w:sz w:val="20"/>
                <w:highlight w:val="none"/>
              </w:rPr>
              <w:t>列举评委1纵向偏差率计算</w:t>
            </w:r>
          </w:p>
        </w:tc>
      </w:tr>
      <w:tr>
        <w:tblPrEx>
          <w:tblCellMar>
            <w:top w:w="0" w:type="dxa"/>
            <w:left w:w="108" w:type="dxa"/>
            <w:bottom w:w="0" w:type="dxa"/>
            <w:right w:w="108" w:type="dxa"/>
          </w:tblCellMar>
        </w:tblPrEx>
        <w:trPr>
          <w:trHeight w:val="472" w:hRule="atLeast"/>
        </w:trPr>
        <w:tc>
          <w:tcPr>
            <w:tcW w:w="27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20"/>
                <w:highlight w:val="none"/>
              </w:rPr>
              <w:t>评委1的纵向偏差率</w:t>
            </w:r>
          </w:p>
        </w:tc>
        <w:tc>
          <w:tcPr>
            <w:tcW w:w="5826"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left"/>
              <w:textAlignment w:val="center"/>
              <w:rPr>
                <w:rFonts w:ascii="Times New Roman" w:cs="宋体"/>
                <w:sz w:val="18"/>
                <w:szCs w:val="18"/>
                <w:highlight w:val="none"/>
              </w:rPr>
            </w:pPr>
            <w:r>
              <w:rPr>
                <w:rFonts w:hint="eastAsia" w:ascii="Times New Roman" w:cs="宋体"/>
                <w:sz w:val="20"/>
                <w:highlight w:val="none"/>
              </w:rPr>
              <w:t>【（28.0-26.0）÷28.0】×100%=7.14%</w:t>
            </w:r>
          </w:p>
        </w:tc>
      </w:tr>
      <w:tr>
        <w:tblPrEx>
          <w:tblCellMar>
            <w:top w:w="0" w:type="dxa"/>
            <w:left w:w="108" w:type="dxa"/>
            <w:bottom w:w="0" w:type="dxa"/>
            <w:right w:w="108" w:type="dxa"/>
          </w:tblCellMar>
        </w:tblPrEx>
        <w:trPr>
          <w:trHeight w:val="412" w:hRule="atLeast"/>
        </w:trPr>
        <w:tc>
          <w:tcPr>
            <w:tcW w:w="8566" w:type="dxa"/>
            <w:gridSpan w:val="7"/>
            <w:tcBorders>
              <w:top w:val="single" w:color="auto" w:sz="4" w:space="0"/>
              <w:left w:val="single" w:color="auto" w:sz="4" w:space="0"/>
              <w:bottom w:val="single" w:color="auto" w:sz="4" w:space="0"/>
              <w:right w:val="single" w:color="auto" w:sz="4" w:space="0"/>
            </w:tcBorders>
            <w:shd w:val="clear" w:color="auto" w:fill="BEBEBE"/>
            <w:noWrap/>
            <w:vAlign w:val="center"/>
          </w:tcPr>
          <w:p>
            <w:pPr>
              <w:widowControl/>
              <w:adjustRightInd w:val="0"/>
              <w:snapToGrid w:val="0"/>
              <w:jc w:val="center"/>
              <w:textAlignment w:val="center"/>
              <w:rPr>
                <w:rFonts w:ascii="Times New Roman" w:cs="宋体"/>
                <w:bCs/>
                <w:sz w:val="20"/>
                <w:highlight w:val="none"/>
              </w:rPr>
            </w:pPr>
            <w:r>
              <w:rPr>
                <w:rFonts w:hint="eastAsia" w:ascii="Times New Roman" w:cs="宋体"/>
                <w:bCs/>
                <w:sz w:val="20"/>
                <w:highlight w:val="none"/>
              </w:rPr>
              <w:t>列举评委1横向偏差率计算</w:t>
            </w:r>
          </w:p>
        </w:tc>
      </w:tr>
      <w:tr>
        <w:tblPrEx>
          <w:tblCellMar>
            <w:top w:w="0" w:type="dxa"/>
            <w:left w:w="108" w:type="dxa"/>
            <w:bottom w:w="0" w:type="dxa"/>
            <w:right w:w="108" w:type="dxa"/>
          </w:tblCellMar>
        </w:tblPrEx>
        <w:trPr>
          <w:trHeight w:val="1017" w:hRule="atLeast"/>
        </w:trPr>
        <w:tc>
          <w:tcPr>
            <w:tcW w:w="1382" w:type="dxa"/>
            <w:gridSpan w:val="2"/>
            <w:vMerge w:val="restart"/>
            <w:tcBorders>
              <w:top w:val="single" w:color="auto" w:sz="4" w:space="0"/>
              <w:left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cs="宋体"/>
                <w:sz w:val="20"/>
                <w:highlight w:val="none"/>
              </w:rPr>
            </w:pPr>
            <w:r>
              <w:rPr>
                <w:rFonts w:hint="eastAsia" w:ascii="Times New Roman" w:cs="宋体"/>
                <w:sz w:val="20"/>
                <w:highlight w:val="none"/>
              </w:rPr>
              <w:t>评委1的</w:t>
            </w:r>
          </w:p>
          <w:p>
            <w:pPr>
              <w:widowControl/>
              <w:adjustRightInd w:val="0"/>
              <w:snapToGrid w:val="0"/>
              <w:spacing w:line="360" w:lineRule="auto"/>
              <w:jc w:val="center"/>
              <w:textAlignment w:val="center"/>
              <w:rPr>
                <w:rFonts w:ascii="Times New Roman" w:cs="宋体"/>
                <w:sz w:val="20"/>
                <w:highlight w:val="none"/>
              </w:rPr>
            </w:pPr>
            <w:r>
              <w:rPr>
                <w:rFonts w:hint="eastAsia" w:ascii="Times New Roman" w:cs="宋体"/>
                <w:sz w:val="20"/>
                <w:highlight w:val="none"/>
              </w:rPr>
              <w:t>横向偏差</w:t>
            </w:r>
          </w:p>
        </w:tc>
        <w:tc>
          <w:tcPr>
            <w:tcW w:w="7184"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left"/>
              <w:textAlignment w:val="center"/>
              <w:rPr>
                <w:rFonts w:ascii="Times New Roman" w:cs="宋体"/>
                <w:sz w:val="20"/>
                <w:highlight w:val="none"/>
              </w:rPr>
            </w:pPr>
            <w:r>
              <w:rPr>
                <w:rFonts w:hint="eastAsia" w:ascii="Times New Roman" w:cs="宋体"/>
                <w:sz w:val="20"/>
                <w:highlight w:val="none"/>
              </w:rPr>
              <w:t>对投标人1计算横向偏差={28.0-[（30.0+22.0+25.0+20.0）÷4]}÷[（30.0+22.0+25.0+20.0）÷4]×100%={28.0-24.25}÷[24.25]×100%=15.46%</w:t>
            </w:r>
          </w:p>
        </w:tc>
      </w:tr>
      <w:tr>
        <w:tblPrEx>
          <w:tblCellMar>
            <w:top w:w="0" w:type="dxa"/>
            <w:left w:w="108" w:type="dxa"/>
            <w:bottom w:w="0" w:type="dxa"/>
            <w:right w:w="108" w:type="dxa"/>
          </w:tblCellMar>
        </w:tblPrEx>
        <w:trPr>
          <w:trHeight w:val="905" w:hRule="atLeast"/>
        </w:trPr>
        <w:tc>
          <w:tcPr>
            <w:tcW w:w="1382" w:type="dxa"/>
            <w:gridSpan w:val="2"/>
            <w:vMerge w:val="continue"/>
            <w:tcBorders>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cs="宋体"/>
                <w:sz w:val="20"/>
                <w:highlight w:val="none"/>
              </w:rPr>
            </w:pPr>
          </w:p>
        </w:tc>
        <w:tc>
          <w:tcPr>
            <w:tcW w:w="7184"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left"/>
              <w:textAlignment w:val="center"/>
              <w:rPr>
                <w:rFonts w:ascii="Times New Roman" w:cs="宋体"/>
                <w:sz w:val="20"/>
                <w:highlight w:val="none"/>
              </w:rPr>
            </w:pPr>
            <w:r>
              <w:rPr>
                <w:rFonts w:hint="eastAsia" w:ascii="Times New Roman" w:cs="宋体"/>
                <w:sz w:val="20"/>
                <w:highlight w:val="none"/>
              </w:rPr>
              <w:t>对投标人2计算横向偏差={28.0-[（28.0+28.0+24.0+22.0）÷4]}÷[（28.0+28.0+24.0+22.0）÷4]×100%={28.0-25.50}÷[25.50]×100%=9.80%</w:t>
            </w:r>
          </w:p>
        </w:tc>
      </w:tr>
    </w:tbl>
    <w:p>
      <w:pPr>
        <w:spacing w:line="360" w:lineRule="auto"/>
        <w:ind w:firstLine="480" w:firstLineChars="200"/>
        <w:rPr>
          <w:rFonts w:ascii="Times New Roman"/>
          <w:szCs w:val="24"/>
          <w:highlight w:val="none"/>
        </w:rPr>
      </w:pPr>
      <w:r>
        <w:rPr>
          <w:rFonts w:hint="eastAsia" w:ascii="Times New Roman"/>
          <w:szCs w:val="24"/>
          <w:highlight w:val="none"/>
        </w:rPr>
        <w:t>②其次，根据评委技术文件详细评审打分汇总（以下简称“技术打分”），计算打分差值</w:t>
      </w:r>
    </w:p>
    <w:p>
      <w:pPr>
        <w:spacing w:line="360" w:lineRule="auto"/>
        <w:ind w:firstLine="480" w:firstLineChars="200"/>
        <w:rPr>
          <w:rFonts w:ascii="Times New Roman"/>
          <w:szCs w:val="24"/>
          <w:highlight w:val="none"/>
        </w:rPr>
      </w:pPr>
      <w:r>
        <w:rPr>
          <w:rFonts w:ascii="Times New Roman"/>
          <w:szCs w:val="24"/>
          <w:highlight w:val="none"/>
        </w:rPr>
        <w:t>a.</w:t>
      </w:r>
      <w:r>
        <w:rPr>
          <w:rFonts w:hint="eastAsia" w:ascii="Times New Roman"/>
          <w:szCs w:val="24"/>
          <w:highlight w:val="none"/>
        </w:rPr>
        <w:t>当未出现上述①中评委的技术打分不纳入投标人得分计算的情形时，根据评委对其评审的各投标人的技术打分进行排序，计算该评委最高与最低技术打分的差值；</w:t>
      </w:r>
    </w:p>
    <w:p>
      <w:pPr>
        <w:spacing w:line="360" w:lineRule="auto"/>
        <w:ind w:firstLine="480" w:firstLineChars="200"/>
        <w:rPr>
          <w:rFonts w:ascii="Times New Roman"/>
          <w:szCs w:val="24"/>
          <w:highlight w:val="none"/>
        </w:rPr>
      </w:pPr>
      <w:r>
        <w:rPr>
          <w:rFonts w:hint="eastAsia" w:ascii="Times New Roman"/>
          <w:szCs w:val="24"/>
          <w:highlight w:val="none"/>
        </w:rPr>
        <w:t>所有评委中技术打分差值最大的，其技术打分不纳入投标人得分计算。当出现技术打分差值最大的评委为2名或以上时，则计算该情形的评委次最高与最低技术打分的差值，次差值最大的评委的技术打分不纳入投标人得分计算；如次差值也相同时，则计算该情形的评委次次最高与最低技术打分的差值，次次差值最大的评委的技术打分不纳入投标人得分计算；以此类推。若最终仍然无法判断的，由评标委员会随机确定1位该情形评委的技术打分不纳入投标人得分计算。</w:t>
      </w:r>
    </w:p>
    <w:p>
      <w:pPr>
        <w:spacing w:line="360" w:lineRule="auto"/>
        <w:ind w:firstLine="480" w:firstLineChars="200"/>
        <w:rPr>
          <w:rFonts w:ascii="Times New Roman"/>
          <w:szCs w:val="24"/>
          <w:highlight w:val="none"/>
        </w:rPr>
      </w:pPr>
      <w:r>
        <w:rPr>
          <w:rFonts w:hint="eastAsia" w:ascii="Times New Roman"/>
          <w:szCs w:val="24"/>
          <w:highlight w:val="none"/>
        </w:rPr>
        <w:t>注：技术打分相同的，一并纳入同情形差值计算（见示例标示）。</w:t>
      </w:r>
    </w:p>
    <w:p>
      <w:pPr>
        <w:spacing w:line="360" w:lineRule="auto"/>
        <w:ind w:firstLine="480" w:firstLineChars="200"/>
        <w:rPr>
          <w:rFonts w:ascii="Times New Roman"/>
          <w:szCs w:val="24"/>
          <w:highlight w:val="none"/>
        </w:rPr>
      </w:pPr>
      <w:r>
        <w:rPr>
          <w:rFonts w:ascii="Times New Roman"/>
          <w:szCs w:val="24"/>
          <w:highlight w:val="none"/>
        </w:rPr>
        <w:t>b.</w:t>
      </w:r>
      <w:r>
        <w:rPr>
          <w:rFonts w:hint="eastAsia" w:ascii="Times New Roman"/>
          <w:szCs w:val="24"/>
          <w:highlight w:val="none"/>
        </w:rPr>
        <w:t>当出现上述①中评委的技术打分不纳入投标人得分计算的情形时，不再计算技术打分最大差值，直接进入下一步计算。</w:t>
      </w:r>
    </w:p>
    <w:p>
      <w:pPr>
        <w:spacing w:line="360" w:lineRule="auto"/>
        <w:ind w:firstLine="480" w:firstLineChars="200"/>
        <w:rPr>
          <w:rFonts w:ascii="Times New Roman"/>
          <w:szCs w:val="24"/>
          <w:highlight w:val="none"/>
        </w:rPr>
      </w:pPr>
      <w:r>
        <w:rPr>
          <w:rFonts w:hint="eastAsia" w:ascii="Times New Roman"/>
          <w:szCs w:val="24"/>
          <w:highlight w:val="none"/>
        </w:rPr>
        <w:t>③再次，计算技术文件详细评审得分</w:t>
      </w:r>
    </w:p>
    <w:p>
      <w:pPr>
        <w:spacing w:line="360" w:lineRule="auto"/>
        <w:ind w:firstLine="480" w:firstLineChars="200"/>
        <w:rPr>
          <w:rFonts w:ascii="Times New Roman"/>
          <w:szCs w:val="24"/>
          <w:highlight w:val="none"/>
        </w:rPr>
      </w:pPr>
      <w:r>
        <w:rPr>
          <w:rFonts w:hint="eastAsia" w:ascii="Times New Roman"/>
          <w:szCs w:val="24"/>
          <w:highlight w:val="none"/>
        </w:rPr>
        <w:t>依据上述①②的判断，按照剩余各评委的技术文件详细评审（本章第2.2.2（1）目）中对应的各评分（评审）因素的打分，去掉一个最高分和一个最低分后计算算术平均值，为该评分（评审）因素的得分；</w:t>
      </w:r>
    </w:p>
    <w:p>
      <w:pPr>
        <w:spacing w:line="360" w:lineRule="auto"/>
        <w:ind w:firstLine="480" w:firstLineChars="200"/>
        <w:rPr>
          <w:rFonts w:ascii="Times New Roman"/>
          <w:szCs w:val="24"/>
          <w:highlight w:val="none"/>
        </w:rPr>
      </w:pPr>
      <w:r>
        <w:rPr>
          <w:rFonts w:hint="eastAsia" w:ascii="Times New Roman"/>
          <w:szCs w:val="24"/>
          <w:highlight w:val="none"/>
        </w:rPr>
        <w:t>投标人第2.2.2（1）目得分A为该目中对应各评分（评审）因素得分的和；</w:t>
      </w:r>
    </w:p>
    <w:p>
      <w:pPr>
        <w:spacing w:line="360" w:lineRule="auto"/>
        <w:ind w:firstLine="480" w:firstLineChars="200"/>
        <w:rPr>
          <w:rFonts w:ascii="Times New Roman"/>
          <w:szCs w:val="24"/>
          <w:highlight w:val="none"/>
        </w:rPr>
      </w:pPr>
      <w:r>
        <w:rPr>
          <w:rFonts w:hint="eastAsia" w:ascii="Times New Roman"/>
          <w:szCs w:val="24"/>
          <w:highlight w:val="none"/>
        </w:rPr>
        <w:t>投标人技术文件详细评审得分=A。</w:t>
      </w:r>
    </w:p>
    <w:p>
      <w:pPr>
        <w:snapToGrid w:val="0"/>
        <w:spacing w:line="360" w:lineRule="auto"/>
        <w:ind w:firstLine="480" w:firstLineChars="200"/>
        <w:rPr>
          <w:rFonts w:hAnsi="宋体" w:cs="宋体"/>
          <w:highlight w:val="none"/>
        </w:rPr>
      </w:pPr>
    </w:p>
    <w:p>
      <w:pPr>
        <w:snapToGrid w:val="0"/>
        <w:spacing w:line="360" w:lineRule="auto"/>
        <w:ind w:firstLine="480" w:firstLineChars="200"/>
        <w:jc w:val="center"/>
        <w:outlineLvl w:val="0"/>
        <w:rPr>
          <w:rFonts w:hAnsi="宋体" w:cs="宋体"/>
          <w:highlight w:val="none"/>
        </w:rPr>
      </w:pPr>
      <w:r>
        <w:rPr>
          <w:rFonts w:hint="eastAsia" w:hAnsi="宋体" w:cs="宋体"/>
          <w:highlight w:val="none"/>
        </w:rPr>
        <w:br w:type="page"/>
      </w:r>
      <w:bookmarkStart w:id="390" w:name="_Toc140069423"/>
      <w:r>
        <w:rPr>
          <w:rFonts w:hint="eastAsia" w:ascii="黑体" w:hAnsi="黑体" w:eastAsia="黑体" w:cs="黑体"/>
          <w:highlight w:val="none"/>
        </w:rPr>
        <w:t>附件2：否决投标的其他情形</w:t>
      </w:r>
      <w:bookmarkEnd w:id="390"/>
    </w:p>
    <w:p>
      <w:pPr>
        <w:pStyle w:val="19"/>
        <w:spacing w:line="360" w:lineRule="auto"/>
        <w:ind w:firstLine="420" w:firstLineChars="200"/>
        <w:rPr>
          <w:rFonts w:hAnsi="宋体" w:cs="宋体"/>
          <w:highlight w:val="none"/>
        </w:rPr>
      </w:pPr>
      <w:r>
        <w:rPr>
          <w:rFonts w:hint="eastAsia" w:hAnsi="宋体" w:cs="宋体"/>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19"/>
        <w:spacing w:line="360" w:lineRule="auto"/>
        <w:ind w:firstLine="420" w:firstLineChars="200"/>
        <w:outlineLvl w:val="0"/>
        <w:rPr>
          <w:rFonts w:hAnsi="宋体" w:cs="宋体"/>
          <w:highlight w:val="none"/>
        </w:rPr>
      </w:pPr>
      <w:bookmarkStart w:id="391" w:name="_Toc21810"/>
      <w:bookmarkStart w:id="392" w:name="_Toc140069424"/>
      <w:r>
        <w:rPr>
          <w:rFonts w:hint="eastAsia" w:hAnsi="宋体" w:cs="宋体"/>
          <w:highlight w:val="none"/>
        </w:rPr>
        <w:t>（1）有下列情形之一的，属于投标人相互串通投标：</w:t>
      </w:r>
      <w:bookmarkEnd w:id="391"/>
      <w:bookmarkEnd w:id="392"/>
    </w:p>
    <w:p>
      <w:pPr>
        <w:pStyle w:val="19"/>
        <w:spacing w:line="360" w:lineRule="auto"/>
        <w:ind w:firstLine="420" w:firstLineChars="200"/>
        <w:rPr>
          <w:rFonts w:hAnsi="宋体" w:cs="宋体"/>
          <w:highlight w:val="none"/>
        </w:rPr>
      </w:pPr>
      <w:r>
        <w:rPr>
          <w:rFonts w:hint="eastAsia" w:hAnsi="宋体" w:cs="宋体"/>
          <w:highlight w:val="none"/>
        </w:rPr>
        <w:t>①投标人之间协商投标报价等投标文件的实质性内容；</w:t>
      </w:r>
    </w:p>
    <w:p>
      <w:pPr>
        <w:pStyle w:val="19"/>
        <w:spacing w:line="360" w:lineRule="auto"/>
        <w:ind w:firstLine="420" w:firstLineChars="200"/>
        <w:rPr>
          <w:rFonts w:hAnsi="宋体" w:cs="宋体"/>
          <w:highlight w:val="none"/>
        </w:rPr>
      </w:pPr>
      <w:r>
        <w:rPr>
          <w:rFonts w:hint="eastAsia" w:hAnsi="宋体" w:cs="宋体"/>
          <w:highlight w:val="none"/>
        </w:rPr>
        <w:t>②投标人之间约定中标人；</w:t>
      </w:r>
    </w:p>
    <w:p>
      <w:pPr>
        <w:pStyle w:val="19"/>
        <w:spacing w:line="360" w:lineRule="auto"/>
        <w:ind w:firstLine="420" w:firstLineChars="200"/>
        <w:rPr>
          <w:rFonts w:hAnsi="宋体" w:cs="宋体"/>
          <w:highlight w:val="none"/>
        </w:rPr>
      </w:pPr>
      <w:r>
        <w:rPr>
          <w:rFonts w:hint="eastAsia" w:hAnsi="宋体" w:cs="宋体"/>
          <w:highlight w:val="none"/>
        </w:rPr>
        <w:t>③投标人之间约定部分投标人放弃投标或中标；</w:t>
      </w:r>
    </w:p>
    <w:p>
      <w:pPr>
        <w:pStyle w:val="19"/>
        <w:spacing w:line="360" w:lineRule="auto"/>
        <w:ind w:firstLine="420" w:firstLineChars="200"/>
        <w:rPr>
          <w:rFonts w:hAnsi="宋体" w:cs="宋体"/>
          <w:highlight w:val="none"/>
        </w:rPr>
      </w:pPr>
      <w:r>
        <w:rPr>
          <w:rFonts w:hint="eastAsia" w:hAnsi="宋体" w:cs="宋体"/>
          <w:highlight w:val="none"/>
        </w:rPr>
        <w:t>④属于同一集团、协会、商会等组织成员的投标人按照该组织要求协同投标；</w:t>
      </w:r>
    </w:p>
    <w:p>
      <w:pPr>
        <w:pStyle w:val="19"/>
        <w:spacing w:line="360" w:lineRule="auto"/>
        <w:ind w:firstLine="420" w:firstLineChars="200"/>
        <w:rPr>
          <w:rFonts w:hAnsi="宋体" w:cs="宋体"/>
          <w:highlight w:val="none"/>
        </w:rPr>
      </w:pPr>
      <w:r>
        <w:rPr>
          <w:rFonts w:hint="eastAsia" w:hAnsi="宋体" w:cs="宋体"/>
          <w:highlight w:val="none"/>
        </w:rPr>
        <w:t>⑤投标人之间为谋取中标或排斥特定投标人而采取的其他联合行动。</w:t>
      </w:r>
    </w:p>
    <w:p>
      <w:pPr>
        <w:pStyle w:val="19"/>
        <w:spacing w:line="360" w:lineRule="auto"/>
        <w:ind w:firstLine="420" w:firstLineChars="200"/>
        <w:outlineLvl w:val="0"/>
        <w:rPr>
          <w:rFonts w:hAnsi="宋体" w:cs="宋体"/>
          <w:highlight w:val="none"/>
        </w:rPr>
      </w:pPr>
      <w:bookmarkStart w:id="393" w:name="_Toc1679"/>
      <w:bookmarkStart w:id="394" w:name="_Toc140069425"/>
      <w:r>
        <w:rPr>
          <w:rFonts w:hint="eastAsia" w:hAnsi="宋体" w:cs="宋体"/>
          <w:highlight w:val="none"/>
        </w:rPr>
        <w:t>（2）有下列情形之一的，视为投标人相互串通投标：</w:t>
      </w:r>
      <w:bookmarkEnd w:id="393"/>
      <w:bookmarkEnd w:id="394"/>
    </w:p>
    <w:p>
      <w:pPr>
        <w:pStyle w:val="19"/>
        <w:spacing w:line="360" w:lineRule="auto"/>
        <w:ind w:firstLine="420" w:firstLineChars="200"/>
        <w:rPr>
          <w:rFonts w:hAnsi="宋体" w:cs="宋体"/>
          <w:highlight w:val="none"/>
        </w:rPr>
      </w:pPr>
      <w:r>
        <w:rPr>
          <w:rFonts w:hint="eastAsia" w:hAnsi="宋体" w:cs="宋体"/>
          <w:highlight w:val="none"/>
        </w:rPr>
        <w:t>①不同投标人的投标文件由同一单位或个人编制；</w:t>
      </w:r>
    </w:p>
    <w:p>
      <w:pPr>
        <w:pStyle w:val="19"/>
        <w:spacing w:line="360" w:lineRule="auto"/>
        <w:ind w:firstLine="420" w:firstLineChars="200"/>
        <w:rPr>
          <w:rFonts w:hAnsi="宋体" w:cs="宋体"/>
          <w:highlight w:val="none"/>
        </w:rPr>
      </w:pPr>
      <w:r>
        <w:rPr>
          <w:rFonts w:hint="eastAsia" w:hAnsi="宋体" w:cs="宋体"/>
          <w:highlight w:val="none"/>
        </w:rPr>
        <w:t>②不同投标人委托同一单位或个人办理投标事宜；</w:t>
      </w:r>
    </w:p>
    <w:p>
      <w:pPr>
        <w:pStyle w:val="19"/>
        <w:spacing w:line="360" w:lineRule="auto"/>
        <w:ind w:firstLine="420" w:firstLineChars="200"/>
        <w:rPr>
          <w:rFonts w:hAnsi="宋体" w:cs="宋体"/>
          <w:highlight w:val="none"/>
        </w:rPr>
      </w:pPr>
      <w:r>
        <w:rPr>
          <w:rFonts w:hint="eastAsia" w:hAnsi="宋体" w:cs="宋体"/>
          <w:highlight w:val="none"/>
        </w:rPr>
        <w:t>③不同投标人的投标文件载明的项目管理成员为同一人；</w:t>
      </w:r>
    </w:p>
    <w:p>
      <w:pPr>
        <w:pStyle w:val="19"/>
        <w:spacing w:line="360" w:lineRule="auto"/>
        <w:ind w:firstLine="420" w:firstLineChars="200"/>
        <w:rPr>
          <w:rFonts w:hAnsi="宋体" w:cs="宋体"/>
          <w:highlight w:val="none"/>
        </w:rPr>
      </w:pPr>
      <w:r>
        <w:rPr>
          <w:rFonts w:hint="eastAsia" w:hAnsi="宋体" w:cs="宋体"/>
          <w:highlight w:val="none"/>
        </w:rPr>
        <w:t>④不同投标人的投标文件异常一致或投标报价呈规律性差异；</w:t>
      </w:r>
    </w:p>
    <w:p>
      <w:pPr>
        <w:pStyle w:val="19"/>
        <w:spacing w:line="360" w:lineRule="auto"/>
        <w:ind w:firstLine="420" w:firstLineChars="200"/>
        <w:rPr>
          <w:rFonts w:hAnsi="宋体" w:cs="宋体"/>
          <w:highlight w:val="none"/>
        </w:rPr>
      </w:pPr>
      <w:r>
        <w:rPr>
          <w:rFonts w:hint="eastAsia" w:hAnsi="宋体" w:cs="宋体"/>
          <w:highlight w:val="none"/>
        </w:rPr>
        <w:t>⑤不同投标人的投标文件相互混装；</w:t>
      </w:r>
    </w:p>
    <w:p>
      <w:pPr>
        <w:pStyle w:val="19"/>
        <w:spacing w:line="360" w:lineRule="auto"/>
        <w:ind w:firstLine="420" w:firstLineChars="200"/>
        <w:rPr>
          <w:rFonts w:hAnsi="宋体" w:cs="宋体"/>
          <w:highlight w:val="none"/>
        </w:rPr>
      </w:pPr>
      <w:r>
        <w:rPr>
          <w:rFonts w:hint="eastAsia" w:hAnsi="宋体" w:cs="宋体"/>
          <w:highlight w:val="none"/>
        </w:rPr>
        <w:t>⑥不同投标人的投标保证金从同一单位或个人的账户转出。</w:t>
      </w:r>
    </w:p>
    <w:p>
      <w:pPr>
        <w:pStyle w:val="19"/>
        <w:spacing w:line="360" w:lineRule="auto"/>
        <w:ind w:firstLine="420" w:firstLineChars="200"/>
        <w:outlineLvl w:val="0"/>
        <w:rPr>
          <w:rFonts w:hAnsi="宋体" w:cs="宋体"/>
          <w:highlight w:val="none"/>
        </w:rPr>
      </w:pPr>
      <w:bookmarkStart w:id="395" w:name="_Toc176"/>
      <w:bookmarkStart w:id="396" w:name="_Toc140069426"/>
      <w:r>
        <w:rPr>
          <w:rFonts w:hint="eastAsia" w:hAnsi="宋体" w:cs="宋体"/>
          <w:highlight w:val="none"/>
        </w:rPr>
        <w:t>（3）有下列情形之一的，属于招标人与投标人串通投标：</w:t>
      </w:r>
      <w:bookmarkEnd w:id="395"/>
      <w:bookmarkEnd w:id="396"/>
    </w:p>
    <w:p>
      <w:pPr>
        <w:pStyle w:val="19"/>
        <w:spacing w:line="360" w:lineRule="auto"/>
        <w:ind w:firstLine="420" w:firstLineChars="200"/>
        <w:rPr>
          <w:rFonts w:hAnsi="宋体" w:cs="宋体"/>
          <w:highlight w:val="none"/>
        </w:rPr>
      </w:pPr>
      <w:r>
        <w:rPr>
          <w:rFonts w:hint="eastAsia" w:hAnsi="宋体" w:cs="宋体"/>
          <w:highlight w:val="none"/>
        </w:rPr>
        <w:t>①招标人在开标前开启投标文件并将有关信息泄露给其他投标人；</w:t>
      </w:r>
    </w:p>
    <w:p>
      <w:pPr>
        <w:pStyle w:val="19"/>
        <w:spacing w:line="360" w:lineRule="auto"/>
        <w:ind w:firstLine="420" w:firstLineChars="200"/>
        <w:rPr>
          <w:rFonts w:hAnsi="宋体" w:cs="宋体"/>
          <w:highlight w:val="none"/>
        </w:rPr>
      </w:pPr>
      <w:r>
        <w:rPr>
          <w:rFonts w:hint="eastAsia" w:hAnsi="宋体" w:cs="宋体"/>
          <w:highlight w:val="none"/>
        </w:rPr>
        <w:t>②招标人直接或间接向投标人泄露标底、评标委员会成员等信息；</w:t>
      </w:r>
    </w:p>
    <w:p>
      <w:pPr>
        <w:pStyle w:val="19"/>
        <w:spacing w:line="360" w:lineRule="auto"/>
        <w:ind w:firstLine="420" w:firstLineChars="200"/>
        <w:rPr>
          <w:rFonts w:hAnsi="宋体" w:cs="宋体"/>
          <w:highlight w:val="none"/>
        </w:rPr>
      </w:pPr>
      <w:r>
        <w:rPr>
          <w:rFonts w:hint="eastAsia" w:hAnsi="宋体" w:cs="宋体"/>
          <w:highlight w:val="none"/>
        </w:rPr>
        <w:t>③招标人明示或暗示投标人压低或抬高投标报价；</w:t>
      </w:r>
    </w:p>
    <w:p>
      <w:pPr>
        <w:pStyle w:val="19"/>
        <w:spacing w:line="360" w:lineRule="auto"/>
        <w:ind w:firstLine="420" w:firstLineChars="200"/>
        <w:rPr>
          <w:rFonts w:hAnsi="宋体" w:cs="宋体"/>
          <w:highlight w:val="none"/>
        </w:rPr>
      </w:pPr>
      <w:r>
        <w:rPr>
          <w:rFonts w:hint="eastAsia" w:hAnsi="宋体" w:cs="宋体"/>
          <w:highlight w:val="none"/>
        </w:rPr>
        <w:t>④招标人授意投标人撤换、修改投标文件；</w:t>
      </w:r>
    </w:p>
    <w:p>
      <w:pPr>
        <w:pStyle w:val="19"/>
        <w:spacing w:line="360" w:lineRule="auto"/>
        <w:ind w:firstLine="420" w:firstLineChars="200"/>
        <w:rPr>
          <w:rFonts w:hAnsi="宋体" w:cs="宋体"/>
          <w:highlight w:val="none"/>
        </w:rPr>
      </w:pPr>
      <w:r>
        <w:rPr>
          <w:rFonts w:hint="eastAsia" w:hAnsi="宋体" w:cs="宋体"/>
          <w:highlight w:val="none"/>
        </w:rPr>
        <w:t>⑤招标人明示或暗示投标人为特定投标人中标提供方便；</w:t>
      </w:r>
    </w:p>
    <w:p>
      <w:pPr>
        <w:pStyle w:val="19"/>
        <w:spacing w:line="360" w:lineRule="auto"/>
        <w:ind w:firstLine="420" w:firstLineChars="200"/>
        <w:rPr>
          <w:rFonts w:hAnsi="宋体" w:cs="宋体"/>
          <w:highlight w:val="none"/>
        </w:rPr>
      </w:pPr>
      <w:r>
        <w:rPr>
          <w:rFonts w:hint="eastAsia" w:hAnsi="宋体" w:cs="宋体"/>
          <w:highlight w:val="none"/>
        </w:rPr>
        <w:t>⑥招标人与投标人为谋求特定投标人中标而采取的其他串通行为。</w:t>
      </w:r>
    </w:p>
    <w:p>
      <w:pPr>
        <w:pStyle w:val="19"/>
        <w:spacing w:line="360" w:lineRule="auto"/>
        <w:ind w:firstLine="420" w:firstLineChars="200"/>
        <w:outlineLvl w:val="0"/>
        <w:rPr>
          <w:rFonts w:hAnsi="宋体" w:cs="宋体"/>
          <w:highlight w:val="none"/>
        </w:rPr>
      </w:pPr>
      <w:bookmarkStart w:id="397" w:name="_Toc13009"/>
      <w:bookmarkStart w:id="398" w:name="_Toc140069427"/>
      <w:r>
        <w:rPr>
          <w:rFonts w:hint="eastAsia" w:hAnsi="宋体" w:cs="宋体"/>
          <w:highlight w:val="none"/>
        </w:rPr>
        <w:t>（4）投标人有下列情形之一的，属于弄虚作假的行为：</w:t>
      </w:r>
      <w:bookmarkEnd w:id="397"/>
      <w:bookmarkEnd w:id="398"/>
    </w:p>
    <w:p>
      <w:pPr>
        <w:pStyle w:val="19"/>
        <w:spacing w:line="360" w:lineRule="auto"/>
        <w:ind w:firstLine="420" w:firstLineChars="200"/>
        <w:rPr>
          <w:rFonts w:hAnsi="宋体" w:cs="宋体"/>
          <w:highlight w:val="none"/>
        </w:rPr>
      </w:pPr>
      <w:r>
        <w:rPr>
          <w:rFonts w:hint="eastAsia" w:hAnsi="宋体" w:cs="宋体"/>
          <w:highlight w:val="none"/>
        </w:rPr>
        <w:t>①使用通过受让或租借等方式获取的资格、资质证书投标；</w:t>
      </w:r>
    </w:p>
    <w:p>
      <w:pPr>
        <w:pStyle w:val="19"/>
        <w:spacing w:line="360" w:lineRule="auto"/>
        <w:ind w:firstLine="420" w:firstLineChars="200"/>
        <w:rPr>
          <w:rFonts w:hAnsi="宋体" w:cs="宋体"/>
          <w:highlight w:val="none"/>
        </w:rPr>
      </w:pPr>
      <w:r>
        <w:rPr>
          <w:rFonts w:hint="eastAsia" w:hAnsi="宋体" w:cs="宋体"/>
          <w:highlight w:val="none"/>
        </w:rPr>
        <w:t>②使用伪造、变造的许可证件；</w:t>
      </w:r>
    </w:p>
    <w:p>
      <w:pPr>
        <w:pStyle w:val="19"/>
        <w:spacing w:line="360" w:lineRule="auto"/>
        <w:ind w:firstLine="420" w:firstLineChars="200"/>
        <w:rPr>
          <w:rFonts w:hAnsi="宋体" w:cs="宋体"/>
          <w:highlight w:val="none"/>
        </w:rPr>
      </w:pPr>
      <w:r>
        <w:rPr>
          <w:rFonts w:hint="eastAsia" w:hAnsi="宋体" w:cs="宋体"/>
          <w:highlight w:val="none"/>
        </w:rPr>
        <w:t>③提供虚假的财务状况或业绩；</w:t>
      </w:r>
    </w:p>
    <w:p>
      <w:pPr>
        <w:pStyle w:val="19"/>
        <w:spacing w:line="360" w:lineRule="auto"/>
        <w:ind w:firstLine="420" w:firstLineChars="200"/>
        <w:rPr>
          <w:rFonts w:hAnsi="宋体" w:cs="宋体"/>
          <w:highlight w:val="none"/>
        </w:rPr>
      </w:pPr>
      <w:r>
        <w:rPr>
          <w:rFonts w:hint="eastAsia" w:hAnsi="宋体" w:cs="宋体"/>
          <w:highlight w:val="none"/>
        </w:rPr>
        <w:t>④提供虚假的项目负责人或主要技术人员简历、劳动关系证明；</w:t>
      </w:r>
    </w:p>
    <w:p>
      <w:pPr>
        <w:pStyle w:val="19"/>
        <w:spacing w:line="360" w:lineRule="auto"/>
        <w:ind w:firstLine="420" w:firstLineChars="200"/>
        <w:rPr>
          <w:rFonts w:hAnsi="宋体" w:cs="宋体"/>
          <w:highlight w:val="none"/>
        </w:rPr>
      </w:pPr>
      <w:r>
        <w:rPr>
          <w:rFonts w:hint="eastAsia" w:hAnsi="宋体" w:cs="宋体"/>
          <w:highlight w:val="none"/>
        </w:rPr>
        <w:t>⑤提供虚假的信用状况；</w:t>
      </w:r>
    </w:p>
    <w:p>
      <w:pPr>
        <w:pStyle w:val="19"/>
        <w:spacing w:line="360" w:lineRule="auto"/>
        <w:ind w:firstLine="420" w:firstLineChars="200"/>
        <w:rPr>
          <w:rFonts w:hAnsi="宋体" w:cs="宋体"/>
          <w:highlight w:val="none"/>
        </w:rPr>
      </w:pPr>
      <w:r>
        <w:rPr>
          <w:rFonts w:hint="eastAsia" w:hAnsi="宋体" w:cs="宋体"/>
          <w:highlight w:val="none"/>
        </w:rPr>
        <w:t>⑥其他弄虚作假的行为。</w:t>
      </w:r>
    </w:p>
    <w:p>
      <w:pPr>
        <w:keepNext/>
        <w:keepLines/>
        <w:spacing w:line="360" w:lineRule="auto"/>
        <w:outlineLvl w:val="1"/>
        <w:rPr>
          <w:rFonts w:hAnsi="宋体" w:cs="宋体"/>
          <w:highlight w:val="none"/>
        </w:rPr>
      </w:pPr>
      <w:r>
        <w:rPr>
          <w:rFonts w:hint="eastAsia" w:eastAsia="黑体" w:cs="宋体"/>
          <w:sz w:val="28"/>
          <w:highlight w:val="none"/>
        </w:rPr>
        <w:br w:type="page"/>
      </w:r>
      <w:bookmarkStart w:id="399" w:name="_Toc140069428"/>
      <w:bookmarkStart w:id="400" w:name="_Toc6479"/>
      <w:r>
        <w:rPr>
          <w:rFonts w:hint="eastAsia" w:ascii="黑体" w:hAnsi="黑体" w:eastAsia="黑体" w:cs="黑体"/>
          <w:sz w:val="32"/>
          <w:szCs w:val="32"/>
          <w:highlight w:val="none"/>
        </w:rPr>
        <w:t>1.评标方法</w:t>
      </w:r>
      <w:bookmarkEnd w:id="399"/>
      <w:bookmarkEnd w:id="400"/>
    </w:p>
    <w:p>
      <w:pPr>
        <w:snapToGrid w:val="0"/>
        <w:spacing w:line="360" w:lineRule="auto"/>
        <w:ind w:firstLine="480" w:firstLineChars="200"/>
        <w:rPr>
          <w:rFonts w:hAnsi="宋体" w:cs="宋体"/>
          <w:highlight w:val="none"/>
        </w:rPr>
      </w:pPr>
      <w:r>
        <w:rPr>
          <w:rFonts w:hint="eastAsia" w:hAnsi="宋体" w:cs="宋体"/>
          <w:highlight w:val="none"/>
        </w:rPr>
        <w:t>1.1本次评标采用综合评估法（一次平均）。</w:t>
      </w:r>
    </w:p>
    <w:p>
      <w:pPr>
        <w:snapToGrid w:val="0"/>
        <w:spacing w:line="360" w:lineRule="auto"/>
        <w:ind w:firstLine="480" w:firstLineChars="200"/>
        <w:rPr>
          <w:rFonts w:hAnsi="宋体" w:cs="宋体"/>
          <w:highlight w:val="none"/>
        </w:rPr>
      </w:pPr>
      <w:r>
        <w:rPr>
          <w:rFonts w:hint="eastAsia" w:hAnsi="宋体" w:cs="宋体"/>
          <w:highlight w:val="none"/>
        </w:rPr>
        <w:t>1.2评标委员会对所有按规定递交并成功导入评标系统的投标文件进行评审，评标委员会对投标文件按照规定的评审标准和评标程序进行评审，并按综合得分由高到低顺序推荐中标候选人，综合得分相等时，中标候选人排序方法见评标办法前附表；或根据招标人授权直接确定中标人。不得推荐为中标候选人、确定为中标人的情形见本章第3.7款、第3.8.1项。</w:t>
      </w:r>
    </w:p>
    <w:p>
      <w:pPr>
        <w:snapToGrid w:val="0"/>
        <w:spacing w:line="360" w:lineRule="auto"/>
        <w:ind w:firstLine="480" w:firstLineChars="200"/>
        <w:rPr>
          <w:rFonts w:hAnsi="宋体" w:cs="宋体"/>
          <w:highlight w:val="none"/>
        </w:rPr>
      </w:pPr>
      <w:r>
        <w:rPr>
          <w:rFonts w:hint="eastAsia" w:hAnsi="宋体" w:cs="宋体"/>
          <w:highlight w:val="none"/>
        </w:rPr>
        <w:t>1.3本次推荐中标候选人的先后顺序及最多可中标段数量见评标办法前附表。被推荐为第一中标候选人的标段个数已达到最多允许中标的标段个数的投标人，在后续标段不再被推荐为中标候选人，但仍参与评审。</w:t>
      </w:r>
    </w:p>
    <w:p>
      <w:pPr>
        <w:snapToGrid w:val="0"/>
        <w:spacing w:line="360" w:lineRule="auto"/>
        <w:ind w:firstLine="480" w:firstLineChars="200"/>
        <w:rPr>
          <w:rFonts w:hAnsi="宋体" w:cs="宋体"/>
          <w:highlight w:val="none"/>
        </w:rPr>
      </w:pPr>
      <w:r>
        <w:rPr>
          <w:rFonts w:hint="eastAsia" w:hAnsi="宋体" w:cs="宋体"/>
          <w:highlight w:val="none"/>
        </w:rPr>
        <w:t>1.4评标结束后如有某标段的第一中标候选人发生变化的情况，不影响其他标段排序。</w:t>
      </w:r>
    </w:p>
    <w:p>
      <w:pPr>
        <w:snapToGrid w:val="0"/>
        <w:spacing w:line="360" w:lineRule="auto"/>
        <w:ind w:firstLine="480" w:firstLineChars="200"/>
        <w:rPr>
          <w:rFonts w:hAnsi="宋体" w:cs="宋体"/>
          <w:highlight w:val="none"/>
        </w:rPr>
      </w:pPr>
      <w:r>
        <w:rPr>
          <w:rFonts w:hint="eastAsia" w:hAnsi="宋体" w:cs="宋体"/>
          <w:highlight w:val="none"/>
        </w:rPr>
        <w:t>1.5招标人应当根据项目的实际情况，在评标办法正文及前附表中列明所有否决投标的情形；第三章“评标办法”没有列明的否决投标的情形，一律不得作为评审依据。</w:t>
      </w:r>
    </w:p>
    <w:p>
      <w:pPr>
        <w:keepNext/>
        <w:keepLines/>
        <w:spacing w:line="360" w:lineRule="auto"/>
        <w:outlineLvl w:val="1"/>
        <w:rPr>
          <w:rFonts w:ascii="黑体" w:hAnsi="黑体" w:eastAsia="黑体" w:cs="黑体"/>
          <w:sz w:val="32"/>
          <w:szCs w:val="32"/>
          <w:highlight w:val="none"/>
        </w:rPr>
      </w:pPr>
      <w:bookmarkStart w:id="401" w:name="_Toc5088"/>
      <w:bookmarkStart w:id="402" w:name="_Toc140069429"/>
      <w:bookmarkStart w:id="403" w:name="_Toc31234"/>
      <w:r>
        <w:rPr>
          <w:rFonts w:hint="eastAsia" w:ascii="黑体" w:hAnsi="黑体" w:eastAsia="黑体" w:cs="黑体"/>
          <w:sz w:val="32"/>
          <w:szCs w:val="32"/>
          <w:highlight w:val="none"/>
        </w:rPr>
        <w:t>2.评审标准</w:t>
      </w:r>
      <w:bookmarkEnd w:id="401"/>
      <w:bookmarkEnd w:id="402"/>
      <w:bookmarkEnd w:id="403"/>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2.1初步评审标准</w:t>
      </w:r>
    </w:p>
    <w:p>
      <w:pPr>
        <w:snapToGrid w:val="0"/>
        <w:spacing w:line="360" w:lineRule="auto"/>
        <w:ind w:firstLine="480" w:firstLineChars="200"/>
        <w:rPr>
          <w:rFonts w:hAnsi="宋体" w:cs="宋体"/>
          <w:highlight w:val="none"/>
        </w:rPr>
      </w:pPr>
      <w:r>
        <w:rPr>
          <w:rFonts w:hint="eastAsia" w:hAnsi="宋体" w:cs="宋体"/>
          <w:highlight w:val="none"/>
        </w:rPr>
        <w:t>2.1.1 形式评审标准：见评标办法前附表。</w:t>
      </w:r>
    </w:p>
    <w:p>
      <w:pPr>
        <w:snapToGrid w:val="0"/>
        <w:spacing w:line="360" w:lineRule="auto"/>
        <w:ind w:firstLine="480" w:firstLineChars="200"/>
        <w:rPr>
          <w:rFonts w:hAnsi="宋体" w:cs="宋体"/>
          <w:highlight w:val="none"/>
        </w:rPr>
      </w:pPr>
      <w:r>
        <w:rPr>
          <w:rFonts w:hint="eastAsia" w:hAnsi="宋体" w:cs="宋体"/>
          <w:highlight w:val="none"/>
        </w:rPr>
        <w:t>2.1.2 资格评审标准：见评标办法前附表。</w:t>
      </w:r>
    </w:p>
    <w:p>
      <w:pPr>
        <w:snapToGrid w:val="0"/>
        <w:spacing w:line="360" w:lineRule="auto"/>
        <w:ind w:firstLine="480" w:firstLineChars="200"/>
        <w:rPr>
          <w:rFonts w:hAnsi="宋体" w:cs="宋体"/>
          <w:highlight w:val="none"/>
        </w:rPr>
      </w:pPr>
      <w:r>
        <w:rPr>
          <w:rFonts w:hint="eastAsia" w:hAnsi="宋体" w:cs="宋体"/>
          <w:highlight w:val="none"/>
        </w:rPr>
        <w:t>2.1.3 响应性评审标准：见评标办法前附表。</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2.2</w:t>
      </w:r>
      <w:r>
        <w:rPr>
          <w:rFonts w:hint="eastAsia" w:cs="黑体"/>
          <w:snapToGrid w:val="0"/>
          <w:highlight w:val="none"/>
          <w:shd w:val="clear" w:color="auto" w:fill="FFFFFF"/>
        </w:rPr>
        <w:t>详细评审</w:t>
      </w:r>
      <w:r>
        <w:rPr>
          <w:rFonts w:hint="eastAsia" w:cs="黑体"/>
          <w:snapToGrid w:val="0"/>
          <w:highlight w:val="none"/>
          <w:shd w:val="clear" w:color="auto" w:fill="FFFFFF"/>
          <w:lang w:val="zh-CN"/>
        </w:rPr>
        <w:t>标准</w:t>
      </w:r>
    </w:p>
    <w:p>
      <w:pPr>
        <w:snapToGrid w:val="0"/>
        <w:spacing w:line="360" w:lineRule="auto"/>
        <w:ind w:firstLine="480" w:firstLineChars="200"/>
        <w:rPr>
          <w:rFonts w:hAnsi="宋体" w:cs="宋体"/>
          <w:highlight w:val="none"/>
        </w:rPr>
      </w:pPr>
      <w:r>
        <w:rPr>
          <w:rFonts w:hint="eastAsia" w:hAnsi="宋体" w:cs="宋体"/>
          <w:highlight w:val="none"/>
        </w:rPr>
        <w:t>2.2.1</w:t>
      </w:r>
      <w:r>
        <w:rPr>
          <w:rFonts w:hint="eastAsia" w:ascii="Times New Roman" w:cs="宋体"/>
          <w:szCs w:val="24"/>
          <w:highlight w:val="none"/>
        </w:rPr>
        <w:t>商务、技术和报价文件</w:t>
      </w:r>
      <w:r>
        <w:rPr>
          <w:rFonts w:hint="eastAsia" w:hAnsi="宋体" w:cs="宋体"/>
          <w:highlight w:val="none"/>
        </w:rPr>
        <w:t>分值构成：见评标办法前附表。</w:t>
      </w:r>
    </w:p>
    <w:p>
      <w:pPr>
        <w:snapToGrid w:val="0"/>
        <w:spacing w:line="360" w:lineRule="auto"/>
        <w:ind w:firstLine="480" w:firstLineChars="200"/>
        <w:rPr>
          <w:rFonts w:hAnsi="宋体" w:cs="宋体"/>
          <w:highlight w:val="none"/>
        </w:rPr>
      </w:pPr>
      <w:r>
        <w:rPr>
          <w:rFonts w:hint="eastAsia" w:hAnsi="宋体" w:cs="宋体"/>
          <w:highlight w:val="none"/>
        </w:rPr>
        <w:t>2.2.2评分标准</w:t>
      </w:r>
    </w:p>
    <w:p>
      <w:pPr>
        <w:snapToGrid w:val="0"/>
        <w:spacing w:line="360" w:lineRule="auto"/>
        <w:ind w:firstLine="480" w:firstLineChars="200"/>
        <w:rPr>
          <w:rFonts w:hAnsi="宋体" w:cs="宋体"/>
          <w:highlight w:val="none"/>
        </w:rPr>
      </w:pPr>
      <w:r>
        <w:rPr>
          <w:rFonts w:hint="eastAsia" w:hAnsi="宋体" w:cs="宋体"/>
          <w:highlight w:val="none"/>
        </w:rPr>
        <w:t>（1）技术</w:t>
      </w:r>
      <w:r>
        <w:rPr>
          <w:rFonts w:hint="eastAsia" w:ascii="Times New Roman" w:cs="宋体"/>
          <w:szCs w:val="24"/>
          <w:highlight w:val="none"/>
        </w:rPr>
        <w:t>文件评分</w:t>
      </w:r>
      <w:r>
        <w:rPr>
          <w:rFonts w:hint="eastAsia" w:hAnsi="宋体" w:cs="宋体"/>
          <w:highlight w:val="none"/>
        </w:rPr>
        <w:t>标准：见评标办法前附表；</w:t>
      </w:r>
    </w:p>
    <w:p>
      <w:pPr>
        <w:snapToGrid w:val="0"/>
        <w:spacing w:line="360" w:lineRule="auto"/>
        <w:ind w:firstLine="480" w:firstLineChars="200"/>
        <w:rPr>
          <w:rFonts w:hAnsi="宋体" w:cs="宋体"/>
          <w:highlight w:val="none"/>
        </w:rPr>
      </w:pPr>
      <w:r>
        <w:rPr>
          <w:rFonts w:hint="eastAsia" w:hAnsi="宋体" w:cs="宋体"/>
          <w:highlight w:val="none"/>
        </w:rPr>
        <w:t>（2）商务</w:t>
      </w:r>
      <w:r>
        <w:rPr>
          <w:rFonts w:hint="eastAsia" w:ascii="Times New Roman" w:cs="宋体"/>
          <w:szCs w:val="24"/>
          <w:highlight w:val="none"/>
        </w:rPr>
        <w:t>文件评分</w:t>
      </w:r>
      <w:r>
        <w:rPr>
          <w:rFonts w:hint="eastAsia" w:hAnsi="宋体" w:cs="宋体"/>
          <w:highlight w:val="none"/>
        </w:rPr>
        <w:t>标准：见评标办法前附表；</w:t>
      </w:r>
    </w:p>
    <w:p>
      <w:pPr>
        <w:snapToGrid w:val="0"/>
        <w:spacing w:line="360" w:lineRule="auto"/>
        <w:ind w:firstLine="480" w:firstLineChars="200"/>
        <w:rPr>
          <w:rFonts w:hAnsi="宋体" w:cs="宋体"/>
          <w:highlight w:val="none"/>
        </w:rPr>
      </w:pPr>
      <w:r>
        <w:rPr>
          <w:rFonts w:hint="eastAsia" w:hAnsi="宋体" w:cs="宋体"/>
          <w:highlight w:val="none"/>
        </w:rPr>
        <w:t>（3）报价文件评分标准：见评标办法前附表。</w:t>
      </w:r>
    </w:p>
    <w:p>
      <w:pPr>
        <w:keepNext/>
        <w:keepLines/>
        <w:spacing w:line="360" w:lineRule="auto"/>
        <w:outlineLvl w:val="1"/>
        <w:rPr>
          <w:rFonts w:ascii="黑体" w:hAnsi="黑体" w:eastAsia="黑体" w:cs="黑体"/>
          <w:sz w:val="32"/>
          <w:szCs w:val="32"/>
          <w:highlight w:val="none"/>
        </w:rPr>
      </w:pPr>
      <w:bookmarkStart w:id="404" w:name="_Toc27368"/>
      <w:bookmarkStart w:id="405" w:name="_Toc27642"/>
      <w:bookmarkStart w:id="406" w:name="_Toc140069430"/>
      <w:r>
        <w:rPr>
          <w:rFonts w:hint="eastAsia" w:ascii="黑体" w:hAnsi="黑体" w:eastAsia="黑体" w:cs="黑体"/>
          <w:sz w:val="32"/>
          <w:szCs w:val="32"/>
          <w:highlight w:val="none"/>
        </w:rPr>
        <w:t>3.评标程序</w:t>
      </w:r>
      <w:bookmarkEnd w:id="404"/>
      <w:bookmarkEnd w:id="405"/>
      <w:bookmarkEnd w:id="406"/>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3.1商务及技术文件初步评审</w:t>
      </w:r>
    </w:p>
    <w:p>
      <w:pPr>
        <w:spacing w:line="360" w:lineRule="auto"/>
        <w:ind w:firstLine="480" w:firstLineChars="200"/>
        <w:rPr>
          <w:rFonts w:hAnsi="宋体" w:cs="宋体"/>
          <w:highlight w:val="none"/>
        </w:rPr>
      </w:pPr>
      <w:r>
        <w:rPr>
          <w:rFonts w:hint="eastAsia" w:hAnsi="宋体" w:cs="宋体"/>
          <w:highlight w:val="none"/>
        </w:rPr>
        <w:t>评标委员会依据本章第2.1.1项、第2.1.2项、第2.1.3项规定的评审标准对商务及技术文件进行初步评审。有一项不符合评审标准的，评标委员会应否决其投标。</w:t>
      </w:r>
    </w:p>
    <w:p>
      <w:pPr>
        <w:pStyle w:val="2"/>
        <w:spacing w:beforeLines="100" w:afterLines="100" w:line="240" w:lineRule="auto"/>
        <w:rPr>
          <w:rFonts w:cs="黑体"/>
          <w:snapToGrid w:val="0"/>
          <w:highlight w:val="none"/>
          <w:shd w:val="clear" w:color="auto" w:fill="FFFFFF"/>
          <w:lang w:val="zh-CN"/>
        </w:rPr>
      </w:pPr>
      <w:bookmarkStart w:id="407" w:name="_Toc501460719"/>
      <w:r>
        <w:rPr>
          <w:rFonts w:hint="eastAsia" w:cs="黑体"/>
          <w:snapToGrid w:val="0"/>
          <w:highlight w:val="none"/>
          <w:shd w:val="clear" w:color="auto" w:fill="FFFFFF"/>
          <w:lang w:val="zh-CN"/>
        </w:rPr>
        <w:t>3.2商务及技术文件详细评审</w:t>
      </w:r>
      <w:bookmarkEnd w:id="407"/>
    </w:p>
    <w:p>
      <w:pPr>
        <w:spacing w:line="360" w:lineRule="auto"/>
        <w:ind w:firstLine="480" w:firstLineChars="200"/>
        <w:rPr>
          <w:rFonts w:hAnsi="宋体" w:cs="宋体"/>
          <w:highlight w:val="none"/>
        </w:rPr>
      </w:pPr>
      <w:r>
        <w:rPr>
          <w:rFonts w:hint="eastAsia" w:hAnsi="宋体" w:cs="宋体"/>
          <w:highlight w:val="none"/>
        </w:rPr>
        <w:t>3.2.1</w:t>
      </w:r>
      <w:r>
        <w:rPr>
          <w:rFonts w:hint="eastAsia" w:ascii="Times New Roman" w:cs="宋体"/>
          <w:szCs w:val="24"/>
          <w:highlight w:val="none"/>
        </w:rPr>
        <w:t>评标委员会按照本章第2.2款规定的量化因素和分值对商务及技术文件进行打分，并计算出各投标人商务及技术文件综合评估得分。</w:t>
      </w:r>
    </w:p>
    <w:p>
      <w:pPr>
        <w:spacing w:line="360" w:lineRule="auto"/>
        <w:ind w:firstLine="480" w:firstLineChars="200"/>
        <w:rPr>
          <w:rFonts w:hAnsi="宋体" w:cs="宋体"/>
          <w:highlight w:val="none"/>
        </w:rPr>
      </w:pPr>
      <w:r>
        <w:rPr>
          <w:rFonts w:hint="eastAsia" w:hAnsi="宋体" w:cs="宋体"/>
          <w:highlight w:val="none"/>
        </w:rPr>
        <w:t>（1）按照本章第</w:t>
      </w:r>
      <w:r>
        <w:rPr>
          <w:rFonts w:hint="eastAsia" w:ascii="Times New Roman"/>
          <w:szCs w:val="24"/>
          <w:highlight w:val="none"/>
        </w:rPr>
        <w:t>2.2.2（1）</w:t>
      </w:r>
      <w:r>
        <w:rPr>
          <w:rFonts w:hint="eastAsia" w:hAnsi="宋体" w:cs="宋体"/>
          <w:highlight w:val="none"/>
        </w:rPr>
        <w:t>目规定的评审因素和分值</w:t>
      </w:r>
      <w:r>
        <w:rPr>
          <w:rFonts w:hint="eastAsia" w:ascii="Times New Roman" w:cs="宋体"/>
          <w:szCs w:val="24"/>
          <w:highlight w:val="none"/>
        </w:rPr>
        <w:t>计算出</w:t>
      </w:r>
      <w:r>
        <w:rPr>
          <w:rFonts w:hint="eastAsia" w:hAnsi="宋体" w:cs="宋体"/>
          <w:highlight w:val="none"/>
        </w:rPr>
        <w:t>技术文件得分A；</w:t>
      </w:r>
    </w:p>
    <w:p>
      <w:pPr>
        <w:spacing w:line="360" w:lineRule="auto"/>
        <w:ind w:firstLine="480" w:firstLineChars="200"/>
        <w:rPr>
          <w:rFonts w:hAnsi="宋体" w:cs="宋体"/>
          <w:highlight w:val="none"/>
        </w:rPr>
      </w:pPr>
      <w:r>
        <w:rPr>
          <w:rFonts w:hint="eastAsia" w:hAnsi="宋体" w:cs="宋体"/>
          <w:highlight w:val="none"/>
        </w:rPr>
        <w:t>（2）按照本章第</w:t>
      </w:r>
      <w:r>
        <w:rPr>
          <w:rFonts w:hint="eastAsia" w:ascii="Times New Roman"/>
          <w:szCs w:val="24"/>
          <w:highlight w:val="none"/>
        </w:rPr>
        <w:t>2.2.2（2）</w:t>
      </w:r>
      <w:r>
        <w:rPr>
          <w:rFonts w:hint="eastAsia" w:hAnsi="宋体" w:cs="宋体"/>
          <w:highlight w:val="none"/>
        </w:rPr>
        <w:t>目规定的评审因素和分值</w:t>
      </w:r>
      <w:r>
        <w:rPr>
          <w:rFonts w:hint="eastAsia" w:ascii="Times New Roman" w:cs="宋体"/>
          <w:szCs w:val="24"/>
          <w:highlight w:val="none"/>
        </w:rPr>
        <w:t>计算出</w:t>
      </w:r>
      <w:r>
        <w:rPr>
          <w:rFonts w:hint="eastAsia" w:hAnsi="宋体" w:cs="宋体"/>
          <w:highlight w:val="none"/>
        </w:rPr>
        <w:t>商务文件得分B</w:t>
      </w:r>
      <w:bookmarkStart w:id="408" w:name="_Toc18141"/>
      <w:bookmarkStart w:id="409" w:name="_Toc369531584"/>
      <w:bookmarkStart w:id="410" w:name="_Toc152045605"/>
      <w:bookmarkStart w:id="411" w:name="_Toc361508653"/>
      <w:bookmarkStart w:id="412" w:name="_Toc144974572"/>
      <w:bookmarkStart w:id="413" w:name="_Toc384308279"/>
      <w:bookmarkStart w:id="414" w:name="_Toc352691540"/>
      <w:bookmarkStart w:id="415" w:name="_Toc300835015"/>
      <w:bookmarkStart w:id="416" w:name="_Toc247514029"/>
      <w:bookmarkStart w:id="417" w:name="_Toc247527630"/>
      <w:bookmarkStart w:id="418" w:name="_Toc152042382"/>
      <w:r>
        <w:rPr>
          <w:rFonts w:hint="eastAsia" w:hAnsi="宋体" w:cs="宋体"/>
          <w:highlight w:val="none"/>
        </w:rPr>
        <w:t>。</w:t>
      </w:r>
    </w:p>
    <w:bookmarkEnd w:id="408"/>
    <w:bookmarkEnd w:id="409"/>
    <w:bookmarkEnd w:id="410"/>
    <w:bookmarkEnd w:id="411"/>
    <w:bookmarkEnd w:id="412"/>
    <w:bookmarkEnd w:id="413"/>
    <w:bookmarkEnd w:id="414"/>
    <w:bookmarkEnd w:id="415"/>
    <w:bookmarkEnd w:id="416"/>
    <w:bookmarkEnd w:id="417"/>
    <w:bookmarkEnd w:id="418"/>
    <w:p>
      <w:pPr>
        <w:snapToGrid w:val="0"/>
        <w:spacing w:line="360" w:lineRule="auto"/>
        <w:ind w:firstLine="480" w:firstLineChars="200"/>
        <w:rPr>
          <w:rFonts w:hAnsi="宋体" w:cs="宋体"/>
          <w:highlight w:val="none"/>
        </w:rPr>
      </w:pPr>
      <w:r>
        <w:rPr>
          <w:rFonts w:hint="eastAsia" w:hAnsi="宋体" w:cs="宋体"/>
          <w:highlight w:val="none"/>
        </w:rPr>
        <w:t>3.2.2 得分计算的确定</w:t>
      </w:r>
    </w:p>
    <w:p>
      <w:pPr>
        <w:spacing w:line="360" w:lineRule="auto"/>
        <w:ind w:firstLine="480" w:firstLineChars="200"/>
        <w:rPr>
          <w:rFonts w:ascii="Times New Roman"/>
          <w:szCs w:val="24"/>
          <w:highlight w:val="none"/>
        </w:rPr>
      </w:pPr>
      <w:r>
        <w:rPr>
          <w:rFonts w:hint="eastAsia" w:ascii="Times New Roman"/>
          <w:szCs w:val="24"/>
          <w:highlight w:val="none"/>
        </w:rPr>
        <w:t>（1）技术文件详细评审得分计算</w:t>
      </w:r>
    </w:p>
    <w:p>
      <w:pPr>
        <w:spacing w:line="360" w:lineRule="auto"/>
        <w:ind w:firstLine="480" w:firstLineChars="200"/>
        <w:rPr>
          <w:rFonts w:ascii="Times New Roman"/>
          <w:szCs w:val="24"/>
          <w:highlight w:val="none"/>
        </w:rPr>
      </w:pPr>
      <w:r>
        <w:rPr>
          <w:rFonts w:hint="eastAsia" w:ascii="Times New Roman"/>
          <w:szCs w:val="24"/>
          <w:highlight w:val="none"/>
        </w:rPr>
        <w:t>本章第2.2.2（1）目属于技术文件详细评审内容，技术文件详细评审得分计算规则见评标办法前附表。</w:t>
      </w:r>
    </w:p>
    <w:p>
      <w:pPr>
        <w:spacing w:line="360" w:lineRule="auto"/>
        <w:ind w:firstLine="480" w:firstLineChars="200"/>
        <w:rPr>
          <w:rFonts w:ascii="Times New Roman"/>
          <w:szCs w:val="24"/>
          <w:highlight w:val="none"/>
        </w:rPr>
      </w:pPr>
      <w:r>
        <w:rPr>
          <w:rFonts w:hint="eastAsia" w:ascii="Times New Roman"/>
          <w:szCs w:val="24"/>
          <w:highlight w:val="none"/>
        </w:rPr>
        <w:t>（2）商务文件详细评审得分计算</w:t>
      </w:r>
    </w:p>
    <w:p>
      <w:pPr>
        <w:spacing w:line="360" w:lineRule="auto"/>
        <w:ind w:firstLine="480" w:firstLineChars="200"/>
        <w:rPr>
          <w:rFonts w:ascii="Times New Roman"/>
          <w:szCs w:val="24"/>
          <w:highlight w:val="none"/>
        </w:rPr>
      </w:pPr>
      <w:r>
        <w:rPr>
          <w:rFonts w:hint="eastAsia" w:ascii="Times New Roman"/>
          <w:szCs w:val="24"/>
          <w:highlight w:val="none"/>
        </w:rPr>
        <w:t>本章第2.2.2（2）目属于商务文件详细评审内容，投标人第2.2.2（2）目的得分以评标委员会各成员对该目的打分平均值确定。</w:t>
      </w:r>
    </w:p>
    <w:p>
      <w:pPr>
        <w:snapToGrid w:val="0"/>
        <w:spacing w:line="360" w:lineRule="auto"/>
        <w:ind w:firstLine="480" w:firstLineChars="200"/>
        <w:rPr>
          <w:rFonts w:hAnsi="宋体" w:cs="宋体"/>
          <w:highlight w:val="none"/>
        </w:rPr>
      </w:pPr>
      <w:r>
        <w:rPr>
          <w:rFonts w:hint="eastAsia" w:hAnsi="宋体" w:cs="宋体"/>
          <w:highlight w:val="none"/>
        </w:rPr>
        <w:t>3.2.3评委对技术文件打分在招标文件第2.2.2（1）目规定评审总分的90%以上（含）、60%以下（含）的投标人，评委应提出充足的理由，该理由在评标委员会集体讨论并确认后记入评标报告，否则该评委应当且仅就评分理由重新提出充足的理由。</w:t>
      </w:r>
    </w:p>
    <w:p>
      <w:pPr>
        <w:spacing w:line="360" w:lineRule="auto"/>
        <w:ind w:firstLine="480" w:firstLineChars="200"/>
        <w:rPr>
          <w:rFonts w:hAnsi="宋体" w:cs="宋体"/>
          <w:highlight w:val="none"/>
        </w:rPr>
      </w:pPr>
      <w:r>
        <w:rPr>
          <w:rFonts w:hint="eastAsia" w:hAnsi="宋体" w:cs="宋体"/>
          <w:highlight w:val="none"/>
        </w:rPr>
        <w:t>3.2.4投标人商务及技术文件综合得分=A+B。</w:t>
      </w:r>
    </w:p>
    <w:p>
      <w:pPr>
        <w:pStyle w:val="2"/>
        <w:spacing w:beforeLines="100" w:afterLines="100" w:line="240" w:lineRule="auto"/>
        <w:rPr>
          <w:rFonts w:cs="黑体"/>
          <w:snapToGrid w:val="0"/>
          <w:highlight w:val="none"/>
          <w:shd w:val="clear" w:color="auto" w:fill="FFFFFF"/>
          <w:lang w:val="zh-CN"/>
        </w:rPr>
      </w:pPr>
      <w:bookmarkStart w:id="419" w:name="_Toc26657036"/>
      <w:bookmarkStart w:id="420" w:name="_Toc14808"/>
      <w:r>
        <w:rPr>
          <w:rFonts w:hint="eastAsia" w:cs="黑体"/>
          <w:snapToGrid w:val="0"/>
          <w:highlight w:val="none"/>
          <w:shd w:val="clear" w:color="auto" w:fill="FFFFFF"/>
          <w:lang w:val="zh-CN"/>
        </w:rPr>
        <w:t>3.3报价文件</w:t>
      </w:r>
      <w:bookmarkEnd w:id="419"/>
      <w:r>
        <w:rPr>
          <w:rFonts w:hint="eastAsia" w:cs="黑体"/>
          <w:snapToGrid w:val="0"/>
          <w:highlight w:val="none"/>
          <w:shd w:val="clear" w:color="auto" w:fill="FFFFFF"/>
          <w:lang w:val="zh-CN"/>
        </w:rPr>
        <w:t>公布</w:t>
      </w:r>
      <w:bookmarkEnd w:id="420"/>
    </w:p>
    <w:p>
      <w:pPr>
        <w:spacing w:line="360" w:lineRule="auto"/>
        <w:ind w:firstLine="480" w:firstLineChars="200"/>
        <w:rPr>
          <w:highlight w:val="none"/>
        </w:rPr>
      </w:pPr>
      <w:r>
        <w:rPr>
          <w:rFonts w:hint="eastAsia"/>
          <w:highlight w:val="none"/>
        </w:rPr>
        <w:t>商务及技术文件评审结束后，招标人公布所有投标人的</w:t>
      </w:r>
      <w:r>
        <w:rPr>
          <w:rFonts w:hint="eastAsia" w:ascii="Times New Roman" w:cs="宋体"/>
          <w:szCs w:val="24"/>
          <w:highlight w:val="none"/>
        </w:rPr>
        <w:t>投标报价</w:t>
      </w:r>
      <w:r>
        <w:rPr>
          <w:rFonts w:hint="eastAsia"/>
          <w:highlight w:val="none"/>
        </w:rPr>
        <w:t>。</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3.4报价文件初步评审</w:t>
      </w:r>
    </w:p>
    <w:p>
      <w:pPr>
        <w:snapToGrid w:val="0"/>
        <w:spacing w:line="360" w:lineRule="auto"/>
        <w:ind w:firstLine="480" w:firstLineChars="200"/>
        <w:rPr>
          <w:rFonts w:hAnsi="宋体" w:cs="宋体"/>
          <w:highlight w:val="none"/>
        </w:rPr>
      </w:pPr>
      <w:r>
        <w:rPr>
          <w:rFonts w:hint="eastAsia" w:hAnsi="宋体" w:cs="宋体"/>
          <w:highlight w:val="none"/>
        </w:rPr>
        <w:t>3.4.1 评标委员会依据本章第2.1.1款、第2.1.3款规定的评审标准对报价文件进行初步评审。有一项不符合评审标准的，评标委员会应否决其投标。</w:t>
      </w:r>
    </w:p>
    <w:p>
      <w:pPr>
        <w:snapToGrid w:val="0"/>
        <w:spacing w:line="360" w:lineRule="auto"/>
        <w:ind w:firstLine="480" w:firstLineChars="200"/>
        <w:rPr>
          <w:rFonts w:hAnsi="宋体" w:cs="宋体"/>
          <w:highlight w:val="none"/>
        </w:rPr>
      </w:pPr>
      <w:r>
        <w:rPr>
          <w:rFonts w:hint="eastAsia" w:hAnsi="宋体" w:cs="宋体"/>
          <w:highlight w:val="none"/>
        </w:rPr>
        <w:t xml:space="preserve">3.4.2 投标报价有算术错误及其他错误的，评标委员会按照以下原则对投标报价进行修正，并要求投标人澄清确认。投标人拒不澄清确认的，评标委员会应当否决其投标： </w:t>
      </w:r>
    </w:p>
    <w:p>
      <w:pPr>
        <w:snapToGrid w:val="0"/>
        <w:spacing w:line="360" w:lineRule="auto"/>
        <w:ind w:firstLine="480" w:firstLineChars="200"/>
        <w:rPr>
          <w:rFonts w:hAnsi="宋体" w:cs="宋体"/>
          <w:highlight w:val="none"/>
        </w:rPr>
      </w:pPr>
      <w:r>
        <w:rPr>
          <w:rFonts w:hint="eastAsia" w:hAnsi="宋体" w:cs="宋体"/>
          <w:highlight w:val="none"/>
        </w:rPr>
        <w:t>（1）投标文件中的大写金额与小写金额不一致的，以大写金额为准；</w:t>
      </w:r>
    </w:p>
    <w:p>
      <w:pPr>
        <w:snapToGrid w:val="0"/>
        <w:spacing w:line="360" w:lineRule="auto"/>
        <w:ind w:firstLine="480" w:firstLineChars="200"/>
        <w:rPr>
          <w:rFonts w:hAnsi="宋体" w:cs="宋体"/>
          <w:highlight w:val="none"/>
        </w:rPr>
      </w:pPr>
      <w:r>
        <w:rPr>
          <w:rFonts w:hint="eastAsia" w:hAnsi="宋体" w:cs="宋体"/>
          <w:highlight w:val="none"/>
        </w:rPr>
        <w:t>（2）总价金额与单价金额不一致的，以单价金额为准，但单价金额小数点有明显错误的除外；</w:t>
      </w:r>
    </w:p>
    <w:p>
      <w:pPr>
        <w:snapToGrid w:val="0"/>
        <w:spacing w:line="360" w:lineRule="auto"/>
        <w:ind w:firstLine="480" w:firstLineChars="200"/>
        <w:rPr>
          <w:rFonts w:hAnsi="宋体" w:cs="宋体"/>
          <w:highlight w:val="none"/>
        </w:rPr>
      </w:pPr>
      <w:r>
        <w:rPr>
          <w:rFonts w:hint="eastAsia" w:hAnsi="宋体" w:cs="宋体"/>
          <w:highlight w:val="none"/>
        </w:rPr>
        <w:t>（3）投标报价为各分项报价金额之和，投标报价与分项报价的合价不一致的，应以各分项合价累计数为准，修正投标报价；</w:t>
      </w:r>
    </w:p>
    <w:p>
      <w:pPr>
        <w:snapToGrid w:val="0"/>
        <w:spacing w:line="360" w:lineRule="auto"/>
        <w:ind w:firstLine="480" w:firstLineChars="200"/>
        <w:rPr>
          <w:rFonts w:hAnsi="宋体" w:cs="宋体"/>
          <w:highlight w:val="none"/>
        </w:rPr>
      </w:pPr>
      <w:r>
        <w:rPr>
          <w:rFonts w:hint="eastAsia" w:hAnsi="宋体" w:cs="宋体"/>
          <w:highlight w:val="none"/>
        </w:rPr>
        <w:t>（4）如果分项报价中存在缺漏项，则视为缺漏项价格已包含在其他分项报价之中。</w:t>
      </w:r>
    </w:p>
    <w:p>
      <w:pPr>
        <w:snapToGrid w:val="0"/>
        <w:spacing w:line="360" w:lineRule="auto"/>
        <w:ind w:firstLine="480" w:firstLineChars="200"/>
        <w:rPr>
          <w:rFonts w:hAnsi="宋体" w:cs="宋体"/>
          <w:highlight w:val="none"/>
        </w:rPr>
      </w:pPr>
      <w:r>
        <w:rPr>
          <w:rFonts w:hint="eastAsia" w:hAnsi="宋体" w:cs="宋体"/>
          <w:highlight w:val="none"/>
        </w:rPr>
        <w:t>3.4.3投标人投标报价明显缺乏竞争性的，评标委员会可以否决所有投标。</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3.5报价文件详细评审</w:t>
      </w:r>
    </w:p>
    <w:p>
      <w:pPr>
        <w:spacing w:line="360" w:lineRule="auto"/>
        <w:ind w:firstLine="480" w:firstLineChars="200"/>
        <w:rPr>
          <w:rFonts w:ascii="Times New Roman" w:cs="宋体"/>
          <w:szCs w:val="24"/>
          <w:highlight w:val="none"/>
        </w:rPr>
      </w:pPr>
      <w:r>
        <w:rPr>
          <w:rFonts w:hint="eastAsia" w:ascii="Times New Roman" w:cs="宋体"/>
          <w:szCs w:val="24"/>
          <w:highlight w:val="none"/>
        </w:rPr>
        <w:t>3.5.</w:t>
      </w:r>
      <w:r>
        <w:rPr>
          <w:rFonts w:ascii="Times New Roman" w:cs="宋体"/>
          <w:szCs w:val="24"/>
          <w:highlight w:val="none"/>
        </w:rPr>
        <w:t>1</w:t>
      </w:r>
      <w:r>
        <w:rPr>
          <w:rFonts w:hint="eastAsia" w:ascii="Times New Roman" w:cs="宋体"/>
          <w:szCs w:val="24"/>
          <w:highlight w:val="none"/>
        </w:rPr>
        <w:t>评标委员会按照本章第2.2.2（3）目规定的评审因素和分值计算出投标报价得分C。</w:t>
      </w:r>
    </w:p>
    <w:p>
      <w:pPr>
        <w:spacing w:line="360" w:lineRule="auto"/>
        <w:ind w:firstLine="480" w:firstLineChars="200"/>
        <w:rPr>
          <w:rFonts w:ascii="Times New Roman" w:cs="宋体"/>
          <w:szCs w:val="24"/>
          <w:highlight w:val="none"/>
        </w:rPr>
      </w:pPr>
      <w:r>
        <w:rPr>
          <w:rFonts w:hint="eastAsia" w:ascii="Times New Roman" w:cs="宋体"/>
          <w:szCs w:val="24"/>
          <w:highlight w:val="none"/>
        </w:rPr>
        <w:t>3.5.</w:t>
      </w:r>
      <w:r>
        <w:rPr>
          <w:rFonts w:ascii="Times New Roman" w:cs="宋体"/>
          <w:szCs w:val="24"/>
          <w:highlight w:val="none"/>
        </w:rPr>
        <w:t>2</w:t>
      </w:r>
      <w:r>
        <w:rPr>
          <w:rFonts w:hint="eastAsia" w:ascii="Times New Roman" w:cs="宋体"/>
          <w:szCs w:val="24"/>
          <w:highlight w:val="none"/>
        </w:rPr>
        <w:t>评分分值计算保留小数点后两位，小数点后第三位“四舍五入”。</w:t>
      </w:r>
    </w:p>
    <w:p>
      <w:pPr>
        <w:spacing w:line="360" w:lineRule="auto"/>
        <w:ind w:firstLine="480" w:firstLineChars="200"/>
        <w:rPr>
          <w:rFonts w:ascii="Times New Roman" w:cs="宋体"/>
          <w:szCs w:val="24"/>
          <w:highlight w:val="none"/>
        </w:rPr>
      </w:pPr>
      <w:r>
        <w:rPr>
          <w:rFonts w:hint="eastAsia" w:ascii="Times New Roman" w:cs="宋体"/>
          <w:szCs w:val="24"/>
          <w:highlight w:val="none"/>
        </w:rPr>
        <w:t>3.5.</w:t>
      </w:r>
      <w:r>
        <w:rPr>
          <w:rFonts w:ascii="Times New Roman" w:cs="宋体"/>
          <w:szCs w:val="24"/>
          <w:highlight w:val="none"/>
        </w:rPr>
        <w:t>3</w:t>
      </w:r>
      <w:r>
        <w:rPr>
          <w:rFonts w:hint="eastAsia" w:ascii="Times New Roman" w:cs="宋体"/>
          <w:szCs w:val="24"/>
          <w:highlight w:val="none"/>
        </w:rPr>
        <w:t>投标人综合得分=A+B+C。</w:t>
      </w:r>
    </w:p>
    <w:p>
      <w:pPr>
        <w:spacing w:line="360" w:lineRule="auto"/>
        <w:ind w:firstLine="480" w:firstLineChars="200"/>
        <w:rPr>
          <w:rFonts w:ascii="Times New Roman" w:cs="宋体"/>
          <w:szCs w:val="24"/>
          <w:highlight w:val="none"/>
        </w:rPr>
      </w:pPr>
      <w:r>
        <w:rPr>
          <w:rFonts w:hint="eastAsia" w:ascii="Times New Roman" w:cs="宋体"/>
          <w:szCs w:val="24"/>
          <w:highlight w:val="none"/>
        </w:rPr>
        <w:t>3.5.</w:t>
      </w:r>
      <w:r>
        <w:rPr>
          <w:rFonts w:ascii="Times New Roman" w:cs="宋体"/>
          <w:szCs w:val="24"/>
          <w:highlight w:val="none"/>
        </w:rPr>
        <w:t>4</w:t>
      </w:r>
      <w:r>
        <w:rPr>
          <w:rFonts w:hint="eastAsia" w:ascii="Times New Roman" w:cs="宋体"/>
          <w:szCs w:val="24"/>
          <w:highlight w:val="none"/>
        </w:rPr>
        <w:t>评标委员会发现投标人的报价明显低于其他投标报价，使得其投标报价可能低于其个别成本的，应当要求该投标人作出说明并提供相应的证明材料。投标人不能合理说明或者不能提供相应证明材料的，评标委员会应当认定该投标人以低于成本报价竞标，否决其投标。</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3.6投标文件的澄清、说明或补正</w:t>
      </w:r>
    </w:p>
    <w:p>
      <w:pPr>
        <w:adjustRightInd w:val="0"/>
        <w:snapToGrid w:val="0"/>
        <w:spacing w:line="360" w:lineRule="auto"/>
        <w:ind w:firstLine="480" w:firstLineChars="200"/>
        <w:rPr>
          <w:rFonts w:hAnsi="宋体" w:cs="宋体"/>
          <w:highlight w:val="none"/>
        </w:rPr>
      </w:pPr>
      <w:r>
        <w:rPr>
          <w:rFonts w:hint="eastAsia" w:hAnsi="宋体" w:cs="宋体"/>
          <w:highlight w:val="none"/>
        </w:rPr>
        <w:t>3.6.1 在评标过程中，评标委员会可以要求投标人对投标文件中含义不明确、对同类问题表述不一致或者有明显文字和计算错误的内容作必要的澄清、说明或补正。评标委员会不接受投标人主动提出的澄清、说明或补正。</w:t>
      </w:r>
    </w:p>
    <w:p>
      <w:pPr>
        <w:spacing w:line="360" w:lineRule="auto"/>
        <w:ind w:firstLine="480" w:firstLineChars="200"/>
        <w:rPr>
          <w:rFonts w:hAnsi="宋体" w:cs="宋体"/>
          <w:highlight w:val="none"/>
        </w:rPr>
      </w:pPr>
      <w:r>
        <w:rPr>
          <w:rFonts w:hint="eastAsia" w:hAnsi="宋体" w:cs="宋体"/>
          <w:highlight w:val="none"/>
        </w:rPr>
        <w:t>3.6.2 澄清、说明或补正不得超出投标文件的范围且不得改变投标文件的实质性内容，并构成投标文件的组成部分。</w:t>
      </w:r>
    </w:p>
    <w:p>
      <w:pPr>
        <w:spacing w:line="360" w:lineRule="auto"/>
        <w:ind w:firstLine="480" w:firstLineChars="200"/>
        <w:rPr>
          <w:rFonts w:hAnsi="宋体" w:cs="宋体"/>
          <w:highlight w:val="none"/>
        </w:rPr>
      </w:pPr>
      <w:r>
        <w:rPr>
          <w:rFonts w:hint="eastAsia" w:hAnsi="宋体" w:cs="宋体"/>
          <w:highlight w:val="none"/>
        </w:rPr>
        <w:t>3.6.3 评标委员会对投标人提交的澄清、说明或补正有疑问的，可以要求投标人进一步澄清、说明或补正，直至满足评标委员会的要求。</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3.7否决投标的情形</w:t>
      </w:r>
    </w:p>
    <w:p>
      <w:pPr>
        <w:adjustRightInd w:val="0"/>
        <w:snapToGrid w:val="0"/>
        <w:spacing w:line="360" w:lineRule="auto"/>
        <w:ind w:firstLine="480" w:firstLineChars="200"/>
        <w:jc w:val="left"/>
        <w:rPr>
          <w:rFonts w:hAnsi="宋体" w:cs="宋体"/>
          <w:highlight w:val="none"/>
        </w:rPr>
      </w:pPr>
      <w:r>
        <w:rPr>
          <w:rFonts w:hint="eastAsia" w:hAnsi="宋体" w:cs="宋体"/>
          <w:highlight w:val="none"/>
        </w:rPr>
        <w:t>3.7.1 投标人不符合本章第3.1款、第3.4款的，评标委员会应否决其投标。</w:t>
      </w:r>
    </w:p>
    <w:p>
      <w:pPr>
        <w:adjustRightInd w:val="0"/>
        <w:snapToGrid w:val="0"/>
        <w:spacing w:line="360" w:lineRule="auto"/>
        <w:ind w:firstLine="480" w:firstLineChars="200"/>
        <w:jc w:val="left"/>
        <w:rPr>
          <w:rFonts w:hAnsi="宋体" w:cs="宋体"/>
          <w:highlight w:val="none"/>
        </w:rPr>
      </w:pPr>
      <w:r>
        <w:rPr>
          <w:rFonts w:hint="eastAsia" w:hAnsi="宋体" w:cs="宋体"/>
          <w:highlight w:val="none"/>
        </w:rPr>
        <w:t>3.7.2 否决投标的其他情形，见评标办法前附表。</w:t>
      </w:r>
    </w:p>
    <w:p>
      <w:pPr>
        <w:adjustRightInd w:val="0"/>
        <w:snapToGrid w:val="0"/>
        <w:spacing w:line="360" w:lineRule="auto"/>
        <w:ind w:firstLine="480" w:firstLineChars="200"/>
        <w:jc w:val="left"/>
        <w:rPr>
          <w:rFonts w:hAnsi="宋体" w:cs="宋体"/>
          <w:highlight w:val="none"/>
        </w:rPr>
      </w:pPr>
      <w:r>
        <w:rPr>
          <w:rFonts w:hint="eastAsia" w:hAnsi="宋体" w:cs="宋体"/>
          <w:highlight w:val="none"/>
        </w:rPr>
        <w:t>3.7.3 投标人未通过本章第3.5.4项评审的，评标委员会应否决其投标。</w:t>
      </w:r>
    </w:p>
    <w:p>
      <w:pPr>
        <w:pStyle w:val="2"/>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3.8评标结果</w:t>
      </w:r>
    </w:p>
    <w:p>
      <w:pPr>
        <w:spacing w:line="360" w:lineRule="auto"/>
        <w:ind w:firstLine="480" w:firstLineChars="200"/>
        <w:rPr>
          <w:rFonts w:hAnsi="宋体" w:cs="宋体"/>
          <w:szCs w:val="24"/>
          <w:highlight w:val="none"/>
        </w:rPr>
      </w:pPr>
      <w:r>
        <w:rPr>
          <w:rFonts w:hint="eastAsia" w:hAnsi="宋体" w:cs="宋体"/>
          <w:szCs w:val="24"/>
          <w:highlight w:val="none"/>
        </w:rPr>
        <w:t>3.8.1评标委员会对拟推荐的中标候选人进行查询，存在投标人须知第1.4.4项规定情形的，不得推荐为中标候选人，查询要求如下：</w:t>
      </w:r>
    </w:p>
    <w:p>
      <w:pPr>
        <w:spacing w:line="360" w:lineRule="auto"/>
        <w:ind w:firstLine="480" w:firstLineChars="200"/>
        <w:rPr>
          <w:rFonts w:hAnsi="宋体" w:cs="宋体"/>
          <w:szCs w:val="24"/>
          <w:highlight w:val="none"/>
        </w:rPr>
      </w:pPr>
      <w:r>
        <w:rPr>
          <w:rFonts w:hint="eastAsia" w:hAnsi="宋体" w:cs="宋体"/>
          <w:szCs w:val="24"/>
          <w:highlight w:val="none"/>
        </w:rPr>
        <w:t>（1）评标委员会仅通过“国家企业信用信息公示系统”查询拟推荐中标候选人是否被列入严重违法失信名单，并将查询截图及查询结果在评标报告中予以记录；</w:t>
      </w:r>
    </w:p>
    <w:p>
      <w:pPr>
        <w:spacing w:line="360" w:lineRule="auto"/>
        <w:ind w:firstLine="480" w:firstLineChars="200"/>
        <w:rPr>
          <w:rFonts w:hAnsi="宋体" w:cs="宋体"/>
          <w:szCs w:val="24"/>
          <w:highlight w:val="none"/>
        </w:rPr>
      </w:pPr>
      <w:r>
        <w:rPr>
          <w:rFonts w:hint="eastAsia" w:hAnsi="宋体" w:cs="宋体"/>
          <w:szCs w:val="24"/>
          <w:highlight w:val="none"/>
        </w:rPr>
        <w:t>（2）评标委员会仅通过“信用中国”查询拟推荐中标候选人是否被列为失信被执行人、确定为重大税收违法失信主体，并将查询截图及查询结果在评标报告中予以记录；</w:t>
      </w:r>
    </w:p>
    <w:p>
      <w:pPr>
        <w:spacing w:line="360" w:lineRule="auto"/>
        <w:ind w:firstLine="480" w:firstLineChars="200"/>
        <w:rPr>
          <w:rFonts w:hAnsi="宋体" w:cs="宋体"/>
          <w:szCs w:val="24"/>
          <w:highlight w:val="none"/>
        </w:rPr>
      </w:pPr>
      <w:r>
        <w:rPr>
          <w:rFonts w:hint="eastAsia" w:hAnsi="宋体" w:cs="宋体"/>
          <w:szCs w:val="24"/>
          <w:highlight w:val="none"/>
        </w:rPr>
        <w:t>（3）其他要求见投标人须知前附表第1.4.4（4）目。</w:t>
      </w:r>
    </w:p>
    <w:p>
      <w:pPr>
        <w:spacing w:line="360" w:lineRule="auto"/>
        <w:ind w:firstLine="480" w:firstLineChars="200"/>
        <w:rPr>
          <w:rFonts w:hAnsi="宋体" w:cs="宋体"/>
          <w:szCs w:val="24"/>
          <w:highlight w:val="none"/>
        </w:rPr>
      </w:pPr>
      <w:r>
        <w:rPr>
          <w:rFonts w:hint="eastAsia" w:hAnsi="宋体" w:cs="宋体"/>
          <w:szCs w:val="24"/>
          <w:highlight w:val="none"/>
        </w:rPr>
        <w:t>除第二章投标人须知前附表授权直接确定中标人外，评标委员会按照评标办法的规定推荐中标候选人，并标明排列排序。</w:t>
      </w:r>
    </w:p>
    <w:p>
      <w:pPr>
        <w:spacing w:line="360" w:lineRule="auto"/>
        <w:ind w:firstLine="480" w:firstLineChars="200"/>
        <w:rPr>
          <w:rFonts w:ascii="Times New Roman" w:cs="宋体"/>
          <w:szCs w:val="24"/>
          <w:highlight w:val="none"/>
        </w:rPr>
      </w:pPr>
      <w:r>
        <w:rPr>
          <w:rFonts w:hint="eastAsia" w:hAnsi="宋体" w:cs="宋体"/>
          <w:szCs w:val="24"/>
          <w:highlight w:val="none"/>
        </w:rPr>
        <w:t>3.8.2 评标委员会完成评标后，应当向招标人提交评标报告</w:t>
      </w:r>
      <w:r>
        <w:rPr>
          <w:rFonts w:hint="eastAsia" w:ascii="Times New Roman"/>
          <w:szCs w:val="24"/>
          <w:highlight w:val="none"/>
        </w:rPr>
        <w:t>。</w:t>
      </w:r>
    </w:p>
    <w:p>
      <w:pPr>
        <w:spacing w:line="360" w:lineRule="auto"/>
        <w:ind w:firstLine="480" w:firstLineChars="200"/>
        <w:rPr>
          <w:rFonts w:hint="eastAsia" w:ascii="Times New Roman"/>
          <w:color w:val="auto"/>
          <w:szCs w:val="24"/>
          <w:highlight w:val="none"/>
        </w:rPr>
      </w:pPr>
    </w:p>
    <w:p>
      <w:pPr>
        <w:spacing w:line="360" w:lineRule="auto"/>
        <w:ind w:firstLine="480" w:firstLineChars="200"/>
        <w:rPr>
          <w:rFonts w:ascii="Times New Roman" w:cs="宋体"/>
          <w:szCs w:val="24"/>
          <w:highlight w:val="none"/>
        </w:rPr>
      </w:pPr>
    </w:p>
    <w:p>
      <w:pPr>
        <w:pStyle w:val="3"/>
        <w:spacing w:beforeLines="100" w:afterLines="100" w:line="240" w:lineRule="auto"/>
        <w:jc w:val="center"/>
        <w:rPr>
          <w:b w:val="0"/>
          <w:highlight w:val="none"/>
        </w:rPr>
      </w:pPr>
      <w:r>
        <w:rPr>
          <w:rFonts w:hint="eastAsia"/>
          <w:b w:val="0"/>
          <w:highlight w:val="none"/>
        </w:rPr>
        <w:br w:type="page"/>
      </w:r>
      <w:bookmarkStart w:id="421" w:name="_Toc140069431"/>
      <w:bookmarkStart w:id="422" w:name="_Toc15390"/>
      <w:bookmarkStart w:id="423" w:name="_Toc96"/>
      <w:bookmarkStart w:id="424" w:name="_Toc29954"/>
      <w:bookmarkStart w:id="425" w:name="_Toc26700647"/>
      <w:bookmarkStart w:id="426" w:name="_Toc26700477"/>
      <w:bookmarkStart w:id="427" w:name="_Toc501460735"/>
      <w:bookmarkStart w:id="428" w:name="_Toc300835032"/>
      <w:bookmarkStart w:id="429" w:name="_Toc247527636"/>
      <w:bookmarkStart w:id="430" w:name="_Toc369531601"/>
      <w:bookmarkStart w:id="431" w:name="_Toc15753903"/>
      <w:bookmarkStart w:id="432" w:name="_Toc17100667"/>
      <w:bookmarkStart w:id="433" w:name="_Toc24965147"/>
      <w:bookmarkStart w:id="434" w:name="_Toc247514035"/>
      <w:bookmarkStart w:id="435" w:name="_Toc30942"/>
      <w:bookmarkStart w:id="436" w:name="_Toc26721536"/>
      <w:bookmarkStart w:id="437" w:name="_Toc26721381"/>
      <w:r>
        <w:rPr>
          <w:rFonts w:hint="eastAsia" w:hAnsi="宋体" w:cs="宋体"/>
          <w:b w:val="0"/>
          <w:bCs w:val="0"/>
          <w:highlight w:val="none"/>
        </w:rPr>
        <w:t>第四章  合同条款及格式</w:t>
      </w:r>
      <w:bookmarkEnd w:id="421"/>
      <w:bookmarkEnd w:id="422"/>
      <w:bookmarkEnd w:id="423"/>
      <w:bookmarkEnd w:id="424"/>
    </w:p>
    <w:p>
      <w:pPr>
        <w:pStyle w:val="4"/>
        <w:spacing w:before="0" w:after="0" w:line="360" w:lineRule="auto"/>
        <w:jc w:val="center"/>
        <w:rPr>
          <w:rFonts w:ascii="Times New Roman" w:hAnsi="Times New Roman"/>
          <w:b w:val="0"/>
          <w:highlight w:val="none"/>
        </w:rPr>
      </w:pPr>
      <w:bookmarkStart w:id="438" w:name="_Toc15928646"/>
      <w:bookmarkStart w:id="439" w:name="_Toc17575"/>
      <w:bookmarkStart w:id="440" w:name="_Toc501460683"/>
      <w:bookmarkStart w:id="441" w:name="_Toc140069432"/>
      <w:bookmarkStart w:id="442" w:name="_Toc26781085"/>
      <w:bookmarkStart w:id="443" w:name="_Toc24489"/>
      <w:bookmarkStart w:id="444" w:name="_Toc18101"/>
      <w:r>
        <w:rPr>
          <w:rFonts w:ascii="Times New Roman" w:hAnsi="Times New Roman"/>
          <w:b w:val="0"/>
          <w:highlight w:val="none"/>
        </w:rPr>
        <w:t>第一节通用合同条款</w:t>
      </w:r>
      <w:bookmarkEnd w:id="438"/>
      <w:bookmarkEnd w:id="439"/>
      <w:bookmarkEnd w:id="440"/>
      <w:bookmarkEnd w:id="441"/>
      <w:bookmarkEnd w:id="442"/>
      <w:bookmarkEnd w:id="443"/>
      <w:bookmarkEnd w:id="444"/>
    </w:p>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360" w:lineRule="auto"/>
        <w:ind w:firstLine="105"/>
        <w:outlineLvl w:val="2"/>
        <w:rPr>
          <w:rFonts w:ascii="黑体" w:hAnsi="黑体" w:eastAsia="黑体" w:cs="黑体"/>
          <w:bCs/>
          <w:sz w:val="28"/>
          <w:szCs w:val="28"/>
          <w:highlight w:val="none"/>
        </w:rPr>
      </w:pPr>
      <w:r>
        <w:rPr>
          <w:rFonts w:hint="eastAsia" w:ascii="黑体" w:hAnsi="黑体" w:eastAsia="黑体" w:cs="黑体"/>
          <w:sz w:val="28"/>
          <w:szCs w:val="28"/>
          <w:highlight w:val="none"/>
        </w:rPr>
        <w:t>1. 一般约定</w:t>
      </w:r>
    </w:p>
    <w:p>
      <w:pPr>
        <w:spacing w:line="360" w:lineRule="auto"/>
        <w:ind w:firstLine="137"/>
        <w:outlineLvl w:val="3"/>
        <w:rPr>
          <w:rFonts w:ascii="黑体" w:hAnsi="黑体" w:eastAsia="黑体" w:cs="黑体"/>
          <w:highlight w:val="none"/>
        </w:rPr>
      </w:pPr>
      <w:bookmarkStart w:id="445" w:name="_Toc246996255"/>
      <w:bookmarkStart w:id="446" w:name="_Toc296602500"/>
      <w:bookmarkStart w:id="447" w:name="_Toc3381"/>
      <w:bookmarkStart w:id="448" w:name="_Toc369531602"/>
      <w:bookmarkStart w:id="449" w:name="_Toc501460736"/>
      <w:bookmarkStart w:id="450" w:name="_Toc247085770"/>
      <w:bookmarkStart w:id="451" w:name="_Toc246996998"/>
      <w:r>
        <w:rPr>
          <w:rFonts w:hint="eastAsia" w:ascii="黑体" w:hAnsi="黑体" w:eastAsia="黑体" w:cs="黑体"/>
          <w:highlight w:val="none"/>
        </w:rPr>
        <w:t>1.1 词语定义</w:t>
      </w:r>
      <w:bookmarkEnd w:id="445"/>
      <w:bookmarkEnd w:id="446"/>
      <w:bookmarkEnd w:id="447"/>
      <w:bookmarkEnd w:id="448"/>
      <w:bookmarkEnd w:id="449"/>
      <w:bookmarkEnd w:id="450"/>
      <w:bookmarkEnd w:id="451"/>
    </w:p>
    <w:p>
      <w:pPr>
        <w:spacing w:line="360" w:lineRule="auto"/>
        <w:ind w:firstLine="480" w:firstLineChars="200"/>
        <w:rPr>
          <w:rFonts w:hAnsi="宋体" w:cs="宋体"/>
          <w:highlight w:val="none"/>
        </w:rPr>
      </w:pPr>
      <w:r>
        <w:rPr>
          <w:rFonts w:hint="eastAsia" w:hAnsi="宋体" w:cs="宋体"/>
          <w:highlight w:val="none"/>
        </w:rPr>
        <w:t>除专用合同条款另有约定外，合同中的下列词语应具有本款所赋予的含义。</w:t>
      </w:r>
    </w:p>
    <w:p>
      <w:pPr>
        <w:spacing w:line="360" w:lineRule="auto"/>
        <w:ind w:firstLine="480" w:firstLineChars="200"/>
        <w:rPr>
          <w:rFonts w:hAnsi="宋体" w:cs="宋体"/>
          <w:highlight w:val="none"/>
        </w:rPr>
      </w:pPr>
      <w:r>
        <w:rPr>
          <w:rFonts w:hint="eastAsia" w:hAnsi="宋体" w:cs="宋体"/>
          <w:highlight w:val="none"/>
        </w:rPr>
        <w:t>1.1.1 合同</w:t>
      </w:r>
    </w:p>
    <w:p>
      <w:pPr>
        <w:spacing w:line="360" w:lineRule="auto"/>
        <w:ind w:firstLine="480" w:firstLineChars="200"/>
        <w:rPr>
          <w:rFonts w:hAnsi="宋体" w:cs="宋体"/>
          <w:highlight w:val="none"/>
        </w:rPr>
      </w:pPr>
      <w:r>
        <w:rPr>
          <w:rFonts w:hint="eastAsia" w:hAnsi="宋体" w:cs="宋体"/>
          <w:highlight w:val="none"/>
        </w:rPr>
        <w:t>1.1.1.1 合同文件（或称合同）：指合同协议书、中标通知书、投标函、商务和技术偏离表、专用合同条款、通用合同条款、供货要求、分项报价表、中标货物技术性能指标的详细描述、技术服务和质保期服务计划，以及其他构成合同组成部分的文件。</w:t>
      </w:r>
    </w:p>
    <w:p>
      <w:pPr>
        <w:spacing w:line="360" w:lineRule="auto"/>
        <w:ind w:firstLine="480" w:firstLineChars="200"/>
        <w:rPr>
          <w:rFonts w:hAnsi="宋体" w:cs="宋体"/>
          <w:highlight w:val="none"/>
        </w:rPr>
      </w:pPr>
      <w:r>
        <w:rPr>
          <w:rFonts w:hint="eastAsia" w:hAnsi="宋体" w:cs="宋体"/>
          <w:highlight w:val="none"/>
        </w:rPr>
        <w:t>1.1.1.2 合同协议书：指买方和卖方共同签署的合同协议书。</w:t>
      </w:r>
    </w:p>
    <w:p>
      <w:pPr>
        <w:spacing w:line="360" w:lineRule="auto"/>
        <w:ind w:firstLine="480" w:firstLineChars="200"/>
        <w:rPr>
          <w:rFonts w:hAnsi="宋体" w:cs="宋体"/>
          <w:highlight w:val="none"/>
        </w:rPr>
      </w:pPr>
      <w:r>
        <w:rPr>
          <w:rFonts w:hint="eastAsia" w:hAnsi="宋体" w:cs="宋体"/>
          <w:highlight w:val="none"/>
        </w:rPr>
        <w:t>1.1.1.3 中标通知书：指买方通知卖方中标的函件。</w:t>
      </w:r>
    </w:p>
    <w:p>
      <w:pPr>
        <w:spacing w:line="360" w:lineRule="auto"/>
        <w:ind w:firstLine="480" w:firstLineChars="200"/>
        <w:rPr>
          <w:rFonts w:hAnsi="宋体" w:cs="宋体"/>
          <w:highlight w:val="none"/>
        </w:rPr>
      </w:pPr>
      <w:r>
        <w:rPr>
          <w:rFonts w:hint="eastAsia" w:hAnsi="宋体" w:cs="宋体"/>
          <w:highlight w:val="none"/>
        </w:rPr>
        <w:t>1.1.1.4 投标函：指由卖方填写并签署的，名为“投标函”的函件。</w:t>
      </w:r>
    </w:p>
    <w:p>
      <w:pPr>
        <w:spacing w:line="360" w:lineRule="auto"/>
        <w:ind w:firstLine="480" w:firstLineChars="200"/>
        <w:rPr>
          <w:rFonts w:hAnsi="宋体" w:cs="宋体"/>
          <w:highlight w:val="none"/>
        </w:rPr>
      </w:pPr>
      <w:r>
        <w:rPr>
          <w:rFonts w:hint="eastAsia" w:hAnsi="宋体" w:cs="宋体"/>
          <w:highlight w:val="none"/>
        </w:rPr>
        <w:t>1.1.1.5 商务和技术偏离表：指卖方投标文件中的商务和技术偏离表。</w:t>
      </w:r>
    </w:p>
    <w:p>
      <w:pPr>
        <w:spacing w:line="360" w:lineRule="auto"/>
        <w:ind w:firstLine="480" w:firstLineChars="200"/>
        <w:rPr>
          <w:rFonts w:hAnsi="宋体" w:cs="宋体"/>
          <w:highlight w:val="none"/>
        </w:rPr>
      </w:pPr>
      <w:r>
        <w:rPr>
          <w:rFonts w:hint="eastAsia" w:hAnsi="宋体" w:cs="宋体"/>
          <w:highlight w:val="none"/>
        </w:rPr>
        <w:t>1.1.1.6 供货要求：指合同文件中名为“供货要求”的文件。</w:t>
      </w:r>
    </w:p>
    <w:p>
      <w:pPr>
        <w:spacing w:line="360" w:lineRule="auto"/>
        <w:ind w:firstLine="480" w:firstLineChars="200"/>
        <w:rPr>
          <w:rFonts w:hAnsi="宋体" w:cs="宋体"/>
          <w:highlight w:val="none"/>
        </w:rPr>
      </w:pPr>
      <w:r>
        <w:rPr>
          <w:rFonts w:hint="eastAsia" w:hAnsi="宋体" w:cs="宋体"/>
          <w:highlight w:val="none"/>
        </w:rPr>
        <w:t>1.1.1.7 中标货物技术性能指标的详细描述：指卖方投标文件中的投标货物技术性能指标的详细描述。</w:t>
      </w:r>
    </w:p>
    <w:p>
      <w:pPr>
        <w:spacing w:line="360" w:lineRule="auto"/>
        <w:ind w:firstLine="480" w:firstLineChars="200"/>
        <w:rPr>
          <w:rFonts w:hAnsi="宋体" w:cs="宋体"/>
          <w:highlight w:val="none"/>
        </w:rPr>
      </w:pPr>
      <w:r>
        <w:rPr>
          <w:rFonts w:hint="eastAsia" w:hAnsi="宋体" w:cs="宋体"/>
          <w:highlight w:val="none"/>
        </w:rPr>
        <w:t>1.1.1.8 技术服务和质保期服务计划：指卖方投标文件中的技术服务和质保期服务计划。</w:t>
      </w:r>
    </w:p>
    <w:p>
      <w:pPr>
        <w:spacing w:line="360" w:lineRule="auto"/>
        <w:ind w:firstLine="480" w:firstLineChars="200"/>
        <w:rPr>
          <w:rFonts w:hAnsi="宋体" w:cs="宋体"/>
          <w:highlight w:val="none"/>
        </w:rPr>
      </w:pPr>
      <w:r>
        <w:rPr>
          <w:rFonts w:hint="eastAsia" w:hAnsi="宋体" w:cs="宋体"/>
          <w:highlight w:val="none"/>
        </w:rPr>
        <w:t>1.1.1.9 分项报价表：指卖方投标文件中的分项报价表。</w:t>
      </w:r>
    </w:p>
    <w:p>
      <w:pPr>
        <w:spacing w:line="360" w:lineRule="auto"/>
        <w:ind w:firstLine="480" w:firstLineChars="200"/>
        <w:rPr>
          <w:rFonts w:hAnsi="宋体" w:cs="宋体"/>
          <w:highlight w:val="none"/>
        </w:rPr>
      </w:pPr>
      <w:r>
        <w:rPr>
          <w:rFonts w:hint="eastAsia" w:hAnsi="宋体" w:cs="宋体"/>
          <w:highlight w:val="none"/>
        </w:rPr>
        <w:t>1.1.1.10 其他合同文件：指经合同双方当事人确认构成合同文件的其他文件。</w:t>
      </w:r>
    </w:p>
    <w:p>
      <w:pPr>
        <w:spacing w:line="360" w:lineRule="auto"/>
        <w:ind w:firstLine="480" w:firstLineChars="200"/>
        <w:rPr>
          <w:rFonts w:hAnsi="宋体" w:cs="宋体"/>
          <w:bCs/>
          <w:highlight w:val="none"/>
        </w:rPr>
      </w:pPr>
      <w:r>
        <w:rPr>
          <w:rFonts w:hint="eastAsia" w:hAnsi="宋体" w:cs="宋体"/>
          <w:bCs/>
          <w:highlight w:val="none"/>
        </w:rPr>
        <w:t>1.1.2 合同当事人</w:t>
      </w:r>
    </w:p>
    <w:p>
      <w:pPr>
        <w:spacing w:line="360" w:lineRule="auto"/>
        <w:ind w:firstLine="480" w:firstLineChars="200"/>
        <w:rPr>
          <w:rFonts w:hAnsi="宋体" w:cs="宋体"/>
          <w:bCs/>
          <w:highlight w:val="none"/>
        </w:rPr>
      </w:pPr>
      <w:r>
        <w:rPr>
          <w:rFonts w:hint="eastAsia" w:hAnsi="宋体" w:cs="宋体"/>
          <w:bCs/>
          <w:highlight w:val="none"/>
        </w:rPr>
        <w:t>1.1.2.1 合同当事人：指买方和（或）卖方。</w:t>
      </w:r>
    </w:p>
    <w:p>
      <w:pPr>
        <w:spacing w:line="360" w:lineRule="auto"/>
        <w:ind w:firstLine="480" w:firstLineChars="200"/>
        <w:rPr>
          <w:rFonts w:hAnsi="宋体" w:cs="宋体"/>
          <w:bCs/>
          <w:highlight w:val="none"/>
        </w:rPr>
      </w:pPr>
      <w:r>
        <w:rPr>
          <w:rFonts w:hint="eastAsia" w:hAnsi="宋体" w:cs="宋体"/>
          <w:bCs/>
          <w:highlight w:val="none"/>
        </w:rPr>
        <w:t>1.1.2.2 买方：指与卖方签订合同协议书，购买合同货物和技术服务和质保期服务的当事人，及其合法继承人。</w:t>
      </w:r>
    </w:p>
    <w:p>
      <w:pPr>
        <w:spacing w:line="360" w:lineRule="auto"/>
        <w:ind w:firstLine="480" w:firstLineChars="200"/>
        <w:rPr>
          <w:rFonts w:hAnsi="宋体" w:cs="宋体"/>
          <w:bCs/>
          <w:highlight w:val="none"/>
        </w:rPr>
      </w:pPr>
      <w:r>
        <w:rPr>
          <w:rFonts w:hint="eastAsia" w:hAnsi="宋体" w:cs="宋体"/>
          <w:bCs/>
          <w:highlight w:val="none"/>
        </w:rPr>
        <w:t>1.1.2.3 卖方：指与买方签订合同协议书，提供合同货物和技术服务和质保期服务的当事人，及其合法继承人。</w:t>
      </w:r>
    </w:p>
    <w:p>
      <w:pPr>
        <w:spacing w:line="360" w:lineRule="auto"/>
        <w:ind w:firstLine="480" w:firstLineChars="200"/>
        <w:rPr>
          <w:rFonts w:hAnsi="宋体" w:cs="宋体"/>
          <w:bCs/>
          <w:highlight w:val="none"/>
        </w:rPr>
      </w:pPr>
      <w:r>
        <w:rPr>
          <w:rFonts w:hint="eastAsia" w:hAnsi="宋体" w:cs="宋体"/>
          <w:bCs/>
          <w:highlight w:val="none"/>
        </w:rPr>
        <w:t>1.1.3 合同价格</w:t>
      </w:r>
    </w:p>
    <w:p>
      <w:pPr>
        <w:spacing w:line="360" w:lineRule="auto"/>
        <w:ind w:firstLine="480" w:firstLineChars="200"/>
        <w:rPr>
          <w:rFonts w:hAnsi="宋体" w:cs="宋体"/>
          <w:bCs/>
          <w:highlight w:val="none"/>
        </w:rPr>
      </w:pPr>
      <w:r>
        <w:rPr>
          <w:rFonts w:hint="eastAsia" w:hAnsi="宋体" w:cs="宋体"/>
          <w:bCs/>
          <w:highlight w:val="none"/>
        </w:rPr>
        <w:t>1.1.3.1 签约合同价：是签订合同时合同协议书中写明的合同总金额。</w:t>
      </w:r>
    </w:p>
    <w:p>
      <w:pPr>
        <w:spacing w:line="360" w:lineRule="auto"/>
        <w:ind w:firstLine="480" w:firstLineChars="200"/>
        <w:rPr>
          <w:rFonts w:hAnsi="宋体" w:cs="宋体"/>
          <w:bCs/>
          <w:highlight w:val="none"/>
        </w:rPr>
      </w:pPr>
      <w:r>
        <w:rPr>
          <w:rFonts w:hint="eastAsia" w:hAnsi="宋体" w:cs="宋体"/>
          <w:bCs/>
          <w:highlight w:val="none"/>
        </w:rPr>
        <w:t>1.1.3.2 合同价格：指卖方按合同约定履行了全部合同义务后，买方应付给卖方的金额。</w:t>
      </w:r>
    </w:p>
    <w:p>
      <w:pPr>
        <w:spacing w:line="360" w:lineRule="auto"/>
        <w:ind w:firstLine="480" w:firstLineChars="200"/>
        <w:rPr>
          <w:rFonts w:hAnsi="宋体" w:cs="宋体"/>
          <w:highlight w:val="none"/>
        </w:rPr>
      </w:pPr>
      <w:r>
        <w:rPr>
          <w:rFonts w:hint="eastAsia" w:hAnsi="宋体" w:cs="宋体"/>
          <w:highlight w:val="none"/>
        </w:rPr>
        <w:t>1.1.4 合同货物：指卖方按合同约定应向买方提供的设备、装置、备品、备件、易损易耗件、配套使用的软件或其他辅助电子应用程序及技术资料，或其中任何一部分。</w:t>
      </w:r>
    </w:p>
    <w:p>
      <w:pPr>
        <w:spacing w:line="360" w:lineRule="auto"/>
        <w:ind w:firstLine="480" w:firstLineChars="200"/>
        <w:rPr>
          <w:rFonts w:hAnsi="宋体" w:cs="宋体"/>
          <w:highlight w:val="none"/>
        </w:rPr>
      </w:pPr>
      <w:r>
        <w:rPr>
          <w:rFonts w:hint="eastAsia" w:hAnsi="宋体" w:cs="宋体"/>
          <w:highlight w:val="none"/>
        </w:rPr>
        <w:t>1.1.5 技术资料：指各种纸质及电子载体的与合同货物的设计、检验、安装、调试、考核、操作、维修以及保养等有关的技术指标、规格、图纸和说明文件。</w:t>
      </w:r>
    </w:p>
    <w:p>
      <w:pPr>
        <w:spacing w:line="360" w:lineRule="auto"/>
        <w:ind w:firstLine="480" w:firstLineChars="200"/>
        <w:rPr>
          <w:rFonts w:hAnsi="宋体" w:cs="宋体"/>
          <w:highlight w:val="none"/>
        </w:rPr>
      </w:pPr>
      <w:r>
        <w:rPr>
          <w:rFonts w:hint="eastAsia" w:hAnsi="宋体" w:cs="宋体"/>
          <w:highlight w:val="none"/>
        </w:rPr>
        <w:t>1.1.6 安装：指对合同货物进行的组装、连接以</w:t>
      </w:r>
      <w:bookmarkStart w:id="452" w:name="_Toc15914"/>
      <w:r>
        <w:rPr>
          <w:rFonts w:hint="eastAsia" w:hAnsi="宋体" w:cs="宋体"/>
          <w:highlight w:val="none"/>
        </w:rPr>
        <w:t>及根据需要将合同货物固定在施</w:t>
      </w:r>
      <w:bookmarkEnd w:id="452"/>
      <w:r>
        <w:rPr>
          <w:rFonts w:hint="eastAsia" w:hAnsi="宋体" w:cs="宋体"/>
          <w:highlight w:val="none"/>
        </w:rPr>
        <w:t>工场地内一定的位置上，使其就位并与相关设备、工程实现连接。</w:t>
      </w:r>
    </w:p>
    <w:p>
      <w:pPr>
        <w:spacing w:line="360" w:lineRule="auto"/>
        <w:ind w:firstLine="480" w:firstLineChars="200"/>
        <w:rPr>
          <w:rFonts w:hAnsi="宋体" w:cs="宋体"/>
          <w:highlight w:val="none"/>
        </w:rPr>
      </w:pPr>
      <w:r>
        <w:rPr>
          <w:rFonts w:hint="eastAsia" w:hAnsi="宋体" w:cs="宋体"/>
          <w:highlight w:val="none"/>
        </w:rPr>
        <w:t>1.1.7 调试：指在合同货物安装完成后，对合同货物所进行的调校和测试。</w:t>
      </w:r>
    </w:p>
    <w:p>
      <w:pPr>
        <w:spacing w:line="360" w:lineRule="auto"/>
        <w:ind w:firstLine="480" w:firstLineChars="200"/>
        <w:rPr>
          <w:rFonts w:hAnsi="宋体" w:cs="宋体"/>
          <w:highlight w:val="none"/>
        </w:rPr>
      </w:pPr>
      <w:r>
        <w:rPr>
          <w:rFonts w:hint="eastAsia" w:hAnsi="宋体" w:cs="宋体"/>
          <w:highlight w:val="none"/>
        </w:rPr>
        <w:t>1.1.8 考核：指在合同货物调试完成后，对合同货物进行的用于确定其是否达到合同约定的技术性能考核指标的考核。</w:t>
      </w:r>
    </w:p>
    <w:p>
      <w:pPr>
        <w:spacing w:line="360" w:lineRule="auto"/>
        <w:ind w:firstLine="480" w:firstLineChars="200"/>
        <w:rPr>
          <w:rFonts w:hAnsi="宋体" w:cs="宋体"/>
          <w:highlight w:val="none"/>
        </w:rPr>
      </w:pPr>
      <w:r>
        <w:rPr>
          <w:rFonts w:hint="eastAsia" w:hAnsi="宋体" w:cs="宋体"/>
          <w:highlight w:val="none"/>
        </w:rPr>
        <w:t>1.1.9 验收：指合同货物通过考核达到合同约定的技术性能考核指标后，买方作出接受合同货物的确认。</w:t>
      </w:r>
    </w:p>
    <w:p>
      <w:pPr>
        <w:spacing w:line="360" w:lineRule="auto"/>
        <w:ind w:firstLine="480" w:firstLineChars="200"/>
        <w:rPr>
          <w:rFonts w:hAnsi="宋体" w:cs="宋体"/>
          <w:highlight w:val="none"/>
        </w:rPr>
      </w:pPr>
      <w:r>
        <w:rPr>
          <w:rFonts w:hint="eastAsia" w:hAnsi="宋体" w:cs="宋体"/>
          <w:highlight w:val="none"/>
        </w:rPr>
        <w:t>1.1.10 技术服务：指卖方按合同约定，在合同货物验收前，向买方提供的安装、调试、培训等，或者在由买方负责的安装、调试、考核中对买方进行的技术指导、协助、监督和培训等。</w:t>
      </w:r>
    </w:p>
    <w:p>
      <w:pPr>
        <w:spacing w:line="360" w:lineRule="auto"/>
        <w:ind w:firstLine="480" w:firstLineChars="200"/>
        <w:rPr>
          <w:rFonts w:hAnsi="宋体" w:cs="宋体"/>
          <w:highlight w:val="none"/>
        </w:rPr>
      </w:pPr>
      <w:r>
        <w:rPr>
          <w:rFonts w:hint="eastAsia" w:hAnsi="宋体" w:cs="宋体"/>
          <w:highlight w:val="none"/>
        </w:rPr>
        <w:t>1.1.11</w:t>
      </w:r>
      <w:bookmarkStart w:id="453" w:name="_Toc17041"/>
      <w:r>
        <w:rPr>
          <w:rFonts w:hint="eastAsia" w:hAnsi="宋体" w:cs="宋体"/>
          <w:highlight w:val="none"/>
        </w:rPr>
        <w:t xml:space="preserve"> 质量保证期：指合</w:t>
      </w:r>
      <w:bookmarkEnd w:id="453"/>
      <w:r>
        <w:rPr>
          <w:rFonts w:hint="eastAsia" w:hAnsi="宋体" w:cs="宋体"/>
          <w:highlight w:val="none"/>
        </w:rPr>
        <w:t>同货物验收后，卖方按合同约定保证合同货物适当、稳定运行，并负责消除合同货物故障的期限。</w:t>
      </w:r>
    </w:p>
    <w:p>
      <w:pPr>
        <w:spacing w:line="360" w:lineRule="auto"/>
        <w:ind w:firstLine="480" w:firstLineChars="200"/>
        <w:rPr>
          <w:rFonts w:hAnsi="宋体" w:cs="宋体"/>
          <w:highlight w:val="none"/>
        </w:rPr>
      </w:pPr>
      <w:r>
        <w:rPr>
          <w:rFonts w:hint="eastAsia" w:hAnsi="宋体" w:cs="宋体"/>
          <w:highlight w:val="none"/>
        </w:rPr>
        <w:t>1.1.12 质保期服务：指在质量保证期内，卖方向买方提供的合同货物维护服务、咨询服务、技术指导、协助以及对出现故障的合同货物进行修理或更换的服务。</w:t>
      </w:r>
    </w:p>
    <w:p>
      <w:pPr>
        <w:spacing w:line="360" w:lineRule="auto"/>
        <w:ind w:firstLine="480" w:firstLineChars="200"/>
        <w:rPr>
          <w:rFonts w:hAnsi="宋体" w:cs="宋体"/>
          <w:highlight w:val="none"/>
        </w:rPr>
      </w:pPr>
      <w:r>
        <w:rPr>
          <w:rFonts w:hint="eastAsia" w:hAnsi="宋体" w:cs="宋体"/>
          <w:highlight w:val="none"/>
        </w:rPr>
        <w:t>1.1.13 工程</w:t>
      </w:r>
    </w:p>
    <w:p>
      <w:pPr>
        <w:spacing w:line="360" w:lineRule="auto"/>
        <w:ind w:firstLine="480" w:firstLineChars="200"/>
        <w:rPr>
          <w:rFonts w:hAnsi="宋体" w:cs="宋体"/>
          <w:highlight w:val="none"/>
        </w:rPr>
      </w:pPr>
      <w:bookmarkStart w:id="454" w:name="_Toc247514033"/>
      <w:bookmarkStart w:id="455" w:name="_Toc30842"/>
      <w:bookmarkStart w:id="456" w:name="_Toc144974577"/>
      <w:bookmarkStart w:id="457" w:name="_Toc369531599"/>
      <w:bookmarkStart w:id="458" w:name="_Toc300835030"/>
      <w:bookmarkStart w:id="459" w:name="_Toc247527634"/>
      <w:bookmarkStart w:id="460" w:name="_Toc152045609"/>
      <w:bookmarkStart w:id="461" w:name="_Toc361508657"/>
      <w:bookmarkStart w:id="462" w:name="_Toc384308283"/>
      <w:bookmarkStart w:id="463" w:name="_Toc152042387"/>
      <w:bookmarkStart w:id="464" w:name="_Toc296602499"/>
      <w:bookmarkStart w:id="465" w:name="_Toc246996254"/>
      <w:bookmarkStart w:id="466" w:name="_Toc247085769"/>
      <w:bookmarkStart w:id="467" w:name="_Toc184635098"/>
      <w:bookmarkStart w:id="468" w:name="_Toc246996997"/>
      <w:r>
        <w:rPr>
          <w:rFonts w:hint="eastAsia" w:hAnsi="宋体" w:cs="宋体"/>
          <w:highlight w:val="none"/>
        </w:rPr>
        <w:t>1.1.13.1 工程：</w:t>
      </w:r>
      <w:bookmarkEnd w:id="454"/>
      <w:bookmarkEnd w:id="455"/>
      <w:bookmarkEnd w:id="456"/>
      <w:bookmarkEnd w:id="457"/>
      <w:bookmarkEnd w:id="458"/>
      <w:bookmarkEnd w:id="459"/>
      <w:bookmarkEnd w:id="460"/>
      <w:bookmarkEnd w:id="461"/>
      <w:bookmarkEnd w:id="462"/>
      <w:bookmarkEnd w:id="463"/>
      <w:r>
        <w:rPr>
          <w:rFonts w:hint="eastAsia" w:hAnsi="宋体" w:cs="宋体"/>
          <w:highlight w:val="none"/>
        </w:rPr>
        <w:t>指在专用合同条款中指明的，安装运行</w:t>
      </w:r>
      <w:bookmarkEnd w:id="464"/>
      <w:bookmarkEnd w:id="465"/>
      <w:bookmarkEnd w:id="466"/>
      <w:bookmarkEnd w:id="467"/>
      <w:bookmarkEnd w:id="468"/>
      <w:bookmarkStart w:id="469" w:name="_Toc9002"/>
      <w:r>
        <w:rPr>
          <w:rFonts w:hint="eastAsia" w:hAnsi="宋体" w:cs="宋体"/>
          <w:highlight w:val="none"/>
        </w:rPr>
        <w:t>合同货物</w:t>
      </w:r>
      <w:bookmarkEnd w:id="469"/>
      <w:bookmarkStart w:id="470" w:name="_Toc6626"/>
      <w:r>
        <w:rPr>
          <w:rFonts w:hint="eastAsia" w:hAnsi="宋体" w:cs="宋体"/>
          <w:highlight w:val="none"/>
        </w:rPr>
        <w:t>的工程。</w:t>
      </w:r>
    </w:p>
    <w:p>
      <w:pPr>
        <w:spacing w:line="360" w:lineRule="auto"/>
        <w:ind w:firstLine="480" w:firstLineChars="200"/>
        <w:rPr>
          <w:rFonts w:hAnsi="宋体" w:cs="宋体"/>
          <w:highlight w:val="none"/>
        </w:rPr>
      </w:pPr>
      <w:r>
        <w:rPr>
          <w:rFonts w:hint="eastAsia" w:hAnsi="宋体" w:cs="宋体"/>
          <w:highlight w:val="none"/>
        </w:rPr>
        <w:t>1.1</w:t>
      </w:r>
      <w:bookmarkEnd w:id="470"/>
      <w:r>
        <w:rPr>
          <w:rFonts w:hint="eastAsia" w:hAnsi="宋体" w:cs="宋体"/>
          <w:highlight w:val="none"/>
        </w:rPr>
        <w:t>.13.2 施工场地（或称工地、施工现场）：指专用合同条款中指明的工程所在场所。</w:t>
      </w:r>
    </w:p>
    <w:p>
      <w:pPr>
        <w:spacing w:line="360" w:lineRule="auto"/>
        <w:ind w:firstLine="480" w:firstLineChars="200"/>
        <w:rPr>
          <w:rFonts w:hAnsi="宋体" w:cs="宋体"/>
          <w:highlight w:val="none"/>
        </w:rPr>
      </w:pPr>
      <w:r>
        <w:rPr>
          <w:rFonts w:hint="eastAsia" w:hAnsi="宋体" w:cs="宋体"/>
          <w:highlight w:val="none"/>
        </w:rPr>
        <w:t>1.1.14 天（或称日）：除特别指明外，指日历天。合同中按天计算时间的，开始当天不计入，从次日开始计算。合同约定的期间的最后一天是星期日或者其他法定休假日的，以休假日的次日为期间的最后一天。</w:t>
      </w:r>
    </w:p>
    <w:p>
      <w:pPr>
        <w:spacing w:line="360" w:lineRule="auto"/>
        <w:ind w:firstLine="480" w:firstLineChars="200"/>
        <w:rPr>
          <w:rFonts w:hAnsi="宋体" w:cs="宋体"/>
          <w:highlight w:val="none"/>
        </w:rPr>
      </w:pPr>
      <w:r>
        <w:rPr>
          <w:rFonts w:hint="eastAsia" w:hAnsi="宋体" w:cs="宋体"/>
          <w:highlight w:val="none"/>
        </w:rPr>
        <w:t>1.1.15 月：按照公历月计算。合同中按月计算时间的，开始当天不计入，从次日开始计算。合同约定的期间的最后一天是星期日或者其他法定休假日的，以休假日的次日为期间的最后一天。</w:t>
      </w:r>
    </w:p>
    <w:p>
      <w:pPr>
        <w:spacing w:line="360" w:lineRule="auto"/>
        <w:ind w:firstLine="480" w:firstLineChars="200"/>
        <w:rPr>
          <w:rFonts w:hAnsi="宋体" w:cs="宋体"/>
          <w:highlight w:val="none"/>
        </w:rPr>
      </w:pPr>
      <w:r>
        <w:rPr>
          <w:rFonts w:hint="eastAsia" w:hAnsi="宋体" w:cs="宋体"/>
          <w:highlight w:val="none"/>
        </w:rPr>
        <w:t>1.1.16 书面形式：指合同文件、信件和数据电文（包括电报、电传、传真、电子数据交换和电子邮件）等可以有形地表现所载内容的形式。</w:t>
      </w:r>
    </w:p>
    <w:p>
      <w:pPr>
        <w:spacing w:line="360" w:lineRule="auto"/>
        <w:ind w:firstLine="137"/>
        <w:outlineLvl w:val="3"/>
        <w:rPr>
          <w:rFonts w:ascii="黑体" w:hAnsi="黑体" w:eastAsia="黑体" w:cs="黑体"/>
          <w:highlight w:val="none"/>
        </w:rPr>
      </w:pPr>
      <w:bookmarkStart w:id="471" w:name="_Toc501460737"/>
      <w:bookmarkStart w:id="472" w:name="_Toc482188728"/>
      <w:r>
        <w:rPr>
          <w:rFonts w:hint="eastAsia" w:ascii="黑体" w:hAnsi="黑体" w:eastAsia="黑体" w:cs="黑体"/>
          <w:highlight w:val="none"/>
        </w:rPr>
        <w:t>1.2 语言文字</w:t>
      </w:r>
      <w:bookmarkEnd w:id="471"/>
      <w:bookmarkEnd w:id="472"/>
    </w:p>
    <w:p>
      <w:pPr>
        <w:spacing w:line="360" w:lineRule="auto"/>
        <w:ind w:firstLine="480" w:firstLineChars="200"/>
        <w:rPr>
          <w:rFonts w:hAnsi="宋体" w:cs="宋体"/>
          <w:highlight w:val="none"/>
        </w:rPr>
      </w:pPr>
      <w:r>
        <w:rPr>
          <w:rFonts w:hint="eastAsia" w:hAnsi="宋体" w:cs="宋体"/>
          <w:highlight w:val="none"/>
        </w:rPr>
        <w:t>合同使用的语言文字为中文。专用术语使用外文的，应附有中文注释。</w:t>
      </w:r>
    </w:p>
    <w:p>
      <w:pPr>
        <w:spacing w:line="360" w:lineRule="auto"/>
        <w:ind w:firstLine="137"/>
        <w:outlineLvl w:val="3"/>
        <w:rPr>
          <w:rFonts w:ascii="黑体" w:hAnsi="黑体" w:eastAsia="黑体" w:cs="黑体"/>
          <w:highlight w:val="none"/>
        </w:rPr>
      </w:pPr>
      <w:bookmarkStart w:id="473" w:name="_Toc482188729"/>
      <w:bookmarkStart w:id="474" w:name="_Toc501460738"/>
      <w:r>
        <w:rPr>
          <w:rFonts w:hint="eastAsia" w:ascii="黑体" w:hAnsi="黑体" w:eastAsia="黑体" w:cs="黑体"/>
          <w:highlight w:val="none"/>
        </w:rPr>
        <w:t>1.3合同文件的优先顺序</w:t>
      </w:r>
      <w:bookmarkEnd w:id="473"/>
      <w:bookmarkEnd w:id="474"/>
    </w:p>
    <w:p>
      <w:pPr>
        <w:spacing w:line="360" w:lineRule="auto"/>
        <w:ind w:firstLine="480" w:firstLineChars="200"/>
        <w:rPr>
          <w:rFonts w:hAnsi="宋体" w:cs="宋体"/>
          <w:highlight w:val="none"/>
        </w:rPr>
      </w:pPr>
      <w:r>
        <w:rPr>
          <w:rFonts w:hint="eastAsia" w:hAnsi="宋体" w:cs="宋体"/>
          <w:highlight w:val="none"/>
        </w:rPr>
        <w:t>组成合同的各项文件应互相解释，互为说明。除专用合同条款另有约定外，解释合同文件的优先顺序如下：</w:t>
      </w:r>
    </w:p>
    <w:p>
      <w:pPr>
        <w:spacing w:line="360" w:lineRule="auto"/>
        <w:ind w:firstLine="480" w:firstLineChars="200"/>
        <w:rPr>
          <w:rFonts w:hAnsi="宋体" w:cs="宋体"/>
          <w:highlight w:val="none"/>
        </w:rPr>
      </w:pPr>
      <w:r>
        <w:rPr>
          <w:rFonts w:hint="eastAsia" w:hAnsi="宋体" w:cs="宋体"/>
          <w:highlight w:val="none"/>
        </w:rPr>
        <w:t>（1）合同协议书；</w:t>
      </w:r>
    </w:p>
    <w:p>
      <w:pPr>
        <w:spacing w:line="360" w:lineRule="auto"/>
        <w:ind w:firstLine="480" w:firstLineChars="200"/>
        <w:rPr>
          <w:rFonts w:hAnsi="宋体" w:cs="宋体"/>
          <w:highlight w:val="none"/>
        </w:rPr>
      </w:pPr>
      <w:r>
        <w:rPr>
          <w:rFonts w:hint="eastAsia" w:hAnsi="宋体" w:cs="宋体"/>
          <w:highlight w:val="none"/>
        </w:rPr>
        <w:t>（2）中标通知书；</w:t>
      </w:r>
    </w:p>
    <w:p>
      <w:pPr>
        <w:spacing w:line="360" w:lineRule="auto"/>
        <w:ind w:firstLine="480" w:firstLineChars="200"/>
        <w:rPr>
          <w:rFonts w:hAnsi="宋体" w:cs="宋体"/>
          <w:highlight w:val="none"/>
        </w:rPr>
      </w:pPr>
      <w:r>
        <w:rPr>
          <w:rFonts w:hint="eastAsia" w:hAnsi="宋体" w:cs="宋体"/>
          <w:highlight w:val="none"/>
        </w:rPr>
        <w:t>（3）投标函；</w:t>
      </w:r>
    </w:p>
    <w:p>
      <w:pPr>
        <w:spacing w:line="360" w:lineRule="auto"/>
        <w:ind w:firstLine="480" w:firstLineChars="200"/>
        <w:rPr>
          <w:rFonts w:hAnsi="宋体" w:cs="宋体"/>
          <w:highlight w:val="none"/>
        </w:rPr>
      </w:pPr>
      <w:r>
        <w:rPr>
          <w:rFonts w:hint="eastAsia" w:hAnsi="宋体" w:cs="宋体"/>
          <w:highlight w:val="none"/>
        </w:rPr>
        <w:t>（4）商务和技术偏差表；</w:t>
      </w:r>
    </w:p>
    <w:p>
      <w:pPr>
        <w:spacing w:line="360" w:lineRule="auto"/>
        <w:ind w:firstLine="480" w:firstLineChars="200"/>
        <w:rPr>
          <w:rFonts w:hAnsi="宋体" w:cs="宋体"/>
          <w:highlight w:val="none"/>
        </w:rPr>
      </w:pPr>
      <w:r>
        <w:rPr>
          <w:rFonts w:hint="eastAsia" w:hAnsi="宋体" w:cs="宋体"/>
          <w:highlight w:val="none"/>
        </w:rPr>
        <w:t>（5）专用合同条款；</w:t>
      </w:r>
    </w:p>
    <w:p>
      <w:pPr>
        <w:spacing w:line="360" w:lineRule="auto"/>
        <w:ind w:firstLine="480" w:firstLineChars="200"/>
        <w:rPr>
          <w:rFonts w:hAnsi="宋体" w:cs="宋体"/>
          <w:highlight w:val="none"/>
        </w:rPr>
      </w:pPr>
      <w:r>
        <w:rPr>
          <w:rFonts w:hint="eastAsia" w:hAnsi="宋体" w:cs="宋体"/>
          <w:highlight w:val="none"/>
        </w:rPr>
        <w:t>（6）通用合同条款；</w:t>
      </w:r>
    </w:p>
    <w:p>
      <w:pPr>
        <w:spacing w:line="360" w:lineRule="auto"/>
        <w:ind w:firstLine="480" w:firstLineChars="200"/>
        <w:rPr>
          <w:rFonts w:hAnsi="宋体" w:cs="宋体"/>
          <w:highlight w:val="none"/>
        </w:rPr>
      </w:pPr>
      <w:r>
        <w:rPr>
          <w:rFonts w:hint="eastAsia" w:hAnsi="宋体" w:cs="宋体"/>
          <w:highlight w:val="none"/>
        </w:rPr>
        <w:t>（7）供货要求；</w:t>
      </w:r>
    </w:p>
    <w:p>
      <w:pPr>
        <w:spacing w:line="360" w:lineRule="auto"/>
        <w:ind w:firstLine="480" w:firstLineChars="200"/>
        <w:rPr>
          <w:rFonts w:hAnsi="宋体" w:cs="宋体"/>
          <w:highlight w:val="none"/>
        </w:rPr>
      </w:pPr>
      <w:r>
        <w:rPr>
          <w:rFonts w:hint="eastAsia" w:hAnsi="宋体" w:cs="宋体"/>
          <w:highlight w:val="none"/>
        </w:rPr>
        <w:t>（8）分项报价表；</w:t>
      </w:r>
    </w:p>
    <w:p>
      <w:pPr>
        <w:spacing w:line="360" w:lineRule="auto"/>
        <w:ind w:firstLine="480" w:firstLineChars="200"/>
        <w:rPr>
          <w:rFonts w:hAnsi="宋体" w:cs="宋体"/>
          <w:highlight w:val="none"/>
        </w:rPr>
      </w:pPr>
      <w:r>
        <w:rPr>
          <w:rFonts w:hint="eastAsia" w:hAnsi="宋体" w:cs="宋体"/>
          <w:highlight w:val="none"/>
        </w:rPr>
        <w:t>（9）中标货物技术性能指标的详细描述；</w:t>
      </w:r>
    </w:p>
    <w:p>
      <w:pPr>
        <w:spacing w:line="360" w:lineRule="auto"/>
        <w:ind w:firstLine="480" w:firstLineChars="200"/>
        <w:rPr>
          <w:rFonts w:hAnsi="宋体" w:cs="宋体"/>
          <w:highlight w:val="none"/>
        </w:rPr>
      </w:pPr>
      <w:r>
        <w:rPr>
          <w:rFonts w:hint="eastAsia" w:hAnsi="宋体" w:cs="宋体"/>
          <w:highlight w:val="none"/>
        </w:rPr>
        <w:t>（10）技术服务和质保期服务计划；</w:t>
      </w:r>
    </w:p>
    <w:p>
      <w:pPr>
        <w:spacing w:line="360" w:lineRule="auto"/>
        <w:ind w:firstLine="480" w:firstLineChars="200"/>
        <w:rPr>
          <w:rFonts w:hAnsi="宋体" w:cs="宋体"/>
          <w:highlight w:val="none"/>
        </w:rPr>
      </w:pPr>
      <w:r>
        <w:rPr>
          <w:rFonts w:hint="eastAsia" w:hAnsi="宋体" w:cs="宋体"/>
          <w:highlight w:val="none"/>
        </w:rPr>
        <w:t>（11）其他合同文件。</w:t>
      </w:r>
    </w:p>
    <w:p>
      <w:pPr>
        <w:spacing w:line="360" w:lineRule="auto"/>
        <w:ind w:firstLine="137"/>
        <w:outlineLvl w:val="3"/>
        <w:rPr>
          <w:rFonts w:ascii="黑体" w:hAnsi="黑体" w:eastAsia="黑体" w:cs="黑体"/>
          <w:highlight w:val="none"/>
        </w:rPr>
      </w:pPr>
      <w:bookmarkStart w:id="475" w:name="_Toc482188730"/>
      <w:bookmarkStart w:id="476" w:name="_Toc501460739"/>
      <w:r>
        <w:rPr>
          <w:rFonts w:hint="eastAsia" w:ascii="黑体" w:hAnsi="黑体" w:eastAsia="黑体" w:cs="黑体"/>
          <w:highlight w:val="none"/>
        </w:rPr>
        <w:t>1.4 合同的生效及变更</w:t>
      </w:r>
      <w:bookmarkEnd w:id="475"/>
      <w:bookmarkEnd w:id="476"/>
    </w:p>
    <w:p>
      <w:pPr>
        <w:spacing w:line="360" w:lineRule="auto"/>
        <w:ind w:firstLine="480" w:firstLineChars="200"/>
        <w:rPr>
          <w:rFonts w:hAnsi="宋体" w:cs="宋体"/>
          <w:highlight w:val="none"/>
        </w:rPr>
      </w:pPr>
      <w:r>
        <w:rPr>
          <w:rFonts w:hint="eastAsia" w:hAnsi="宋体" w:cs="宋体"/>
          <w:highlight w:val="none"/>
        </w:rPr>
        <w:t>1.4.1 除专用合同条款另有约定外，买方和卖方的法定代表人（单位负责人）或其授权代表在合同协议书上签字并加盖单位章后，合同生效。</w:t>
      </w:r>
    </w:p>
    <w:p>
      <w:pPr>
        <w:spacing w:line="360" w:lineRule="auto"/>
        <w:ind w:firstLine="480" w:firstLineChars="200"/>
        <w:rPr>
          <w:rFonts w:hAnsi="宋体" w:cs="宋体"/>
          <w:highlight w:val="none"/>
        </w:rPr>
      </w:pPr>
      <w:r>
        <w:rPr>
          <w:rFonts w:hint="eastAsia" w:hAnsi="宋体" w:cs="宋体"/>
          <w:highlight w:val="none"/>
        </w:rPr>
        <w:t>1.4.2 除专用合同条款另有约定外，在合同履行过程中，如需对合同进行变更，双方应签订书面协议，并经双方法定代表人（单位负责人）或其授权代表签字并加盖单位章后生效。</w:t>
      </w:r>
    </w:p>
    <w:p>
      <w:pPr>
        <w:spacing w:line="360" w:lineRule="auto"/>
        <w:ind w:firstLine="137"/>
        <w:outlineLvl w:val="3"/>
        <w:rPr>
          <w:rFonts w:ascii="黑体" w:hAnsi="黑体" w:eastAsia="黑体" w:cs="黑体"/>
          <w:highlight w:val="none"/>
        </w:rPr>
      </w:pPr>
      <w:bookmarkStart w:id="477" w:name="_Toc482188731"/>
      <w:bookmarkStart w:id="478" w:name="_Toc501460740"/>
      <w:r>
        <w:rPr>
          <w:rFonts w:hint="eastAsia" w:ascii="黑体" w:hAnsi="黑体" w:eastAsia="黑体" w:cs="黑体"/>
          <w:highlight w:val="none"/>
        </w:rPr>
        <w:t>1.5联络</w:t>
      </w:r>
      <w:bookmarkEnd w:id="477"/>
      <w:bookmarkEnd w:id="478"/>
    </w:p>
    <w:p>
      <w:pPr>
        <w:spacing w:line="360" w:lineRule="auto"/>
        <w:ind w:firstLine="480" w:firstLineChars="200"/>
        <w:rPr>
          <w:rFonts w:hAnsi="宋体" w:cs="宋体"/>
          <w:highlight w:val="none"/>
        </w:rPr>
      </w:pPr>
      <w:r>
        <w:rPr>
          <w:rFonts w:hint="eastAsia" w:hAnsi="宋体" w:cs="宋体"/>
          <w:highlight w:val="none"/>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pPr>
        <w:spacing w:line="360" w:lineRule="auto"/>
        <w:ind w:firstLine="480" w:firstLineChars="200"/>
        <w:rPr>
          <w:rFonts w:hAnsi="宋体" w:cs="宋体"/>
          <w:highlight w:val="none"/>
        </w:rPr>
      </w:pPr>
      <w:r>
        <w:rPr>
          <w:rFonts w:hint="eastAsia" w:hAnsi="宋体" w:cs="宋体"/>
          <w:highlight w:val="none"/>
        </w:rPr>
        <w:t>1.5.2 合同履行中或与合同有关的任何联络，送达到第1.5.1项指定的联系人即视为送达。</w:t>
      </w:r>
    </w:p>
    <w:p>
      <w:pPr>
        <w:spacing w:line="360" w:lineRule="auto"/>
        <w:ind w:firstLine="480" w:firstLineChars="200"/>
        <w:rPr>
          <w:rFonts w:hAnsi="宋体" w:cs="宋体"/>
          <w:highlight w:val="none"/>
        </w:rPr>
      </w:pPr>
      <w:r>
        <w:rPr>
          <w:rFonts w:hint="eastAsia" w:hAnsi="宋体" w:cs="宋体"/>
          <w:highlight w:val="none"/>
        </w:rPr>
        <w:t>1.5.3 买方可以安排监理等相关人员作为买方人员，与卖方进行联络或参加合同货物的监造（如有）、交货前检验（如有）、开箱检验、安装、调试、考核、验收等，但应按照第1.5.1项的约定事先书面通知卖方。</w:t>
      </w:r>
    </w:p>
    <w:p>
      <w:pPr>
        <w:spacing w:line="360" w:lineRule="auto"/>
        <w:ind w:firstLine="137"/>
        <w:outlineLvl w:val="3"/>
        <w:rPr>
          <w:rFonts w:ascii="黑体" w:hAnsi="黑体" w:eastAsia="黑体" w:cs="黑体"/>
          <w:highlight w:val="none"/>
        </w:rPr>
      </w:pPr>
      <w:bookmarkStart w:id="479" w:name="_Toc501460741"/>
      <w:bookmarkStart w:id="480" w:name="_Toc482188732"/>
      <w:r>
        <w:rPr>
          <w:rFonts w:hint="eastAsia" w:ascii="黑体" w:hAnsi="黑体" w:eastAsia="黑体" w:cs="黑体"/>
          <w:highlight w:val="none"/>
        </w:rPr>
        <w:t>1.6 联合体</w:t>
      </w:r>
      <w:bookmarkEnd w:id="479"/>
      <w:bookmarkEnd w:id="480"/>
    </w:p>
    <w:p>
      <w:pPr>
        <w:spacing w:line="360" w:lineRule="auto"/>
        <w:ind w:firstLine="480" w:firstLineChars="200"/>
        <w:rPr>
          <w:rFonts w:hAnsi="宋体" w:cs="宋体"/>
          <w:highlight w:val="none"/>
        </w:rPr>
      </w:pPr>
      <w:r>
        <w:rPr>
          <w:rFonts w:hint="eastAsia" w:hAnsi="宋体" w:cs="宋体"/>
          <w:highlight w:val="none"/>
        </w:rPr>
        <w:t>1.6.1 卖方为联合体的，联合体各方应当共同与买方签订合同，并向买方为履行合同承担连带责任。</w:t>
      </w:r>
    </w:p>
    <w:p>
      <w:pPr>
        <w:spacing w:line="360" w:lineRule="auto"/>
        <w:ind w:firstLine="480" w:firstLineChars="200"/>
        <w:rPr>
          <w:rFonts w:hAnsi="宋体" w:cs="宋体"/>
          <w:highlight w:val="none"/>
        </w:rPr>
      </w:pPr>
      <w:r>
        <w:rPr>
          <w:rFonts w:hint="eastAsia" w:hAnsi="宋体" w:cs="宋体"/>
          <w:highlight w:val="none"/>
        </w:rPr>
        <w:t>1.6.2 在合同履行过程中，未经买方同意，不得修改联合体协议。联合体协议中关于联合体成员间权利义务的划分，并不影响或减损联合体各方应就履行合同向买方承担的连带责任。</w:t>
      </w:r>
    </w:p>
    <w:p>
      <w:pPr>
        <w:spacing w:line="360" w:lineRule="auto"/>
        <w:ind w:firstLine="480" w:firstLineChars="200"/>
        <w:rPr>
          <w:rFonts w:hAnsi="宋体" w:cs="宋体"/>
          <w:highlight w:val="none"/>
        </w:rPr>
      </w:pPr>
      <w:r>
        <w:rPr>
          <w:rFonts w:hint="eastAsia" w:hAnsi="宋体" w:cs="宋体"/>
          <w:highlight w:val="none"/>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spacing w:line="360" w:lineRule="auto"/>
        <w:ind w:firstLine="137"/>
        <w:outlineLvl w:val="3"/>
        <w:rPr>
          <w:rFonts w:ascii="黑体" w:hAnsi="黑体" w:eastAsia="黑体" w:cs="黑体"/>
          <w:highlight w:val="none"/>
        </w:rPr>
      </w:pPr>
      <w:bookmarkStart w:id="481" w:name="_Toc501460742"/>
      <w:bookmarkStart w:id="482" w:name="_Toc482188733"/>
      <w:r>
        <w:rPr>
          <w:rFonts w:hint="eastAsia" w:ascii="黑体" w:hAnsi="黑体" w:eastAsia="黑体" w:cs="黑体"/>
          <w:highlight w:val="none"/>
        </w:rPr>
        <w:t>1.7 转让</w:t>
      </w:r>
      <w:bookmarkEnd w:id="481"/>
      <w:bookmarkEnd w:id="482"/>
    </w:p>
    <w:p>
      <w:pPr>
        <w:spacing w:line="360" w:lineRule="auto"/>
        <w:ind w:firstLine="480" w:firstLineChars="200"/>
        <w:rPr>
          <w:rFonts w:hAnsi="宋体" w:cs="宋体"/>
          <w:highlight w:val="none"/>
        </w:rPr>
      </w:pPr>
      <w:r>
        <w:rPr>
          <w:rFonts w:hint="eastAsia" w:hAnsi="宋体" w:cs="宋体"/>
          <w:highlight w:val="none"/>
        </w:rPr>
        <w:t>未经对方当事人书面同意，合同任何一方均不得转让其在合同项下的权利和（或）义务。</w:t>
      </w:r>
    </w:p>
    <w:p>
      <w:pPr>
        <w:spacing w:line="360" w:lineRule="auto"/>
        <w:ind w:firstLine="137"/>
        <w:outlineLvl w:val="2"/>
        <w:rPr>
          <w:rFonts w:ascii="黑体" w:hAnsi="黑体" w:eastAsia="黑体" w:cs="黑体"/>
          <w:sz w:val="28"/>
          <w:szCs w:val="28"/>
          <w:highlight w:val="none"/>
        </w:rPr>
      </w:pPr>
      <w:bookmarkStart w:id="483" w:name="_Toc17100668"/>
      <w:bookmarkStart w:id="484" w:name="_Toc482188734"/>
      <w:bookmarkStart w:id="485" w:name="_Toc26700478"/>
      <w:bookmarkStart w:id="486" w:name="_Toc26721537"/>
      <w:bookmarkStart w:id="487" w:name="_Toc501460743"/>
      <w:bookmarkStart w:id="488" w:name="_Toc26700648"/>
      <w:bookmarkStart w:id="489" w:name="_Toc26721382"/>
      <w:bookmarkStart w:id="490" w:name="_Toc24965148"/>
      <w:bookmarkStart w:id="491" w:name="_Toc15753904"/>
      <w:r>
        <w:rPr>
          <w:rFonts w:hint="eastAsia" w:ascii="黑体" w:hAnsi="黑体" w:eastAsia="黑体" w:cs="黑体"/>
          <w:sz w:val="28"/>
          <w:szCs w:val="28"/>
          <w:highlight w:val="none"/>
        </w:rPr>
        <w:t>2. 合同范围</w:t>
      </w:r>
      <w:bookmarkEnd w:id="483"/>
      <w:bookmarkEnd w:id="484"/>
      <w:bookmarkEnd w:id="485"/>
      <w:bookmarkEnd w:id="486"/>
      <w:bookmarkEnd w:id="487"/>
      <w:bookmarkEnd w:id="488"/>
      <w:bookmarkEnd w:id="489"/>
      <w:bookmarkEnd w:id="490"/>
      <w:bookmarkEnd w:id="491"/>
    </w:p>
    <w:p>
      <w:pPr>
        <w:spacing w:line="360" w:lineRule="auto"/>
        <w:ind w:firstLine="480" w:firstLineChars="200"/>
        <w:rPr>
          <w:rFonts w:hAnsi="宋体" w:cs="宋体"/>
          <w:highlight w:val="none"/>
        </w:rPr>
      </w:pPr>
      <w:r>
        <w:rPr>
          <w:rFonts w:hint="eastAsia" w:hAnsi="宋体" w:cs="宋体"/>
          <w:highlight w:val="none"/>
        </w:rPr>
        <w:t>卖方应根据供货要求、中标货物技术性能指标的详细描述、技术服务和质保期服务计划等合同文件的约定向买方提供合同货物、技术服务和质保期服务。</w:t>
      </w:r>
    </w:p>
    <w:p>
      <w:pPr>
        <w:spacing w:line="360" w:lineRule="auto"/>
        <w:ind w:firstLine="137"/>
        <w:outlineLvl w:val="2"/>
        <w:rPr>
          <w:rFonts w:ascii="黑体" w:hAnsi="黑体" w:eastAsia="黑体" w:cs="黑体"/>
          <w:sz w:val="28"/>
          <w:szCs w:val="28"/>
          <w:highlight w:val="none"/>
        </w:rPr>
      </w:pPr>
      <w:bookmarkStart w:id="492" w:name="_Toc26700479"/>
      <w:bookmarkStart w:id="493" w:name="_Toc24965149"/>
      <w:bookmarkStart w:id="494" w:name="_Toc17100669"/>
      <w:bookmarkStart w:id="495" w:name="_Toc482188735"/>
      <w:bookmarkStart w:id="496" w:name="_Toc501460744"/>
      <w:bookmarkStart w:id="497" w:name="_Toc15753905"/>
      <w:bookmarkStart w:id="498" w:name="_Toc26700649"/>
      <w:bookmarkStart w:id="499" w:name="_Toc26721383"/>
      <w:bookmarkStart w:id="500" w:name="_Toc26721538"/>
      <w:r>
        <w:rPr>
          <w:rFonts w:hint="eastAsia" w:ascii="黑体" w:hAnsi="黑体" w:eastAsia="黑体" w:cs="黑体"/>
          <w:sz w:val="28"/>
          <w:szCs w:val="28"/>
          <w:highlight w:val="none"/>
        </w:rPr>
        <w:t>3. 合同价格与支付</w:t>
      </w:r>
      <w:bookmarkEnd w:id="492"/>
      <w:bookmarkEnd w:id="493"/>
      <w:bookmarkEnd w:id="494"/>
      <w:bookmarkEnd w:id="495"/>
      <w:bookmarkEnd w:id="496"/>
      <w:bookmarkEnd w:id="497"/>
      <w:bookmarkEnd w:id="498"/>
      <w:bookmarkEnd w:id="499"/>
      <w:bookmarkEnd w:id="500"/>
    </w:p>
    <w:p>
      <w:pPr>
        <w:spacing w:line="360" w:lineRule="auto"/>
        <w:ind w:firstLine="137"/>
        <w:outlineLvl w:val="3"/>
        <w:rPr>
          <w:rFonts w:ascii="黑体" w:hAnsi="黑体" w:eastAsia="黑体" w:cs="黑体"/>
          <w:highlight w:val="none"/>
        </w:rPr>
      </w:pPr>
      <w:bookmarkStart w:id="501" w:name="_Toc482188736"/>
      <w:bookmarkStart w:id="502" w:name="_Toc501460745"/>
      <w:r>
        <w:rPr>
          <w:rFonts w:hint="eastAsia" w:ascii="黑体" w:hAnsi="黑体" w:eastAsia="黑体" w:cs="黑体"/>
          <w:highlight w:val="none"/>
        </w:rPr>
        <w:t>3.1 合同价格</w:t>
      </w:r>
      <w:bookmarkEnd w:id="501"/>
      <w:bookmarkEnd w:id="502"/>
    </w:p>
    <w:p>
      <w:pPr>
        <w:spacing w:line="360" w:lineRule="auto"/>
        <w:ind w:firstLine="480" w:firstLineChars="200"/>
        <w:rPr>
          <w:rFonts w:hAnsi="宋体" w:cs="宋体"/>
          <w:highlight w:val="none"/>
        </w:rPr>
      </w:pPr>
      <w:r>
        <w:rPr>
          <w:rFonts w:hint="eastAsia" w:hAnsi="宋体" w:cs="宋体"/>
          <w:highlight w:val="none"/>
        </w:rPr>
        <w:t>3.1.1 合同协议书中载明的签约合同价包括卖方为完成合同全部义务应承担的一切成本、费用和支出以及卖方的合理利润。</w:t>
      </w:r>
    </w:p>
    <w:p>
      <w:pPr>
        <w:spacing w:line="360" w:lineRule="auto"/>
        <w:ind w:firstLine="480" w:firstLineChars="200"/>
        <w:rPr>
          <w:rFonts w:hAnsi="宋体" w:cs="宋体"/>
          <w:highlight w:val="none"/>
        </w:rPr>
      </w:pPr>
      <w:r>
        <w:rPr>
          <w:rFonts w:hint="eastAsia" w:hAnsi="宋体" w:cs="宋体"/>
          <w:highlight w:val="none"/>
        </w:rPr>
        <w:t>3.1.2 除专用合同条款另有约定外，签约合同价为固定价格。</w:t>
      </w:r>
    </w:p>
    <w:p>
      <w:pPr>
        <w:spacing w:line="360" w:lineRule="auto"/>
        <w:ind w:firstLine="137"/>
        <w:outlineLvl w:val="3"/>
        <w:rPr>
          <w:rFonts w:ascii="黑体" w:hAnsi="黑体" w:eastAsia="黑体" w:cs="黑体"/>
          <w:highlight w:val="none"/>
        </w:rPr>
      </w:pPr>
      <w:bookmarkStart w:id="503" w:name="_Toc482188737"/>
      <w:bookmarkStart w:id="504" w:name="_Toc501460746"/>
      <w:r>
        <w:rPr>
          <w:rFonts w:hint="eastAsia" w:ascii="黑体" w:hAnsi="黑体" w:eastAsia="黑体" w:cs="黑体"/>
          <w:highlight w:val="none"/>
        </w:rPr>
        <w:t>3.2合同价款的支付</w:t>
      </w:r>
      <w:bookmarkEnd w:id="503"/>
      <w:bookmarkEnd w:id="504"/>
    </w:p>
    <w:p>
      <w:pPr>
        <w:spacing w:line="360" w:lineRule="auto"/>
        <w:ind w:firstLine="480" w:firstLineChars="200"/>
        <w:rPr>
          <w:rFonts w:hAnsi="宋体" w:cs="宋体"/>
          <w:highlight w:val="none"/>
        </w:rPr>
      </w:pPr>
      <w:r>
        <w:rPr>
          <w:rFonts w:hint="eastAsia" w:hAnsi="宋体" w:cs="宋体"/>
          <w:highlight w:val="none"/>
        </w:rPr>
        <w:t>除专用合同条款另有约定外，买方应通过以下方式和比例向卖方支付合同价款：</w:t>
      </w:r>
    </w:p>
    <w:p>
      <w:pPr>
        <w:spacing w:line="360" w:lineRule="auto"/>
        <w:ind w:firstLine="480" w:firstLineChars="200"/>
        <w:rPr>
          <w:rFonts w:hAnsi="宋体" w:cs="宋体"/>
          <w:szCs w:val="24"/>
          <w:highlight w:val="none"/>
        </w:rPr>
      </w:pPr>
      <w:bookmarkStart w:id="505" w:name="_Toc501460747"/>
      <w:bookmarkStart w:id="506" w:name="_Toc482188738"/>
      <w:r>
        <w:rPr>
          <w:rFonts w:hint="eastAsia" w:hAnsi="宋体" w:cs="宋体"/>
          <w:szCs w:val="24"/>
          <w:highlight w:val="none"/>
        </w:rPr>
        <w:t>3.2.1 预付款</w:t>
      </w:r>
    </w:p>
    <w:p>
      <w:pPr>
        <w:spacing w:line="360" w:lineRule="auto"/>
        <w:ind w:firstLine="480" w:firstLineChars="200"/>
        <w:rPr>
          <w:rStyle w:val="65"/>
          <w:rFonts w:hAnsi="宋体" w:cs="宋体"/>
          <w:sz w:val="24"/>
          <w:szCs w:val="24"/>
          <w:highlight w:val="none"/>
        </w:rPr>
      </w:pPr>
      <w:bookmarkStart w:id="507" w:name="_Toc369531604"/>
      <w:bookmarkStart w:id="508" w:name="_Toc296602502"/>
      <w:bookmarkStart w:id="509" w:name="_Toc8892"/>
      <w:r>
        <w:rPr>
          <w:rFonts w:hint="eastAsia" w:hAnsi="宋体" w:cs="宋体"/>
          <w:szCs w:val="24"/>
          <w:highlight w:val="none"/>
        </w:rPr>
        <w:t>合同生</w:t>
      </w:r>
      <w:bookmarkEnd w:id="507"/>
      <w:bookmarkEnd w:id="508"/>
      <w:bookmarkEnd w:id="509"/>
      <w:r>
        <w:rPr>
          <w:rFonts w:hint="eastAsia" w:hAnsi="宋体" w:cs="宋体"/>
          <w:szCs w:val="24"/>
          <w:highlight w:val="none"/>
        </w:rPr>
        <w:t>效后，买方在收到卖方</w:t>
      </w:r>
      <w:r>
        <w:rPr>
          <w:rFonts w:hint="eastAsia" w:hAnsi="宋体" w:cs="宋体"/>
          <w:szCs w:val="24"/>
          <w:highlight w:val="none"/>
          <w:lang w:val="zh-CN"/>
        </w:rPr>
        <w:t>开具的注明应付预付款金</w:t>
      </w:r>
      <w:bookmarkStart w:id="510" w:name="_Toc14602"/>
      <w:r>
        <w:rPr>
          <w:rFonts w:hint="eastAsia" w:hAnsi="宋体" w:cs="宋体"/>
          <w:szCs w:val="24"/>
          <w:highlight w:val="none"/>
          <w:lang w:val="zh-CN"/>
        </w:rPr>
        <w:t>额的财务收据正本一份</w:t>
      </w:r>
      <w:r>
        <w:rPr>
          <w:rFonts w:hint="eastAsia" w:hAnsi="宋体" w:cs="宋体"/>
          <w:szCs w:val="24"/>
          <w:highlight w:val="none"/>
        </w:rPr>
        <w:t>并经审核无</w:t>
      </w:r>
      <w:bookmarkEnd w:id="510"/>
      <w:r>
        <w:rPr>
          <w:rFonts w:hint="eastAsia" w:hAnsi="宋体" w:cs="宋体"/>
          <w:szCs w:val="24"/>
          <w:highlight w:val="none"/>
        </w:rPr>
        <w:t>误后28日内，向卖方支付签约合同价的10%</w:t>
      </w:r>
      <w:r>
        <w:rPr>
          <w:rStyle w:val="65"/>
          <w:rFonts w:hint="eastAsia" w:hAnsi="宋体" w:cs="宋体"/>
          <w:sz w:val="24"/>
          <w:szCs w:val="24"/>
          <w:highlight w:val="none"/>
        </w:rPr>
        <w:t>作为预付款。</w:t>
      </w:r>
    </w:p>
    <w:p>
      <w:pPr>
        <w:spacing w:line="360" w:lineRule="auto"/>
        <w:ind w:firstLine="480" w:firstLineChars="200"/>
        <w:rPr>
          <w:rFonts w:hAnsi="宋体" w:cs="宋体"/>
          <w:szCs w:val="24"/>
          <w:highlight w:val="none"/>
        </w:rPr>
      </w:pPr>
      <w:r>
        <w:rPr>
          <w:rStyle w:val="65"/>
          <w:rFonts w:hint="eastAsia" w:hAnsi="宋体" w:cs="宋体"/>
          <w:sz w:val="24"/>
          <w:szCs w:val="24"/>
          <w:highlight w:val="none"/>
        </w:rPr>
        <w:t>买方支付预付款后，如卖方未履行合同义务，则买方有权收回预付款；如卖方依约履行了合同义务，则预付款抵作合同价款。</w:t>
      </w:r>
    </w:p>
    <w:p>
      <w:pPr>
        <w:spacing w:line="360" w:lineRule="auto"/>
        <w:ind w:firstLine="480" w:firstLineChars="200"/>
        <w:rPr>
          <w:rFonts w:hAnsi="宋体" w:cs="宋体"/>
          <w:szCs w:val="24"/>
          <w:highlight w:val="none"/>
        </w:rPr>
      </w:pPr>
      <w:r>
        <w:rPr>
          <w:rFonts w:hint="eastAsia" w:hAnsi="宋体" w:cs="宋体"/>
          <w:szCs w:val="24"/>
          <w:highlight w:val="none"/>
        </w:rPr>
        <w:t>3.2.2 交货款</w:t>
      </w:r>
    </w:p>
    <w:p>
      <w:pPr>
        <w:spacing w:line="360" w:lineRule="auto"/>
        <w:ind w:firstLine="480" w:firstLineChars="200"/>
        <w:rPr>
          <w:rFonts w:hAnsi="宋体" w:cs="宋体"/>
          <w:szCs w:val="24"/>
          <w:highlight w:val="none"/>
        </w:rPr>
      </w:pPr>
      <w:r>
        <w:rPr>
          <w:rFonts w:hint="eastAsia" w:hAnsi="宋体" w:cs="宋体"/>
          <w:szCs w:val="24"/>
          <w:highlight w:val="none"/>
        </w:rPr>
        <w:t>卖方按合同约定交付全部合同货物后，买方在收到卖方</w:t>
      </w:r>
      <w:bookmarkStart w:id="511" w:name="_Toc16718"/>
      <w:r>
        <w:rPr>
          <w:rFonts w:hint="eastAsia" w:hAnsi="宋体" w:cs="宋体"/>
          <w:szCs w:val="24"/>
          <w:highlight w:val="none"/>
        </w:rPr>
        <w:t>提交的下列全部单据并经</w:t>
      </w:r>
      <w:bookmarkEnd w:id="511"/>
      <w:r>
        <w:rPr>
          <w:rFonts w:hint="eastAsia" w:hAnsi="宋体" w:cs="宋体"/>
          <w:szCs w:val="24"/>
          <w:highlight w:val="none"/>
        </w:rPr>
        <w:t>审核无误后28日内，向卖方支付合同价格的60%：</w:t>
      </w:r>
    </w:p>
    <w:p>
      <w:pPr>
        <w:spacing w:line="360" w:lineRule="auto"/>
        <w:ind w:firstLine="480" w:firstLineChars="200"/>
        <w:rPr>
          <w:rFonts w:hAnsi="宋体" w:cs="宋体"/>
          <w:szCs w:val="24"/>
          <w:highlight w:val="none"/>
        </w:rPr>
      </w:pPr>
      <w:r>
        <w:rPr>
          <w:rFonts w:hint="eastAsia" w:hAnsi="宋体" w:cs="宋体"/>
          <w:szCs w:val="24"/>
          <w:highlight w:val="none"/>
        </w:rPr>
        <w:t>（1）卖方出具的交货清单正本一份；</w:t>
      </w:r>
    </w:p>
    <w:p>
      <w:pPr>
        <w:spacing w:line="360" w:lineRule="auto"/>
        <w:ind w:firstLine="480" w:firstLineChars="200"/>
        <w:rPr>
          <w:rFonts w:hAnsi="宋体" w:cs="宋体"/>
          <w:szCs w:val="24"/>
          <w:highlight w:val="none"/>
        </w:rPr>
      </w:pPr>
      <w:r>
        <w:rPr>
          <w:rFonts w:hint="eastAsia" w:hAnsi="宋体" w:cs="宋体"/>
          <w:szCs w:val="24"/>
          <w:highlight w:val="none"/>
        </w:rPr>
        <w:t>（2）买方签署的收货清单正本一份；</w:t>
      </w:r>
    </w:p>
    <w:p>
      <w:pPr>
        <w:spacing w:line="360" w:lineRule="auto"/>
        <w:ind w:firstLine="480" w:firstLineChars="200"/>
        <w:rPr>
          <w:rFonts w:hAnsi="宋体" w:cs="宋体"/>
          <w:szCs w:val="24"/>
          <w:highlight w:val="none"/>
        </w:rPr>
      </w:pPr>
      <w:r>
        <w:rPr>
          <w:rFonts w:hint="eastAsia" w:hAnsi="宋体" w:cs="宋体"/>
          <w:szCs w:val="24"/>
          <w:highlight w:val="none"/>
        </w:rPr>
        <w:t>（3）制造商出具的出厂质量合格证正本一份；</w:t>
      </w:r>
    </w:p>
    <w:p>
      <w:pPr>
        <w:tabs>
          <w:tab w:val="left" w:pos="0"/>
          <w:tab w:val="decimal" w:pos="6240"/>
          <w:tab w:val="right" w:leader="dot" w:pos="10800"/>
        </w:tabs>
        <w:autoSpaceDE w:val="0"/>
        <w:autoSpaceDN w:val="0"/>
        <w:adjustRightInd w:val="0"/>
        <w:spacing w:line="360" w:lineRule="auto"/>
        <w:ind w:firstLine="480" w:firstLineChars="200"/>
        <w:rPr>
          <w:rFonts w:hAnsi="宋体" w:cs="宋体"/>
          <w:szCs w:val="24"/>
          <w:highlight w:val="none"/>
        </w:rPr>
      </w:pPr>
      <w:r>
        <w:rPr>
          <w:rFonts w:hint="eastAsia" w:hAnsi="宋体" w:cs="宋体"/>
          <w:szCs w:val="24"/>
          <w:highlight w:val="none"/>
        </w:rPr>
        <w:t>（4）合同价格100%金额的增值税发票正本一份。</w:t>
      </w:r>
    </w:p>
    <w:p>
      <w:pPr>
        <w:spacing w:line="360" w:lineRule="auto"/>
        <w:ind w:firstLine="480" w:firstLineChars="200"/>
        <w:rPr>
          <w:rFonts w:hAnsi="宋体" w:cs="宋体"/>
          <w:szCs w:val="24"/>
          <w:highlight w:val="none"/>
        </w:rPr>
      </w:pPr>
      <w:r>
        <w:rPr>
          <w:rFonts w:hint="eastAsia" w:hAnsi="宋体" w:cs="宋体"/>
          <w:szCs w:val="24"/>
          <w:highlight w:val="none"/>
        </w:rPr>
        <w:t>3.2.3 验收款</w:t>
      </w:r>
    </w:p>
    <w:p>
      <w:pPr>
        <w:spacing w:line="360" w:lineRule="auto"/>
        <w:ind w:firstLine="480" w:firstLineChars="200"/>
        <w:rPr>
          <w:rFonts w:hAnsi="宋体" w:cs="宋体"/>
          <w:szCs w:val="24"/>
          <w:highlight w:val="none"/>
        </w:rPr>
      </w:pPr>
      <w:r>
        <w:rPr>
          <w:rFonts w:hint="eastAsia" w:hAnsi="宋体" w:cs="宋体"/>
          <w:szCs w:val="24"/>
          <w:highlight w:val="none"/>
        </w:rPr>
        <w:t>买方在收到卖方提交的买卖双方签署的合同货物验收证书</w:t>
      </w:r>
      <w:r>
        <w:rPr>
          <w:rStyle w:val="65"/>
          <w:rFonts w:hint="eastAsia" w:hAnsi="宋体" w:cs="宋体"/>
          <w:sz w:val="24"/>
          <w:szCs w:val="24"/>
          <w:highlight w:val="none"/>
        </w:rPr>
        <w:t>或已生效的验收款支付函</w:t>
      </w:r>
      <w:r>
        <w:rPr>
          <w:rFonts w:hint="eastAsia" w:hAnsi="宋体" w:cs="宋体"/>
          <w:szCs w:val="24"/>
          <w:highlight w:val="none"/>
        </w:rPr>
        <w:t>正本一份并经审核无误后28日内，向卖方支付合同价格的25%。</w:t>
      </w:r>
    </w:p>
    <w:p>
      <w:pPr>
        <w:spacing w:line="360" w:lineRule="auto"/>
        <w:ind w:firstLine="480" w:firstLineChars="200"/>
        <w:rPr>
          <w:rFonts w:hAnsi="宋体" w:cs="宋体"/>
          <w:szCs w:val="24"/>
          <w:highlight w:val="none"/>
        </w:rPr>
      </w:pPr>
      <w:r>
        <w:rPr>
          <w:rFonts w:hint="eastAsia" w:hAnsi="宋体" w:cs="宋体"/>
          <w:szCs w:val="24"/>
          <w:highlight w:val="none"/>
        </w:rPr>
        <w:t>3.2.4 结清款</w:t>
      </w:r>
    </w:p>
    <w:p>
      <w:pPr>
        <w:spacing w:line="360" w:lineRule="auto"/>
        <w:ind w:firstLine="480" w:firstLineChars="200"/>
        <w:rPr>
          <w:rFonts w:hAnsi="宋体" w:cs="宋体"/>
          <w:szCs w:val="24"/>
          <w:highlight w:val="none"/>
        </w:rPr>
      </w:pPr>
      <w:r>
        <w:rPr>
          <w:rFonts w:hint="eastAsia" w:hAnsi="宋体" w:cs="宋体"/>
          <w:szCs w:val="24"/>
          <w:highlight w:val="none"/>
        </w:rPr>
        <w:t>买方在收到卖方提交的买方签署的质量保证期届满证书或已生效的</w:t>
      </w:r>
      <w:r>
        <w:rPr>
          <w:rStyle w:val="65"/>
          <w:rFonts w:hint="eastAsia" w:hAnsi="宋体" w:cs="宋体"/>
          <w:sz w:val="24"/>
          <w:szCs w:val="24"/>
          <w:highlight w:val="none"/>
        </w:rPr>
        <w:t>结清款支付函</w:t>
      </w:r>
      <w:r>
        <w:rPr>
          <w:rFonts w:hint="eastAsia" w:hAnsi="宋体" w:cs="宋体"/>
          <w:szCs w:val="24"/>
          <w:highlight w:val="none"/>
        </w:rPr>
        <w:t>正本一份并经审核无误后28日内，向卖方支付合同价格的5%。</w:t>
      </w:r>
    </w:p>
    <w:p>
      <w:pPr>
        <w:spacing w:line="360" w:lineRule="auto"/>
        <w:ind w:firstLine="480" w:firstLineChars="200"/>
        <w:rPr>
          <w:rFonts w:hAnsi="宋体" w:cs="宋体"/>
          <w:szCs w:val="24"/>
          <w:highlight w:val="none"/>
        </w:rPr>
      </w:pPr>
      <w:r>
        <w:rPr>
          <w:rFonts w:hint="eastAsia" w:hAnsi="宋体" w:cs="宋体"/>
          <w:szCs w:val="24"/>
          <w:highlight w:val="none"/>
        </w:rPr>
        <w:t>如果依照合同第9.1项，卖方应向买方支付费用的，买方有权从结清款中直接扣除该笔费用。</w:t>
      </w:r>
      <w:bookmarkStart w:id="512" w:name="_Toc27927"/>
    </w:p>
    <w:bookmarkEnd w:id="512"/>
    <w:p>
      <w:pPr>
        <w:spacing w:line="360" w:lineRule="auto"/>
        <w:ind w:firstLine="480" w:firstLineChars="200"/>
        <w:rPr>
          <w:rFonts w:hAnsi="宋体" w:cs="宋体"/>
          <w:szCs w:val="24"/>
          <w:highlight w:val="none"/>
        </w:rPr>
      </w:pPr>
      <w:r>
        <w:rPr>
          <w:rFonts w:hint="eastAsia" w:hAnsi="宋体" w:cs="宋体"/>
          <w:szCs w:val="24"/>
          <w:highlight w:val="none"/>
        </w:rPr>
        <w:t>除专用合同条款另有约定外，在买方向卖方支付验收款的同时或其后的任何时间内，卖方可在向买方提交买方可接受的金额为合同价格5%的合同结清款保函的前提下，要求买方支付合同结清款，买方不得拒绝。</w:t>
      </w:r>
    </w:p>
    <w:p>
      <w:pPr>
        <w:spacing w:line="360" w:lineRule="auto"/>
        <w:ind w:firstLine="137"/>
        <w:outlineLvl w:val="3"/>
        <w:rPr>
          <w:rFonts w:ascii="黑体" w:hAnsi="黑体" w:eastAsia="黑体" w:cs="黑体"/>
          <w:highlight w:val="none"/>
        </w:rPr>
      </w:pPr>
      <w:r>
        <w:rPr>
          <w:rFonts w:hint="eastAsia" w:ascii="黑体" w:hAnsi="黑体" w:eastAsia="黑体" w:cs="黑体"/>
          <w:highlight w:val="none"/>
        </w:rPr>
        <w:t>3.3 买方扣款的权利</w:t>
      </w:r>
      <w:bookmarkEnd w:id="505"/>
      <w:bookmarkEnd w:id="506"/>
    </w:p>
    <w:p>
      <w:pPr>
        <w:spacing w:line="360" w:lineRule="auto"/>
        <w:ind w:firstLine="480" w:firstLineChars="200"/>
        <w:rPr>
          <w:rFonts w:hAnsi="宋体" w:cs="宋体"/>
          <w:highlight w:val="none"/>
        </w:rPr>
      </w:pPr>
      <w:r>
        <w:rPr>
          <w:rFonts w:hint="eastAsia" w:hAnsi="宋体" w:cs="宋体"/>
          <w:highlight w:val="none"/>
        </w:rPr>
        <w:t>当卖方应向买方支付合同项下的违约金或赔偿金时，买方有权从上述任何一笔应付款中予以直接扣除和（或）兑付履约保证金。</w:t>
      </w:r>
    </w:p>
    <w:p>
      <w:pPr>
        <w:spacing w:line="360" w:lineRule="auto"/>
        <w:ind w:firstLine="137"/>
        <w:outlineLvl w:val="2"/>
        <w:rPr>
          <w:rFonts w:ascii="黑体" w:hAnsi="黑体" w:eastAsia="黑体" w:cs="黑体"/>
          <w:sz w:val="28"/>
          <w:szCs w:val="28"/>
          <w:highlight w:val="none"/>
        </w:rPr>
      </w:pPr>
      <w:bookmarkStart w:id="513" w:name="_Toc26721539"/>
      <w:bookmarkStart w:id="514" w:name="_Toc15753906"/>
      <w:bookmarkStart w:id="515" w:name="_Toc24965150"/>
      <w:bookmarkStart w:id="516" w:name="_Toc17100670"/>
      <w:bookmarkStart w:id="517" w:name="_Toc501460748"/>
      <w:bookmarkStart w:id="518" w:name="_Toc26700480"/>
      <w:bookmarkStart w:id="519" w:name="_Toc26721384"/>
      <w:bookmarkStart w:id="520" w:name="_Toc26700650"/>
      <w:bookmarkStart w:id="521" w:name="_Toc482188739"/>
      <w:r>
        <w:rPr>
          <w:rFonts w:hint="eastAsia" w:ascii="黑体" w:hAnsi="黑体" w:eastAsia="黑体" w:cs="黑体"/>
          <w:sz w:val="28"/>
          <w:szCs w:val="28"/>
          <w:highlight w:val="none"/>
        </w:rPr>
        <w:t>4. 监造及交货前检验</w:t>
      </w:r>
      <w:bookmarkEnd w:id="513"/>
      <w:bookmarkEnd w:id="514"/>
      <w:bookmarkEnd w:id="515"/>
      <w:bookmarkEnd w:id="516"/>
      <w:bookmarkEnd w:id="517"/>
      <w:bookmarkEnd w:id="518"/>
      <w:bookmarkEnd w:id="519"/>
      <w:bookmarkEnd w:id="520"/>
      <w:bookmarkEnd w:id="521"/>
    </w:p>
    <w:p>
      <w:pPr>
        <w:spacing w:line="360" w:lineRule="auto"/>
        <w:ind w:firstLine="137"/>
        <w:outlineLvl w:val="3"/>
        <w:rPr>
          <w:rFonts w:ascii="黑体" w:hAnsi="黑体" w:eastAsia="黑体" w:cs="黑体"/>
          <w:highlight w:val="none"/>
        </w:rPr>
      </w:pPr>
      <w:bookmarkStart w:id="522" w:name="_Toc501460749"/>
      <w:bookmarkStart w:id="523" w:name="_Toc482188740"/>
      <w:r>
        <w:rPr>
          <w:rFonts w:hint="eastAsia" w:ascii="黑体" w:hAnsi="黑体" w:eastAsia="黑体" w:cs="黑体"/>
          <w:highlight w:val="none"/>
        </w:rPr>
        <w:t>4.1 监造</w:t>
      </w:r>
      <w:bookmarkEnd w:id="522"/>
      <w:bookmarkEnd w:id="523"/>
    </w:p>
    <w:p>
      <w:pPr>
        <w:spacing w:line="360" w:lineRule="auto"/>
        <w:ind w:firstLine="480" w:firstLineChars="200"/>
        <w:rPr>
          <w:rFonts w:hAnsi="宋体" w:cs="宋体"/>
          <w:highlight w:val="none"/>
        </w:rPr>
      </w:pPr>
      <w:r>
        <w:rPr>
          <w:rFonts w:hint="eastAsia" w:hAnsi="宋体" w:cs="宋体"/>
          <w:highlight w:val="none"/>
        </w:rPr>
        <w:t>专用合同条款约定买方对合同货物进行监造的，双方应按本款及专用合同条款约定履行。</w:t>
      </w:r>
    </w:p>
    <w:p>
      <w:pPr>
        <w:spacing w:line="360" w:lineRule="auto"/>
        <w:ind w:firstLine="480" w:firstLineChars="200"/>
        <w:rPr>
          <w:rFonts w:hAnsi="宋体" w:cs="宋体"/>
          <w:highlight w:val="none"/>
        </w:rPr>
      </w:pPr>
      <w:r>
        <w:rPr>
          <w:rFonts w:hint="eastAsia" w:hAnsi="宋体" w:cs="宋体"/>
          <w:highlight w:val="none"/>
        </w:rPr>
        <w:t>4.1.1 在合同货物的制造过程中，买方可派出监造人员，对合同货物的生产制造进行监造，监督合同货物制造、检验等情况。监造的范围、方式等应符合专用合同条款和（或）供货要求等合同文件的约定。</w:t>
      </w:r>
    </w:p>
    <w:p>
      <w:pPr>
        <w:spacing w:line="360" w:lineRule="auto"/>
        <w:ind w:firstLine="480" w:firstLineChars="200"/>
        <w:rPr>
          <w:rFonts w:hAnsi="宋体" w:cs="宋体"/>
          <w:highlight w:val="none"/>
        </w:rPr>
      </w:pPr>
      <w:r>
        <w:rPr>
          <w:rFonts w:hint="eastAsia" w:hAnsi="宋体" w:cs="宋体"/>
          <w:highlight w:val="none"/>
        </w:rPr>
        <w:t>4.1</w:t>
      </w:r>
      <w:bookmarkStart w:id="524" w:name="_Toc14217"/>
      <w:r>
        <w:rPr>
          <w:rFonts w:hint="eastAsia" w:hAnsi="宋体" w:cs="宋体"/>
          <w:highlight w:val="none"/>
        </w:rPr>
        <w:t>.2 除</w:t>
      </w:r>
      <w:bookmarkEnd w:id="524"/>
      <w:r>
        <w:rPr>
          <w:rFonts w:hint="eastAsia" w:hAnsi="宋体" w:cs="宋体"/>
          <w:highlight w:val="none"/>
        </w:rPr>
        <w:t>专用合同条款和（或）供货要求等合同文件另有约定外，买方监造人员可到合同货物及其关键部件的</w:t>
      </w:r>
      <w:bookmarkStart w:id="525" w:name="_Toc15205"/>
      <w:r>
        <w:rPr>
          <w:rFonts w:hint="eastAsia" w:hAnsi="宋体" w:cs="宋体"/>
          <w:highlight w:val="none"/>
        </w:rPr>
        <w:t>生产制造现</w:t>
      </w:r>
      <w:bookmarkEnd w:id="525"/>
      <w:r>
        <w:rPr>
          <w:rFonts w:hint="eastAsia" w:hAnsi="宋体" w:cs="宋体"/>
          <w:highlight w:val="none"/>
        </w:rPr>
        <w:t>场进行监造，卖方应予配合。卖方应免费为买方监造人员提供工作条件及便利，包括但不限于必要的办</w:t>
      </w:r>
      <w:bookmarkStart w:id="526" w:name="_Toc29415"/>
      <w:r>
        <w:rPr>
          <w:rFonts w:hint="eastAsia" w:hAnsi="宋体" w:cs="宋体"/>
          <w:highlight w:val="none"/>
        </w:rPr>
        <w:t>公场所、技术资料、检</w:t>
      </w:r>
      <w:bookmarkEnd w:id="526"/>
      <w:r>
        <w:rPr>
          <w:rFonts w:hint="eastAsia" w:hAnsi="宋体" w:cs="宋体"/>
          <w:highlight w:val="none"/>
        </w:rPr>
        <w:t>测</w:t>
      </w:r>
      <w:bookmarkStart w:id="527" w:name="_Toc32016"/>
      <w:r>
        <w:rPr>
          <w:rFonts w:hint="eastAsia" w:hAnsi="宋体" w:cs="宋体"/>
          <w:highlight w:val="none"/>
        </w:rPr>
        <w:t>工具及出入许可等</w:t>
      </w:r>
      <w:bookmarkEnd w:id="527"/>
      <w:r>
        <w:rPr>
          <w:rFonts w:hint="eastAsia" w:hAnsi="宋体" w:cs="宋体"/>
          <w:highlight w:val="none"/>
        </w:rPr>
        <w:t>。除专用合同条款另有约定外，买方监造人员的交通、食宿费用由买方承担。</w:t>
      </w:r>
    </w:p>
    <w:p>
      <w:pPr>
        <w:spacing w:line="360" w:lineRule="auto"/>
        <w:ind w:firstLine="480" w:firstLineChars="200"/>
        <w:rPr>
          <w:rFonts w:hAnsi="宋体" w:cs="宋体"/>
          <w:highlight w:val="none"/>
        </w:rPr>
      </w:pPr>
      <w:r>
        <w:rPr>
          <w:rFonts w:hint="eastAsia" w:hAnsi="宋体" w:cs="宋体"/>
          <w:highlight w:val="none"/>
        </w:rPr>
        <w:t>4.1.3 卖方制订生产制造合同货物的进度计划时，应将买方监造纳入计划安排，并提前通知买方；买方进行监造不应影响合同货物的正常生产。除专用合同条款和（或）供货要求等合同文件另有约定外，卖方应提前7日将需要买方监造人员现场监造事项通知买方；如买方监造人员未按通知出席</w:t>
      </w:r>
      <w:bookmarkStart w:id="528" w:name="_Toc7864"/>
      <w:bookmarkStart w:id="529" w:name="_Toc369531649"/>
      <w:r>
        <w:rPr>
          <w:rFonts w:hint="eastAsia" w:hAnsi="宋体" w:cs="宋体"/>
          <w:highlight w:val="none"/>
        </w:rPr>
        <w:t>，不影响合</w:t>
      </w:r>
      <w:bookmarkEnd w:id="528"/>
      <w:bookmarkEnd w:id="529"/>
      <w:r>
        <w:rPr>
          <w:rFonts w:hint="eastAsia" w:hAnsi="宋体" w:cs="宋体"/>
          <w:highlight w:val="none"/>
        </w:rPr>
        <w:t>同货物及其关键部件的制造或检验，但买方监造人员有权事后了解、查阅、复制相关制造或检验记录。</w:t>
      </w:r>
    </w:p>
    <w:p>
      <w:pPr>
        <w:spacing w:line="360" w:lineRule="auto"/>
        <w:ind w:firstLine="480" w:firstLineChars="200"/>
        <w:rPr>
          <w:rFonts w:hAnsi="宋体" w:cs="宋体"/>
          <w:highlight w:val="none"/>
        </w:rPr>
      </w:pPr>
      <w:r>
        <w:rPr>
          <w:rFonts w:hint="eastAsia" w:hAnsi="宋体" w:cs="宋体"/>
          <w:highlight w:val="none"/>
        </w:rPr>
        <w:t>4.1.4 买方监造人员在监造中如发现合同货物及其关键部件不符合合同约定的标准，则有权提出意见和建议。卖方应采取必要措施消除合同货物的不符，由此增加的费用和（或）造成的延误由卖方负责。</w:t>
      </w:r>
    </w:p>
    <w:p>
      <w:pPr>
        <w:spacing w:line="360" w:lineRule="auto"/>
        <w:ind w:firstLine="480" w:firstLineChars="200"/>
        <w:rPr>
          <w:rFonts w:hAnsi="宋体" w:cs="宋体"/>
          <w:highlight w:val="none"/>
        </w:rPr>
      </w:pPr>
      <w:r>
        <w:rPr>
          <w:rFonts w:hint="eastAsia" w:hAnsi="宋体" w:cs="宋体"/>
          <w:highlight w:val="none"/>
        </w:rPr>
        <w:t>4.1.5 买方监造人员对合同货物的监造，不视为对合同货物质量的确认，不影响卖方交货后买方依照合同约定对合同货物提出质量异议和（或）退货的权利，也不免除卖方依照合同约定对合同货物所应承担的任何义务或责任。</w:t>
      </w:r>
    </w:p>
    <w:p>
      <w:pPr>
        <w:spacing w:line="360" w:lineRule="auto"/>
        <w:ind w:firstLine="137"/>
        <w:outlineLvl w:val="3"/>
        <w:rPr>
          <w:rFonts w:ascii="黑体" w:hAnsi="黑体" w:eastAsia="黑体" w:cs="黑体"/>
          <w:highlight w:val="none"/>
        </w:rPr>
      </w:pPr>
      <w:bookmarkStart w:id="530" w:name="_Toc482188741"/>
      <w:bookmarkStart w:id="531" w:name="_Toc501460750"/>
      <w:r>
        <w:rPr>
          <w:rFonts w:hint="eastAsia" w:ascii="黑体" w:hAnsi="黑体" w:eastAsia="黑体" w:cs="黑体"/>
          <w:highlight w:val="none"/>
        </w:rPr>
        <w:t>4.2 交货前检验</w:t>
      </w:r>
      <w:bookmarkEnd w:id="530"/>
      <w:bookmarkEnd w:id="531"/>
    </w:p>
    <w:p>
      <w:pPr>
        <w:spacing w:line="360" w:lineRule="auto"/>
        <w:ind w:firstLine="480" w:firstLineChars="200"/>
        <w:rPr>
          <w:rFonts w:hAnsi="宋体" w:cs="宋体"/>
          <w:highlight w:val="none"/>
        </w:rPr>
      </w:pPr>
      <w:r>
        <w:rPr>
          <w:rFonts w:hint="eastAsia" w:hAnsi="宋体" w:cs="宋体"/>
          <w:highlight w:val="none"/>
        </w:rPr>
        <w:t>专用合同条款约定买方参与交货前检验的，双方应按本款及专用合同条款约定履行。</w:t>
      </w:r>
    </w:p>
    <w:p>
      <w:pPr>
        <w:spacing w:line="360" w:lineRule="auto"/>
        <w:ind w:firstLine="480" w:firstLineChars="200"/>
        <w:rPr>
          <w:rFonts w:hAnsi="宋体" w:cs="宋体"/>
          <w:highlight w:val="none"/>
        </w:rPr>
      </w:pPr>
      <w:r>
        <w:rPr>
          <w:rFonts w:hint="eastAsia" w:hAnsi="宋体" w:cs="宋体"/>
          <w:highlight w:val="none"/>
        </w:rPr>
        <w:t>4.2.1 合同货物交货前，卖方应会同买方代表根据合同约定对合同货物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pPr>
        <w:spacing w:line="360" w:lineRule="auto"/>
        <w:ind w:firstLine="420"/>
        <w:rPr>
          <w:rFonts w:hAnsi="宋体" w:cs="宋体"/>
          <w:highlight w:val="none"/>
        </w:rPr>
      </w:pPr>
      <w:r>
        <w:rPr>
          <w:rFonts w:hint="eastAsia" w:hAnsi="宋体" w:cs="宋体"/>
          <w:highlight w:val="none"/>
        </w:rPr>
        <w:t>4.2.2 除</w:t>
      </w:r>
      <w:bookmarkStart w:id="532" w:name="_Toc17093"/>
      <w:r>
        <w:rPr>
          <w:rFonts w:hint="eastAsia" w:hAnsi="宋体" w:cs="宋体"/>
          <w:highlight w:val="none"/>
        </w:rPr>
        <w:t>专用合同条款和（或）供</w:t>
      </w:r>
      <w:bookmarkEnd w:id="532"/>
      <w:r>
        <w:rPr>
          <w:rFonts w:hint="eastAsia" w:hAnsi="宋体" w:cs="宋体"/>
          <w:highlight w:val="none"/>
        </w:rPr>
        <w:t>货要求等合同文件另有约定外，卖方应提前7日将需要买方代表检验事项通知买方；如买方代表未按通知出席</w:t>
      </w:r>
      <w:bookmarkStart w:id="533" w:name="_Toc369531653"/>
      <w:bookmarkStart w:id="534" w:name="_Toc8000"/>
      <w:r>
        <w:rPr>
          <w:rFonts w:hint="eastAsia" w:hAnsi="宋体" w:cs="宋体"/>
          <w:highlight w:val="none"/>
        </w:rPr>
        <w:t>，不影响合同货物的</w:t>
      </w:r>
      <w:bookmarkEnd w:id="533"/>
      <w:bookmarkEnd w:id="534"/>
      <w:r>
        <w:rPr>
          <w:rFonts w:hint="eastAsia" w:hAnsi="宋体" w:cs="宋体"/>
          <w:highlight w:val="none"/>
        </w:rPr>
        <w:t>检验。若卖方未依照合同约定提前通知买方而自行检验，则买</w:t>
      </w:r>
      <w:bookmarkStart w:id="535" w:name="_Toc17628"/>
      <w:r>
        <w:rPr>
          <w:rFonts w:hint="eastAsia" w:hAnsi="宋体" w:cs="宋体"/>
          <w:highlight w:val="none"/>
        </w:rPr>
        <w:t>方有权要求卖方暂停发货</w:t>
      </w:r>
      <w:bookmarkEnd w:id="535"/>
      <w:r>
        <w:rPr>
          <w:rFonts w:hint="eastAsia" w:hAnsi="宋体" w:cs="宋体"/>
          <w:highlight w:val="none"/>
        </w:rPr>
        <w:t>并</w:t>
      </w:r>
      <w:bookmarkStart w:id="536" w:name="_Toc9228"/>
      <w:r>
        <w:rPr>
          <w:rFonts w:hint="eastAsia" w:hAnsi="宋体" w:cs="宋体"/>
          <w:highlight w:val="none"/>
        </w:rPr>
        <w:t>重新进行检验</w:t>
      </w:r>
      <w:bookmarkEnd w:id="536"/>
      <w:r>
        <w:rPr>
          <w:rFonts w:hint="eastAsia" w:hAnsi="宋体" w:cs="宋体"/>
          <w:highlight w:val="none"/>
        </w:rPr>
        <w:t>，由此增加的费用和（或）造成的延误由卖方负责。</w:t>
      </w:r>
    </w:p>
    <w:p>
      <w:pPr>
        <w:spacing w:line="360" w:lineRule="auto"/>
        <w:ind w:firstLine="480" w:firstLineChars="200"/>
        <w:rPr>
          <w:rFonts w:hAnsi="宋体" w:cs="宋体"/>
          <w:highlight w:val="none"/>
        </w:rPr>
      </w:pPr>
      <w:r>
        <w:rPr>
          <w:rFonts w:hint="eastAsia" w:hAnsi="宋体" w:cs="宋体"/>
          <w:highlight w:val="none"/>
        </w:rPr>
        <w:t>4.2.3 买方代表在检验中如发现合同货物不符合合同约定的标准，则有权提出异议。卖方应采取必要措施消除合同货物的不符，由此增加的费用和（或）造成的延误由卖方负责。</w:t>
      </w:r>
    </w:p>
    <w:p>
      <w:pPr>
        <w:spacing w:line="360" w:lineRule="auto"/>
        <w:ind w:firstLine="480" w:firstLineChars="200"/>
        <w:rPr>
          <w:rFonts w:hAnsi="宋体" w:cs="宋体"/>
          <w:highlight w:val="none"/>
        </w:rPr>
      </w:pPr>
      <w:r>
        <w:rPr>
          <w:rFonts w:hint="eastAsia" w:hAnsi="宋体" w:cs="宋体"/>
          <w:highlight w:val="none"/>
        </w:rPr>
        <w:t>4.2.4 买方代表参与交货前检验及签署交货前检验记录的行为，不视为对合同货物质量的确认，不影响卖方交货后买方依照合同约定对合同货物提出质量异议和（或）退货的权利，也不免除卖方依照合同约定对合同货物所应承担的任何义务或责任。</w:t>
      </w:r>
    </w:p>
    <w:p>
      <w:pPr>
        <w:spacing w:line="360" w:lineRule="auto"/>
        <w:ind w:firstLine="137"/>
        <w:outlineLvl w:val="2"/>
        <w:rPr>
          <w:rFonts w:ascii="黑体" w:hAnsi="黑体" w:eastAsia="黑体" w:cs="黑体"/>
          <w:sz w:val="28"/>
          <w:szCs w:val="28"/>
          <w:highlight w:val="none"/>
        </w:rPr>
      </w:pPr>
      <w:bookmarkStart w:id="537" w:name="_Toc26700651"/>
      <w:bookmarkStart w:id="538" w:name="_Toc482188742"/>
      <w:bookmarkStart w:id="539" w:name="_Toc26700481"/>
      <w:bookmarkStart w:id="540" w:name="_Toc17100671"/>
      <w:bookmarkStart w:id="541" w:name="_Toc26721540"/>
      <w:bookmarkStart w:id="542" w:name="_Toc26721385"/>
      <w:bookmarkStart w:id="543" w:name="_Toc24965151"/>
      <w:bookmarkStart w:id="544" w:name="_Toc501460751"/>
      <w:bookmarkStart w:id="545" w:name="_Toc15753907"/>
      <w:r>
        <w:rPr>
          <w:rFonts w:hint="eastAsia" w:ascii="黑体" w:hAnsi="黑体" w:eastAsia="黑体" w:cs="黑体"/>
          <w:sz w:val="28"/>
          <w:szCs w:val="28"/>
          <w:highlight w:val="none"/>
        </w:rPr>
        <w:t>5. 包装、标记、运输和交付</w:t>
      </w:r>
      <w:bookmarkEnd w:id="537"/>
      <w:bookmarkEnd w:id="538"/>
      <w:bookmarkEnd w:id="539"/>
      <w:bookmarkEnd w:id="540"/>
      <w:bookmarkEnd w:id="541"/>
      <w:bookmarkEnd w:id="542"/>
      <w:bookmarkEnd w:id="543"/>
      <w:bookmarkEnd w:id="544"/>
      <w:bookmarkEnd w:id="545"/>
    </w:p>
    <w:p>
      <w:pPr>
        <w:spacing w:line="360" w:lineRule="auto"/>
        <w:ind w:firstLine="137"/>
        <w:outlineLvl w:val="3"/>
        <w:rPr>
          <w:rFonts w:ascii="黑体" w:hAnsi="黑体" w:eastAsia="黑体" w:cs="黑体"/>
          <w:highlight w:val="none"/>
        </w:rPr>
      </w:pPr>
      <w:bookmarkStart w:id="546" w:name="_Toc501460752"/>
      <w:bookmarkStart w:id="547" w:name="_Toc482188743"/>
      <w:r>
        <w:rPr>
          <w:rFonts w:hint="eastAsia" w:ascii="黑体" w:hAnsi="黑体" w:eastAsia="黑体" w:cs="黑体"/>
          <w:highlight w:val="none"/>
        </w:rPr>
        <w:t>5.1 包装</w:t>
      </w:r>
      <w:bookmarkEnd w:id="546"/>
      <w:bookmarkEnd w:id="547"/>
    </w:p>
    <w:p>
      <w:pPr>
        <w:spacing w:line="360" w:lineRule="auto"/>
        <w:ind w:firstLine="480" w:firstLineChars="200"/>
        <w:rPr>
          <w:rFonts w:hAnsi="宋体" w:cs="宋体"/>
          <w:highlight w:val="none"/>
        </w:rPr>
      </w:pPr>
      <w:r>
        <w:rPr>
          <w:rFonts w:hint="eastAsia" w:hAnsi="宋体" w:cs="宋体"/>
          <w:highlight w:val="none"/>
        </w:rPr>
        <w:t>5.1.1 卖方应对合同货物进行妥善包装，以满足合同货物运至施工场地及在施工场地保管的需要。包装应采取防潮、防晒、防锈、防腐蚀、防震动及防止其他损坏的必要保护措施，从而保护合同货物能够经受多次搬运、装卸、长途运输并适宜保管。</w:t>
      </w:r>
    </w:p>
    <w:p>
      <w:pPr>
        <w:spacing w:line="360" w:lineRule="auto"/>
        <w:ind w:firstLine="480" w:firstLineChars="200"/>
        <w:rPr>
          <w:rFonts w:hAnsi="宋体" w:cs="宋体"/>
          <w:highlight w:val="none"/>
        </w:rPr>
      </w:pPr>
      <w:r>
        <w:rPr>
          <w:rFonts w:hint="eastAsia" w:hAnsi="宋体" w:cs="宋体"/>
          <w:highlight w:val="none"/>
        </w:rPr>
        <w:t>5.1.2 每个独立包装箱内应附装箱清单、质量合格证、装配图、说明书、操作指南等资料。</w:t>
      </w:r>
    </w:p>
    <w:p>
      <w:pPr>
        <w:spacing w:line="360" w:lineRule="auto"/>
        <w:ind w:firstLine="480" w:firstLineChars="200"/>
        <w:rPr>
          <w:rFonts w:hAnsi="宋体" w:cs="宋体"/>
          <w:highlight w:val="none"/>
        </w:rPr>
      </w:pPr>
      <w:r>
        <w:rPr>
          <w:rFonts w:hint="eastAsia" w:hAnsi="宋体" w:cs="宋体"/>
          <w:highlight w:val="none"/>
        </w:rPr>
        <w:t>5.1.3 除专用合同条款另有约定外，买方无需将包装物退还给卖方。</w:t>
      </w:r>
    </w:p>
    <w:p>
      <w:pPr>
        <w:spacing w:line="360" w:lineRule="auto"/>
        <w:ind w:firstLine="137"/>
        <w:outlineLvl w:val="3"/>
        <w:rPr>
          <w:rFonts w:ascii="黑体" w:hAnsi="黑体" w:eastAsia="黑体" w:cs="黑体"/>
          <w:highlight w:val="none"/>
        </w:rPr>
      </w:pPr>
      <w:bookmarkStart w:id="548" w:name="_Toc482188744"/>
      <w:bookmarkStart w:id="549" w:name="_Toc501460753"/>
      <w:r>
        <w:rPr>
          <w:rFonts w:hint="eastAsia" w:ascii="黑体" w:hAnsi="黑体" w:eastAsia="黑体" w:cs="黑体"/>
          <w:highlight w:val="none"/>
        </w:rPr>
        <w:t>5.2 标记</w:t>
      </w:r>
      <w:bookmarkEnd w:id="548"/>
      <w:bookmarkEnd w:id="549"/>
    </w:p>
    <w:p>
      <w:pPr>
        <w:spacing w:line="360" w:lineRule="auto"/>
        <w:ind w:firstLine="480" w:firstLineChars="200"/>
        <w:rPr>
          <w:rFonts w:hAnsi="宋体" w:cs="宋体"/>
          <w:highlight w:val="none"/>
        </w:rPr>
      </w:pPr>
      <w:r>
        <w:rPr>
          <w:rFonts w:hint="eastAsia" w:hAnsi="宋体" w:cs="宋体"/>
          <w:highlight w:val="none"/>
        </w:rPr>
        <w:t>5.2.1 除专用合同条款另有约定外，卖方应在每一包装箱相邻的四个侧面以不可擦除的、明显的方式标记必要的装运信息和标记，以满足合同货物运输和保管的需要。</w:t>
      </w:r>
    </w:p>
    <w:p>
      <w:pPr>
        <w:spacing w:line="360" w:lineRule="auto"/>
        <w:ind w:firstLine="480" w:firstLineChars="200"/>
        <w:rPr>
          <w:rFonts w:hAnsi="宋体" w:cs="宋体"/>
          <w:highlight w:val="none"/>
        </w:rPr>
      </w:pPr>
      <w:r>
        <w:rPr>
          <w:rFonts w:hint="eastAsia" w:hAnsi="宋体" w:cs="宋体"/>
          <w:highlight w:val="none"/>
        </w:rPr>
        <w:t>5.2.2 根据合同货物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货物中含有易燃易爆物品、腐蚀物品、放射性物质等危险品，则应在包装箱上标明危险品标志。</w:t>
      </w:r>
    </w:p>
    <w:p>
      <w:pPr>
        <w:spacing w:line="360" w:lineRule="auto"/>
        <w:ind w:firstLine="137"/>
        <w:outlineLvl w:val="3"/>
        <w:rPr>
          <w:rFonts w:ascii="黑体" w:hAnsi="黑体" w:eastAsia="黑体" w:cs="黑体"/>
          <w:highlight w:val="none"/>
        </w:rPr>
      </w:pPr>
      <w:bookmarkStart w:id="550" w:name="_Toc482188745"/>
      <w:bookmarkStart w:id="551" w:name="_Toc501460754"/>
      <w:r>
        <w:rPr>
          <w:rFonts w:hint="eastAsia" w:ascii="黑体" w:hAnsi="黑体" w:eastAsia="黑体" w:cs="黑体"/>
          <w:highlight w:val="none"/>
        </w:rPr>
        <w:t>5.3运输</w:t>
      </w:r>
      <w:bookmarkEnd w:id="550"/>
      <w:bookmarkEnd w:id="551"/>
    </w:p>
    <w:p>
      <w:pPr>
        <w:spacing w:line="360" w:lineRule="auto"/>
        <w:ind w:firstLine="480" w:firstLineChars="200"/>
        <w:rPr>
          <w:rFonts w:hAnsi="宋体" w:cs="宋体"/>
          <w:highlight w:val="none"/>
        </w:rPr>
      </w:pPr>
      <w:r>
        <w:rPr>
          <w:rFonts w:hint="eastAsia" w:hAnsi="宋体" w:cs="宋体"/>
          <w:highlight w:val="none"/>
        </w:rPr>
        <w:t>5.3.1 卖方应自行选择适宜的运输工具及线路安排合同货物运输。</w:t>
      </w:r>
    </w:p>
    <w:p>
      <w:pPr>
        <w:spacing w:line="360" w:lineRule="auto"/>
        <w:ind w:firstLine="480" w:firstLineChars="200"/>
        <w:rPr>
          <w:rFonts w:hAnsi="宋体" w:cs="宋体"/>
          <w:highlight w:val="none"/>
        </w:rPr>
      </w:pPr>
      <w:r>
        <w:rPr>
          <w:rFonts w:hint="eastAsia" w:hAnsi="宋体" w:cs="宋体"/>
          <w:highlight w:val="none"/>
        </w:rPr>
        <w:t>5.3.2 除专用合同条款另有约定外，每件能够独立运行的货物应整套装运。该货物安装、调试、考核和运行所使用的备品、备件、易损易耗件等应随相关的主机一起装运。</w:t>
      </w:r>
    </w:p>
    <w:p>
      <w:pPr>
        <w:spacing w:line="360" w:lineRule="auto"/>
        <w:ind w:firstLine="480" w:firstLineChars="200"/>
        <w:rPr>
          <w:rFonts w:hAnsi="宋体" w:cs="宋体"/>
          <w:highlight w:val="none"/>
        </w:rPr>
      </w:pPr>
      <w:r>
        <w:rPr>
          <w:rFonts w:hint="eastAsia" w:hAnsi="宋体" w:cs="宋体"/>
          <w:highlight w:val="none"/>
        </w:rPr>
        <w:t>5</w:t>
      </w:r>
      <w:bookmarkStart w:id="552" w:name="_Toc21215"/>
      <w:r>
        <w:rPr>
          <w:rFonts w:hint="eastAsia" w:hAnsi="宋体" w:cs="宋体"/>
          <w:highlight w:val="none"/>
        </w:rPr>
        <w:t>.3.3 除</w:t>
      </w:r>
      <w:bookmarkEnd w:id="552"/>
      <w:r>
        <w:rPr>
          <w:rFonts w:hint="eastAsia" w:hAnsi="宋体" w:cs="宋体"/>
          <w:highlight w:val="none"/>
        </w:rPr>
        <w:t>专用合同条款另有约定外，卖方应在合同货物预计启运7日前，将合同货物名称、数量、箱数、总毛重、总体积（用m</w:t>
      </w:r>
      <w:r>
        <w:rPr>
          <w:rFonts w:hint="eastAsia" w:hAnsi="宋体" w:cs="宋体"/>
          <w:position w:val="6"/>
          <w:highlight w:val="none"/>
        </w:rPr>
        <w:t>3</w:t>
      </w:r>
      <w:r>
        <w:rPr>
          <w:rFonts w:hint="eastAsia" w:hAnsi="宋体" w:cs="宋体"/>
          <w:highlight w:val="none"/>
        </w:rPr>
        <w:t>表示）、每箱尺寸（长×宽×高）、装运合同货物总金额、运输方式、预计交付日期和合同货物在运输、装卸、保管中的注意事项等预通知买方，并在合同货物启运后24小时之内正式通知买方。</w:t>
      </w:r>
    </w:p>
    <w:p>
      <w:pPr>
        <w:spacing w:line="360" w:lineRule="auto"/>
        <w:ind w:firstLine="480" w:firstLineChars="200"/>
        <w:rPr>
          <w:rFonts w:hAnsi="宋体" w:cs="宋体"/>
          <w:highlight w:val="none"/>
        </w:rPr>
      </w:pPr>
      <w:r>
        <w:rPr>
          <w:rFonts w:hint="eastAsia" w:hAnsi="宋体" w:cs="宋体"/>
          <w:highlight w:val="none"/>
        </w:rPr>
        <w:t>5.3.4 卖方在根据第5.3.3项进行通知时，如果发运合同货物中包括专用合同条款约定的超大超重包装，则卖方应将超大和（或）超重的每个包装箱的重量和尺寸通知买方；如果发运合同货物中包括易燃易爆物品、腐蚀物品、放射性物质等危险品，则危险品的品名、性质、在运输、装卸、保管方面的特殊要求、注意事项和处理意外情况的方法等，也应一并通知买方。</w:t>
      </w:r>
    </w:p>
    <w:p>
      <w:pPr>
        <w:spacing w:line="360" w:lineRule="auto"/>
        <w:ind w:firstLine="137"/>
        <w:outlineLvl w:val="3"/>
        <w:rPr>
          <w:rFonts w:ascii="黑体" w:hAnsi="黑体" w:eastAsia="黑体" w:cs="黑体"/>
          <w:highlight w:val="none"/>
        </w:rPr>
      </w:pPr>
      <w:bookmarkStart w:id="553" w:name="_Toc501460755"/>
      <w:bookmarkStart w:id="554" w:name="_Toc482188746"/>
      <w:r>
        <w:rPr>
          <w:rFonts w:hint="eastAsia" w:ascii="黑体" w:hAnsi="黑体" w:eastAsia="黑体" w:cs="黑体"/>
          <w:highlight w:val="none"/>
        </w:rPr>
        <w:t>5.4 交付</w:t>
      </w:r>
      <w:bookmarkEnd w:id="553"/>
      <w:bookmarkEnd w:id="554"/>
    </w:p>
    <w:p>
      <w:pPr>
        <w:spacing w:line="360" w:lineRule="auto"/>
        <w:ind w:firstLine="480" w:firstLineChars="200"/>
        <w:rPr>
          <w:rFonts w:hAnsi="宋体" w:cs="宋体"/>
          <w:highlight w:val="none"/>
        </w:rPr>
      </w:pPr>
      <w:r>
        <w:rPr>
          <w:rFonts w:hint="eastAsia" w:hAnsi="宋体" w:cs="宋体"/>
          <w:highlight w:val="none"/>
        </w:rPr>
        <w:t>5.4.1 除专用合同条款另有约定外，卖方应根据合同约定的交付时间和批次在施工场地车面上将合同货物交付给买方。买方对卖方交付的包装的合同货物的外观及件数进行清点核验后应签发收货清单，并自负风险和费用进行卸货。买方签发收货清单不代表对合同货物的接受，双方还应按合同约定进行后续的检验和验收。</w:t>
      </w:r>
    </w:p>
    <w:p>
      <w:pPr>
        <w:spacing w:line="360" w:lineRule="auto"/>
        <w:ind w:firstLine="480" w:firstLineChars="200"/>
        <w:rPr>
          <w:rFonts w:hAnsi="宋体" w:cs="宋体"/>
          <w:highlight w:val="none"/>
        </w:rPr>
      </w:pPr>
      <w:r>
        <w:rPr>
          <w:rFonts w:hint="eastAsia" w:hAnsi="宋体" w:cs="宋体"/>
          <w:highlight w:val="none"/>
        </w:rPr>
        <w:t>5.4.2 合同货物的所有权和风险自交付时起由卖方转移至买方，合同货物交付给买方之前包括运输在内的所有风险均由卖方承担。</w:t>
      </w:r>
    </w:p>
    <w:p>
      <w:pPr>
        <w:spacing w:line="360" w:lineRule="auto"/>
        <w:ind w:firstLine="480" w:firstLineChars="200"/>
        <w:rPr>
          <w:rFonts w:hAnsi="宋体" w:cs="宋体"/>
          <w:szCs w:val="24"/>
          <w:highlight w:val="none"/>
        </w:rPr>
      </w:pPr>
      <w:r>
        <w:rPr>
          <w:rFonts w:hint="eastAsia" w:hAnsi="宋体" w:cs="宋体"/>
          <w:szCs w:val="24"/>
          <w:highlight w:val="none"/>
        </w:rPr>
        <w:t>5.4.3 除专用合同条款另有约定外，买方如果发现技术资料存在短缺和（或）损坏，卖方应在收到买方的通知后7日内免费补齐短缺和（或）损坏的部分</w:t>
      </w:r>
      <w:bookmarkStart w:id="555" w:name="_Toc296602528"/>
      <w:bookmarkStart w:id="556" w:name="_Toc152045668"/>
      <w:bookmarkStart w:id="557" w:name="_Toc152042446"/>
      <w:bookmarkStart w:id="558" w:name="_Toc179632686"/>
      <w:bookmarkStart w:id="559" w:name="_Toc144974636"/>
      <w:bookmarkStart w:id="560" w:name="_Toc369531621"/>
      <w:bookmarkStart w:id="561" w:name="_Toc27630"/>
      <w:r>
        <w:rPr>
          <w:rFonts w:hint="eastAsia" w:hAnsi="宋体" w:cs="宋体"/>
          <w:szCs w:val="24"/>
          <w:highlight w:val="none"/>
        </w:rPr>
        <w:t>。如果买方发现卖方提供的</w:t>
      </w:r>
      <w:bookmarkEnd w:id="555"/>
      <w:bookmarkEnd w:id="556"/>
      <w:bookmarkEnd w:id="557"/>
      <w:bookmarkEnd w:id="558"/>
      <w:bookmarkEnd w:id="559"/>
      <w:r>
        <w:rPr>
          <w:rFonts w:hint="eastAsia" w:hAnsi="宋体" w:cs="宋体"/>
          <w:szCs w:val="24"/>
          <w:highlight w:val="none"/>
        </w:rPr>
        <w:t>技术</w:t>
      </w:r>
      <w:bookmarkEnd w:id="560"/>
      <w:bookmarkEnd w:id="561"/>
      <w:r>
        <w:rPr>
          <w:rFonts w:hint="eastAsia" w:hAnsi="宋体" w:cs="宋体"/>
          <w:szCs w:val="24"/>
          <w:highlight w:val="none"/>
        </w:rPr>
        <w:t>资</w:t>
      </w:r>
      <w:bookmarkStart w:id="562" w:name="_Toc20508"/>
      <w:r>
        <w:rPr>
          <w:rFonts w:hint="eastAsia" w:hAnsi="宋体" w:cs="宋体"/>
          <w:szCs w:val="24"/>
          <w:highlight w:val="none"/>
        </w:rPr>
        <w:t>料有误，卖方</w:t>
      </w:r>
      <w:bookmarkEnd w:id="562"/>
      <w:r>
        <w:rPr>
          <w:rFonts w:hint="eastAsia" w:hAnsi="宋体" w:cs="宋体"/>
          <w:szCs w:val="24"/>
          <w:highlight w:val="none"/>
        </w:rPr>
        <w:t>应在收到买方通知后7日内免费替换。如由于买方原因导致技术资料丢失和（或）损坏，卖方应在收到买方的通知后7日内补齐丢失和（或）损坏的部分，但买方应向卖方支付合理的复制、邮寄费用。</w:t>
      </w:r>
    </w:p>
    <w:p>
      <w:pPr>
        <w:spacing w:line="360" w:lineRule="auto"/>
        <w:ind w:firstLine="137"/>
        <w:outlineLvl w:val="2"/>
        <w:rPr>
          <w:rFonts w:ascii="黑体" w:hAnsi="黑体" w:eastAsia="黑体" w:cs="黑体"/>
          <w:sz w:val="28"/>
          <w:szCs w:val="28"/>
          <w:highlight w:val="none"/>
        </w:rPr>
      </w:pPr>
      <w:bookmarkStart w:id="563" w:name="_Toc482188747"/>
      <w:bookmarkStart w:id="564" w:name="_Toc26721541"/>
      <w:bookmarkStart w:id="565" w:name="_Toc15753908"/>
      <w:bookmarkStart w:id="566" w:name="_Toc26700652"/>
      <w:bookmarkStart w:id="567" w:name="_Toc501460756"/>
      <w:bookmarkStart w:id="568" w:name="_Toc24965152"/>
      <w:bookmarkStart w:id="569" w:name="_Toc26721386"/>
      <w:bookmarkStart w:id="570" w:name="_Toc17100672"/>
      <w:bookmarkStart w:id="571" w:name="_Toc26700482"/>
      <w:r>
        <w:rPr>
          <w:rFonts w:hint="eastAsia" w:ascii="黑体" w:hAnsi="黑体" w:eastAsia="黑体" w:cs="黑体"/>
          <w:sz w:val="28"/>
          <w:szCs w:val="28"/>
          <w:highlight w:val="none"/>
        </w:rPr>
        <w:t>6. 开箱检验、安装、调试、考核、验收</w:t>
      </w:r>
      <w:bookmarkEnd w:id="563"/>
      <w:bookmarkEnd w:id="564"/>
      <w:bookmarkEnd w:id="565"/>
      <w:bookmarkEnd w:id="566"/>
      <w:bookmarkEnd w:id="567"/>
      <w:bookmarkEnd w:id="568"/>
      <w:bookmarkEnd w:id="569"/>
      <w:bookmarkEnd w:id="570"/>
      <w:bookmarkEnd w:id="571"/>
    </w:p>
    <w:p>
      <w:pPr>
        <w:spacing w:line="360" w:lineRule="auto"/>
        <w:ind w:firstLine="137"/>
        <w:outlineLvl w:val="3"/>
        <w:rPr>
          <w:rFonts w:ascii="黑体" w:hAnsi="黑体" w:eastAsia="黑体" w:cs="黑体"/>
          <w:highlight w:val="none"/>
        </w:rPr>
      </w:pPr>
      <w:bookmarkStart w:id="572" w:name="_Toc501460757"/>
      <w:bookmarkStart w:id="573" w:name="_Toc482188748"/>
      <w:r>
        <w:rPr>
          <w:rFonts w:hint="eastAsia" w:ascii="黑体" w:hAnsi="黑体" w:eastAsia="黑体" w:cs="黑体"/>
          <w:highlight w:val="none"/>
        </w:rPr>
        <w:t>6.1 开箱检验</w:t>
      </w:r>
      <w:bookmarkEnd w:id="572"/>
      <w:bookmarkEnd w:id="573"/>
    </w:p>
    <w:p>
      <w:pPr>
        <w:spacing w:line="360" w:lineRule="auto"/>
        <w:ind w:firstLine="480" w:firstLineChars="200"/>
        <w:rPr>
          <w:rFonts w:hAnsi="宋体" w:cs="宋体"/>
          <w:highlight w:val="none"/>
        </w:rPr>
      </w:pPr>
      <w:r>
        <w:rPr>
          <w:rFonts w:hint="eastAsia" w:hAnsi="宋体" w:cs="宋体"/>
          <w:highlight w:val="none"/>
        </w:rPr>
        <w:t>6.1.1 合同货物交付后应进行开箱检验，即合同货物数量及外观检验。开箱检验在专用合同条款约定的下列任一种时间进行：</w:t>
      </w:r>
    </w:p>
    <w:p>
      <w:pPr>
        <w:spacing w:line="360" w:lineRule="auto"/>
        <w:ind w:firstLine="480" w:firstLineChars="200"/>
        <w:rPr>
          <w:rFonts w:hAnsi="宋体" w:cs="宋体"/>
          <w:highlight w:val="none"/>
        </w:rPr>
      </w:pPr>
      <w:r>
        <w:rPr>
          <w:rFonts w:hint="eastAsia" w:hAnsi="宋体" w:cs="宋体"/>
          <w:highlight w:val="none"/>
        </w:rPr>
        <w:t>（1）合同货物交付时；</w:t>
      </w:r>
    </w:p>
    <w:p>
      <w:pPr>
        <w:spacing w:line="360" w:lineRule="auto"/>
        <w:ind w:firstLine="480" w:firstLineChars="200"/>
        <w:rPr>
          <w:rFonts w:hAnsi="宋体" w:cs="宋体"/>
          <w:highlight w:val="none"/>
        </w:rPr>
      </w:pPr>
      <w:r>
        <w:rPr>
          <w:rFonts w:hint="eastAsia" w:hAnsi="宋体" w:cs="宋体"/>
          <w:highlight w:val="none"/>
        </w:rPr>
        <w:t>（2）合同货物交付后的一定期限内。</w:t>
      </w:r>
    </w:p>
    <w:p>
      <w:pPr>
        <w:spacing w:line="360" w:lineRule="auto"/>
        <w:ind w:firstLine="480" w:firstLineChars="200"/>
        <w:rPr>
          <w:rFonts w:hAnsi="宋体" w:cs="宋体"/>
          <w:highlight w:val="none"/>
        </w:rPr>
      </w:pPr>
      <w:r>
        <w:rPr>
          <w:rFonts w:hint="eastAsia" w:hAnsi="宋体" w:cs="宋体"/>
          <w:highlight w:val="none"/>
        </w:rPr>
        <w:t>如开箱检验不在合同货物交付时进行，买方应在开箱检验3日前将开箱检验的时间和地点通知卖方。</w:t>
      </w:r>
    </w:p>
    <w:p>
      <w:pPr>
        <w:spacing w:line="360" w:lineRule="auto"/>
        <w:ind w:firstLine="480" w:firstLineChars="200"/>
        <w:rPr>
          <w:rFonts w:hAnsi="宋体" w:cs="宋体"/>
          <w:highlight w:val="none"/>
        </w:rPr>
      </w:pPr>
      <w:r>
        <w:rPr>
          <w:rFonts w:hint="eastAsia" w:hAnsi="宋体" w:cs="宋体"/>
          <w:highlight w:val="none"/>
        </w:rPr>
        <w:t>6.1.2 除专用合同条款另有约定外，合同货物的开箱检验应在施工场地进行。</w:t>
      </w:r>
    </w:p>
    <w:p>
      <w:pPr>
        <w:spacing w:line="360" w:lineRule="auto"/>
        <w:ind w:firstLine="480" w:firstLineChars="200"/>
        <w:rPr>
          <w:rFonts w:hAnsi="宋体" w:cs="宋体"/>
          <w:highlight w:val="none"/>
        </w:rPr>
      </w:pPr>
      <w:r>
        <w:rPr>
          <w:rFonts w:hint="eastAsia" w:hAnsi="宋体" w:cs="宋体"/>
          <w:highlight w:val="none"/>
        </w:rPr>
        <w:t>6.1.3 开箱检验由买卖双方共同进行，卖方应自负费用派遣代表到场参加开箱检验。</w:t>
      </w:r>
    </w:p>
    <w:p>
      <w:pPr>
        <w:spacing w:line="360" w:lineRule="auto"/>
        <w:ind w:firstLine="480" w:firstLineChars="200"/>
        <w:rPr>
          <w:rFonts w:hAnsi="宋体" w:cs="宋体"/>
          <w:highlight w:val="none"/>
        </w:rPr>
      </w:pPr>
      <w:r>
        <w:rPr>
          <w:rFonts w:hint="eastAsia" w:hAnsi="宋体" w:cs="宋体"/>
          <w:highlight w:val="none"/>
        </w:rPr>
        <w:t>6.1.4 在开箱检验中，买方和卖方应共同签署数量、外观检验报告，报告应列明检验结果，包括检验合格或发现的任何短缺、损坏或其他与合同约定不符的情形。</w:t>
      </w:r>
    </w:p>
    <w:p>
      <w:pPr>
        <w:spacing w:line="360" w:lineRule="auto"/>
        <w:ind w:firstLine="480" w:firstLineChars="200"/>
        <w:rPr>
          <w:rFonts w:hAnsi="宋体" w:cs="宋体"/>
          <w:highlight w:val="none"/>
        </w:rPr>
      </w:pPr>
      <w:r>
        <w:rPr>
          <w:rFonts w:hint="eastAsia" w:hAnsi="宋体" w:cs="宋体"/>
          <w:highlight w:val="none"/>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spacing w:line="360" w:lineRule="auto"/>
        <w:ind w:firstLine="480" w:firstLineChars="200"/>
        <w:rPr>
          <w:rFonts w:hAnsi="宋体" w:cs="宋体"/>
          <w:highlight w:val="none"/>
        </w:rPr>
      </w:pPr>
      <w:r>
        <w:rPr>
          <w:rFonts w:hint="eastAsia" w:hAnsi="宋体" w:cs="宋体"/>
          <w:highlight w:val="none"/>
        </w:rPr>
        <w:t>6.1.6 如开箱检验不在合同货物交付时进行，则合同货物交付以后到开箱检验之前，应由买方负责按交货时外包装原样对合同货物进行妥善保管。除专用合同条款另有约定外，在开箱检验时如果合同货物外包装与交货时一致，则开箱检验中发现的合同货物的短缺、损坏或其他与合同约定不符的情形，由卖方负责，卖方应补齐、更换及采取其他补救措施。如果在开箱检验时合同货物外包装不是交货时的包装或虽是交货时的包装但与交货时不一致且出现很可能导致合同货物短缺或损坏的包装破损，则开箱检验中发现合同货物短缺、损坏或其他与合同约定不符的情形的风险，由买方承担，但买方能够证明是由于卖方原因或合同货物交付前非买方原因导致的除外。</w:t>
      </w:r>
    </w:p>
    <w:p>
      <w:pPr>
        <w:spacing w:line="360" w:lineRule="auto"/>
        <w:ind w:firstLine="480" w:firstLineChars="200"/>
        <w:rPr>
          <w:rFonts w:hAnsi="宋体" w:cs="宋体"/>
          <w:highlight w:val="none"/>
        </w:rPr>
      </w:pPr>
      <w:r>
        <w:rPr>
          <w:rFonts w:hint="eastAsia" w:hAnsi="宋体" w:cs="宋体"/>
          <w:highlight w:val="none"/>
        </w:rPr>
        <w:t>6.1.7 如双方在专用合同条款和（或）供货要求等合同文件中约定由第三方检测机构对合同货物进行开箱检验或在开箱检验过程中另行约定由第三方检验的，则第三方检测机构的检验结果对双方均具有约束力。</w:t>
      </w:r>
    </w:p>
    <w:p>
      <w:pPr>
        <w:spacing w:line="360" w:lineRule="auto"/>
        <w:ind w:firstLine="420"/>
        <w:rPr>
          <w:rFonts w:hAnsi="宋体" w:cs="宋体"/>
          <w:highlight w:val="none"/>
        </w:rPr>
      </w:pPr>
      <w:r>
        <w:rPr>
          <w:rFonts w:hint="eastAsia" w:hAnsi="宋体" w:cs="宋体"/>
          <w:highlight w:val="none"/>
        </w:rPr>
        <w:t>6.1.8 开箱检验的检验结果不能对抗在合同货物的安装、调试、考核、验收中及质量保证期内发现的合同货物质</w:t>
      </w:r>
      <w:bookmarkStart w:id="574" w:name="_Toc27556"/>
      <w:r>
        <w:rPr>
          <w:rFonts w:hint="eastAsia" w:hAnsi="宋体" w:cs="宋体"/>
          <w:highlight w:val="none"/>
        </w:rPr>
        <w:t>量问题，也不</w:t>
      </w:r>
      <w:bookmarkEnd w:id="574"/>
      <w:r>
        <w:rPr>
          <w:rFonts w:hint="eastAsia" w:hAnsi="宋体" w:cs="宋体"/>
          <w:highlight w:val="none"/>
        </w:rPr>
        <w:t>能免除或影响卖方依照合同约定对买方负有的包括合同货物质量在内的任何义务或责任。</w:t>
      </w:r>
    </w:p>
    <w:p>
      <w:pPr>
        <w:spacing w:line="360" w:lineRule="auto"/>
        <w:ind w:firstLine="137"/>
        <w:outlineLvl w:val="3"/>
        <w:rPr>
          <w:rFonts w:ascii="黑体" w:hAnsi="黑体" w:eastAsia="黑体" w:cs="黑体"/>
          <w:highlight w:val="none"/>
        </w:rPr>
      </w:pPr>
      <w:bookmarkStart w:id="575" w:name="_Toc501460758"/>
      <w:bookmarkStart w:id="576" w:name="_Toc482188749"/>
      <w:r>
        <w:rPr>
          <w:rFonts w:hint="eastAsia" w:ascii="黑体" w:hAnsi="黑体" w:eastAsia="黑体" w:cs="黑体"/>
          <w:highlight w:val="none"/>
        </w:rPr>
        <w:t>6.2 安装、调试</w:t>
      </w:r>
      <w:bookmarkEnd w:id="575"/>
      <w:bookmarkEnd w:id="576"/>
    </w:p>
    <w:p>
      <w:pPr>
        <w:spacing w:line="360" w:lineRule="auto"/>
        <w:ind w:firstLine="480" w:firstLineChars="200"/>
        <w:rPr>
          <w:rFonts w:hAnsi="宋体" w:cs="宋体"/>
          <w:highlight w:val="none"/>
        </w:rPr>
      </w:pPr>
      <w:r>
        <w:rPr>
          <w:rFonts w:hint="eastAsia" w:hAnsi="宋体" w:cs="宋体"/>
          <w:highlight w:val="none"/>
        </w:rPr>
        <w:t>6.2.1 开箱检验完成后，双方应对合同货物进行安装、调试，以使其具备考核的状态。安装、调试应按照专用合同条款约定的下列任一种方式进行：</w:t>
      </w:r>
    </w:p>
    <w:p>
      <w:pPr>
        <w:spacing w:line="360" w:lineRule="auto"/>
        <w:ind w:firstLine="480" w:firstLineChars="200"/>
        <w:rPr>
          <w:rFonts w:hAnsi="宋体" w:cs="宋体"/>
          <w:highlight w:val="none"/>
        </w:rPr>
      </w:pPr>
      <w:r>
        <w:rPr>
          <w:rFonts w:hint="eastAsia" w:hAnsi="宋体" w:cs="宋体"/>
          <w:highlight w:val="none"/>
        </w:rPr>
        <w:t>（1）卖方按照合同约定完成合同货物的安装、调试工作；</w:t>
      </w:r>
    </w:p>
    <w:p>
      <w:pPr>
        <w:spacing w:line="360" w:lineRule="auto"/>
        <w:ind w:firstLine="480" w:firstLineChars="200"/>
        <w:rPr>
          <w:rFonts w:hAnsi="宋体" w:cs="宋体"/>
          <w:highlight w:val="none"/>
        </w:rPr>
      </w:pPr>
      <w:r>
        <w:rPr>
          <w:rFonts w:hint="eastAsia" w:hAnsi="宋体" w:cs="宋体"/>
          <w:highlight w:val="none"/>
        </w:rPr>
        <w:t>（2）买方或买方安排第三方负责合同货物的安装、调试工作，卖方提供技术服务。</w:t>
      </w:r>
    </w:p>
    <w:p>
      <w:pPr>
        <w:spacing w:line="360" w:lineRule="auto"/>
        <w:ind w:firstLine="480" w:firstLineChars="200"/>
        <w:rPr>
          <w:rFonts w:hAnsi="宋体" w:cs="宋体"/>
          <w:highlight w:val="none"/>
          <w:lang w:val="zh-CN"/>
        </w:rPr>
      </w:pPr>
      <w:r>
        <w:rPr>
          <w:rFonts w:hint="eastAsia" w:hAnsi="宋体" w:cs="宋体"/>
          <w:highlight w:val="none"/>
        </w:rPr>
        <w:t>除专用合同条款另有约定外，</w:t>
      </w:r>
      <w:r>
        <w:rPr>
          <w:rFonts w:hint="eastAsia" w:hAnsi="宋体" w:cs="宋体"/>
          <w:highlight w:val="none"/>
          <w:lang w:val="zh-CN"/>
        </w:rPr>
        <w:t>在安装、调试过程中，如由于买方</w:t>
      </w:r>
      <w:r>
        <w:rPr>
          <w:rFonts w:hint="eastAsia" w:hAnsi="宋体" w:cs="宋体"/>
          <w:highlight w:val="none"/>
        </w:rPr>
        <w:t>或买方安排的第三方</w:t>
      </w:r>
      <w:r>
        <w:rPr>
          <w:rFonts w:hint="eastAsia" w:hAnsi="宋体" w:cs="宋体"/>
          <w:highlight w:val="none"/>
          <w:lang w:val="zh-CN"/>
        </w:rPr>
        <w:t>未按照卖方现场服务人员的指导导致安装、调试不成功和（或）出现合同货物损坏，买方应自行承担责任。如在买方</w:t>
      </w:r>
      <w:r>
        <w:rPr>
          <w:rFonts w:hint="eastAsia" w:hAnsi="宋体" w:cs="宋体"/>
          <w:highlight w:val="none"/>
        </w:rPr>
        <w:t>或买方安排的第三方</w:t>
      </w:r>
      <w:r>
        <w:rPr>
          <w:rFonts w:hint="eastAsia" w:hAnsi="宋体" w:cs="宋体"/>
          <w:highlight w:val="none"/>
          <w:lang w:val="zh-CN"/>
        </w:rPr>
        <w:t>按照卖方现场服务人员的指导进行安装、调试的情况下出现安装、调试不成功和（或）</w:t>
      </w:r>
      <w:r>
        <w:rPr>
          <w:rFonts w:hint="eastAsia" w:hAnsi="宋体" w:cs="宋体"/>
          <w:highlight w:val="none"/>
        </w:rPr>
        <w:t>造成</w:t>
      </w:r>
      <w:r>
        <w:rPr>
          <w:rFonts w:hint="eastAsia" w:hAnsi="宋体" w:cs="宋体"/>
          <w:highlight w:val="none"/>
          <w:lang w:val="zh-CN"/>
        </w:rPr>
        <w:t>合同货物损坏的情况，卖方应承担责任。</w:t>
      </w:r>
    </w:p>
    <w:p>
      <w:pPr>
        <w:spacing w:line="360" w:lineRule="auto"/>
        <w:ind w:firstLine="480" w:firstLineChars="200"/>
        <w:rPr>
          <w:rFonts w:hAnsi="宋体" w:cs="宋体"/>
          <w:highlight w:val="none"/>
          <w:lang w:val="zh-CN"/>
        </w:rPr>
      </w:pPr>
      <w:r>
        <w:rPr>
          <w:rFonts w:hint="eastAsia" w:hAnsi="宋体" w:cs="宋体"/>
          <w:highlight w:val="none"/>
          <w:lang w:val="zh-CN"/>
        </w:rPr>
        <w:t xml:space="preserve">6.2.2 </w:t>
      </w:r>
      <w:r>
        <w:rPr>
          <w:rFonts w:hint="eastAsia" w:hAnsi="宋体" w:cs="宋体"/>
          <w:highlight w:val="none"/>
        </w:rPr>
        <w:t>除专用合同条款另有约定外，安装、调试中合同货物运行需要的用水、用电、其他动力和原材料（如需要）等均由买方承担。</w:t>
      </w:r>
    </w:p>
    <w:p>
      <w:pPr>
        <w:spacing w:line="360" w:lineRule="auto"/>
        <w:ind w:firstLine="480" w:firstLineChars="200"/>
        <w:rPr>
          <w:rFonts w:hAnsi="宋体" w:cs="宋体"/>
          <w:highlight w:val="none"/>
        </w:rPr>
      </w:pPr>
      <w:r>
        <w:rPr>
          <w:rFonts w:hint="eastAsia" w:hAnsi="宋体" w:cs="宋体"/>
          <w:highlight w:val="none"/>
        </w:rPr>
        <w:t>6.2.3 双方应对合同货物的安装、调试情况共同及时进行记录。</w:t>
      </w:r>
    </w:p>
    <w:p>
      <w:pPr>
        <w:spacing w:line="360" w:lineRule="auto"/>
        <w:ind w:firstLine="137"/>
        <w:outlineLvl w:val="3"/>
        <w:rPr>
          <w:rFonts w:ascii="黑体" w:hAnsi="黑体" w:eastAsia="黑体" w:cs="黑体"/>
          <w:highlight w:val="none"/>
        </w:rPr>
      </w:pPr>
      <w:bookmarkStart w:id="577" w:name="_Toc501460759"/>
      <w:bookmarkStart w:id="578" w:name="_Toc482188750"/>
      <w:r>
        <w:rPr>
          <w:rFonts w:hint="eastAsia" w:ascii="黑体" w:hAnsi="黑体" w:eastAsia="黑体" w:cs="黑体"/>
          <w:highlight w:val="none"/>
        </w:rPr>
        <w:t>6.3 考核</w:t>
      </w:r>
      <w:bookmarkEnd w:id="577"/>
      <w:bookmarkEnd w:id="578"/>
    </w:p>
    <w:p>
      <w:pPr>
        <w:spacing w:line="360" w:lineRule="auto"/>
        <w:ind w:firstLine="480" w:firstLineChars="200"/>
        <w:rPr>
          <w:rFonts w:hAnsi="宋体" w:cs="宋体"/>
          <w:highlight w:val="none"/>
        </w:rPr>
      </w:pPr>
      <w:r>
        <w:rPr>
          <w:rFonts w:hint="eastAsia" w:hAnsi="宋体" w:cs="宋体"/>
          <w:highlight w:val="none"/>
        </w:rPr>
        <w:t>6.3.1 安装、调试完成后，双方应对合同货物进行</w:t>
      </w:r>
      <w:bookmarkStart w:id="579" w:name="_Toc6658"/>
      <w:r>
        <w:rPr>
          <w:rFonts w:hint="eastAsia" w:hAnsi="宋体" w:cs="宋体"/>
          <w:highlight w:val="none"/>
        </w:rPr>
        <w:t>考核，以确定合同货物是否达到合同约定的</w:t>
      </w:r>
      <w:bookmarkEnd w:id="579"/>
      <w:bookmarkStart w:id="580" w:name="_Toc18466"/>
      <w:r>
        <w:rPr>
          <w:rFonts w:hint="eastAsia" w:hAnsi="宋体" w:cs="宋体"/>
          <w:highlight w:val="none"/>
        </w:rPr>
        <w:t>技术性能考核指标。除专用合同条款另有约定外，考核中合同货物运行需要的用水、用电、其他动力和原材料（如需要）等均由买方承担。</w:t>
      </w:r>
    </w:p>
    <w:p>
      <w:pPr>
        <w:spacing w:line="360" w:lineRule="auto"/>
        <w:ind w:firstLine="480" w:firstLineChars="200"/>
        <w:rPr>
          <w:rFonts w:hAnsi="宋体" w:cs="宋体"/>
          <w:highlight w:val="none"/>
        </w:rPr>
      </w:pPr>
      <w:r>
        <w:rPr>
          <w:rFonts w:hint="eastAsia" w:hAnsi="宋体" w:cs="宋体"/>
          <w:highlight w:val="none"/>
        </w:rPr>
        <w:t>6.3.2</w:t>
      </w:r>
      <w:bookmarkEnd w:id="580"/>
      <w:r>
        <w:rPr>
          <w:rFonts w:hint="eastAsia" w:hAnsi="宋体" w:cs="宋体"/>
          <w:highlight w:val="none"/>
        </w:rPr>
        <w:t xml:space="preserve"> 如由于卖方原因合同货物在考核中未能达到合同约定的技术性能考核指标，则卖方应在双方同意的期限内采取措施消除合同货物中存在的缺陷，并在缺陷消除以后，尽快进行再次考核。</w:t>
      </w:r>
    </w:p>
    <w:p>
      <w:pPr>
        <w:spacing w:line="360" w:lineRule="auto"/>
        <w:ind w:firstLine="480" w:firstLineChars="200"/>
        <w:rPr>
          <w:rFonts w:hAnsi="宋体" w:cs="宋体"/>
          <w:highlight w:val="none"/>
        </w:rPr>
      </w:pPr>
      <w:r>
        <w:rPr>
          <w:rFonts w:hint="eastAsia" w:hAnsi="宋体" w:cs="宋体"/>
          <w:highlight w:val="none"/>
        </w:rPr>
        <w:t>6.3.3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货物的最低技术性能考核指标，且合同货物达到了最低技术性能考核指标的，视为合同货物已达到技术性能考核指标，买方无权解除合同，且应接受合同货物，但卖方应按专用合同条款的约定进行减价或向买方支付补偿金。</w:t>
      </w:r>
    </w:p>
    <w:p>
      <w:pPr>
        <w:spacing w:line="360" w:lineRule="auto"/>
        <w:ind w:firstLine="480" w:firstLineChars="200"/>
        <w:rPr>
          <w:rFonts w:hAnsi="宋体" w:cs="宋体"/>
          <w:highlight w:val="none"/>
        </w:rPr>
      </w:pPr>
      <w:r>
        <w:rPr>
          <w:rFonts w:hint="eastAsia" w:hAnsi="宋体" w:cs="宋体"/>
          <w:highlight w:val="none"/>
        </w:rPr>
        <w:t>6.3.4 如由于买方原因合同货物在考核中未能达到合同约定的技术性能考核指标，则卖方应协助买方安排再次考核。由于买方原因未能达到技术性能考核指标时，为买方进行考核的机会不超过三次。</w:t>
      </w:r>
    </w:p>
    <w:p>
      <w:pPr>
        <w:spacing w:line="360" w:lineRule="auto"/>
        <w:ind w:firstLine="480" w:firstLineChars="200"/>
        <w:rPr>
          <w:rFonts w:hAnsi="宋体" w:cs="宋体"/>
          <w:highlight w:val="none"/>
        </w:rPr>
      </w:pPr>
      <w:r>
        <w:rPr>
          <w:rFonts w:hint="eastAsia" w:hAnsi="宋体" w:cs="宋体"/>
          <w:highlight w:val="none"/>
        </w:rPr>
        <w:t>6.3.5 考核期间，双方应及时共同记录合同货物的用水、用电、其他动力和原材料（如有）的使用及货物考核情况。对于未达到技术性能考核指标的，应如实记录货物表现、可能原因及处理情况等。</w:t>
      </w:r>
    </w:p>
    <w:p>
      <w:pPr>
        <w:spacing w:line="360" w:lineRule="auto"/>
        <w:ind w:firstLine="137"/>
        <w:outlineLvl w:val="3"/>
        <w:rPr>
          <w:rFonts w:ascii="黑体" w:hAnsi="黑体" w:eastAsia="黑体" w:cs="黑体"/>
          <w:highlight w:val="none"/>
        </w:rPr>
      </w:pPr>
      <w:bookmarkStart w:id="581" w:name="_Toc501460760"/>
      <w:bookmarkStart w:id="582" w:name="_Toc482188751"/>
      <w:r>
        <w:rPr>
          <w:rFonts w:hint="eastAsia" w:ascii="黑体" w:hAnsi="黑体" w:eastAsia="黑体" w:cs="黑体"/>
          <w:highlight w:val="none"/>
        </w:rPr>
        <w:t>6.4 验收</w:t>
      </w:r>
      <w:bookmarkEnd w:id="581"/>
      <w:bookmarkEnd w:id="582"/>
    </w:p>
    <w:p>
      <w:pPr>
        <w:spacing w:line="360" w:lineRule="auto"/>
        <w:ind w:firstLine="480" w:firstLineChars="200"/>
        <w:rPr>
          <w:rFonts w:hAnsi="宋体" w:cs="宋体"/>
          <w:highlight w:val="none"/>
        </w:rPr>
      </w:pPr>
      <w:r>
        <w:rPr>
          <w:rFonts w:hint="eastAsia" w:hAnsi="宋体" w:cs="宋体"/>
          <w:highlight w:val="none"/>
        </w:rPr>
        <w:t>6.4.1 如合同货物在考核中达到或视为达到技术性能考核指标，则买卖双方应在考核完成后7日内或专用合同条款另行约定的时间内签署合同货物验收证书一式二份，双方各持一份。验收日期应为合同货物达到或视为达到技术性能考核指标的日期。</w:t>
      </w:r>
    </w:p>
    <w:p>
      <w:pPr>
        <w:spacing w:line="360" w:lineRule="auto"/>
        <w:ind w:firstLine="480" w:firstLineChars="200"/>
        <w:rPr>
          <w:rFonts w:hAnsi="宋体" w:cs="宋体"/>
          <w:highlight w:val="none"/>
        </w:rPr>
      </w:pPr>
      <w:r>
        <w:rPr>
          <w:rFonts w:hint="eastAsia" w:hAnsi="宋体" w:cs="宋体"/>
          <w:highlight w:val="none"/>
        </w:rPr>
        <w:t>6.4.2 如由于买方原因合同货物在三次考核中均未能达到技术性能考核指标，买卖双方应在考核结束后7日内或专用合同条款另行约定的时间内签署</w:t>
      </w:r>
      <w:r>
        <w:rPr>
          <w:rStyle w:val="65"/>
          <w:rFonts w:hint="eastAsia" w:hAnsi="宋体" w:cs="宋体"/>
          <w:sz w:val="24"/>
          <w:highlight w:val="none"/>
        </w:rPr>
        <w:t>验收款支付函</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除专用合同条款另有约定</w:t>
      </w:r>
      <w:bookmarkStart w:id="583" w:name="_Toc369531639"/>
      <w:bookmarkStart w:id="584" w:name="_Toc1157"/>
      <w:r>
        <w:rPr>
          <w:rFonts w:hint="eastAsia" w:hAnsi="宋体" w:cs="宋体"/>
          <w:highlight w:val="none"/>
        </w:rPr>
        <w:t>外，卖方有义务在</w:t>
      </w:r>
      <w:bookmarkEnd w:id="583"/>
      <w:bookmarkEnd w:id="584"/>
      <w:r>
        <w:rPr>
          <w:rStyle w:val="65"/>
          <w:rFonts w:hint="eastAsia" w:hAnsi="宋体" w:cs="宋体"/>
          <w:sz w:val="24"/>
          <w:highlight w:val="none"/>
        </w:rPr>
        <w:t>验收款支付函</w:t>
      </w:r>
      <w:r>
        <w:rPr>
          <w:rFonts w:hint="eastAsia" w:hAnsi="宋体" w:cs="宋体"/>
          <w:highlight w:val="none"/>
        </w:rPr>
        <w:t>签署后12个月内应买方要求提供相关技术服务，协助买方采取一切必要措施使合同货物达到技术性能考核指标。买方应承</w:t>
      </w:r>
      <w:bookmarkStart w:id="585" w:name="_Toc25543"/>
      <w:r>
        <w:rPr>
          <w:rFonts w:hint="eastAsia" w:hAnsi="宋体" w:cs="宋体"/>
          <w:highlight w:val="none"/>
        </w:rPr>
        <w:t>担卖方因此产生的全部费用</w:t>
      </w:r>
      <w:bookmarkEnd w:id="585"/>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在上述12个月的期限内，如合同货物经过考核达到或视为达到技术性能考核指标，则买卖双方应按照第6.4.1项的约定签署合同货物验收证书。</w:t>
      </w:r>
    </w:p>
    <w:p>
      <w:pPr>
        <w:spacing w:line="360" w:lineRule="auto"/>
        <w:ind w:firstLine="480" w:firstLineChars="200"/>
        <w:rPr>
          <w:rFonts w:hAnsi="宋体" w:cs="宋体"/>
          <w:szCs w:val="24"/>
          <w:highlight w:val="none"/>
        </w:rPr>
      </w:pPr>
      <w:r>
        <w:rPr>
          <w:rFonts w:hint="eastAsia" w:hAnsi="宋体" w:cs="宋体"/>
          <w:szCs w:val="24"/>
          <w:highlight w:val="none"/>
        </w:rPr>
        <w:t>6.4.3 除专用合同条款另有约定外，如由于买方原因在最后一批合同货物交货后6个月内未能开始考核，则买卖双方应在上述期限</w:t>
      </w:r>
      <w:bookmarkStart w:id="586" w:name="_Toc3766"/>
      <w:r>
        <w:rPr>
          <w:rFonts w:hint="eastAsia" w:hAnsi="宋体" w:cs="宋体"/>
          <w:szCs w:val="24"/>
          <w:highlight w:val="none"/>
        </w:rPr>
        <w:t>届满后7日内或专用合同条款另行约定的时间内签署验收款支付函。</w:t>
      </w:r>
      <w:bookmarkEnd w:id="586"/>
    </w:p>
    <w:p>
      <w:pPr>
        <w:spacing w:line="360" w:lineRule="auto"/>
        <w:ind w:firstLine="480" w:firstLineChars="200"/>
        <w:rPr>
          <w:rFonts w:hAnsi="宋体" w:cs="宋体"/>
          <w:szCs w:val="24"/>
          <w:highlight w:val="none"/>
        </w:rPr>
      </w:pPr>
      <w:r>
        <w:rPr>
          <w:rFonts w:hint="eastAsia" w:hAnsi="宋体" w:cs="宋体"/>
          <w:szCs w:val="24"/>
          <w:highlight w:val="none"/>
        </w:rPr>
        <w:t>除专用合同条款另有约定外，卖方有义务在</w:t>
      </w:r>
      <w:r>
        <w:rPr>
          <w:rStyle w:val="65"/>
          <w:rFonts w:hint="eastAsia" w:hAnsi="宋体" w:cs="宋体"/>
          <w:sz w:val="24"/>
          <w:szCs w:val="24"/>
          <w:highlight w:val="none"/>
        </w:rPr>
        <w:t>验收款支付函</w:t>
      </w:r>
      <w:r>
        <w:rPr>
          <w:rFonts w:hint="eastAsia" w:hAnsi="宋体" w:cs="宋体"/>
          <w:szCs w:val="24"/>
          <w:highlight w:val="none"/>
        </w:rPr>
        <w:t>签署后6个月内应买方要求提供不超出合同范围的技术服务，协助买方采取一切必要措施使合同货物达到技术性能考核指标，且买方无需因此向卖方支付费用。</w:t>
      </w:r>
    </w:p>
    <w:p>
      <w:pPr>
        <w:spacing w:line="360" w:lineRule="auto"/>
        <w:ind w:firstLine="480" w:firstLineChars="200"/>
        <w:rPr>
          <w:rFonts w:hAnsi="宋体" w:cs="宋体"/>
          <w:szCs w:val="24"/>
          <w:highlight w:val="none"/>
        </w:rPr>
      </w:pPr>
      <w:r>
        <w:rPr>
          <w:rFonts w:hint="eastAsia" w:hAnsi="宋体" w:cs="宋体"/>
          <w:szCs w:val="24"/>
          <w:highlight w:val="none"/>
        </w:rPr>
        <w:t>在上述6个月的期限内，如合同货物经过考核达到或视为达到技术性能考核指标，则买卖双方应按照第6.4.1项的约定签署合同货物验收证书。</w:t>
      </w:r>
    </w:p>
    <w:p>
      <w:pPr>
        <w:spacing w:line="360" w:lineRule="auto"/>
        <w:ind w:firstLine="480" w:firstLineChars="200"/>
        <w:rPr>
          <w:rFonts w:hAnsi="宋体" w:cs="宋体"/>
          <w:szCs w:val="24"/>
          <w:highlight w:val="none"/>
        </w:rPr>
      </w:pPr>
      <w:r>
        <w:rPr>
          <w:rFonts w:hint="eastAsia" w:hAnsi="宋体" w:cs="宋体"/>
          <w:szCs w:val="24"/>
          <w:highlight w:val="none"/>
        </w:rPr>
        <w:t>6.4.4 在第6.4.2项和第6.4.3项情形下，卖方也可单方签署验收款支付函提交买方，如果买方在收到卖方签署的验收款支付函后14日内未向卖方提出书面异议，则验收款支付函自签署之日起生效。</w:t>
      </w:r>
    </w:p>
    <w:p>
      <w:pPr>
        <w:spacing w:line="360" w:lineRule="auto"/>
        <w:ind w:firstLine="480" w:firstLineChars="200"/>
        <w:rPr>
          <w:rFonts w:hAnsi="宋体" w:cs="宋体"/>
          <w:highlight w:val="none"/>
        </w:rPr>
      </w:pPr>
      <w:r>
        <w:rPr>
          <w:rFonts w:hint="eastAsia" w:hAnsi="宋体" w:cs="宋体"/>
          <w:highlight w:val="none"/>
        </w:rPr>
        <w:t>6.4.5合同货物验收证书的签署不能免除卖方在质量保证期内对合同货物应承担的保证责任。</w:t>
      </w:r>
    </w:p>
    <w:p>
      <w:pPr>
        <w:spacing w:line="360" w:lineRule="auto"/>
        <w:ind w:firstLine="137"/>
        <w:outlineLvl w:val="2"/>
        <w:rPr>
          <w:rFonts w:ascii="黑体" w:hAnsi="黑体" w:eastAsia="黑体" w:cs="黑体"/>
          <w:sz w:val="28"/>
          <w:szCs w:val="28"/>
          <w:highlight w:val="none"/>
        </w:rPr>
      </w:pPr>
      <w:bookmarkStart w:id="587" w:name="_Toc17100673"/>
      <w:bookmarkStart w:id="588" w:name="_Toc501460761"/>
      <w:bookmarkStart w:id="589" w:name="_Toc26700653"/>
      <w:bookmarkStart w:id="590" w:name="_Toc26700483"/>
      <w:bookmarkStart w:id="591" w:name="_Toc15753909"/>
      <w:bookmarkStart w:id="592" w:name="_Toc26721387"/>
      <w:bookmarkStart w:id="593" w:name="_Toc482188752"/>
      <w:bookmarkStart w:id="594" w:name="_Toc26721542"/>
      <w:bookmarkStart w:id="595" w:name="_Toc24965153"/>
      <w:r>
        <w:rPr>
          <w:rFonts w:hint="eastAsia" w:ascii="黑体" w:hAnsi="黑体" w:eastAsia="黑体" w:cs="黑体"/>
          <w:sz w:val="28"/>
          <w:szCs w:val="28"/>
          <w:highlight w:val="none"/>
        </w:rPr>
        <w:t>7. 技术服务</w:t>
      </w:r>
      <w:bookmarkEnd w:id="587"/>
      <w:bookmarkEnd w:id="588"/>
      <w:bookmarkEnd w:id="589"/>
      <w:bookmarkEnd w:id="590"/>
      <w:bookmarkEnd w:id="591"/>
      <w:bookmarkEnd w:id="592"/>
      <w:bookmarkEnd w:id="593"/>
      <w:bookmarkEnd w:id="594"/>
      <w:bookmarkEnd w:id="595"/>
    </w:p>
    <w:p>
      <w:pPr>
        <w:spacing w:line="360" w:lineRule="auto"/>
        <w:ind w:firstLine="480" w:firstLineChars="200"/>
        <w:rPr>
          <w:rFonts w:hAnsi="宋体" w:cs="宋体"/>
          <w:highlight w:val="none"/>
        </w:rPr>
      </w:pPr>
      <w:r>
        <w:rPr>
          <w:rFonts w:hint="eastAsia" w:hAnsi="宋体" w:cs="宋体"/>
          <w:highlight w:val="none"/>
        </w:rPr>
        <w:t>7.1 卖方应派遣技术熟练、称职的技术人员到施工场地为买方提供技术服务。卖方的技术服务应符合合同的约定。</w:t>
      </w:r>
    </w:p>
    <w:p>
      <w:pPr>
        <w:spacing w:line="360" w:lineRule="auto"/>
        <w:ind w:firstLine="480" w:firstLineChars="200"/>
        <w:rPr>
          <w:rFonts w:hAnsi="宋体" w:cs="宋体"/>
          <w:highlight w:val="none"/>
        </w:rPr>
      </w:pPr>
      <w:r>
        <w:rPr>
          <w:rFonts w:hint="eastAsia" w:hAnsi="宋体" w:cs="宋体"/>
          <w:highlight w:val="none"/>
        </w:rPr>
        <w:t>7.2 买方应免费为卖方技术人员提供工作条件及便利，包括但不限于必要的办公场所、技术资料及出入许可等。除专用合同条款另有约定外，卖方技术人员的交通、食宿费用由卖方承担。</w:t>
      </w:r>
    </w:p>
    <w:p>
      <w:pPr>
        <w:spacing w:line="360" w:lineRule="auto"/>
        <w:ind w:firstLine="480" w:firstLineChars="200"/>
        <w:rPr>
          <w:rFonts w:hAnsi="宋体" w:cs="宋体"/>
          <w:highlight w:val="none"/>
        </w:rPr>
      </w:pPr>
      <w:r>
        <w:rPr>
          <w:rFonts w:hint="eastAsia" w:hAnsi="宋体" w:cs="宋体"/>
          <w:highlight w:val="none"/>
        </w:rPr>
        <w:t>7.3 卖方技术人员应遵守买方施工现场的各项规章制度和安全操作规程，并服从买方的现场管理。</w:t>
      </w:r>
    </w:p>
    <w:p>
      <w:pPr>
        <w:spacing w:line="360" w:lineRule="auto"/>
        <w:ind w:firstLine="480" w:firstLineChars="200"/>
        <w:rPr>
          <w:rFonts w:hAnsi="宋体" w:cs="宋体"/>
          <w:highlight w:val="none"/>
        </w:rPr>
      </w:pPr>
      <w:r>
        <w:rPr>
          <w:rFonts w:hint="eastAsia" w:hAnsi="宋体" w:cs="宋体"/>
          <w:highlight w:val="none"/>
        </w:rPr>
        <w:t>7.4 如果任何技术人员不合格，买方有权要求卖方撤换，因撤换而产生的费用应由卖方承担。在不影响技术服务并且征得买方同意的条件下，卖方也可自负费用更换其技术人员。</w:t>
      </w:r>
    </w:p>
    <w:p>
      <w:pPr>
        <w:spacing w:line="360" w:lineRule="auto"/>
        <w:ind w:firstLine="137"/>
        <w:outlineLvl w:val="2"/>
        <w:rPr>
          <w:rFonts w:ascii="黑体" w:hAnsi="黑体" w:eastAsia="黑体" w:cs="黑体"/>
          <w:sz w:val="28"/>
          <w:szCs w:val="28"/>
          <w:highlight w:val="none"/>
        </w:rPr>
      </w:pPr>
      <w:bookmarkStart w:id="596" w:name="_Toc26721543"/>
      <w:bookmarkStart w:id="597" w:name="_Toc26700654"/>
      <w:bookmarkStart w:id="598" w:name="_Toc17100674"/>
      <w:bookmarkStart w:id="599" w:name="_Toc24965154"/>
      <w:bookmarkStart w:id="600" w:name="_Toc501460762"/>
      <w:bookmarkStart w:id="601" w:name="_Toc482188753"/>
      <w:bookmarkStart w:id="602" w:name="_Toc26700484"/>
      <w:bookmarkStart w:id="603" w:name="_Toc15753910"/>
      <w:bookmarkStart w:id="604" w:name="_Toc26721388"/>
      <w:r>
        <w:rPr>
          <w:rFonts w:hint="eastAsia" w:ascii="黑体" w:hAnsi="黑体" w:eastAsia="黑体" w:cs="黑体"/>
          <w:sz w:val="28"/>
          <w:szCs w:val="28"/>
          <w:highlight w:val="none"/>
        </w:rPr>
        <w:t>8. 质量保证期</w:t>
      </w:r>
      <w:bookmarkEnd w:id="596"/>
      <w:bookmarkEnd w:id="597"/>
      <w:bookmarkEnd w:id="598"/>
      <w:bookmarkEnd w:id="599"/>
      <w:bookmarkEnd w:id="600"/>
      <w:bookmarkEnd w:id="601"/>
      <w:bookmarkEnd w:id="602"/>
      <w:bookmarkEnd w:id="603"/>
      <w:bookmarkEnd w:id="604"/>
    </w:p>
    <w:p>
      <w:pPr>
        <w:spacing w:line="360" w:lineRule="auto"/>
        <w:ind w:firstLine="480" w:firstLineChars="200"/>
        <w:rPr>
          <w:rFonts w:hAnsi="宋体" w:cs="宋体"/>
          <w:szCs w:val="24"/>
          <w:highlight w:val="none"/>
        </w:rPr>
      </w:pPr>
      <w:bookmarkStart w:id="605" w:name="_Toc26721544"/>
      <w:bookmarkStart w:id="606" w:name="_Toc17100675"/>
      <w:bookmarkStart w:id="607" w:name="_Toc482188754"/>
      <w:bookmarkStart w:id="608" w:name="_Toc26700655"/>
      <w:bookmarkStart w:id="609" w:name="_Toc24965155"/>
      <w:bookmarkStart w:id="610" w:name="_Toc26700485"/>
      <w:bookmarkStart w:id="611" w:name="_Toc26721389"/>
      <w:bookmarkStart w:id="612" w:name="_Toc501460763"/>
      <w:bookmarkStart w:id="613" w:name="_Toc15753911"/>
      <w:r>
        <w:rPr>
          <w:rFonts w:hint="eastAsia" w:hAnsi="宋体" w:cs="宋体"/>
          <w:szCs w:val="24"/>
          <w:highlight w:val="none"/>
        </w:rPr>
        <w:t>8.1 除专用合同条款和（或）供货要求等合同文件另有约定外，合同货物整体质量保证期为验收之日起12个月。如对合同货物中关键部件的质量保证期有特殊要求的，买卖双方可在专用合同条款中约定。在合同第6.4.2项情形下，无论合同货物何时验收，其质量保证期最长为签署</w:t>
      </w:r>
      <w:r>
        <w:rPr>
          <w:rStyle w:val="65"/>
          <w:rFonts w:hint="eastAsia" w:hAnsi="宋体" w:cs="宋体"/>
          <w:sz w:val="24"/>
          <w:szCs w:val="24"/>
          <w:highlight w:val="none"/>
        </w:rPr>
        <w:t>验收款支付函后12个月。</w:t>
      </w:r>
      <w:r>
        <w:rPr>
          <w:rFonts w:hint="eastAsia" w:hAnsi="宋体" w:cs="宋体"/>
          <w:szCs w:val="24"/>
          <w:highlight w:val="none"/>
        </w:rPr>
        <w:t>在合同第6.4.3项情形下，无论合同货物何时验收，其质量保证期最长为签署</w:t>
      </w:r>
      <w:r>
        <w:rPr>
          <w:rStyle w:val="65"/>
          <w:rFonts w:hint="eastAsia" w:hAnsi="宋体" w:cs="宋体"/>
          <w:sz w:val="24"/>
          <w:szCs w:val="24"/>
          <w:highlight w:val="none"/>
        </w:rPr>
        <w:t>验收款支付函后6个月。</w:t>
      </w:r>
    </w:p>
    <w:p>
      <w:pPr>
        <w:spacing w:line="360" w:lineRule="auto"/>
        <w:ind w:firstLine="420"/>
        <w:rPr>
          <w:rFonts w:hAnsi="宋体" w:cs="宋体"/>
          <w:szCs w:val="24"/>
          <w:highlight w:val="none"/>
        </w:rPr>
      </w:pPr>
      <w:r>
        <w:rPr>
          <w:rFonts w:hint="eastAsia" w:hAnsi="宋体" w:cs="宋体"/>
          <w:szCs w:val="24"/>
          <w:highlight w:val="none"/>
        </w:rPr>
        <w:t>8.2 在质量保证期内如果合同货物出现故障，卖方应自负费用提供质保期服务，对相关合同货物进行修理或更换以消除故障。更换的合同货物和（或）关键部件的质量保证期应重新计算。但如果合同货物的故障是由于买方原因造成的，则对合同货物进行修理和更换的费用应由买方承担。</w:t>
      </w:r>
    </w:p>
    <w:p>
      <w:pPr>
        <w:spacing w:line="360" w:lineRule="auto"/>
        <w:ind w:firstLine="480" w:firstLineChars="200"/>
        <w:rPr>
          <w:rFonts w:hAnsi="宋体" w:cs="宋体"/>
          <w:szCs w:val="24"/>
          <w:highlight w:val="none"/>
        </w:rPr>
      </w:pPr>
      <w:r>
        <w:rPr>
          <w:rFonts w:hint="eastAsia" w:hAnsi="宋体" w:cs="宋体"/>
          <w:szCs w:val="24"/>
          <w:highlight w:val="none"/>
        </w:rPr>
        <w:t>8.3 质量保证期届满后，买方应在7日内或专用合同条款另行约定的时间内向卖方出具合同货物的质量保证期届满证书。</w:t>
      </w:r>
    </w:p>
    <w:p>
      <w:pPr>
        <w:spacing w:line="360" w:lineRule="auto"/>
        <w:ind w:firstLine="480" w:firstLineChars="200"/>
        <w:rPr>
          <w:rFonts w:hAnsi="宋体" w:cs="宋体"/>
          <w:szCs w:val="24"/>
          <w:highlight w:val="none"/>
        </w:rPr>
      </w:pPr>
      <w:r>
        <w:rPr>
          <w:rFonts w:hint="eastAsia" w:hAnsi="宋体" w:cs="宋体"/>
          <w:szCs w:val="24"/>
          <w:highlight w:val="none"/>
        </w:rPr>
        <w:t>8.4 在合同第6.4.2项情形下，如在</w:t>
      </w:r>
      <w:r>
        <w:rPr>
          <w:rStyle w:val="65"/>
          <w:rFonts w:hint="eastAsia" w:hAnsi="宋体" w:cs="宋体"/>
          <w:sz w:val="24"/>
          <w:szCs w:val="24"/>
          <w:highlight w:val="none"/>
        </w:rPr>
        <w:t>验收款支付函</w:t>
      </w:r>
      <w:r>
        <w:rPr>
          <w:rFonts w:hint="eastAsia" w:hAnsi="宋体" w:cs="宋体"/>
          <w:szCs w:val="24"/>
          <w:highlight w:val="none"/>
        </w:rPr>
        <w:t>签署后12个月内由于买方原因合同货物仍未能达到技术性能考核指标，则买卖双方应在该12个月届满后7日内或专用合同条款另行约定的时间内签署结清款支付函。</w:t>
      </w:r>
    </w:p>
    <w:p>
      <w:pPr>
        <w:spacing w:line="360" w:lineRule="auto"/>
        <w:ind w:firstLine="480" w:firstLineChars="200"/>
        <w:rPr>
          <w:rFonts w:hAnsi="宋体" w:cs="宋体"/>
          <w:szCs w:val="24"/>
          <w:highlight w:val="none"/>
        </w:rPr>
      </w:pPr>
      <w:r>
        <w:rPr>
          <w:rFonts w:hint="eastAsia" w:hAnsi="宋体" w:cs="宋体"/>
          <w:szCs w:val="24"/>
          <w:highlight w:val="none"/>
        </w:rPr>
        <w:t>8.5 在合同第6.4.3项情形下，如在</w:t>
      </w:r>
      <w:r>
        <w:rPr>
          <w:rStyle w:val="65"/>
          <w:rFonts w:hint="eastAsia" w:hAnsi="宋体" w:cs="宋体"/>
          <w:sz w:val="24"/>
          <w:szCs w:val="24"/>
          <w:highlight w:val="none"/>
        </w:rPr>
        <w:t>验收款支付函</w:t>
      </w:r>
      <w:r>
        <w:rPr>
          <w:rFonts w:hint="eastAsia" w:hAnsi="宋体" w:cs="宋体"/>
          <w:szCs w:val="24"/>
          <w:highlight w:val="none"/>
        </w:rPr>
        <w:t>签署后6个月内由于买方原因合同货物仍未进行考核或仍未达到技术性能考核指标，则买卖双方应在该6个月届满后7日内或专用合同条款另行约定的时间内签署结清款支付函。</w:t>
      </w:r>
    </w:p>
    <w:p>
      <w:pPr>
        <w:spacing w:line="360" w:lineRule="auto"/>
        <w:ind w:firstLine="480" w:firstLineChars="200"/>
        <w:rPr>
          <w:rFonts w:hAnsi="宋体" w:cs="宋体"/>
          <w:szCs w:val="24"/>
          <w:highlight w:val="none"/>
        </w:rPr>
      </w:pPr>
      <w:r>
        <w:rPr>
          <w:rFonts w:hint="eastAsia" w:hAnsi="宋体" w:cs="宋体"/>
          <w:szCs w:val="24"/>
          <w:highlight w:val="none"/>
        </w:rPr>
        <w:t>8.6 在第8.4款和第8.5款情形下，卖方也可单方签署结清款支付函提交买方，如果买方在收到卖方签署的结清款支付函后14日内未向卖方提出书面异议，则结清款支付函自签署之日起生效。</w:t>
      </w:r>
    </w:p>
    <w:p>
      <w:pPr>
        <w:spacing w:line="360" w:lineRule="auto"/>
        <w:ind w:firstLine="137"/>
        <w:outlineLvl w:val="2"/>
        <w:rPr>
          <w:rFonts w:ascii="黑体" w:hAnsi="黑体" w:eastAsia="黑体" w:cs="黑体"/>
          <w:sz w:val="28"/>
          <w:szCs w:val="28"/>
          <w:highlight w:val="none"/>
        </w:rPr>
      </w:pPr>
      <w:r>
        <w:rPr>
          <w:rFonts w:hint="eastAsia" w:ascii="黑体" w:hAnsi="黑体" w:eastAsia="黑体" w:cs="黑体"/>
          <w:sz w:val="28"/>
          <w:szCs w:val="28"/>
          <w:highlight w:val="none"/>
        </w:rPr>
        <w:t>9. 质保期服务</w:t>
      </w:r>
      <w:bookmarkEnd w:id="605"/>
      <w:bookmarkEnd w:id="606"/>
      <w:bookmarkEnd w:id="607"/>
      <w:bookmarkEnd w:id="608"/>
      <w:bookmarkEnd w:id="609"/>
      <w:bookmarkEnd w:id="610"/>
      <w:bookmarkEnd w:id="611"/>
      <w:bookmarkEnd w:id="612"/>
      <w:bookmarkEnd w:id="613"/>
    </w:p>
    <w:p>
      <w:pPr>
        <w:spacing w:line="360" w:lineRule="auto"/>
        <w:ind w:firstLine="480" w:firstLineChars="200"/>
        <w:rPr>
          <w:rFonts w:hAnsi="宋体" w:cs="宋体"/>
          <w:highlight w:val="none"/>
        </w:rPr>
      </w:pPr>
      <w:r>
        <w:rPr>
          <w:rFonts w:hint="eastAsia" w:hAnsi="宋体" w:cs="宋体"/>
          <w:highlight w:val="none"/>
        </w:rPr>
        <w:t>9.1 卖方应为质保期服务配备充足的技术人员、工具和备件并保证提供的联系方式畅通。除专用合同条款和（或）供货要求等合同文件另有约定外，卖方应在收到买方通知后24小时内做出响应，如需卖方到合同货物现场，卖方应在收到买方通知后48小时内到达，并在到达后7日内解决合同货物的故障（重大故障除外）。如果卖方未在上述时间内作出响应，则买方有权自行或委托他人解决相关问题或查找和解决合同货物的故障，卖方应承担由此发生的全部费用。</w:t>
      </w:r>
    </w:p>
    <w:p>
      <w:pPr>
        <w:spacing w:line="360" w:lineRule="auto"/>
        <w:ind w:firstLine="480" w:firstLineChars="200"/>
        <w:rPr>
          <w:rFonts w:hAnsi="宋体" w:cs="宋体"/>
          <w:highlight w:val="none"/>
        </w:rPr>
      </w:pPr>
      <w:r>
        <w:rPr>
          <w:rFonts w:hint="eastAsia" w:hAnsi="宋体" w:cs="宋体"/>
          <w:highlight w:val="none"/>
        </w:rPr>
        <w:t>9.2 如卖方技术人员需到合同货物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spacing w:line="360" w:lineRule="auto"/>
        <w:ind w:firstLine="480" w:firstLineChars="200"/>
        <w:rPr>
          <w:rFonts w:hAnsi="宋体" w:cs="宋体"/>
          <w:highlight w:val="none"/>
        </w:rPr>
      </w:pPr>
      <w:r>
        <w:rPr>
          <w:rFonts w:hint="eastAsia" w:hAnsi="宋体" w:cs="宋体"/>
          <w:highlight w:val="none"/>
        </w:rPr>
        <w:t>9.3 如果任何技术人员不合格，买方有权要求卖方撤换，因撤换而产生的费用应由卖方承担。在不影响质保期服务并且征得买方同意的条件下，卖方也可自负费用更换其技术人员。</w:t>
      </w:r>
    </w:p>
    <w:p>
      <w:pPr>
        <w:spacing w:line="360" w:lineRule="auto"/>
        <w:ind w:firstLine="480" w:firstLineChars="200"/>
        <w:rPr>
          <w:rFonts w:hAnsi="宋体" w:cs="宋体"/>
          <w:highlight w:val="none"/>
        </w:rPr>
      </w:pPr>
      <w:r>
        <w:rPr>
          <w:rFonts w:hint="eastAsia" w:hAnsi="宋体" w:cs="宋体"/>
          <w:highlight w:val="none"/>
        </w:rPr>
        <w:t>9.4 除专用合同条款另有约定外，卖方应就在施工现场进行质保期服务的情况进行记录，记载合同货物故障发生的时间、原因及解决情况等，由买方签字确认，并在质量保证期结束后提交给买方。</w:t>
      </w:r>
    </w:p>
    <w:p>
      <w:pPr>
        <w:spacing w:line="360" w:lineRule="auto"/>
        <w:outlineLvl w:val="2"/>
        <w:rPr>
          <w:rFonts w:ascii="黑体" w:hAnsi="黑体" w:eastAsia="黑体" w:cs="黑体"/>
          <w:sz w:val="28"/>
          <w:szCs w:val="28"/>
          <w:highlight w:val="none"/>
        </w:rPr>
      </w:pPr>
      <w:bookmarkStart w:id="614" w:name="_Toc482188755"/>
      <w:bookmarkStart w:id="615" w:name="_Toc24965156"/>
      <w:bookmarkStart w:id="616" w:name="_Toc17100676"/>
      <w:bookmarkStart w:id="617" w:name="_Toc26721390"/>
      <w:bookmarkStart w:id="618" w:name="_Toc26700656"/>
      <w:bookmarkStart w:id="619" w:name="_Toc26700486"/>
      <w:bookmarkStart w:id="620" w:name="_Toc15753912"/>
      <w:bookmarkStart w:id="621" w:name="_Toc501460764"/>
      <w:bookmarkStart w:id="622" w:name="_Toc26721545"/>
      <w:r>
        <w:rPr>
          <w:rFonts w:hint="eastAsia" w:ascii="黑体" w:hAnsi="黑体" w:eastAsia="黑体" w:cs="黑体"/>
          <w:sz w:val="28"/>
          <w:szCs w:val="28"/>
          <w:highlight w:val="none"/>
        </w:rPr>
        <w:t xml:space="preserve">10. </w:t>
      </w:r>
      <w:bookmarkEnd w:id="614"/>
      <w:r>
        <w:rPr>
          <w:rFonts w:hint="eastAsia" w:ascii="黑体" w:hAnsi="黑体" w:eastAsia="黑体" w:cs="黑体"/>
          <w:sz w:val="28"/>
          <w:szCs w:val="28"/>
          <w:highlight w:val="none"/>
        </w:rPr>
        <w:t>履约保证金</w:t>
      </w:r>
      <w:bookmarkEnd w:id="615"/>
      <w:bookmarkEnd w:id="616"/>
      <w:bookmarkEnd w:id="617"/>
      <w:bookmarkEnd w:id="618"/>
      <w:bookmarkEnd w:id="619"/>
      <w:bookmarkEnd w:id="620"/>
      <w:bookmarkEnd w:id="621"/>
      <w:bookmarkEnd w:id="622"/>
    </w:p>
    <w:p>
      <w:pPr>
        <w:spacing w:line="360" w:lineRule="auto"/>
        <w:ind w:firstLine="480" w:firstLineChars="200"/>
        <w:rPr>
          <w:rFonts w:hAnsi="宋体" w:cs="宋体"/>
          <w:highlight w:val="none"/>
        </w:rPr>
      </w:pPr>
      <w:r>
        <w:rPr>
          <w:rFonts w:hint="eastAsia" w:hAnsi="宋体" w:cs="宋体"/>
          <w:highlight w:val="none"/>
        </w:rPr>
        <w:t>除专用合同条款另有约定外，履约保证金自合同生效之日起生效，在合同货物验收证书或</w:t>
      </w:r>
      <w:r>
        <w:rPr>
          <w:rStyle w:val="65"/>
          <w:rFonts w:hint="eastAsia" w:hAnsi="宋体" w:cs="宋体"/>
          <w:sz w:val="24"/>
          <w:highlight w:val="none"/>
        </w:rPr>
        <w:t>验收款支付函</w:t>
      </w:r>
      <w:r>
        <w:rPr>
          <w:rFonts w:hint="eastAsia" w:hAnsi="宋体" w:cs="宋体"/>
          <w:highlight w:val="none"/>
        </w:rPr>
        <w:t>签署之日起28日后失效。如果卖方不履行合同约定的义务或其履行不符合合同的约定，买方有权扣划相应金额的履约保证金。</w:t>
      </w:r>
    </w:p>
    <w:p>
      <w:pPr>
        <w:spacing w:line="360" w:lineRule="auto"/>
        <w:ind w:firstLine="137"/>
        <w:outlineLvl w:val="2"/>
        <w:rPr>
          <w:rFonts w:ascii="黑体" w:hAnsi="黑体" w:eastAsia="黑体" w:cs="黑体"/>
          <w:sz w:val="28"/>
          <w:szCs w:val="28"/>
          <w:highlight w:val="none"/>
        </w:rPr>
      </w:pPr>
      <w:bookmarkStart w:id="623" w:name="_Toc24965157"/>
      <w:bookmarkStart w:id="624" w:name="_Toc26721391"/>
      <w:bookmarkStart w:id="625" w:name="_Toc26700487"/>
      <w:bookmarkStart w:id="626" w:name="_Toc482188756"/>
      <w:bookmarkStart w:id="627" w:name="_Toc26721546"/>
      <w:bookmarkStart w:id="628" w:name="_Toc26700657"/>
      <w:bookmarkStart w:id="629" w:name="_Toc15753913"/>
      <w:bookmarkStart w:id="630" w:name="_Toc17100677"/>
      <w:bookmarkStart w:id="631" w:name="_Toc501460765"/>
      <w:r>
        <w:rPr>
          <w:rFonts w:hint="eastAsia" w:ascii="黑体" w:hAnsi="黑体" w:eastAsia="黑体" w:cs="黑体"/>
          <w:sz w:val="28"/>
          <w:szCs w:val="28"/>
          <w:highlight w:val="none"/>
        </w:rPr>
        <w:t>11. 保证</w:t>
      </w:r>
      <w:bookmarkEnd w:id="623"/>
      <w:bookmarkEnd w:id="624"/>
      <w:bookmarkEnd w:id="625"/>
      <w:bookmarkEnd w:id="626"/>
      <w:bookmarkEnd w:id="627"/>
      <w:bookmarkEnd w:id="628"/>
      <w:bookmarkEnd w:id="629"/>
      <w:bookmarkEnd w:id="630"/>
      <w:bookmarkEnd w:id="631"/>
    </w:p>
    <w:p>
      <w:pPr>
        <w:spacing w:line="360" w:lineRule="auto"/>
        <w:ind w:firstLine="480" w:firstLineChars="200"/>
        <w:rPr>
          <w:rFonts w:hAnsi="宋体" w:cs="宋体"/>
          <w:highlight w:val="none"/>
        </w:rPr>
      </w:pPr>
      <w:r>
        <w:rPr>
          <w:rFonts w:hint="eastAsia" w:hAnsi="宋体" w:cs="宋体"/>
          <w:highlight w:val="none"/>
        </w:rPr>
        <w:t>11.1 卖方保证其具有完全的能力履行本合同项下的全部义务。</w:t>
      </w:r>
    </w:p>
    <w:p>
      <w:pPr>
        <w:spacing w:line="360" w:lineRule="auto"/>
        <w:ind w:firstLine="480" w:firstLineChars="200"/>
        <w:rPr>
          <w:rFonts w:hAnsi="宋体" w:cs="宋体"/>
          <w:highlight w:val="none"/>
        </w:rPr>
      </w:pPr>
      <w:r>
        <w:rPr>
          <w:rFonts w:hint="eastAsia" w:hAnsi="宋体" w:cs="宋体"/>
          <w:highlight w:val="none"/>
        </w:rPr>
        <w:t>11.2卖方保证其所提供的合同货物及对合同的履行符合所有应适用的法律、行政法规、地方性法规、自治条例和单行条例、规章及其他规范性文件的强制性规定。</w:t>
      </w:r>
    </w:p>
    <w:p>
      <w:pPr>
        <w:spacing w:line="360" w:lineRule="auto"/>
        <w:ind w:firstLine="480" w:firstLineChars="200"/>
        <w:rPr>
          <w:rFonts w:hAnsi="宋体" w:cs="宋体"/>
          <w:highlight w:val="none"/>
        </w:rPr>
      </w:pPr>
      <w:r>
        <w:rPr>
          <w:rFonts w:hint="eastAsia" w:hAnsi="宋体" w:cs="宋体"/>
          <w:highlight w:val="none"/>
        </w:rPr>
        <w:t>11.3 卖方保证其对合同货物的销售不损害任何第三方的合法权益和社会公众利益。任何第三方不会因卖方原因而基于所有权、抵押权、</w:t>
      </w:r>
      <w:bookmarkStart w:id="632" w:name="_Toc22234"/>
      <w:r>
        <w:rPr>
          <w:rFonts w:hint="eastAsia" w:hAnsi="宋体" w:cs="宋体"/>
          <w:highlight w:val="none"/>
        </w:rPr>
        <w:t>留置权或其他任何权利或事由</w:t>
      </w:r>
      <w:bookmarkEnd w:id="632"/>
      <w:r>
        <w:rPr>
          <w:rFonts w:hint="eastAsia" w:hAnsi="宋体" w:cs="宋体"/>
          <w:highlight w:val="none"/>
        </w:rPr>
        <w:t>对合同货物主张权利。</w:t>
      </w:r>
    </w:p>
    <w:p>
      <w:pPr>
        <w:spacing w:line="360" w:lineRule="auto"/>
        <w:ind w:firstLine="480" w:firstLineChars="200"/>
        <w:rPr>
          <w:rFonts w:hAnsi="宋体" w:cs="宋体"/>
          <w:highlight w:val="none"/>
        </w:rPr>
      </w:pPr>
      <w:r>
        <w:rPr>
          <w:rFonts w:hint="eastAsia" w:hAnsi="宋体" w:cs="宋体"/>
          <w:highlight w:val="none"/>
        </w:rPr>
        <w:t>11.4 卖方保证合同货物符合合同约定的规格、标准、技术性能考核指标等，能够安全和稳定地运行，且合同货物（包括全部部件）全新、完整、未使用过，除非专用合同条款和（或）供货要求等合同文件另有约定。</w:t>
      </w:r>
    </w:p>
    <w:p>
      <w:pPr>
        <w:spacing w:line="360" w:lineRule="auto"/>
        <w:ind w:firstLine="480" w:firstLineChars="200"/>
        <w:rPr>
          <w:rFonts w:hAnsi="宋体" w:cs="宋体"/>
          <w:highlight w:val="none"/>
        </w:rPr>
      </w:pPr>
      <w:r>
        <w:rPr>
          <w:rFonts w:hint="eastAsia" w:hAnsi="宋体" w:cs="宋体"/>
          <w:highlight w:val="none"/>
        </w:rPr>
        <w:t>11.5 卖方保证，卖方所提供的技术资料完整、清晰、准确，符合合同约定并且能够满足合同货物的安装、调试、考核、操作以及维修和保养的需要。</w:t>
      </w:r>
    </w:p>
    <w:p>
      <w:pPr>
        <w:spacing w:line="360" w:lineRule="auto"/>
        <w:ind w:firstLine="480" w:firstLineChars="200"/>
        <w:rPr>
          <w:rFonts w:hAnsi="宋体" w:cs="宋体"/>
          <w:highlight w:val="none"/>
        </w:rPr>
      </w:pPr>
      <w:r>
        <w:rPr>
          <w:rFonts w:hint="eastAsia" w:hAnsi="宋体" w:cs="宋体"/>
          <w:highlight w:val="none"/>
        </w:rPr>
        <w:t>11.6 卖方保证合同范围内提供的备品备件能够满足合同货物在质量保证期结束前正常运行及维修的需要，如在质量保证期结束前因卖方原因出现备品备件短缺影响合同货物正常运行的，卖方应免费提供。</w:t>
      </w:r>
    </w:p>
    <w:p>
      <w:pPr>
        <w:spacing w:line="360" w:lineRule="auto"/>
        <w:ind w:firstLine="480" w:firstLineChars="200"/>
        <w:rPr>
          <w:rFonts w:hAnsi="宋体" w:cs="宋体"/>
          <w:highlight w:val="none"/>
        </w:rPr>
      </w:pPr>
      <w:r>
        <w:rPr>
          <w:rFonts w:hint="eastAsia" w:hAnsi="宋体" w:cs="宋体"/>
          <w:highlight w:val="none"/>
        </w:rPr>
        <w:t>11.7 除专用合同条款和（或）供货要求等合同文件另有约定外，如果在合同货物设计使用寿命期内发生合同项下备品备件停止生产的情况，卖方应事先将拟停止生产的计划通知买方，使买方有足够的时间考虑备品备件的需求量。根据买方要求，卖方应：</w:t>
      </w:r>
    </w:p>
    <w:p>
      <w:pPr>
        <w:spacing w:line="360" w:lineRule="auto"/>
        <w:ind w:firstLine="480" w:firstLineChars="200"/>
        <w:rPr>
          <w:rFonts w:hAnsi="宋体" w:cs="宋体"/>
          <w:highlight w:val="none"/>
        </w:rPr>
      </w:pPr>
      <w:r>
        <w:rPr>
          <w:rFonts w:hint="eastAsia" w:hAnsi="宋体" w:cs="宋体"/>
          <w:highlight w:val="none"/>
        </w:rPr>
        <w:t>（1）以不高于同期市场价格或其向任何第三方销售同类产品的价格提供合同货物正常运行所需的全部备品备件；或</w:t>
      </w:r>
    </w:p>
    <w:p>
      <w:pPr>
        <w:spacing w:line="360" w:lineRule="auto"/>
        <w:ind w:firstLine="480" w:firstLineChars="200"/>
        <w:rPr>
          <w:rFonts w:hAnsi="宋体" w:cs="宋体"/>
          <w:highlight w:val="none"/>
        </w:rPr>
      </w:pPr>
      <w:r>
        <w:rPr>
          <w:rFonts w:hint="eastAsia" w:hAnsi="宋体" w:cs="宋体"/>
          <w:highlight w:val="none"/>
        </w:rPr>
        <w:t>（2）免费提供可供买方或第三方制造停产备品备件所需的全部技术资料，以便买方持续获得上述备品备件以满足合同货物在寿命期内正常运行的需要。卖方保证买方或买方委托的第三方制造及买方使用这些备品备件不侵犯任何人的知识产权。</w:t>
      </w:r>
    </w:p>
    <w:p>
      <w:pPr>
        <w:spacing w:line="360" w:lineRule="auto"/>
        <w:ind w:firstLine="480" w:firstLineChars="200"/>
        <w:rPr>
          <w:rFonts w:hAnsi="宋体" w:cs="宋体"/>
          <w:highlight w:val="none"/>
        </w:rPr>
      </w:pPr>
      <w:r>
        <w:rPr>
          <w:rFonts w:hint="eastAsia" w:hAnsi="宋体" w:cs="宋体"/>
          <w:highlight w:val="none"/>
        </w:rPr>
        <w:t>11.8 卖方保证，在合同货物设计使用寿命期内，如果卖方发现合同货物由于设计、制造、标识等原因存在足以危及人身、财产安全的缺陷，卖方将及时通知买方并及时采取修正或者补充标识、修理、更换等措施消除缺陷。</w:t>
      </w:r>
      <w:bookmarkStart w:id="633" w:name="_Toc6654"/>
    </w:p>
    <w:bookmarkEnd w:id="633"/>
    <w:p>
      <w:pPr>
        <w:spacing w:line="360" w:lineRule="auto"/>
        <w:ind w:firstLine="137"/>
        <w:outlineLvl w:val="2"/>
        <w:rPr>
          <w:rFonts w:ascii="黑体" w:hAnsi="黑体" w:eastAsia="黑体" w:cs="黑体"/>
          <w:sz w:val="28"/>
          <w:szCs w:val="28"/>
          <w:highlight w:val="none"/>
        </w:rPr>
      </w:pPr>
      <w:bookmarkStart w:id="634" w:name="_Toc17100678"/>
      <w:bookmarkStart w:id="635" w:name="_Toc501460766"/>
      <w:bookmarkStart w:id="636" w:name="_Toc24965158"/>
      <w:bookmarkStart w:id="637" w:name="_Toc482188757"/>
      <w:bookmarkStart w:id="638" w:name="_Toc15753914"/>
      <w:bookmarkStart w:id="639" w:name="_Toc26700658"/>
      <w:bookmarkStart w:id="640" w:name="_Toc26721392"/>
      <w:bookmarkStart w:id="641" w:name="_Toc26700488"/>
      <w:bookmarkStart w:id="642" w:name="_Toc26721547"/>
      <w:r>
        <w:rPr>
          <w:rFonts w:hint="eastAsia" w:ascii="黑体" w:hAnsi="黑体" w:eastAsia="黑体" w:cs="黑体"/>
          <w:sz w:val="28"/>
          <w:szCs w:val="28"/>
          <w:highlight w:val="none"/>
        </w:rPr>
        <w:t>12. 知识产权</w:t>
      </w:r>
      <w:bookmarkEnd w:id="634"/>
      <w:bookmarkEnd w:id="635"/>
      <w:bookmarkEnd w:id="636"/>
      <w:bookmarkEnd w:id="637"/>
      <w:bookmarkEnd w:id="638"/>
      <w:bookmarkEnd w:id="639"/>
      <w:bookmarkEnd w:id="640"/>
      <w:bookmarkEnd w:id="641"/>
      <w:bookmarkEnd w:id="642"/>
    </w:p>
    <w:p>
      <w:pPr>
        <w:spacing w:line="360" w:lineRule="auto"/>
        <w:ind w:firstLine="480" w:firstLineChars="200"/>
        <w:rPr>
          <w:rFonts w:hAnsi="宋体" w:cs="宋体"/>
          <w:highlight w:val="none"/>
        </w:rPr>
      </w:pPr>
      <w:r>
        <w:rPr>
          <w:rFonts w:hint="eastAsia" w:hAnsi="宋体" w:cs="宋体"/>
          <w:highlight w:val="none"/>
        </w:rPr>
        <w:t>12.1 买方在履行合同过程中提供给卖方的全部图纸、文件和其他含有数据和信息的资料，其知识产权属于买方。</w:t>
      </w:r>
    </w:p>
    <w:p>
      <w:pPr>
        <w:spacing w:line="360" w:lineRule="auto"/>
        <w:ind w:firstLine="480" w:firstLineChars="200"/>
        <w:rPr>
          <w:rFonts w:hAnsi="宋体" w:cs="宋体"/>
          <w:highlight w:val="none"/>
        </w:rPr>
      </w:pPr>
      <w:r>
        <w:rPr>
          <w:rFonts w:hint="eastAsia" w:hAnsi="宋体" w:cs="宋体"/>
          <w:highlight w:val="none"/>
        </w:rPr>
        <w:t xml:space="preserve">12.2 除专用合同条款另有约定外，买方不因签署和履行合同而享有卖方在履行合同过程中提供给买方的图纸、文件、配套软件、电子辅助程序和其他含有数据和信息的资料的知识产权。 </w:t>
      </w:r>
    </w:p>
    <w:p>
      <w:pPr>
        <w:spacing w:line="360" w:lineRule="auto"/>
        <w:ind w:firstLine="480" w:firstLineChars="200"/>
        <w:rPr>
          <w:rFonts w:hAnsi="宋体" w:cs="宋体"/>
          <w:highlight w:val="none"/>
        </w:rPr>
      </w:pPr>
      <w:r>
        <w:rPr>
          <w:rFonts w:hint="eastAsia" w:hAnsi="宋体" w:cs="宋体"/>
          <w:highlight w:val="none"/>
        </w:rPr>
        <w:t>12.3 如合同货物涉及知识产权，则卖方保证买方在使用合同货物过程中免于受到第三方提出的有关知识产权侵权的主张、索赔或诉讼的伤害。</w:t>
      </w:r>
    </w:p>
    <w:p>
      <w:pPr>
        <w:spacing w:line="360" w:lineRule="auto"/>
        <w:ind w:firstLine="480" w:firstLineChars="200"/>
        <w:rPr>
          <w:rFonts w:hAnsi="宋体" w:cs="宋体"/>
          <w:highlight w:val="none"/>
        </w:rPr>
      </w:pPr>
      <w:r>
        <w:rPr>
          <w:rFonts w:hint="eastAsia" w:hAnsi="宋体" w:cs="宋体"/>
          <w:highlight w:val="none"/>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pPr>
        <w:spacing w:line="360" w:lineRule="auto"/>
        <w:ind w:firstLine="137"/>
        <w:outlineLvl w:val="2"/>
        <w:rPr>
          <w:rFonts w:ascii="黑体" w:hAnsi="黑体" w:eastAsia="黑体" w:cs="黑体"/>
          <w:sz w:val="28"/>
          <w:szCs w:val="28"/>
          <w:highlight w:val="none"/>
        </w:rPr>
      </w:pPr>
      <w:bookmarkStart w:id="643" w:name="_Toc26721548"/>
      <w:bookmarkStart w:id="644" w:name="_Toc482188758"/>
      <w:bookmarkStart w:id="645" w:name="_Toc26721393"/>
      <w:bookmarkStart w:id="646" w:name="_Toc26700659"/>
      <w:bookmarkStart w:id="647" w:name="_Toc501460767"/>
      <w:bookmarkStart w:id="648" w:name="_Toc15753915"/>
      <w:bookmarkStart w:id="649" w:name="_Toc26700489"/>
      <w:bookmarkStart w:id="650" w:name="_Toc17100679"/>
      <w:bookmarkStart w:id="651" w:name="_Toc24965159"/>
      <w:r>
        <w:rPr>
          <w:rFonts w:hint="eastAsia" w:ascii="黑体" w:hAnsi="黑体" w:eastAsia="黑体" w:cs="黑体"/>
          <w:sz w:val="28"/>
          <w:szCs w:val="28"/>
          <w:highlight w:val="none"/>
        </w:rPr>
        <w:t>13. 保密</w:t>
      </w:r>
      <w:bookmarkEnd w:id="643"/>
      <w:bookmarkEnd w:id="644"/>
      <w:bookmarkEnd w:id="645"/>
      <w:bookmarkEnd w:id="646"/>
      <w:bookmarkEnd w:id="647"/>
      <w:bookmarkEnd w:id="648"/>
      <w:bookmarkEnd w:id="649"/>
      <w:bookmarkEnd w:id="650"/>
      <w:bookmarkEnd w:id="651"/>
    </w:p>
    <w:p>
      <w:pPr>
        <w:spacing w:line="360" w:lineRule="auto"/>
        <w:ind w:firstLine="480" w:firstLineChars="200"/>
        <w:rPr>
          <w:rFonts w:hAnsi="宋体" w:cs="宋体"/>
          <w:highlight w:val="none"/>
        </w:rPr>
      </w:pPr>
      <w:r>
        <w:rPr>
          <w:rFonts w:hint="eastAsia" w:hAnsi="宋体" w:cs="宋体"/>
          <w:highlight w:val="none"/>
        </w:rPr>
        <w:t>合同双方应对因履行合同而取得的另一方当事人的信息、资料等予以保密。未经另一方当事人书面同意，任何一方均不得为与履行合同无关的目的使用或向第三方披露另一方当事人提供的信息、资料。</w:t>
      </w:r>
    </w:p>
    <w:p>
      <w:pPr>
        <w:spacing w:line="360" w:lineRule="auto"/>
        <w:ind w:firstLine="480" w:firstLineChars="200"/>
        <w:rPr>
          <w:rFonts w:hAnsi="宋体" w:cs="宋体"/>
          <w:highlight w:val="none"/>
        </w:rPr>
      </w:pPr>
      <w:r>
        <w:rPr>
          <w:rFonts w:hint="eastAsia" w:hAnsi="宋体" w:cs="宋体"/>
          <w:highlight w:val="none"/>
        </w:rPr>
        <w:t>合同当事人的保密义务不适用于下列信息：</w:t>
      </w:r>
    </w:p>
    <w:p>
      <w:pPr>
        <w:numPr>
          <w:ilvl w:val="0"/>
          <w:numId w:val="4"/>
        </w:numPr>
        <w:spacing w:line="360" w:lineRule="auto"/>
        <w:ind w:firstLine="480" w:firstLineChars="200"/>
        <w:rPr>
          <w:rFonts w:hAnsi="宋体" w:cs="宋体"/>
          <w:highlight w:val="none"/>
        </w:rPr>
      </w:pPr>
      <w:r>
        <w:rPr>
          <w:rFonts w:hint="eastAsia" w:hAnsi="宋体" w:cs="宋体"/>
          <w:highlight w:val="none"/>
        </w:rPr>
        <w:t>非因接受信息一方的过失现在或以后进入公共领域的信息；</w:t>
      </w:r>
    </w:p>
    <w:p>
      <w:pPr>
        <w:spacing w:line="360" w:lineRule="auto"/>
        <w:ind w:firstLine="480" w:firstLineChars="200"/>
        <w:rPr>
          <w:rFonts w:hAnsi="宋体" w:cs="宋体"/>
          <w:highlight w:val="none"/>
        </w:rPr>
      </w:pPr>
      <w:r>
        <w:rPr>
          <w:rFonts w:hint="eastAsia" w:hAnsi="宋体" w:cs="宋体"/>
          <w:highlight w:val="none"/>
        </w:rPr>
        <w:t>（2）接受信息一方当事人合法地从第三方获得并且据其善意了解第三方也不对此承担保密义务的信息；</w:t>
      </w:r>
    </w:p>
    <w:p>
      <w:pPr>
        <w:spacing w:line="360" w:lineRule="auto"/>
        <w:ind w:firstLine="480" w:firstLineChars="200"/>
        <w:rPr>
          <w:rFonts w:hAnsi="宋体" w:cs="宋体"/>
          <w:highlight w:val="none"/>
        </w:rPr>
      </w:pPr>
      <w:r>
        <w:rPr>
          <w:rFonts w:hint="eastAsia" w:hAnsi="宋体" w:cs="宋体"/>
          <w:highlight w:val="none"/>
        </w:rPr>
        <w:t>（3）法律或法律的执行要求披露的信息。</w:t>
      </w:r>
    </w:p>
    <w:p>
      <w:pPr>
        <w:spacing w:line="360" w:lineRule="auto"/>
        <w:ind w:firstLine="137"/>
        <w:outlineLvl w:val="2"/>
        <w:rPr>
          <w:rFonts w:ascii="黑体" w:hAnsi="黑体" w:eastAsia="黑体" w:cs="黑体"/>
          <w:sz w:val="28"/>
          <w:szCs w:val="28"/>
          <w:highlight w:val="none"/>
        </w:rPr>
      </w:pPr>
      <w:bookmarkStart w:id="652" w:name="_Toc501460768"/>
      <w:bookmarkStart w:id="653" w:name="_Toc26700490"/>
      <w:bookmarkStart w:id="654" w:name="_Toc482188759"/>
      <w:bookmarkStart w:id="655" w:name="_Toc17100680"/>
      <w:bookmarkStart w:id="656" w:name="_Toc15753916"/>
      <w:bookmarkStart w:id="657" w:name="_Toc26721549"/>
      <w:bookmarkStart w:id="658" w:name="_Toc24965160"/>
      <w:bookmarkStart w:id="659" w:name="_Toc26721394"/>
      <w:bookmarkStart w:id="660" w:name="_Toc26700660"/>
      <w:r>
        <w:rPr>
          <w:rFonts w:hint="eastAsia" w:ascii="黑体" w:hAnsi="黑体" w:eastAsia="黑体" w:cs="黑体"/>
          <w:sz w:val="28"/>
          <w:szCs w:val="28"/>
          <w:highlight w:val="none"/>
        </w:rPr>
        <w:t>14. 违约责任</w:t>
      </w:r>
      <w:bookmarkEnd w:id="652"/>
      <w:bookmarkEnd w:id="653"/>
      <w:bookmarkEnd w:id="654"/>
      <w:bookmarkEnd w:id="655"/>
      <w:bookmarkEnd w:id="656"/>
      <w:bookmarkEnd w:id="657"/>
      <w:bookmarkEnd w:id="658"/>
      <w:bookmarkEnd w:id="659"/>
      <w:bookmarkEnd w:id="660"/>
    </w:p>
    <w:p>
      <w:pPr>
        <w:spacing w:line="360" w:lineRule="auto"/>
        <w:ind w:firstLine="480" w:firstLineChars="200"/>
        <w:rPr>
          <w:rFonts w:hAnsi="宋体" w:cs="宋体"/>
          <w:highlight w:val="none"/>
        </w:rPr>
      </w:pPr>
      <w:r>
        <w:rPr>
          <w:rFonts w:hint="eastAsia" w:hAnsi="宋体" w:cs="宋体"/>
          <w:highlight w:val="none"/>
        </w:rPr>
        <w:t>14.1合同一方不履行合同义务、履行合同义务不符合约定或者违反合同项下所作保证的，应向对方承担继续履行、采取修理、更换、退货等补救措施或者赔偿损失等违约责任。</w:t>
      </w:r>
    </w:p>
    <w:p>
      <w:pPr>
        <w:spacing w:line="360" w:lineRule="auto"/>
        <w:ind w:firstLine="480" w:firstLineChars="200"/>
        <w:rPr>
          <w:rFonts w:hAnsi="宋体" w:cs="宋体"/>
          <w:szCs w:val="24"/>
          <w:highlight w:val="none"/>
        </w:rPr>
      </w:pPr>
      <w:bookmarkStart w:id="661" w:name="_Toc24965161"/>
      <w:bookmarkStart w:id="662" w:name="_Toc501460769"/>
      <w:bookmarkStart w:id="663" w:name="_Toc26700491"/>
      <w:bookmarkStart w:id="664" w:name="_Toc482188760"/>
      <w:bookmarkStart w:id="665" w:name="_Toc26700661"/>
      <w:bookmarkStart w:id="666" w:name="_Toc17100681"/>
      <w:bookmarkStart w:id="667" w:name="_Toc15753917"/>
      <w:bookmarkStart w:id="668" w:name="_Toc26721395"/>
      <w:bookmarkStart w:id="669" w:name="_Toc26721550"/>
      <w:r>
        <w:rPr>
          <w:rFonts w:hint="eastAsia" w:hAnsi="宋体" w:cs="宋体"/>
          <w:szCs w:val="24"/>
          <w:highlight w:val="none"/>
        </w:rPr>
        <w:t>14.2 卖方未能按时交付合同货物（包括仅迟延交付技术资料但足以导致合同货物安装、调试、考核、验收工作推迟的）的，应向买方支付迟延交付违约金。除专用合同条款另有约定外，迟延交付违约金的计算方法如下：</w:t>
      </w:r>
    </w:p>
    <w:p>
      <w:pPr>
        <w:spacing w:line="360" w:lineRule="auto"/>
        <w:ind w:left="480" w:leftChars="200"/>
        <w:rPr>
          <w:rFonts w:hAnsi="宋体" w:cs="宋体"/>
          <w:szCs w:val="24"/>
          <w:highlight w:val="none"/>
        </w:rPr>
      </w:pPr>
      <w:r>
        <w:rPr>
          <w:rFonts w:hint="eastAsia" w:hAnsi="宋体" w:cs="宋体"/>
          <w:szCs w:val="24"/>
          <w:highlight w:val="none"/>
        </w:rPr>
        <w:t>（1）从迟交的第一周到第四周，每周迟延交付违约金为迟交合同货物价格的0.5%；</w:t>
      </w:r>
    </w:p>
    <w:p>
      <w:pPr>
        <w:spacing w:line="360" w:lineRule="auto"/>
        <w:ind w:left="480" w:leftChars="200"/>
        <w:rPr>
          <w:rFonts w:hAnsi="宋体" w:cs="宋体"/>
          <w:szCs w:val="24"/>
          <w:highlight w:val="none"/>
        </w:rPr>
      </w:pPr>
      <w:r>
        <w:rPr>
          <w:rFonts w:hint="eastAsia" w:hAnsi="宋体" w:cs="宋体"/>
          <w:szCs w:val="24"/>
          <w:highlight w:val="none"/>
        </w:rPr>
        <w:t>（2）从迟交的第五周到第八周，每周迟延交付违约金为迟交合同货物价格的1%；</w:t>
      </w:r>
    </w:p>
    <w:p>
      <w:pPr>
        <w:spacing w:line="360" w:lineRule="auto"/>
        <w:ind w:left="480" w:leftChars="200"/>
        <w:rPr>
          <w:rFonts w:hAnsi="宋体" w:cs="宋体"/>
          <w:szCs w:val="24"/>
          <w:highlight w:val="none"/>
        </w:rPr>
      </w:pPr>
      <w:r>
        <w:rPr>
          <w:rFonts w:hint="eastAsia" w:hAnsi="宋体" w:cs="宋体"/>
          <w:szCs w:val="24"/>
          <w:highlight w:val="none"/>
        </w:rPr>
        <w:t>（3）从迟交第九周起，每周迟延交付违约金为迟交合同货物价格的1.5%。</w:t>
      </w:r>
    </w:p>
    <w:p>
      <w:pPr>
        <w:spacing w:line="360" w:lineRule="auto"/>
        <w:ind w:firstLine="480" w:firstLineChars="200"/>
        <w:rPr>
          <w:rFonts w:hAnsi="宋体" w:cs="宋体"/>
          <w:szCs w:val="24"/>
          <w:highlight w:val="none"/>
        </w:rPr>
      </w:pPr>
      <w:r>
        <w:rPr>
          <w:rFonts w:hint="eastAsia" w:hAnsi="宋体" w:cs="宋体"/>
          <w:szCs w:val="24"/>
          <w:highlight w:val="none"/>
        </w:rPr>
        <w:t>在计算迟延交付违约金时，迟交不足一周的按一周计算。迟延交付违约金的总额不得超过合同价格的10%。</w:t>
      </w:r>
    </w:p>
    <w:p>
      <w:pPr>
        <w:spacing w:line="360" w:lineRule="auto"/>
        <w:ind w:firstLine="480" w:firstLineChars="200"/>
        <w:rPr>
          <w:rFonts w:hAnsi="宋体" w:cs="宋体"/>
          <w:szCs w:val="24"/>
          <w:highlight w:val="none"/>
        </w:rPr>
      </w:pPr>
      <w:r>
        <w:rPr>
          <w:rFonts w:hint="eastAsia" w:hAnsi="宋体" w:cs="宋体"/>
          <w:szCs w:val="24"/>
          <w:highlight w:val="none"/>
        </w:rPr>
        <w:t>迟延交付违约金的支付不能免除卖方继续交付相关合同货物的义务，但如迟延交付必然导致合同货物安装、调试、考核、验收工作推迟的，相关工作应相应顺延。</w:t>
      </w:r>
    </w:p>
    <w:p>
      <w:pPr>
        <w:spacing w:line="360" w:lineRule="auto"/>
        <w:ind w:firstLine="480" w:firstLineChars="200"/>
        <w:rPr>
          <w:rFonts w:hAnsi="宋体" w:cs="宋体"/>
          <w:szCs w:val="24"/>
          <w:highlight w:val="none"/>
        </w:rPr>
      </w:pPr>
      <w:r>
        <w:rPr>
          <w:rFonts w:hint="eastAsia" w:hAnsi="宋体" w:cs="宋体"/>
          <w:szCs w:val="24"/>
          <w:highlight w:val="none"/>
        </w:rPr>
        <w:t>14.3买方未能按合同约定支付合同价款的，应向卖方支付延迟付款违约金。除专用合同条款另有约定外，迟延付款违约金的计算方法如下：</w:t>
      </w:r>
    </w:p>
    <w:p>
      <w:pPr>
        <w:spacing w:line="360" w:lineRule="auto"/>
        <w:ind w:firstLine="480" w:firstLineChars="200"/>
        <w:rPr>
          <w:rFonts w:hAnsi="宋体" w:cs="宋体"/>
          <w:szCs w:val="24"/>
          <w:highlight w:val="none"/>
        </w:rPr>
      </w:pPr>
      <w:r>
        <w:rPr>
          <w:rFonts w:hint="eastAsia" w:hAnsi="宋体" w:cs="宋体"/>
          <w:szCs w:val="24"/>
          <w:highlight w:val="none"/>
        </w:rPr>
        <w:t>（1）从迟付的第一周到第四周，每周迟延付款违约金为迟延付款金额的0.5%；</w:t>
      </w:r>
    </w:p>
    <w:p>
      <w:pPr>
        <w:spacing w:line="360" w:lineRule="auto"/>
        <w:ind w:left="480" w:leftChars="200"/>
        <w:rPr>
          <w:rFonts w:hAnsi="宋体" w:cs="宋体"/>
          <w:szCs w:val="24"/>
          <w:highlight w:val="none"/>
        </w:rPr>
      </w:pPr>
      <w:r>
        <w:rPr>
          <w:rFonts w:hint="eastAsia" w:hAnsi="宋体" w:cs="宋体"/>
          <w:szCs w:val="24"/>
          <w:highlight w:val="none"/>
        </w:rPr>
        <w:t>（2）从迟付的第五周到第八周，每周迟延付款违约金为迟延付款金额的1%；</w:t>
      </w:r>
    </w:p>
    <w:p>
      <w:pPr>
        <w:spacing w:line="360" w:lineRule="auto"/>
        <w:ind w:left="480" w:leftChars="200"/>
        <w:rPr>
          <w:rFonts w:hAnsi="宋体" w:cs="宋体"/>
          <w:szCs w:val="24"/>
          <w:highlight w:val="none"/>
        </w:rPr>
      </w:pPr>
      <w:r>
        <w:rPr>
          <w:rFonts w:hint="eastAsia" w:hAnsi="宋体" w:cs="宋体"/>
          <w:szCs w:val="24"/>
          <w:highlight w:val="none"/>
        </w:rPr>
        <w:t>（3）从迟付第九周起，每周迟延付款违约金为迟延付款金额的1.5%。</w:t>
      </w:r>
    </w:p>
    <w:p>
      <w:pPr>
        <w:spacing w:line="360" w:lineRule="auto"/>
        <w:ind w:firstLine="636" w:firstLineChars="265"/>
        <w:rPr>
          <w:rFonts w:hAnsi="宋体" w:cs="宋体"/>
          <w:szCs w:val="24"/>
          <w:highlight w:val="none"/>
        </w:rPr>
      </w:pPr>
      <w:r>
        <w:rPr>
          <w:rFonts w:hint="eastAsia" w:hAnsi="宋体" w:cs="宋体"/>
          <w:szCs w:val="24"/>
          <w:highlight w:val="none"/>
        </w:rPr>
        <w:t>在计算迟延付款违约金时，迟付不足一周的按一周计算。迟延付款违约金的总额不得超过合同价格的10%。</w:t>
      </w:r>
    </w:p>
    <w:p>
      <w:pPr>
        <w:spacing w:line="360" w:lineRule="auto"/>
        <w:ind w:firstLine="137"/>
        <w:outlineLvl w:val="2"/>
        <w:rPr>
          <w:rFonts w:ascii="黑体" w:hAnsi="黑体" w:eastAsia="黑体" w:cs="黑体"/>
          <w:sz w:val="28"/>
          <w:szCs w:val="28"/>
          <w:highlight w:val="none"/>
        </w:rPr>
      </w:pPr>
      <w:r>
        <w:rPr>
          <w:rFonts w:hint="eastAsia" w:ascii="黑体" w:hAnsi="黑体" w:eastAsia="黑体" w:cs="黑体"/>
          <w:sz w:val="28"/>
          <w:szCs w:val="28"/>
          <w:highlight w:val="none"/>
        </w:rPr>
        <w:t>15. 合同的解除</w:t>
      </w:r>
      <w:bookmarkEnd w:id="661"/>
      <w:bookmarkEnd w:id="662"/>
      <w:bookmarkEnd w:id="663"/>
      <w:bookmarkEnd w:id="664"/>
      <w:bookmarkEnd w:id="665"/>
      <w:bookmarkEnd w:id="666"/>
      <w:bookmarkEnd w:id="667"/>
      <w:bookmarkEnd w:id="668"/>
      <w:bookmarkEnd w:id="669"/>
    </w:p>
    <w:p>
      <w:pPr>
        <w:spacing w:line="360" w:lineRule="auto"/>
        <w:ind w:firstLine="480" w:firstLineChars="200"/>
        <w:rPr>
          <w:rFonts w:hAnsi="宋体" w:cs="宋体"/>
          <w:highlight w:val="none"/>
        </w:rPr>
      </w:pPr>
      <w:r>
        <w:rPr>
          <w:rFonts w:hint="eastAsia" w:hAnsi="宋体" w:cs="宋体"/>
          <w:highlight w:val="none"/>
        </w:rPr>
        <w:t>除专用合同条款另有约定外，有下述情形之一，当事人可发出书面通知全部或部分地解除合同，合同自通知到达对方时全部或部分地解除：</w:t>
      </w:r>
    </w:p>
    <w:p>
      <w:pPr>
        <w:spacing w:line="360" w:lineRule="auto"/>
        <w:ind w:firstLine="480" w:firstLineChars="200"/>
        <w:rPr>
          <w:rFonts w:hAnsi="宋体" w:cs="宋体"/>
          <w:highlight w:val="none"/>
        </w:rPr>
      </w:pPr>
      <w:r>
        <w:rPr>
          <w:rFonts w:hint="eastAsia" w:hAnsi="宋体" w:cs="宋体"/>
          <w:highlight w:val="none"/>
        </w:rPr>
        <w:t>（1）卖方迟延交付合同货物超过3个月；</w:t>
      </w:r>
    </w:p>
    <w:p>
      <w:pPr>
        <w:spacing w:line="360" w:lineRule="auto"/>
        <w:ind w:firstLine="480" w:firstLineChars="200"/>
        <w:rPr>
          <w:rFonts w:hAnsi="宋体" w:cs="宋体"/>
          <w:highlight w:val="none"/>
        </w:rPr>
      </w:pPr>
      <w:r>
        <w:rPr>
          <w:rFonts w:hint="eastAsia" w:hAnsi="宋体" w:cs="宋体"/>
          <w:highlight w:val="none"/>
        </w:rPr>
        <w:t>（2）合同货物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spacing w:line="360" w:lineRule="auto"/>
        <w:ind w:firstLine="480" w:firstLineChars="200"/>
        <w:rPr>
          <w:rFonts w:hAnsi="宋体" w:cs="宋体"/>
          <w:highlight w:val="none"/>
        </w:rPr>
      </w:pPr>
      <w:r>
        <w:rPr>
          <w:rFonts w:hint="eastAsia" w:hAnsi="宋体" w:cs="宋体"/>
          <w:highlight w:val="none"/>
        </w:rPr>
        <w:t>（3）买方迟延付款超过3个月；</w:t>
      </w:r>
    </w:p>
    <w:p>
      <w:pPr>
        <w:spacing w:line="360" w:lineRule="auto"/>
        <w:ind w:firstLine="480" w:firstLineChars="200"/>
        <w:rPr>
          <w:rFonts w:hAnsi="宋体" w:cs="宋体"/>
          <w:highlight w:val="none"/>
        </w:rPr>
      </w:pPr>
      <w:r>
        <w:rPr>
          <w:rFonts w:hint="eastAsia" w:hAnsi="宋体" w:cs="宋体"/>
          <w:highlight w:val="none"/>
        </w:rPr>
        <w:t>（4）合同一方当事人未能履行合同项下任何其他义务（细微义务除外），或在未事先征得另一方当事人同意的情况下，从事任何可能在实质上不利影响其履行合同能力的活动，经另一方当事人书面通知后14日内或在专用合同条款约定的其他期限内未能对其行为作出</w:t>
      </w:r>
      <w:bookmarkStart w:id="670" w:name="_Toc369531680"/>
      <w:bookmarkStart w:id="671" w:name="_Toc31629"/>
      <w:r>
        <w:rPr>
          <w:rFonts w:hint="eastAsia" w:hAnsi="宋体" w:cs="宋体"/>
          <w:highlight w:val="none"/>
        </w:rPr>
        <w:t>补救；</w:t>
      </w:r>
    </w:p>
    <w:p>
      <w:pPr>
        <w:spacing w:line="360" w:lineRule="auto"/>
        <w:ind w:firstLine="480" w:firstLineChars="200"/>
        <w:rPr>
          <w:rFonts w:hAnsi="宋体" w:cs="宋体"/>
          <w:highlight w:val="none"/>
        </w:rPr>
      </w:pPr>
      <w:r>
        <w:rPr>
          <w:rFonts w:hint="eastAsia" w:hAnsi="宋体" w:cs="宋体"/>
          <w:highlight w:val="none"/>
        </w:rPr>
        <w:t>（5）合同一方当事人出现破产、清算、资不抵债、成为失信被执行人等可能丧失履约能力的情形，且未能提供令对方满意的履约保证金。</w:t>
      </w:r>
    </w:p>
    <w:bookmarkEnd w:id="670"/>
    <w:bookmarkEnd w:id="671"/>
    <w:p>
      <w:pPr>
        <w:spacing w:line="360" w:lineRule="auto"/>
        <w:ind w:firstLine="137"/>
        <w:outlineLvl w:val="2"/>
        <w:rPr>
          <w:rFonts w:ascii="黑体" w:hAnsi="黑体" w:eastAsia="黑体" w:cs="黑体"/>
          <w:sz w:val="28"/>
          <w:szCs w:val="28"/>
          <w:highlight w:val="none"/>
        </w:rPr>
      </w:pPr>
      <w:bookmarkStart w:id="672" w:name="_Toc24965162"/>
      <w:bookmarkStart w:id="673" w:name="_Toc17100682"/>
      <w:bookmarkStart w:id="674" w:name="_Toc501460770"/>
      <w:bookmarkStart w:id="675" w:name="_Toc26700662"/>
      <w:bookmarkStart w:id="676" w:name="_Toc482188761"/>
      <w:bookmarkStart w:id="677" w:name="_Toc15753918"/>
      <w:bookmarkStart w:id="678" w:name="_Toc26700492"/>
      <w:bookmarkStart w:id="679" w:name="_Toc26721551"/>
      <w:bookmarkStart w:id="680" w:name="_Toc26721396"/>
      <w:r>
        <w:rPr>
          <w:rFonts w:hint="eastAsia" w:ascii="黑体" w:hAnsi="黑体" w:eastAsia="黑体" w:cs="黑体"/>
          <w:sz w:val="28"/>
          <w:szCs w:val="28"/>
          <w:highlight w:val="none"/>
        </w:rPr>
        <w:t>16. 不可抗力</w:t>
      </w:r>
      <w:bookmarkEnd w:id="672"/>
      <w:bookmarkEnd w:id="673"/>
      <w:bookmarkEnd w:id="674"/>
      <w:bookmarkEnd w:id="675"/>
      <w:bookmarkEnd w:id="676"/>
      <w:bookmarkEnd w:id="677"/>
      <w:bookmarkEnd w:id="678"/>
      <w:bookmarkEnd w:id="679"/>
      <w:bookmarkEnd w:id="680"/>
    </w:p>
    <w:p>
      <w:pPr>
        <w:spacing w:line="360" w:lineRule="auto"/>
        <w:ind w:firstLine="480" w:firstLineChars="200"/>
        <w:rPr>
          <w:rFonts w:hAnsi="宋体" w:cs="宋体"/>
          <w:highlight w:val="none"/>
        </w:rPr>
      </w:pPr>
      <w:r>
        <w:rPr>
          <w:rFonts w:hint="eastAsia" w:hAnsi="宋体" w:cs="宋体"/>
          <w:highlight w:val="none"/>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pPr>
        <w:spacing w:line="360" w:lineRule="auto"/>
        <w:ind w:firstLine="480" w:firstLineChars="200"/>
        <w:rPr>
          <w:rFonts w:hAnsi="宋体" w:cs="宋体"/>
          <w:highlight w:val="none"/>
        </w:rPr>
      </w:pPr>
      <w:r>
        <w:rPr>
          <w:rFonts w:hint="eastAsia" w:hAnsi="宋体" w:cs="宋体"/>
          <w:highlight w:val="none"/>
        </w:rPr>
        <w:t>16.2 受不可抗力事件影响的一方当事人对于不可抗力事件导致的任何合同义务的迟延履行或不能履行不承担违</w:t>
      </w:r>
      <w:bookmarkStart w:id="681" w:name="_Toc369531672"/>
      <w:bookmarkStart w:id="682" w:name="_Toc6667"/>
      <w:r>
        <w:rPr>
          <w:rFonts w:hint="eastAsia" w:hAnsi="宋体" w:cs="宋体"/>
          <w:highlight w:val="none"/>
        </w:rPr>
        <w:t>约责任。但该方</w:t>
      </w:r>
      <w:bookmarkEnd w:id="681"/>
      <w:r>
        <w:rPr>
          <w:rFonts w:hint="eastAsia" w:hAnsi="宋体" w:cs="宋体"/>
          <w:highlight w:val="none"/>
        </w:rPr>
        <w:t>当事</w:t>
      </w:r>
      <w:bookmarkEnd w:id="682"/>
      <w:r>
        <w:rPr>
          <w:rFonts w:hint="eastAsia" w:hAnsi="宋体" w:cs="宋体"/>
          <w:highlight w:val="none"/>
        </w:rPr>
        <w:t>人</w:t>
      </w:r>
      <w:bookmarkStart w:id="683" w:name="_Toc369531673"/>
      <w:bookmarkStart w:id="684" w:name="_Toc28096"/>
      <w:r>
        <w:rPr>
          <w:rFonts w:hint="eastAsia" w:hAnsi="宋体" w:cs="宋体"/>
          <w:highlight w:val="none"/>
        </w:rPr>
        <w:t>应尽快将</w:t>
      </w:r>
      <w:bookmarkEnd w:id="683"/>
      <w:r>
        <w:rPr>
          <w:rFonts w:hint="eastAsia" w:hAnsi="宋体" w:cs="宋体"/>
          <w:highlight w:val="none"/>
        </w:rPr>
        <w:t>不可</w:t>
      </w:r>
      <w:bookmarkEnd w:id="684"/>
      <w:r>
        <w:rPr>
          <w:rFonts w:hint="eastAsia" w:hAnsi="宋体" w:cs="宋体"/>
          <w:highlight w:val="none"/>
        </w:rPr>
        <w:t>抗力事件结束或消除的情况通知另一方当事人。</w:t>
      </w:r>
    </w:p>
    <w:p>
      <w:pPr>
        <w:spacing w:line="360" w:lineRule="auto"/>
        <w:ind w:firstLine="480" w:firstLineChars="200"/>
        <w:rPr>
          <w:rFonts w:hAnsi="宋体" w:cs="宋体"/>
          <w:highlight w:val="none"/>
        </w:rPr>
      </w:pPr>
      <w:r>
        <w:rPr>
          <w:rFonts w:hint="eastAsia" w:hAnsi="宋体" w:cs="宋体"/>
          <w:highlight w:val="none"/>
        </w:rPr>
        <w:t>16.3 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pPr>
        <w:spacing w:line="360" w:lineRule="auto"/>
        <w:ind w:firstLine="137"/>
        <w:outlineLvl w:val="2"/>
        <w:rPr>
          <w:rFonts w:ascii="黑体" w:hAnsi="黑体" w:eastAsia="黑体" w:cs="黑体"/>
          <w:sz w:val="28"/>
          <w:szCs w:val="28"/>
          <w:highlight w:val="none"/>
        </w:rPr>
      </w:pPr>
      <w:bookmarkStart w:id="685" w:name="_Toc26700493"/>
      <w:bookmarkStart w:id="686" w:name="_Toc26721397"/>
      <w:bookmarkStart w:id="687" w:name="_Toc26700663"/>
      <w:bookmarkStart w:id="688" w:name="_Toc15753919"/>
      <w:bookmarkStart w:id="689" w:name="_Toc17100683"/>
      <w:bookmarkStart w:id="690" w:name="_Toc482188762"/>
      <w:bookmarkStart w:id="691" w:name="_Toc501460771"/>
      <w:bookmarkStart w:id="692" w:name="_Toc26721552"/>
      <w:bookmarkStart w:id="693" w:name="_Toc24965163"/>
      <w:r>
        <w:rPr>
          <w:rFonts w:hint="eastAsia" w:ascii="黑体" w:hAnsi="黑体" w:eastAsia="黑体" w:cs="黑体"/>
          <w:sz w:val="28"/>
          <w:szCs w:val="28"/>
          <w:highlight w:val="none"/>
        </w:rPr>
        <w:t>17. 争议的解决</w:t>
      </w:r>
      <w:bookmarkEnd w:id="685"/>
      <w:bookmarkEnd w:id="686"/>
      <w:bookmarkEnd w:id="687"/>
      <w:bookmarkEnd w:id="688"/>
      <w:bookmarkEnd w:id="689"/>
      <w:bookmarkEnd w:id="690"/>
      <w:bookmarkEnd w:id="691"/>
      <w:bookmarkEnd w:id="692"/>
      <w:bookmarkEnd w:id="693"/>
    </w:p>
    <w:p>
      <w:pPr>
        <w:spacing w:line="360" w:lineRule="auto"/>
        <w:ind w:firstLine="480" w:firstLineChars="200"/>
        <w:rPr>
          <w:rFonts w:hAnsi="宋体" w:cs="宋体"/>
          <w:highlight w:val="none"/>
        </w:rPr>
      </w:pPr>
      <w:r>
        <w:rPr>
          <w:rFonts w:hint="eastAsia" w:hAnsi="宋体" w:cs="宋体"/>
          <w:highlight w:val="none"/>
          <w:shd w:val="clear" w:color="auto" w:fill="FFFFFF"/>
        </w:rPr>
        <w:t>因本合同引起的或与本合同有关的任何争议，</w:t>
      </w:r>
      <w:r>
        <w:rPr>
          <w:rFonts w:hint="eastAsia" w:hAnsi="宋体" w:cs="宋体"/>
          <w:highlight w:val="none"/>
        </w:rPr>
        <w:t>双方可通过友好协商解决。友好协商解决不成的，可在专用合同条款中约定下列一种方式解决：</w:t>
      </w:r>
    </w:p>
    <w:p>
      <w:pPr>
        <w:spacing w:line="360" w:lineRule="auto"/>
        <w:ind w:firstLine="480" w:firstLineChars="200"/>
        <w:rPr>
          <w:rFonts w:hAnsi="宋体" w:cs="宋体"/>
          <w:highlight w:val="none"/>
        </w:rPr>
      </w:pPr>
      <w:r>
        <w:rPr>
          <w:rFonts w:hint="eastAsia" w:hAnsi="宋体" w:cs="宋体"/>
          <w:highlight w:val="none"/>
        </w:rPr>
        <w:t>（1）向约定的仲裁委员会申请仲裁；</w:t>
      </w:r>
    </w:p>
    <w:p>
      <w:pPr>
        <w:spacing w:line="360" w:lineRule="auto"/>
        <w:ind w:firstLine="480" w:firstLineChars="200"/>
        <w:rPr>
          <w:rFonts w:hAnsi="宋体" w:cs="宋体"/>
          <w:highlight w:val="none"/>
        </w:rPr>
      </w:pPr>
      <w:r>
        <w:rPr>
          <w:rFonts w:hint="eastAsia" w:hAnsi="宋体" w:cs="宋体"/>
          <w:highlight w:val="none"/>
        </w:rPr>
        <w:t>（2）向有管辖权的人民法院提起诉讼。</w:t>
      </w:r>
    </w:p>
    <w:p>
      <w:pPr>
        <w:spacing w:line="360" w:lineRule="auto"/>
        <w:ind w:firstLine="480" w:firstLineChars="200"/>
        <w:rPr>
          <w:szCs w:val="21"/>
          <w:highlight w:val="none"/>
        </w:rPr>
      </w:pPr>
      <w:r>
        <w:rPr>
          <w:szCs w:val="21"/>
          <w:highlight w:val="none"/>
        </w:rPr>
        <w:br w:type="page"/>
      </w:r>
    </w:p>
    <w:p>
      <w:pPr>
        <w:pStyle w:val="4"/>
        <w:spacing w:before="0" w:after="0" w:line="360" w:lineRule="auto"/>
        <w:ind w:firstLine="640" w:firstLineChars="200"/>
        <w:jc w:val="center"/>
        <w:rPr>
          <w:rFonts w:ascii="Times New Roman" w:hAnsi="Times New Roman"/>
          <w:b w:val="0"/>
          <w:highlight w:val="none"/>
        </w:rPr>
      </w:pPr>
      <w:bookmarkStart w:id="694" w:name="_Toc501460712"/>
      <w:bookmarkStart w:id="695" w:name="_Toc26556"/>
      <w:bookmarkStart w:id="696" w:name="_Toc140069433"/>
      <w:bookmarkStart w:id="697" w:name="_Toc152042546"/>
      <w:bookmarkStart w:id="698" w:name="_Toc144974826"/>
      <w:bookmarkStart w:id="699" w:name="_Toc179632785"/>
      <w:bookmarkStart w:id="700" w:name="_Toc152045767"/>
      <w:r>
        <w:rPr>
          <w:rFonts w:ascii="Times New Roman" w:hAnsi="Times New Roman"/>
          <w:b w:val="0"/>
          <w:highlight w:val="none"/>
        </w:rPr>
        <w:t>第二节专用合同条款</w:t>
      </w:r>
      <w:bookmarkEnd w:id="694"/>
      <w:bookmarkEnd w:id="695"/>
      <w:bookmarkEnd w:id="696"/>
    </w:p>
    <w:p>
      <w:pPr>
        <w:spacing w:line="360" w:lineRule="auto"/>
        <w:ind w:firstLine="480" w:firstLineChars="200"/>
        <w:rPr>
          <w:rFonts w:hAnsi="宋体" w:cs="宋体"/>
          <w:highlight w:val="none"/>
          <w:shd w:val="clear" w:color="auto" w:fill="FFFFFF"/>
        </w:rPr>
      </w:pPr>
      <w:r>
        <w:rPr>
          <w:rFonts w:hint="eastAsia" w:hAnsi="宋体" w:cs="宋体"/>
          <w:highlight w:val="none"/>
          <w:shd w:val="clear" w:color="auto" w:fill="FFFFFF"/>
        </w:rPr>
        <w:t>本《专用合同条款》是根据本项目特点对《通用合同条款》的具体补充和细化，如有不一致，以《专用合同条款》为准。</w:t>
      </w:r>
    </w:p>
    <w:p>
      <w:pPr>
        <w:spacing w:line="360" w:lineRule="auto"/>
        <w:ind w:firstLine="480" w:firstLineChars="200"/>
        <w:jc w:val="center"/>
        <w:outlineLvl w:val="2"/>
        <w:rPr>
          <w:rFonts w:eastAsia="黑体"/>
          <w:highlight w:val="none"/>
        </w:rPr>
      </w:pPr>
      <w:r>
        <w:rPr>
          <w:rFonts w:hint="eastAsia" w:eastAsia="黑体"/>
          <w:highlight w:val="none"/>
        </w:rPr>
        <w:t>专用合同条款数据表</w:t>
      </w:r>
    </w:p>
    <w:p>
      <w:pPr>
        <w:spacing w:line="360" w:lineRule="auto"/>
        <w:ind w:firstLine="480" w:firstLineChars="200"/>
        <w:rPr>
          <w:rFonts w:hAnsi="宋体" w:cs="宋体"/>
          <w:highlight w:val="none"/>
          <w:shd w:val="clear" w:color="auto" w:fill="FFFFFF"/>
        </w:rPr>
      </w:pPr>
      <w:r>
        <w:rPr>
          <w:rFonts w:hint="eastAsia" w:hAnsi="宋体" w:cs="宋体"/>
          <w:highlight w:val="none"/>
          <w:shd w:val="clear" w:color="auto" w:fill="FFFFFF"/>
        </w:rPr>
        <w:t>说明：本数据表是项目专用合同条款中适用于本项目的信息和数据的归纳与提示，是项目专用合同条款的组成部分。</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pPr>
              <w:snapToGrid w:val="0"/>
              <w:spacing w:line="360" w:lineRule="auto"/>
              <w:ind w:left="-120" w:leftChars="-50" w:right="-120" w:rightChars="-50"/>
              <w:jc w:val="center"/>
              <w:rPr>
                <w:rFonts w:hAnsi="宋体" w:cs="宋体"/>
                <w:highlight w:val="none"/>
              </w:rPr>
            </w:pPr>
            <w:r>
              <w:rPr>
                <w:rFonts w:hint="eastAsia" w:hAnsi="宋体" w:cs="宋体"/>
                <w:highlight w:val="none"/>
              </w:rPr>
              <w:t>序号</w:t>
            </w:r>
          </w:p>
        </w:tc>
        <w:tc>
          <w:tcPr>
            <w:tcW w:w="1111" w:type="dxa"/>
            <w:vAlign w:val="center"/>
          </w:tcPr>
          <w:p>
            <w:pPr>
              <w:snapToGrid w:val="0"/>
              <w:spacing w:line="360" w:lineRule="auto"/>
              <w:ind w:left="-120" w:leftChars="-50" w:right="-120" w:rightChars="-50"/>
              <w:jc w:val="center"/>
              <w:rPr>
                <w:rFonts w:hAnsi="宋体" w:cs="宋体"/>
                <w:highlight w:val="none"/>
              </w:rPr>
            </w:pPr>
            <w:r>
              <w:rPr>
                <w:rFonts w:hint="eastAsia" w:hAnsi="宋体" w:cs="宋体"/>
                <w:highlight w:val="none"/>
              </w:rPr>
              <w:t>条目号</w:t>
            </w:r>
          </w:p>
        </w:tc>
        <w:tc>
          <w:tcPr>
            <w:tcW w:w="7304" w:type="dxa"/>
            <w:vAlign w:val="center"/>
          </w:tcPr>
          <w:p>
            <w:pPr>
              <w:snapToGrid w:val="0"/>
              <w:spacing w:line="360" w:lineRule="auto"/>
              <w:jc w:val="center"/>
              <w:rPr>
                <w:rFonts w:hAnsi="宋体" w:cs="宋体"/>
                <w:highlight w:val="none"/>
              </w:rPr>
            </w:pPr>
            <w:r>
              <w:rPr>
                <w:rFonts w:hint="eastAsia" w:hAnsi="宋体" w:cs="宋体"/>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5"/>
              </w:numPr>
              <w:snapToGrid w:val="0"/>
              <w:spacing w:line="360" w:lineRule="auto"/>
              <w:jc w:val="center"/>
              <w:rPr>
                <w:rFonts w:hAnsi="宋体" w:cs="宋体"/>
                <w:bCs/>
                <w:highlight w:val="none"/>
              </w:rPr>
            </w:pPr>
          </w:p>
        </w:tc>
        <w:tc>
          <w:tcPr>
            <w:tcW w:w="1111" w:type="dxa"/>
            <w:vAlign w:val="center"/>
          </w:tcPr>
          <w:p>
            <w:pPr>
              <w:snapToGrid w:val="0"/>
              <w:spacing w:line="360" w:lineRule="auto"/>
              <w:jc w:val="center"/>
              <w:rPr>
                <w:rFonts w:hAnsi="宋体" w:cs="宋体"/>
                <w:bCs/>
                <w:highlight w:val="none"/>
              </w:rPr>
            </w:pPr>
            <w:r>
              <w:rPr>
                <w:rFonts w:hint="eastAsia" w:hAnsi="宋体" w:cs="宋体"/>
                <w:bCs/>
                <w:highlight w:val="none"/>
              </w:rPr>
              <w:t>3.2.1</w:t>
            </w:r>
          </w:p>
        </w:tc>
        <w:tc>
          <w:tcPr>
            <w:tcW w:w="7304" w:type="dxa"/>
            <w:vAlign w:val="center"/>
          </w:tcPr>
          <w:p>
            <w:pPr>
              <w:snapToGrid w:val="0"/>
              <w:spacing w:line="360" w:lineRule="auto"/>
              <w:rPr>
                <w:rFonts w:hAnsi="宋体" w:cs="宋体"/>
                <w:bCs/>
                <w:highlight w:val="none"/>
              </w:rPr>
            </w:pPr>
            <w:r>
              <w:rPr>
                <w:rFonts w:hint="eastAsia" w:hAnsi="宋体" w:cs="宋体"/>
                <w:bCs/>
                <w:highlight w:val="none"/>
              </w:rPr>
              <w:t>预付款</w:t>
            </w:r>
          </w:p>
          <w:p>
            <w:pPr>
              <w:snapToGrid w:val="0"/>
              <w:spacing w:line="360" w:lineRule="auto"/>
              <w:rPr>
                <w:rFonts w:hAnsi="宋体" w:cs="宋体"/>
                <w:bCs/>
                <w:highlight w:val="none"/>
              </w:rPr>
            </w:pPr>
            <w:r>
              <w:rPr>
                <w:rFonts w:hint="eastAsia" w:hAnsi="宋体" w:cs="宋体"/>
                <w:bCs/>
                <w:highlight w:val="none"/>
              </w:rPr>
              <w:t>支付时间：</w:t>
            </w:r>
            <w:r>
              <w:rPr>
                <w:rFonts w:hint="eastAsia" w:hAnsi="宋体" w:cs="宋体"/>
                <w:bCs/>
                <w:highlight w:val="none"/>
                <w:u w:val="single"/>
              </w:rPr>
              <w:t>合同、担保措施生效以及具备实施条件后28日内支付给承包人</w:t>
            </w:r>
            <w:r>
              <w:rPr>
                <w:rFonts w:hint="eastAsia" w:hAnsi="宋体" w:cs="宋体"/>
                <w:bCs/>
                <w:highlight w:val="none"/>
              </w:rPr>
              <w:t>；</w:t>
            </w:r>
          </w:p>
          <w:p>
            <w:pPr>
              <w:snapToGrid w:val="0"/>
              <w:spacing w:line="360" w:lineRule="auto"/>
              <w:rPr>
                <w:rFonts w:hAnsi="宋体" w:cs="宋体"/>
                <w:bCs/>
                <w:highlight w:val="none"/>
              </w:rPr>
            </w:pPr>
            <w:r>
              <w:rPr>
                <w:rFonts w:hint="eastAsia" w:hAnsi="宋体" w:cs="宋体"/>
                <w:bCs/>
                <w:highlight w:val="none"/>
              </w:rPr>
              <w:t>支付比例或金额：</w:t>
            </w:r>
            <w:r>
              <w:rPr>
                <w:rFonts w:hint="eastAsia" w:hAnsi="宋体" w:cs="宋体"/>
                <w:bCs/>
                <w:highlight w:val="none"/>
                <w:u w:val="single"/>
              </w:rPr>
              <w:t>签约合同价（不含暂列金）的</w:t>
            </w:r>
            <w:r>
              <w:rPr>
                <w:rFonts w:hint="eastAsia" w:hAnsi="宋体" w:cs="宋体"/>
                <w:bCs/>
                <w:highlight w:val="none"/>
                <w:u w:val="single"/>
                <w:lang w:val="en-US" w:eastAsia="zh-CN"/>
              </w:rPr>
              <w:t>1</w:t>
            </w:r>
            <w:r>
              <w:rPr>
                <w:rFonts w:hint="eastAsia" w:hAnsi="宋体" w:cs="宋体"/>
                <w:bCs/>
                <w:highlight w:val="none"/>
                <w:u w:val="single"/>
              </w:rPr>
              <w:t xml:space="preserve">0% </w:t>
            </w:r>
            <w:r>
              <w:rPr>
                <w:rFonts w:hint="eastAsia" w:hAnsi="宋体" w:cs="宋体"/>
                <w:bCs/>
                <w:highlight w:val="none"/>
              </w:rPr>
              <w:t>；</w:t>
            </w:r>
          </w:p>
          <w:p>
            <w:pPr>
              <w:snapToGrid w:val="0"/>
              <w:spacing w:line="360" w:lineRule="auto"/>
              <w:rPr>
                <w:rFonts w:hAnsi="宋体" w:cs="宋体"/>
                <w:bCs/>
                <w:highlight w:val="none"/>
              </w:rPr>
            </w:pPr>
            <w:r>
              <w:rPr>
                <w:rFonts w:hint="eastAsia" w:hAnsi="宋体" w:cs="宋体"/>
                <w:bCs/>
                <w:highlight w:val="none"/>
              </w:rPr>
              <w:t>支付单据：承包人应提交银行、保险公司、担保公司等金融机构出具的电子保函、纸质保函等担保措施;如承包人在签订合同时书面明确表示无需预付款的,可不提供电子保函、纸质保函等担保措施，发包人将按照合同约定根据实际工程量按月支付工程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5"/>
              </w:numPr>
              <w:snapToGrid w:val="0"/>
              <w:spacing w:line="360" w:lineRule="auto"/>
              <w:jc w:val="center"/>
              <w:rPr>
                <w:rFonts w:hAnsi="宋体" w:cs="宋体"/>
                <w:bCs/>
                <w:highlight w:val="none"/>
              </w:rPr>
            </w:pPr>
          </w:p>
        </w:tc>
        <w:tc>
          <w:tcPr>
            <w:tcW w:w="1111" w:type="dxa"/>
            <w:vAlign w:val="center"/>
          </w:tcPr>
          <w:p>
            <w:pPr>
              <w:snapToGrid w:val="0"/>
              <w:spacing w:line="360" w:lineRule="auto"/>
              <w:jc w:val="center"/>
              <w:rPr>
                <w:rFonts w:hAnsi="宋体" w:cs="宋体"/>
                <w:bCs/>
                <w:highlight w:val="none"/>
              </w:rPr>
            </w:pPr>
            <w:r>
              <w:rPr>
                <w:rFonts w:hint="eastAsia" w:hAnsi="宋体" w:cs="宋体"/>
                <w:bCs/>
                <w:highlight w:val="none"/>
              </w:rPr>
              <w:t>8.1</w:t>
            </w:r>
          </w:p>
        </w:tc>
        <w:tc>
          <w:tcPr>
            <w:tcW w:w="7304" w:type="dxa"/>
            <w:vAlign w:val="center"/>
          </w:tcPr>
          <w:p>
            <w:pPr>
              <w:snapToGrid w:val="0"/>
              <w:spacing w:line="360" w:lineRule="auto"/>
              <w:rPr>
                <w:rFonts w:hAnsi="宋体" w:cs="宋体"/>
                <w:bCs/>
                <w:highlight w:val="none"/>
              </w:rPr>
            </w:pPr>
            <w:r>
              <w:rPr>
                <w:rFonts w:hint="eastAsia" w:hAnsi="宋体" w:cs="宋体"/>
                <w:bCs/>
                <w:highlight w:val="none"/>
              </w:rPr>
              <w:t>合同设备整体质量保证期：</w:t>
            </w:r>
            <w:r>
              <w:rPr>
                <w:rFonts w:hint="eastAsia" w:hAnsi="宋体" w:cs="宋体"/>
                <w:bCs/>
                <w:highlight w:val="none"/>
                <w:u w:val="single"/>
              </w:rPr>
              <w:t xml:space="preserve"> </w:t>
            </w:r>
            <w:r>
              <w:rPr>
                <w:rFonts w:hint="eastAsia" w:hAnsi="宋体" w:cs="宋体"/>
                <w:bCs/>
                <w:highlight w:val="none"/>
                <w:u w:val="single"/>
                <w:lang w:val="en-US" w:eastAsia="zh-CN"/>
              </w:rPr>
              <w:t>36</w:t>
            </w:r>
            <w:r>
              <w:rPr>
                <w:rFonts w:hint="eastAsia" w:hAnsi="宋体" w:cs="宋体"/>
                <w:bCs/>
                <w:highlight w:val="none"/>
                <w:u w:val="single"/>
              </w:rPr>
              <w:t xml:space="preserve">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5"/>
              </w:numPr>
              <w:snapToGrid w:val="0"/>
              <w:spacing w:line="360" w:lineRule="auto"/>
              <w:jc w:val="center"/>
              <w:rPr>
                <w:rFonts w:hAnsi="宋体" w:cs="宋体"/>
                <w:bCs/>
                <w:highlight w:val="none"/>
              </w:rPr>
            </w:pPr>
          </w:p>
        </w:tc>
        <w:tc>
          <w:tcPr>
            <w:tcW w:w="1111" w:type="dxa"/>
            <w:vAlign w:val="center"/>
          </w:tcPr>
          <w:p>
            <w:pPr>
              <w:snapToGrid w:val="0"/>
              <w:spacing w:line="360" w:lineRule="auto"/>
              <w:jc w:val="center"/>
              <w:rPr>
                <w:rFonts w:hAnsi="宋体" w:cs="宋体"/>
                <w:bCs/>
                <w:highlight w:val="none"/>
              </w:rPr>
            </w:pPr>
            <w:r>
              <w:rPr>
                <w:rFonts w:hint="eastAsia" w:hAnsi="宋体" w:cs="宋体"/>
                <w:bCs/>
                <w:highlight w:val="none"/>
              </w:rPr>
              <w:t>10</w:t>
            </w:r>
          </w:p>
        </w:tc>
        <w:tc>
          <w:tcPr>
            <w:tcW w:w="7304" w:type="dxa"/>
            <w:vAlign w:val="center"/>
          </w:tcPr>
          <w:p>
            <w:pPr>
              <w:snapToGrid w:val="0"/>
              <w:spacing w:line="360" w:lineRule="auto"/>
              <w:rPr>
                <w:rFonts w:hAnsi="宋体" w:cs="宋体"/>
                <w:bCs/>
                <w:highlight w:val="none"/>
                <w:u w:val="single"/>
              </w:rPr>
            </w:pPr>
            <w:r>
              <w:rPr>
                <w:rFonts w:hint="eastAsia" w:hAnsi="宋体" w:cs="宋体"/>
                <w:bCs/>
                <w:highlight w:val="none"/>
              </w:rPr>
              <w:t>履约保证金：</w:t>
            </w:r>
            <w:r>
              <w:rPr>
                <w:rFonts w:hint="eastAsia" w:hAnsi="宋体" w:cs="宋体"/>
                <w:bCs/>
                <w:highlight w:val="none"/>
                <w:u w:val="single"/>
              </w:rPr>
              <w:t xml:space="preserve">  见投标人须知前附表。</w:t>
            </w:r>
          </w:p>
          <w:p>
            <w:pPr>
              <w:snapToGrid w:val="0"/>
              <w:spacing w:line="360" w:lineRule="auto"/>
              <w:rPr>
                <w:rFonts w:hAnsi="宋体" w:cs="宋体"/>
                <w:bCs/>
                <w:highlight w:val="none"/>
                <w:u w:val="single"/>
              </w:rPr>
            </w:pPr>
            <w:r>
              <w:rPr>
                <w:rFonts w:hint="eastAsia" w:hAnsi="宋体" w:cs="宋体"/>
                <w:bCs/>
                <w:highlight w:val="none"/>
              </w:rPr>
              <w:t>履约保证金的形式：</w:t>
            </w:r>
            <w:r>
              <w:rPr>
                <w:rFonts w:hint="eastAsia" w:hAnsi="宋体" w:cs="宋体"/>
                <w:bCs/>
                <w:highlight w:val="none"/>
                <w:u w:val="single"/>
              </w:rPr>
              <w:t xml:space="preserve"> 见投标人须知前附表。 </w:t>
            </w:r>
          </w:p>
          <w:p>
            <w:pPr>
              <w:snapToGrid w:val="0"/>
              <w:spacing w:line="360" w:lineRule="auto"/>
              <w:rPr>
                <w:rFonts w:hAnsi="宋体" w:cs="宋体"/>
                <w:bCs/>
                <w:highlight w:val="none"/>
                <w:u w:val="single"/>
              </w:rPr>
            </w:pPr>
            <w:r>
              <w:rPr>
                <w:rFonts w:hint="eastAsia" w:hAnsi="宋体" w:cs="宋体"/>
                <w:bCs/>
                <w:highlight w:val="none"/>
              </w:rPr>
              <w:t>履约保证金的金额：</w:t>
            </w:r>
            <w:r>
              <w:rPr>
                <w:rFonts w:hint="eastAsia" w:hAnsi="宋体" w:cs="宋体"/>
                <w:bCs/>
                <w:highlight w:val="none"/>
                <w:u w:val="single"/>
              </w:rPr>
              <w:t xml:space="preserve">见投标人须知前附表。 </w:t>
            </w:r>
          </w:p>
          <w:p>
            <w:pPr>
              <w:snapToGrid w:val="0"/>
              <w:spacing w:line="360" w:lineRule="auto"/>
              <w:rPr>
                <w:rFonts w:hAnsi="宋体" w:cs="宋体"/>
                <w:bCs/>
                <w:highlight w:val="none"/>
                <w:u w:val="single"/>
              </w:rPr>
            </w:pPr>
            <w:r>
              <w:rPr>
                <w:rFonts w:hint="eastAsia" w:hAnsi="宋体" w:cs="宋体"/>
                <w:highlight w:val="none"/>
              </w:rPr>
              <w:t>履约保证金</w:t>
            </w:r>
            <w:r>
              <w:rPr>
                <w:rFonts w:hint="eastAsia" w:hAnsi="宋体" w:cs="宋体"/>
                <w:bCs/>
                <w:highlight w:val="none"/>
              </w:rPr>
              <w:t>的期限：</w:t>
            </w:r>
            <w:r>
              <w:rPr>
                <w:rFonts w:hint="eastAsia" w:hAnsi="宋体" w:cs="宋体"/>
                <w:bCs/>
                <w:highlight w:val="none"/>
                <w:u w:val="single"/>
              </w:rPr>
              <w:t>履约保证金自合同生效之日起生效，在合同货物验收证书或验收款支付函签署之日起28日后失效。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5"/>
              </w:numPr>
              <w:snapToGrid w:val="0"/>
              <w:spacing w:line="360" w:lineRule="auto"/>
              <w:jc w:val="center"/>
              <w:rPr>
                <w:rFonts w:hAnsi="宋体" w:cs="宋体"/>
                <w:bCs/>
                <w:highlight w:val="none"/>
              </w:rPr>
            </w:pPr>
          </w:p>
        </w:tc>
        <w:tc>
          <w:tcPr>
            <w:tcW w:w="1111" w:type="dxa"/>
            <w:vAlign w:val="center"/>
          </w:tcPr>
          <w:p>
            <w:pPr>
              <w:snapToGrid w:val="0"/>
              <w:spacing w:line="360" w:lineRule="auto"/>
              <w:jc w:val="center"/>
              <w:rPr>
                <w:rFonts w:hAnsi="宋体" w:cs="宋体"/>
                <w:bCs/>
                <w:highlight w:val="none"/>
              </w:rPr>
            </w:pPr>
            <w:r>
              <w:rPr>
                <w:rFonts w:hint="eastAsia" w:hAnsi="宋体" w:cs="宋体"/>
                <w:bCs/>
                <w:highlight w:val="none"/>
              </w:rPr>
              <w:t>/</w:t>
            </w:r>
          </w:p>
        </w:tc>
        <w:tc>
          <w:tcPr>
            <w:tcW w:w="7304" w:type="dxa"/>
            <w:vAlign w:val="center"/>
          </w:tcPr>
          <w:p>
            <w:pPr>
              <w:snapToGrid w:val="0"/>
              <w:spacing w:line="360" w:lineRule="auto"/>
              <w:rPr>
                <w:rFonts w:hAnsi="宋体" w:cs="宋体"/>
                <w:bCs/>
                <w:highlight w:val="none"/>
              </w:rPr>
            </w:pPr>
            <w:r>
              <w:rPr>
                <w:rFonts w:hint="eastAsia" w:hAnsi="宋体" w:cs="宋体"/>
                <w:bCs/>
                <w:highlight w:val="none"/>
              </w:rPr>
              <w:t>项目负责人</w:t>
            </w:r>
          </w:p>
          <w:p>
            <w:pPr>
              <w:snapToGrid w:val="0"/>
              <w:spacing w:line="360" w:lineRule="auto"/>
              <w:rPr>
                <w:rFonts w:hAnsi="宋体" w:cs="宋体"/>
                <w:bCs/>
                <w:highlight w:val="none"/>
              </w:rPr>
            </w:pPr>
            <w:r>
              <w:rPr>
                <w:rFonts w:hint="eastAsia" w:hAnsi="宋体" w:cs="宋体"/>
                <w:bCs/>
                <w:highlight w:val="none"/>
              </w:rPr>
              <w:t>姓    名：</w:t>
            </w:r>
          </w:p>
          <w:p>
            <w:pPr>
              <w:snapToGrid w:val="0"/>
              <w:spacing w:line="360" w:lineRule="auto"/>
              <w:rPr>
                <w:rFonts w:hAnsi="宋体" w:cs="宋体"/>
                <w:bCs/>
                <w:highlight w:val="none"/>
              </w:rPr>
            </w:pPr>
            <w:r>
              <w:rPr>
                <w:rFonts w:hint="eastAsia" w:hAnsi="宋体" w:cs="宋体"/>
                <w:bCs/>
                <w:highlight w:val="none"/>
              </w:rPr>
              <w:t>身份证号：</w:t>
            </w:r>
          </w:p>
          <w:p>
            <w:pPr>
              <w:snapToGrid w:val="0"/>
              <w:spacing w:line="360" w:lineRule="auto"/>
              <w:rPr>
                <w:rFonts w:hAnsi="宋体" w:cs="宋体"/>
                <w:bCs/>
                <w:highlight w:val="none"/>
              </w:rPr>
            </w:pPr>
            <w:r>
              <w:rPr>
                <w:rFonts w:hint="eastAsia" w:hAnsi="宋体" w:cs="宋体"/>
                <w:bCs/>
                <w:highlight w:val="none"/>
              </w:rPr>
              <w:t>执业资格等级：</w:t>
            </w:r>
          </w:p>
          <w:p>
            <w:pPr>
              <w:snapToGrid w:val="0"/>
              <w:spacing w:line="360" w:lineRule="auto"/>
              <w:rPr>
                <w:rFonts w:hAnsi="宋体" w:cs="宋体"/>
                <w:bCs/>
                <w:highlight w:val="none"/>
              </w:rPr>
            </w:pPr>
            <w:r>
              <w:rPr>
                <w:rFonts w:hint="eastAsia" w:hAnsi="宋体" w:cs="宋体"/>
                <w:bCs/>
                <w:highlight w:val="none"/>
              </w:rPr>
              <w:t>注册证书号：</w:t>
            </w:r>
          </w:p>
        </w:tc>
      </w:tr>
    </w:tbl>
    <w:p>
      <w:pPr>
        <w:pStyle w:val="20"/>
        <w:spacing w:line="360" w:lineRule="auto"/>
        <w:ind w:firstLine="420"/>
        <w:rPr>
          <w:rFonts w:ascii="Times New Roman" w:hAnsi="Times New Roman" w:cs="宋体"/>
          <w:snapToGrid w:val="0"/>
          <w:sz w:val="21"/>
          <w:szCs w:val="21"/>
          <w:highlight w:val="none"/>
        </w:rPr>
      </w:pPr>
    </w:p>
    <w:p>
      <w:pPr>
        <w:pStyle w:val="2"/>
        <w:spacing w:before="0" w:after="0"/>
        <w:ind w:left="240" w:leftChars="100"/>
        <w:rPr>
          <w:rFonts w:cs="黑体"/>
          <w:bCs w:val="0"/>
          <w:highlight w:val="none"/>
        </w:rPr>
      </w:pPr>
      <w:bookmarkStart w:id="701" w:name="_Toc17100685"/>
      <w:bookmarkStart w:id="702" w:name="_Toc26700665"/>
      <w:bookmarkStart w:id="703" w:name="_Toc26721399"/>
      <w:bookmarkStart w:id="704" w:name="_Toc15753921"/>
      <w:bookmarkStart w:id="705" w:name="_Toc26721554"/>
      <w:bookmarkStart w:id="706" w:name="_Toc26700495"/>
      <w:bookmarkStart w:id="707" w:name="_Toc392227867"/>
      <w:bookmarkStart w:id="708" w:name="_Toc24965165"/>
      <w:r>
        <w:rPr>
          <w:rFonts w:hint="eastAsia" w:cs="黑体"/>
          <w:bCs w:val="0"/>
          <w:highlight w:val="none"/>
        </w:rPr>
        <w:t>1. 一般约定</w:t>
      </w:r>
      <w:bookmarkEnd w:id="701"/>
      <w:bookmarkEnd w:id="702"/>
      <w:bookmarkEnd w:id="703"/>
      <w:bookmarkEnd w:id="704"/>
      <w:bookmarkEnd w:id="705"/>
      <w:bookmarkEnd w:id="706"/>
      <w:bookmarkEnd w:id="707"/>
      <w:bookmarkEnd w:id="708"/>
    </w:p>
    <w:p>
      <w:pPr>
        <w:pStyle w:val="5"/>
        <w:spacing w:before="0" w:after="0"/>
        <w:rPr>
          <w:rFonts w:ascii="黑体" w:hAnsi="黑体" w:cs="黑体"/>
          <w:szCs w:val="24"/>
          <w:highlight w:val="none"/>
        </w:rPr>
      </w:pPr>
      <w:bookmarkStart w:id="709" w:name="_Toc392227868"/>
      <w:r>
        <w:rPr>
          <w:rFonts w:hint="eastAsia" w:ascii="黑体" w:hAnsi="黑体" w:cs="黑体"/>
          <w:szCs w:val="24"/>
          <w:highlight w:val="none"/>
        </w:rPr>
        <w:t>1.1 词语定义</w:t>
      </w:r>
      <w:bookmarkEnd w:id="709"/>
    </w:p>
    <w:p>
      <w:pPr>
        <w:spacing w:line="360" w:lineRule="auto"/>
        <w:ind w:firstLine="480" w:firstLineChars="200"/>
        <w:rPr>
          <w:rFonts w:hAnsi="宋体" w:cs="宋体"/>
          <w:highlight w:val="none"/>
        </w:rPr>
      </w:pPr>
      <w:r>
        <w:rPr>
          <w:rFonts w:hint="eastAsia" w:hAnsi="宋体" w:cs="宋体"/>
          <w:highlight w:val="none"/>
        </w:rPr>
        <w:t>1.1.1 合同</w:t>
      </w:r>
    </w:p>
    <w:p>
      <w:pPr>
        <w:spacing w:line="360" w:lineRule="auto"/>
        <w:ind w:firstLine="480" w:firstLineChars="200"/>
        <w:rPr>
          <w:rFonts w:hAnsi="宋体" w:cs="宋体"/>
          <w:highlight w:val="none"/>
        </w:rPr>
      </w:pPr>
      <w:r>
        <w:rPr>
          <w:rFonts w:hint="eastAsia" w:hAnsi="宋体" w:cs="宋体"/>
          <w:highlight w:val="none"/>
        </w:rPr>
        <w:t>1.1.1.10 其他合同文件：</w:t>
      </w:r>
      <w:r>
        <w:rPr>
          <w:rFonts w:hint="eastAsia" w:hAnsi="宋体" w:cs="宋体"/>
          <w:highlight w:val="none"/>
          <w:u w:val="single"/>
        </w:rPr>
        <w:t xml:space="preserve">指经合同双方当事人确认构成合同文件的其他文件。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1.1.13 工程</w:t>
      </w:r>
    </w:p>
    <w:p>
      <w:pPr>
        <w:spacing w:line="360" w:lineRule="auto"/>
        <w:ind w:firstLine="729" w:firstLineChars="304"/>
        <w:rPr>
          <w:rFonts w:hAnsi="宋体" w:cs="宋体"/>
          <w:highlight w:val="none"/>
        </w:rPr>
      </w:pPr>
      <w:r>
        <w:rPr>
          <w:rFonts w:hint="eastAsia" w:hAnsi="宋体" w:cs="宋体"/>
          <w:highlight w:val="none"/>
        </w:rPr>
        <w:t>1.1.13.1工程：。</w:t>
      </w:r>
    </w:p>
    <w:p>
      <w:pPr>
        <w:spacing w:line="360" w:lineRule="auto"/>
        <w:ind w:firstLine="729" w:firstLineChars="304"/>
        <w:rPr>
          <w:rFonts w:hAnsi="宋体" w:cs="宋体"/>
          <w:highlight w:val="none"/>
        </w:rPr>
      </w:pPr>
      <w:r>
        <w:rPr>
          <w:rFonts w:hint="eastAsia" w:hAnsi="宋体" w:cs="宋体"/>
          <w:highlight w:val="none"/>
        </w:rPr>
        <w:t xml:space="preserve">1.1.13.2 施工场地（或称工地、施工现场）：。 </w:t>
      </w:r>
    </w:p>
    <w:p>
      <w:pPr>
        <w:spacing w:line="360" w:lineRule="auto"/>
        <w:rPr>
          <w:rFonts w:hAnsi="宋体" w:cs="宋体"/>
          <w:highlight w:val="none"/>
        </w:rPr>
      </w:pPr>
      <w:r>
        <w:rPr>
          <w:rFonts w:hint="eastAsia" w:hAnsi="宋体" w:cs="宋体"/>
          <w:highlight w:val="none"/>
        </w:rPr>
        <w:t xml:space="preserve">    对通用合同条款中词语定义的不同约定： 。</w:t>
      </w:r>
    </w:p>
    <w:p>
      <w:pPr>
        <w:spacing w:line="360" w:lineRule="auto"/>
        <w:ind w:firstLine="137"/>
        <w:outlineLvl w:val="3"/>
        <w:rPr>
          <w:rFonts w:hAnsi="宋体" w:cs="宋体"/>
          <w:highlight w:val="none"/>
        </w:rPr>
      </w:pPr>
      <w:bookmarkStart w:id="710" w:name="_Toc392227869"/>
      <w:r>
        <w:rPr>
          <w:rFonts w:hint="eastAsia" w:hAnsi="宋体" w:cs="宋体"/>
          <w:highlight w:val="none"/>
        </w:rPr>
        <w:t>1.3 合同文件的优先顺序</w:t>
      </w:r>
      <w:bookmarkEnd w:id="710"/>
    </w:p>
    <w:p>
      <w:pPr>
        <w:spacing w:line="360" w:lineRule="auto"/>
        <w:ind w:firstLine="480" w:firstLineChars="200"/>
        <w:rPr>
          <w:rFonts w:hAnsi="宋体" w:cs="宋体"/>
          <w:highlight w:val="none"/>
        </w:rPr>
      </w:pPr>
      <w:r>
        <w:rPr>
          <w:rFonts w:hint="eastAsia" w:hAnsi="宋体" w:cs="宋体"/>
          <w:highlight w:val="none"/>
        </w:rPr>
        <w:t>解释合同文件的优先顺序：</w:t>
      </w:r>
      <w:r>
        <w:rPr>
          <w:rFonts w:hint="eastAsia" w:hAnsi="宋体" w:cs="宋体"/>
          <w:highlight w:val="none"/>
          <w:u w:val="single"/>
        </w:rPr>
        <w:t>1.本合同协议书；2.中标通知书；3.本合同专用条款及补充条款；4.招标文件；5.本合同通用条款；6.技术标准和要求；7.图纸；8.投标书及其附件；9.已标价工程量清单；10.其他合同文件。</w:t>
      </w:r>
      <w:r>
        <w:rPr>
          <w:rFonts w:hint="eastAsia" w:hAnsi="宋体" w:cs="宋体"/>
          <w:highlight w:val="none"/>
        </w:rPr>
        <w:t>。</w:t>
      </w:r>
    </w:p>
    <w:p>
      <w:pPr>
        <w:spacing w:line="360" w:lineRule="auto"/>
        <w:ind w:firstLine="137"/>
        <w:outlineLvl w:val="3"/>
        <w:rPr>
          <w:rFonts w:hAnsi="宋体" w:cs="宋体"/>
          <w:highlight w:val="none"/>
        </w:rPr>
      </w:pPr>
      <w:bookmarkStart w:id="711" w:name="_Toc392227870"/>
      <w:r>
        <w:rPr>
          <w:rFonts w:hint="eastAsia" w:hAnsi="宋体" w:cs="宋体"/>
          <w:highlight w:val="none"/>
        </w:rPr>
        <w:t>1.4 合同的生效及变更</w:t>
      </w:r>
      <w:bookmarkEnd w:id="711"/>
    </w:p>
    <w:p>
      <w:pPr>
        <w:spacing w:line="360" w:lineRule="auto"/>
        <w:ind w:firstLine="480" w:firstLineChars="200"/>
        <w:rPr>
          <w:rFonts w:hAnsi="宋体" w:cs="宋体"/>
          <w:highlight w:val="none"/>
        </w:rPr>
      </w:pPr>
      <w:r>
        <w:rPr>
          <w:rFonts w:hint="eastAsia" w:hAnsi="宋体" w:cs="宋体"/>
          <w:highlight w:val="none"/>
        </w:rPr>
        <w:t>1.4.1 合同生效条件：</w:t>
      </w:r>
      <w:r>
        <w:rPr>
          <w:rFonts w:hint="eastAsia" w:hAnsi="宋体" w:cs="宋体"/>
          <w:highlight w:val="none"/>
          <w:u w:val="single"/>
        </w:rPr>
        <w:t xml:space="preserve">双方签字并盖章后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1.4.2 合同变更的方式：</w:t>
      </w:r>
      <w:r>
        <w:rPr>
          <w:rFonts w:hint="eastAsia" w:hAnsi="宋体" w:cs="宋体"/>
          <w:highlight w:val="none"/>
          <w:u w:val="single"/>
        </w:rPr>
        <w:t>执行通用条款</w:t>
      </w:r>
      <w:r>
        <w:rPr>
          <w:rFonts w:hint="eastAsia" w:hAnsi="宋体" w:cs="宋体"/>
          <w:highlight w:val="none"/>
        </w:rPr>
        <w:t>。</w:t>
      </w:r>
    </w:p>
    <w:p>
      <w:pPr>
        <w:spacing w:line="360" w:lineRule="auto"/>
        <w:ind w:firstLine="137"/>
        <w:outlineLvl w:val="3"/>
        <w:rPr>
          <w:rFonts w:hAnsi="宋体" w:cs="宋体"/>
          <w:highlight w:val="none"/>
        </w:rPr>
      </w:pPr>
      <w:bookmarkStart w:id="712" w:name="_Toc392227871"/>
      <w:r>
        <w:rPr>
          <w:rFonts w:hint="eastAsia" w:hAnsi="宋体" w:cs="宋体"/>
          <w:highlight w:val="none"/>
        </w:rPr>
        <w:t>1.5 联络</w:t>
      </w:r>
      <w:bookmarkEnd w:id="712"/>
    </w:p>
    <w:p>
      <w:pPr>
        <w:spacing w:line="360" w:lineRule="auto"/>
        <w:ind w:firstLine="480" w:firstLineChars="200"/>
        <w:rPr>
          <w:rFonts w:hAnsi="宋体" w:cs="宋体"/>
          <w:highlight w:val="none"/>
          <w:u w:val="single"/>
        </w:rPr>
      </w:pPr>
      <w:r>
        <w:rPr>
          <w:rFonts w:hint="eastAsia" w:hAnsi="宋体" w:cs="宋体"/>
          <w:highlight w:val="none"/>
        </w:rPr>
        <w:t>买方指定的联系人和联系方式；</w:t>
      </w:r>
    </w:p>
    <w:p>
      <w:pPr>
        <w:spacing w:line="360" w:lineRule="auto"/>
        <w:ind w:firstLine="480" w:firstLineChars="200"/>
        <w:rPr>
          <w:rFonts w:hAnsi="宋体" w:cs="宋体"/>
          <w:highlight w:val="none"/>
        </w:rPr>
      </w:pPr>
      <w:r>
        <w:rPr>
          <w:rFonts w:hint="eastAsia" w:hAnsi="宋体" w:cs="宋体"/>
          <w:highlight w:val="none"/>
        </w:rPr>
        <w:t>卖方指定的联系人和联系方式。</w:t>
      </w:r>
    </w:p>
    <w:p>
      <w:pPr>
        <w:spacing w:line="360" w:lineRule="auto"/>
        <w:ind w:firstLine="137"/>
        <w:outlineLvl w:val="3"/>
        <w:rPr>
          <w:rFonts w:hAnsi="宋体" w:cs="宋体"/>
          <w:highlight w:val="none"/>
        </w:rPr>
      </w:pPr>
      <w:bookmarkStart w:id="713" w:name="_Toc392227872"/>
      <w:r>
        <w:rPr>
          <w:rFonts w:hint="eastAsia" w:hAnsi="宋体" w:cs="宋体"/>
          <w:highlight w:val="none"/>
        </w:rPr>
        <w:t>1.6 联合体</w:t>
      </w:r>
      <w:bookmarkEnd w:id="713"/>
    </w:p>
    <w:p>
      <w:pPr>
        <w:spacing w:line="360" w:lineRule="auto"/>
        <w:ind w:firstLine="480" w:firstLineChars="200"/>
        <w:rPr>
          <w:rFonts w:hAnsi="宋体" w:cs="宋体"/>
          <w:highlight w:val="none"/>
        </w:rPr>
      </w:pPr>
      <w:r>
        <w:rPr>
          <w:rFonts w:hint="eastAsia" w:hAnsi="宋体" w:cs="宋体"/>
          <w:highlight w:val="none"/>
        </w:rPr>
        <w:t>1.6.3 联合体各方对联合体牵头人的授权范围：。</w:t>
      </w:r>
    </w:p>
    <w:p>
      <w:pPr>
        <w:pStyle w:val="2"/>
        <w:spacing w:before="0" w:after="0"/>
        <w:ind w:left="240" w:leftChars="100"/>
        <w:rPr>
          <w:rFonts w:cs="黑体"/>
          <w:highlight w:val="none"/>
        </w:rPr>
      </w:pPr>
      <w:bookmarkStart w:id="714" w:name="_Toc26700666"/>
      <w:bookmarkStart w:id="715" w:name="_Toc392227873"/>
      <w:bookmarkStart w:id="716" w:name="_Toc26700496"/>
      <w:bookmarkStart w:id="717" w:name="_Toc24965166"/>
      <w:bookmarkStart w:id="718" w:name="_Toc26721400"/>
      <w:bookmarkStart w:id="719" w:name="_Toc26721555"/>
      <w:bookmarkStart w:id="720" w:name="_Toc17100686"/>
      <w:bookmarkStart w:id="721" w:name="_Toc15753922"/>
      <w:r>
        <w:rPr>
          <w:rFonts w:hint="eastAsia" w:cs="黑体"/>
          <w:highlight w:val="none"/>
        </w:rPr>
        <w:t>3. 合同价格与支付</w:t>
      </w:r>
      <w:bookmarkEnd w:id="714"/>
      <w:bookmarkEnd w:id="715"/>
      <w:bookmarkEnd w:id="716"/>
      <w:bookmarkEnd w:id="717"/>
      <w:bookmarkEnd w:id="718"/>
      <w:bookmarkEnd w:id="719"/>
      <w:bookmarkEnd w:id="720"/>
      <w:bookmarkEnd w:id="721"/>
    </w:p>
    <w:p>
      <w:pPr>
        <w:pStyle w:val="5"/>
        <w:spacing w:before="0" w:after="0"/>
        <w:rPr>
          <w:rFonts w:ascii="黑体" w:hAnsi="黑体" w:cs="黑体"/>
          <w:szCs w:val="24"/>
          <w:highlight w:val="none"/>
        </w:rPr>
      </w:pPr>
      <w:bookmarkStart w:id="722" w:name="_Toc392227874"/>
      <w:r>
        <w:rPr>
          <w:rFonts w:hint="eastAsia" w:ascii="黑体" w:hAnsi="黑体" w:cs="黑体"/>
          <w:szCs w:val="24"/>
          <w:highlight w:val="none"/>
        </w:rPr>
        <w:t>3.1 合同价格</w:t>
      </w:r>
      <w:bookmarkEnd w:id="722"/>
    </w:p>
    <w:p>
      <w:pPr>
        <w:spacing w:line="360" w:lineRule="auto"/>
        <w:ind w:firstLine="480" w:firstLineChars="200"/>
        <w:rPr>
          <w:rFonts w:hAnsi="宋体" w:cs="宋体"/>
          <w:highlight w:val="none"/>
        </w:rPr>
      </w:pPr>
      <w:r>
        <w:rPr>
          <w:rFonts w:hint="eastAsia" w:hAnsi="宋体" w:cs="宋体"/>
          <w:highlight w:val="none"/>
        </w:rPr>
        <w:t xml:space="preserve">3.1.2合同价格形式： </w:t>
      </w:r>
      <w:r>
        <w:rPr>
          <w:rFonts w:hint="eastAsia" w:hAnsi="宋体" w:cs="宋体"/>
          <w:highlight w:val="none"/>
          <w:u w:val="single"/>
        </w:rPr>
        <w:t xml:space="preserve">  </w:t>
      </w:r>
      <w:r>
        <w:rPr>
          <w:rFonts w:hint="eastAsia" w:ascii="MS Mincho" w:hAnsi="MS Mincho" w:eastAsia="MS Mincho" w:cs="MS Mincho"/>
          <w:highlight w:val="none"/>
          <w:u w:val="single"/>
        </w:rPr>
        <w:t>☑</w:t>
      </w:r>
      <w:r>
        <w:rPr>
          <w:rFonts w:hint="eastAsia" w:hAnsi="宋体" w:cs="宋体"/>
          <w:highlight w:val="none"/>
          <w:u w:val="single"/>
        </w:rPr>
        <w:t xml:space="preserve">固定价格  □可调价格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采用可调价格合同时，采用以下第种方式对合同价格进行调整：</w:t>
      </w:r>
    </w:p>
    <w:p>
      <w:pPr>
        <w:adjustRightInd w:val="0"/>
        <w:spacing w:line="360" w:lineRule="auto"/>
        <w:ind w:firstLine="480" w:firstLineChars="200"/>
        <w:rPr>
          <w:rFonts w:hAnsi="宋体" w:cs="宋体"/>
          <w:highlight w:val="none"/>
        </w:rPr>
      </w:pPr>
      <w:r>
        <w:rPr>
          <w:rFonts w:hint="eastAsia" w:hAnsi="宋体" w:cs="宋体"/>
          <w:highlight w:val="none"/>
        </w:rPr>
        <w:t>第1种方式：</w:t>
      </w:r>
    </w:p>
    <w:p>
      <w:pPr>
        <w:adjustRightInd w:val="0"/>
        <w:spacing w:line="360" w:lineRule="auto"/>
        <w:ind w:firstLine="480" w:firstLineChars="200"/>
        <w:rPr>
          <w:rFonts w:hAnsi="宋体" w:cs="宋体"/>
          <w:highlight w:val="none"/>
        </w:rPr>
      </w:pPr>
      <w:r>
        <w:rPr>
          <w:rFonts w:hint="eastAsia" w:hAnsi="宋体" w:cs="宋体"/>
          <w:highlight w:val="none"/>
        </w:rPr>
        <w:t>（1）关于基准价格的约定：。</w:t>
      </w:r>
    </w:p>
    <w:p>
      <w:pPr>
        <w:adjustRightInd w:val="0"/>
        <w:spacing w:line="360" w:lineRule="auto"/>
        <w:ind w:firstLine="480" w:firstLineChars="200"/>
        <w:rPr>
          <w:rFonts w:hAnsi="宋体" w:cs="宋体"/>
          <w:highlight w:val="none"/>
        </w:rPr>
      </w:pPr>
      <w:r>
        <w:rPr>
          <w:rFonts w:hint="eastAsia" w:hAnsi="宋体" w:cs="宋体"/>
          <w:highlight w:val="none"/>
        </w:rPr>
        <w:t>①卖方在分项报价表中载明的货物单价低于基准价格的：专用合同条款合同履行期间货物单价涨幅以基准价格为基础超过</w:t>
      </w:r>
      <w:r>
        <w:rPr>
          <w:rFonts w:hint="eastAsia" w:hAnsi="宋体" w:cs="宋体"/>
          <w:highlight w:val="none"/>
          <w:u w:val="single"/>
          <w:lang w:val="en-US" w:eastAsia="zh-CN"/>
        </w:rPr>
        <w:t xml:space="preserve">  </w:t>
      </w:r>
      <w:r>
        <w:rPr>
          <w:rFonts w:hint="eastAsia" w:hAnsi="宋体" w:cs="宋体"/>
          <w:highlight w:val="none"/>
          <w:u w:val="single"/>
        </w:rPr>
        <w:t>%</w:t>
      </w:r>
      <w:r>
        <w:rPr>
          <w:rFonts w:hint="eastAsia" w:hAnsi="宋体" w:cs="宋体"/>
          <w:highlight w:val="none"/>
        </w:rPr>
        <w:t>时，或货物单价跌幅以分项报价表中载明货物单价为基础超过%时，其超过部分据实调整。</w:t>
      </w:r>
    </w:p>
    <w:p>
      <w:pPr>
        <w:adjustRightInd w:val="0"/>
        <w:spacing w:line="360" w:lineRule="auto"/>
        <w:ind w:firstLine="480" w:firstLineChars="200"/>
        <w:rPr>
          <w:rFonts w:hAnsi="宋体" w:cs="宋体"/>
          <w:highlight w:val="none"/>
        </w:rPr>
      </w:pPr>
      <w:r>
        <w:rPr>
          <w:rFonts w:hint="eastAsia" w:hAnsi="宋体" w:cs="宋体"/>
          <w:highlight w:val="none"/>
        </w:rPr>
        <w:t>②卖方在分项报价表中载明的货物单价高于基准价格的：专用合同条款合同履行期间货物单价跌幅以基准价格为基础超过</w:t>
      </w:r>
      <w:r>
        <w:rPr>
          <w:rFonts w:hint="eastAsia" w:hAnsi="宋体" w:cs="宋体"/>
          <w:highlight w:val="none"/>
          <w:u w:val="single"/>
          <w:lang w:val="en-US" w:eastAsia="zh-CN"/>
        </w:rPr>
        <w:t xml:space="preserve">  </w:t>
      </w:r>
      <w:r>
        <w:rPr>
          <w:rFonts w:hint="eastAsia" w:hAnsi="宋体" w:cs="宋体"/>
          <w:highlight w:val="none"/>
          <w:u w:val="single"/>
        </w:rPr>
        <w:t>%</w:t>
      </w:r>
      <w:r>
        <w:rPr>
          <w:rFonts w:hint="eastAsia" w:hAnsi="宋体" w:cs="宋体"/>
          <w:highlight w:val="none"/>
        </w:rPr>
        <w:t>时，货物单价涨幅以分项报价表中载明货物单价为基础超过%时，其超过部分据实调整。</w:t>
      </w:r>
    </w:p>
    <w:p>
      <w:pPr>
        <w:adjustRightInd w:val="0"/>
        <w:spacing w:line="360" w:lineRule="auto"/>
        <w:ind w:firstLine="480" w:firstLineChars="200"/>
        <w:rPr>
          <w:rFonts w:hAnsi="宋体" w:cs="宋体"/>
          <w:highlight w:val="none"/>
        </w:rPr>
      </w:pPr>
      <w:r>
        <w:rPr>
          <w:rFonts w:hint="eastAsia" w:hAnsi="宋体" w:cs="宋体"/>
          <w:highlight w:val="none"/>
        </w:rPr>
        <w:t>③卖方在分项报价表中载明的货物单价等于基准单价的：专用合同条款合同履行期间货物单价涨跌幅以基准单价为基础超过±%时，其超过部分据实调整。</w:t>
      </w:r>
    </w:p>
    <w:p>
      <w:pPr>
        <w:spacing w:line="360" w:lineRule="auto"/>
        <w:ind w:firstLine="480" w:firstLineChars="200"/>
        <w:rPr>
          <w:rFonts w:hAnsi="宋体" w:cs="宋体"/>
          <w:highlight w:val="none"/>
        </w:rPr>
      </w:pPr>
      <w:r>
        <w:rPr>
          <w:rFonts w:hint="eastAsia" w:hAnsi="宋体" w:cs="宋体"/>
          <w:highlight w:val="none"/>
        </w:rPr>
        <w:t>第2种方式</w:t>
      </w:r>
      <w:r>
        <w:rPr>
          <w:rFonts w:hint="eastAsia" w:hAnsi="宋体" w:cs="宋体"/>
          <w:highlight w:val="none"/>
          <w:u w:val="single"/>
        </w:rPr>
        <w:t>：</w:t>
      </w:r>
      <w:r>
        <w:rPr>
          <w:rFonts w:hint="eastAsia" w:hAnsi="宋体" w:cs="宋体"/>
          <w:highlight w:val="none"/>
          <w:u w:val="single"/>
          <w:lang w:val="en-US" w:eastAsia="zh-CN"/>
        </w:rPr>
        <w:t xml:space="preserve">    </w:t>
      </w:r>
      <w:r>
        <w:rPr>
          <w:rFonts w:hint="eastAsia" w:hAnsi="宋体" w:cs="宋体"/>
          <w:highlight w:val="none"/>
        </w:rPr>
        <w:t>。</w:t>
      </w:r>
    </w:p>
    <w:p>
      <w:pPr>
        <w:pStyle w:val="5"/>
        <w:spacing w:before="0" w:after="0"/>
        <w:rPr>
          <w:rFonts w:ascii="黑体" w:hAnsi="黑体" w:cs="黑体"/>
          <w:szCs w:val="24"/>
          <w:highlight w:val="none"/>
        </w:rPr>
      </w:pPr>
      <w:bookmarkStart w:id="723" w:name="_Toc392227875"/>
      <w:r>
        <w:rPr>
          <w:rFonts w:hint="eastAsia" w:ascii="黑体" w:hAnsi="黑体" w:cs="黑体"/>
          <w:szCs w:val="24"/>
          <w:highlight w:val="none"/>
        </w:rPr>
        <w:t>3.2 合同价款的支付</w:t>
      </w:r>
      <w:bookmarkEnd w:id="723"/>
    </w:p>
    <w:p>
      <w:pPr>
        <w:spacing w:line="360" w:lineRule="auto"/>
        <w:ind w:firstLine="480" w:firstLineChars="200"/>
        <w:rPr>
          <w:rFonts w:hAnsi="宋体" w:cs="宋体"/>
          <w:highlight w:val="none"/>
        </w:rPr>
      </w:pPr>
      <w:r>
        <w:rPr>
          <w:rFonts w:hint="eastAsia" w:hAnsi="宋体" w:cs="宋体"/>
          <w:highlight w:val="none"/>
        </w:rPr>
        <w:t>买方应通过以下方式和比例向卖方支付合同价款：</w:t>
      </w:r>
    </w:p>
    <w:p>
      <w:pPr>
        <w:spacing w:line="360" w:lineRule="auto"/>
        <w:ind w:firstLine="480" w:firstLineChars="200"/>
        <w:rPr>
          <w:rFonts w:hAnsi="宋体" w:cs="宋体"/>
          <w:highlight w:val="none"/>
        </w:rPr>
      </w:pPr>
      <w:r>
        <w:rPr>
          <w:rFonts w:hint="eastAsia" w:hAnsi="宋体" w:cs="宋体"/>
          <w:highlight w:val="none"/>
        </w:rPr>
        <w:t>3.2.1 预付款</w:t>
      </w:r>
    </w:p>
    <w:p>
      <w:pPr>
        <w:spacing w:line="360" w:lineRule="auto"/>
        <w:ind w:firstLine="960" w:firstLineChars="400"/>
        <w:rPr>
          <w:rFonts w:hAnsi="宋体" w:cs="宋体"/>
          <w:highlight w:val="none"/>
        </w:rPr>
      </w:pPr>
      <w:r>
        <w:rPr>
          <w:rFonts w:hint="eastAsia" w:hAnsi="宋体" w:cs="宋体"/>
          <w:highlight w:val="none"/>
        </w:rPr>
        <w:t>支付时间：</w:t>
      </w:r>
      <w:r>
        <w:rPr>
          <w:rFonts w:hint="eastAsia" w:ascii="Times New Roman"/>
          <w:highlight w:val="none"/>
          <w:u w:val="single"/>
        </w:rPr>
        <w:t>见《</w:t>
      </w:r>
      <w:r>
        <w:rPr>
          <w:rFonts w:hint="eastAsia" w:ascii="Times New Roman"/>
          <w:szCs w:val="21"/>
          <w:highlight w:val="none"/>
          <w:u w:val="single"/>
        </w:rPr>
        <w:t>专用合同条款数据表</w:t>
      </w:r>
      <w:r>
        <w:rPr>
          <w:rFonts w:hint="eastAsia" w:ascii="Times New Roman"/>
          <w:highlight w:val="none"/>
          <w:u w:val="single"/>
        </w:rPr>
        <w:t>》</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支付比例或金额：</w:t>
      </w:r>
      <w:r>
        <w:rPr>
          <w:rFonts w:hint="eastAsia" w:ascii="Times New Roman"/>
          <w:highlight w:val="none"/>
          <w:u w:val="single"/>
        </w:rPr>
        <w:t>见《</w:t>
      </w:r>
      <w:r>
        <w:rPr>
          <w:rFonts w:hint="eastAsia" w:ascii="Times New Roman"/>
          <w:szCs w:val="21"/>
          <w:highlight w:val="none"/>
          <w:u w:val="single"/>
        </w:rPr>
        <w:t>专用合同条款数据表</w:t>
      </w:r>
      <w:r>
        <w:rPr>
          <w:rFonts w:hint="eastAsia" w:ascii="Times New Roman"/>
          <w:highlight w:val="none"/>
          <w:u w:val="single"/>
        </w:rPr>
        <w:t>》</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支付单据：</w:t>
      </w:r>
      <w:r>
        <w:rPr>
          <w:rFonts w:hint="eastAsia" w:ascii="Times New Roman"/>
          <w:highlight w:val="none"/>
          <w:u w:val="single"/>
        </w:rPr>
        <w:t>见《</w:t>
      </w:r>
      <w:r>
        <w:rPr>
          <w:rFonts w:hint="eastAsia" w:ascii="Times New Roman"/>
          <w:szCs w:val="21"/>
          <w:highlight w:val="none"/>
          <w:u w:val="single"/>
        </w:rPr>
        <w:t>专用合同条款数据表</w:t>
      </w:r>
      <w:r>
        <w:rPr>
          <w:rFonts w:hint="eastAsia" w:ascii="Times New Roman"/>
          <w:highlight w:val="none"/>
          <w:u w:val="single"/>
        </w:rPr>
        <w:t>》</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 xml:space="preserve">3.2.2 交货款 </w:t>
      </w:r>
    </w:p>
    <w:p>
      <w:pPr>
        <w:spacing w:line="360" w:lineRule="auto"/>
        <w:ind w:firstLine="960" w:firstLineChars="400"/>
        <w:rPr>
          <w:rFonts w:hAnsi="宋体" w:cs="宋体"/>
          <w:highlight w:val="none"/>
        </w:rPr>
      </w:pPr>
      <w:r>
        <w:rPr>
          <w:rFonts w:hint="eastAsia" w:hAnsi="宋体" w:cs="宋体"/>
          <w:highlight w:val="none"/>
        </w:rPr>
        <w:t>支付时间：</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支付比例或金额：</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支付单据：</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 xml:space="preserve">3.2.3 验收款 </w:t>
      </w:r>
    </w:p>
    <w:p>
      <w:pPr>
        <w:spacing w:line="360" w:lineRule="auto"/>
        <w:ind w:firstLine="960" w:firstLineChars="400"/>
        <w:rPr>
          <w:rFonts w:hAnsi="宋体" w:cs="宋体"/>
          <w:highlight w:val="none"/>
        </w:rPr>
      </w:pPr>
      <w:r>
        <w:rPr>
          <w:rFonts w:hint="eastAsia" w:hAnsi="宋体" w:cs="宋体"/>
          <w:highlight w:val="none"/>
        </w:rPr>
        <w:t>支付时间：</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支付比例或金额：</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支付单据：</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3.2.4结清款</w:t>
      </w:r>
    </w:p>
    <w:p>
      <w:pPr>
        <w:spacing w:line="360" w:lineRule="auto"/>
        <w:ind w:firstLine="960" w:firstLineChars="400"/>
        <w:rPr>
          <w:rFonts w:hAnsi="宋体" w:cs="宋体"/>
          <w:highlight w:val="none"/>
        </w:rPr>
      </w:pPr>
      <w:r>
        <w:rPr>
          <w:rFonts w:hint="eastAsia" w:hAnsi="宋体" w:cs="宋体"/>
          <w:highlight w:val="none"/>
        </w:rPr>
        <w:t>支付时间：</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支付比例或金额：</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支付单据：</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jc w:val="left"/>
        <w:rPr>
          <w:rFonts w:hAnsi="宋体" w:cs="宋体"/>
          <w:highlight w:val="none"/>
        </w:rPr>
      </w:pPr>
      <w:r>
        <w:rPr>
          <w:rFonts w:hint="eastAsia" w:hAnsi="宋体" w:cs="宋体"/>
          <w:highlight w:val="none"/>
        </w:rPr>
        <w:t>在不适用通用合同条款所约定的支付方式时，其他支付方式的约定：</w:t>
      </w:r>
      <w:bookmarkStart w:id="724" w:name="_Toc26721401"/>
      <w:bookmarkStart w:id="725" w:name="_Toc392227876"/>
      <w:bookmarkStart w:id="726" w:name="_Toc17100687"/>
      <w:bookmarkStart w:id="727" w:name="_Toc24965167"/>
      <w:bookmarkStart w:id="728" w:name="_Toc26700497"/>
      <w:bookmarkStart w:id="729" w:name="_Toc15753923"/>
      <w:bookmarkStart w:id="730" w:name="_Toc26721556"/>
      <w:bookmarkStart w:id="731" w:name="_Toc26700667"/>
      <w:bookmarkStart w:id="732" w:name="_Toc392346758"/>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主要设备全部进场付至合同价的 80%，工程完工后付至合同价款的 90%，工程竣工验收合格后（以竣工验收备案为准）付清余款。</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如中标人采用“电子保函、纸质保函等担保方式”提交等额余款的，则在结算完成后招标人应付至最终结算价款的100%。若以现金形式提交余款的（含从合同价款中以扣留方式提交的）同时退还银行同期活期存款利息。</w:t>
      </w:r>
    </w:p>
    <w:p>
      <w:pPr>
        <w:spacing w:line="360" w:lineRule="auto"/>
        <w:ind w:firstLine="480" w:firstLineChars="200"/>
        <w:rPr>
          <w:rFonts w:cs="黑体"/>
          <w:highlight w:val="none"/>
        </w:rPr>
      </w:pPr>
      <w:r>
        <w:rPr>
          <w:rFonts w:hint="eastAsia" w:cs="黑体"/>
          <w:highlight w:val="none"/>
        </w:rPr>
        <w:t>4. 监造及交货前检验</w:t>
      </w:r>
      <w:bookmarkEnd w:id="724"/>
      <w:bookmarkEnd w:id="725"/>
      <w:bookmarkEnd w:id="726"/>
      <w:bookmarkEnd w:id="727"/>
      <w:bookmarkEnd w:id="728"/>
      <w:bookmarkEnd w:id="729"/>
      <w:bookmarkEnd w:id="730"/>
      <w:bookmarkEnd w:id="731"/>
    </w:p>
    <w:p>
      <w:pPr>
        <w:pStyle w:val="5"/>
        <w:spacing w:before="0" w:after="0"/>
        <w:rPr>
          <w:rFonts w:ascii="黑体" w:hAnsi="黑体" w:cs="黑体"/>
          <w:szCs w:val="24"/>
          <w:highlight w:val="none"/>
        </w:rPr>
      </w:pPr>
      <w:bookmarkStart w:id="733" w:name="_Toc392227877"/>
      <w:r>
        <w:rPr>
          <w:rFonts w:hint="eastAsia" w:ascii="黑体" w:hAnsi="黑体" w:cs="黑体"/>
          <w:szCs w:val="24"/>
          <w:highlight w:val="none"/>
        </w:rPr>
        <w:t>4.1 监造</w:t>
      </w:r>
      <w:bookmarkEnd w:id="733"/>
    </w:p>
    <w:p>
      <w:pPr>
        <w:spacing w:line="360" w:lineRule="auto"/>
        <w:ind w:firstLine="480" w:firstLineChars="200"/>
        <w:rPr>
          <w:rFonts w:hAnsi="宋体" w:cs="宋体"/>
          <w:highlight w:val="none"/>
        </w:rPr>
      </w:pPr>
      <w:r>
        <w:rPr>
          <w:rFonts w:hint="eastAsia" w:hAnsi="宋体" w:cs="宋体"/>
          <w:highlight w:val="none"/>
        </w:rPr>
        <w:t>买方是否对合同设备进行监造：</w:t>
      </w:r>
      <w:r>
        <w:rPr>
          <w:rFonts w:hint="eastAsia" w:hAnsi="宋体" w:cs="宋体"/>
          <w:highlight w:val="none"/>
          <w:u w:val="single"/>
        </w:rPr>
        <w:t xml:space="preserve">   否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4.1.1 监造范围、方式：</w:t>
      </w:r>
      <w:r>
        <w:rPr>
          <w:rFonts w:hint="eastAsia" w:hAnsi="宋体" w:cs="宋体"/>
          <w:highlight w:val="none"/>
          <w:u w:val="single"/>
        </w:rPr>
        <w:t xml:space="preserve">          否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4.1.2 监造场所及配合：</w:t>
      </w:r>
      <w:r>
        <w:rPr>
          <w:rFonts w:hint="eastAsia" w:hAnsi="宋体" w:cs="宋体"/>
          <w:highlight w:val="none"/>
          <w:u w:val="single"/>
        </w:rPr>
        <w:t xml:space="preserve">          否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 xml:space="preserve">     买方监造人员的交通、食宿费用承担：</w:t>
      </w:r>
      <w:r>
        <w:rPr>
          <w:rFonts w:hint="eastAsia" w:hAnsi="宋体" w:cs="宋体"/>
          <w:highlight w:val="none"/>
          <w:u w:val="single"/>
        </w:rPr>
        <w:t xml:space="preserve">      否       </w:t>
      </w:r>
      <w:r>
        <w:rPr>
          <w:rFonts w:hint="eastAsia" w:hAnsi="宋体" w:cs="宋体"/>
          <w:highlight w:val="none"/>
        </w:rPr>
        <w:t>。</w:t>
      </w:r>
    </w:p>
    <w:p>
      <w:pPr>
        <w:spacing w:line="360" w:lineRule="auto"/>
        <w:rPr>
          <w:rFonts w:hAnsi="宋体" w:cs="宋体"/>
          <w:highlight w:val="none"/>
        </w:rPr>
      </w:pPr>
      <w:r>
        <w:rPr>
          <w:rFonts w:hint="eastAsia" w:hAnsi="宋体" w:cs="宋体"/>
          <w:highlight w:val="none"/>
        </w:rPr>
        <w:t xml:space="preserve">    4.1.3 卖方提前通知买方监造的期限的约定：</w:t>
      </w:r>
      <w:r>
        <w:rPr>
          <w:rFonts w:hint="eastAsia" w:hAnsi="宋体" w:cs="宋体"/>
          <w:highlight w:val="none"/>
          <w:u w:val="single"/>
        </w:rPr>
        <w:t xml:space="preserve">     否        </w:t>
      </w:r>
      <w:r>
        <w:rPr>
          <w:rFonts w:hint="eastAsia" w:hAnsi="宋体" w:cs="宋体"/>
          <w:highlight w:val="none"/>
        </w:rPr>
        <w:t>。</w:t>
      </w:r>
    </w:p>
    <w:p>
      <w:pPr>
        <w:pStyle w:val="5"/>
        <w:spacing w:before="0" w:after="0"/>
        <w:rPr>
          <w:rFonts w:ascii="黑体" w:hAnsi="黑体" w:cs="黑体"/>
          <w:szCs w:val="24"/>
          <w:highlight w:val="none"/>
        </w:rPr>
      </w:pPr>
      <w:bookmarkStart w:id="734" w:name="_Toc392227878"/>
      <w:r>
        <w:rPr>
          <w:rFonts w:hint="eastAsia" w:ascii="黑体" w:hAnsi="黑体" w:cs="黑体"/>
          <w:szCs w:val="24"/>
          <w:highlight w:val="none"/>
        </w:rPr>
        <w:t>4.2 交货前检验</w:t>
      </w:r>
      <w:bookmarkEnd w:id="734"/>
    </w:p>
    <w:p>
      <w:pPr>
        <w:spacing w:line="360" w:lineRule="auto"/>
        <w:ind w:firstLine="480" w:firstLineChars="200"/>
        <w:rPr>
          <w:rFonts w:hAnsi="宋体" w:cs="宋体"/>
          <w:highlight w:val="none"/>
        </w:rPr>
      </w:pPr>
      <w:r>
        <w:rPr>
          <w:rFonts w:hint="eastAsia" w:hAnsi="宋体" w:cs="宋体"/>
          <w:highlight w:val="none"/>
        </w:rPr>
        <w:t>买方是否参与交货前检验：</w:t>
      </w:r>
      <w:r>
        <w:rPr>
          <w:rFonts w:hint="eastAsia" w:hAnsi="宋体" w:cs="宋体"/>
          <w:highlight w:val="none"/>
          <w:u w:val="single"/>
        </w:rPr>
        <w:t xml:space="preserve">          是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4.2.1 买方代表的交通、食宿费用承担：</w:t>
      </w:r>
      <w:r>
        <w:rPr>
          <w:rFonts w:hint="eastAsia" w:hAnsi="宋体" w:cs="宋体"/>
          <w:highlight w:val="none"/>
          <w:u w:val="single"/>
        </w:rPr>
        <w:t xml:space="preserve">   卖方承担    </w:t>
      </w:r>
      <w:r>
        <w:rPr>
          <w:rFonts w:hint="eastAsia" w:hAnsi="宋体" w:cs="宋体"/>
          <w:highlight w:val="none"/>
        </w:rPr>
        <w:t>。</w:t>
      </w:r>
    </w:p>
    <w:p>
      <w:pPr>
        <w:spacing w:line="360" w:lineRule="auto"/>
        <w:rPr>
          <w:rFonts w:hAnsi="宋体" w:cs="宋体"/>
          <w:highlight w:val="none"/>
        </w:rPr>
      </w:pPr>
      <w:r>
        <w:rPr>
          <w:rFonts w:hint="eastAsia" w:hAnsi="宋体" w:cs="宋体"/>
          <w:highlight w:val="none"/>
        </w:rPr>
        <w:t xml:space="preserve">    4.2.2卖方提前通知买方检验的期限的约定</w:t>
      </w:r>
      <w:r>
        <w:rPr>
          <w:rFonts w:hint="eastAsia" w:hAnsi="宋体" w:cs="宋体"/>
          <w:highlight w:val="none"/>
          <w:u w:val="single"/>
        </w:rPr>
        <w:t xml:space="preserve">  执行通用条款</w:t>
      </w:r>
      <w:r>
        <w:rPr>
          <w:rFonts w:hint="eastAsia" w:hAnsi="宋体" w:cs="宋体"/>
          <w:highlight w:val="none"/>
        </w:rPr>
        <w:t>。</w:t>
      </w:r>
    </w:p>
    <w:p>
      <w:pPr>
        <w:pStyle w:val="2"/>
        <w:spacing w:before="0" w:after="0"/>
        <w:ind w:left="240" w:leftChars="100"/>
        <w:rPr>
          <w:rFonts w:cs="黑体"/>
          <w:highlight w:val="none"/>
        </w:rPr>
      </w:pPr>
      <w:bookmarkStart w:id="735" w:name="_Toc26700498"/>
      <w:bookmarkStart w:id="736" w:name="_Toc17100688"/>
      <w:bookmarkStart w:id="737" w:name="_Toc26700668"/>
      <w:bookmarkStart w:id="738" w:name="_Toc15753924"/>
      <w:bookmarkStart w:id="739" w:name="_Toc26721557"/>
      <w:bookmarkStart w:id="740" w:name="_Toc24965168"/>
      <w:bookmarkStart w:id="741" w:name="_Toc26721402"/>
      <w:r>
        <w:rPr>
          <w:rFonts w:hint="eastAsia" w:cs="黑体"/>
          <w:highlight w:val="none"/>
        </w:rPr>
        <w:t>5. 包装、标记、运输和交付</w:t>
      </w:r>
      <w:bookmarkEnd w:id="732"/>
      <w:bookmarkEnd w:id="735"/>
      <w:bookmarkEnd w:id="736"/>
      <w:bookmarkEnd w:id="737"/>
      <w:bookmarkEnd w:id="738"/>
      <w:bookmarkEnd w:id="739"/>
      <w:bookmarkEnd w:id="740"/>
      <w:bookmarkEnd w:id="741"/>
    </w:p>
    <w:p>
      <w:pPr>
        <w:pStyle w:val="5"/>
        <w:spacing w:before="0" w:after="0"/>
        <w:rPr>
          <w:rFonts w:ascii="黑体" w:hAnsi="黑体" w:cs="黑体"/>
          <w:szCs w:val="24"/>
          <w:highlight w:val="none"/>
        </w:rPr>
      </w:pPr>
      <w:bookmarkStart w:id="742" w:name="_Toc392346759"/>
      <w:r>
        <w:rPr>
          <w:rFonts w:hint="eastAsia" w:ascii="黑体" w:hAnsi="黑体" w:cs="黑体"/>
          <w:szCs w:val="24"/>
          <w:highlight w:val="none"/>
        </w:rPr>
        <w:t>5.1 包装</w:t>
      </w:r>
      <w:bookmarkEnd w:id="742"/>
    </w:p>
    <w:p>
      <w:pPr>
        <w:spacing w:line="360" w:lineRule="auto"/>
        <w:ind w:firstLine="480" w:firstLineChars="200"/>
        <w:rPr>
          <w:rFonts w:hAnsi="宋体" w:cs="宋体"/>
          <w:highlight w:val="none"/>
        </w:rPr>
      </w:pPr>
      <w:r>
        <w:rPr>
          <w:rFonts w:hint="eastAsia" w:hAnsi="宋体" w:cs="宋体"/>
          <w:highlight w:val="none"/>
        </w:rPr>
        <w:t>5.1.1 包装的其他要求：</w:t>
      </w:r>
      <w:r>
        <w:rPr>
          <w:rFonts w:hint="eastAsia" w:hAnsi="宋体" w:cs="宋体"/>
          <w:highlight w:val="none"/>
          <w:u w:val="single"/>
        </w:rPr>
        <w:t xml:space="preserve">   执行通用条款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5.1.3 买方是否需将包装物退还给卖方：</w:t>
      </w:r>
      <w:r>
        <w:rPr>
          <w:rFonts w:hint="eastAsia" w:hAnsi="宋体" w:cs="宋体"/>
          <w:highlight w:val="none"/>
          <w:u w:val="single"/>
        </w:rPr>
        <w:t xml:space="preserve">   不需要  </w:t>
      </w:r>
      <w:r>
        <w:rPr>
          <w:rFonts w:hint="eastAsia" w:hAnsi="宋体" w:cs="宋体"/>
          <w:highlight w:val="none"/>
        </w:rPr>
        <w:t>。</w:t>
      </w:r>
    </w:p>
    <w:p>
      <w:pPr>
        <w:pStyle w:val="5"/>
        <w:spacing w:before="0" w:after="0"/>
        <w:rPr>
          <w:rFonts w:ascii="黑体" w:hAnsi="黑体" w:cs="黑体"/>
          <w:szCs w:val="24"/>
          <w:highlight w:val="none"/>
        </w:rPr>
      </w:pPr>
      <w:bookmarkStart w:id="743" w:name="_Toc392346760"/>
      <w:r>
        <w:rPr>
          <w:rFonts w:hint="eastAsia" w:ascii="黑体" w:hAnsi="黑体" w:cs="黑体"/>
          <w:szCs w:val="24"/>
          <w:highlight w:val="none"/>
        </w:rPr>
        <w:t>5.2 标记</w:t>
      </w:r>
      <w:bookmarkEnd w:id="743"/>
    </w:p>
    <w:p>
      <w:pPr>
        <w:spacing w:line="360" w:lineRule="auto"/>
        <w:ind w:firstLine="480" w:firstLineChars="200"/>
        <w:rPr>
          <w:rFonts w:hAnsi="宋体" w:cs="宋体"/>
          <w:highlight w:val="none"/>
        </w:rPr>
      </w:pPr>
      <w:r>
        <w:rPr>
          <w:rFonts w:hint="eastAsia" w:hAnsi="宋体" w:cs="宋体"/>
          <w:highlight w:val="none"/>
        </w:rPr>
        <w:t>5.2.1标记要求：</w:t>
      </w:r>
      <w:r>
        <w:rPr>
          <w:rFonts w:hint="eastAsia" w:hAnsi="宋体" w:cs="宋体"/>
          <w:highlight w:val="none"/>
          <w:u w:val="single"/>
        </w:rPr>
        <w:t xml:space="preserve">  执行通用条款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5.2.2 超大超重件：</w:t>
      </w:r>
      <w:r>
        <w:rPr>
          <w:rFonts w:hint="eastAsia" w:hAnsi="宋体" w:cs="宋体"/>
          <w:snapToGrid w:val="0"/>
          <w:highlight w:val="none"/>
          <w:u w:val="single"/>
        </w:rPr>
        <w:t xml:space="preserve"> 执行通用条款 </w:t>
      </w:r>
      <w:r>
        <w:rPr>
          <w:rFonts w:hint="eastAsia" w:hAnsi="宋体" w:cs="宋体"/>
          <w:highlight w:val="none"/>
        </w:rPr>
        <w:t>。</w:t>
      </w:r>
    </w:p>
    <w:p>
      <w:pPr>
        <w:pStyle w:val="5"/>
        <w:spacing w:before="0" w:after="0"/>
        <w:rPr>
          <w:rFonts w:ascii="黑体" w:hAnsi="黑体" w:cs="黑体"/>
          <w:szCs w:val="24"/>
          <w:highlight w:val="none"/>
        </w:rPr>
      </w:pPr>
      <w:bookmarkStart w:id="744" w:name="_Toc392346761"/>
      <w:r>
        <w:rPr>
          <w:rFonts w:hint="eastAsia" w:ascii="黑体" w:hAnsi="黑体" w:cs="黑体"/>
          <w:szCs w:val="24"/>
          <w:highlight w:val="none"/>
        </w:rPr>
        <w:t>5.3 运输</w:t>
      </w:r>
      <w:bookmarkEnd w:id="744"/>
    </w:p>
    <w:p>
      <w:pPr>
        <w:snapToGrid w:val="0"/>
        <w:spacing w:line="360" w:lineRule="auto"/>
        <w:ind w:firstLine="480" w:firstLineChars="200"/>
        <w:rPr>
          <w:rFonts w:hAnsi="宋体" w:cs="宋体"/>
          <w:highlight w:val="none"/>
        </w:rPr>
      </w:pPr>
      <w:r>
        <w:rPr>
          <w:rFonts w:hint="eastAsia" w:hAnsi="宋体" w:cs="宋体"/>
          <w:highlight w:val="none"/>
        </w:rPr>
        <w:t>5.3.2整套装运要求：</w:t>
      </w:r>
      <w:r>
        <w:rPr>
          <w:rFonts w:hint="eastAsia" w:hAnsi="宋体" w:cs="宋体"/>
          <w:highlight w:val="none"/>
          <w:u w:val="single"/>
        </w:rPr>
        <w:t xml:space="preserve">  执行通用条款  </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5.3.3装运通知</w:t>
      </w:r>
    </w:p>
    <w:p>
      <w:pPr>
        <w:snapToGrid w:val="0"/>
        <w:spacing w:line="360" w:lineRule="auto"/>
        <w:ind w:firstLine="1080" w:firstLineChars="450"/>
        <w:rPr>
          <w:rFonts w:hAnsi="宋体" w:cs="宋体"/>
          <w:highlight w:val="none"/>
        </w:rPr>
      </w:pPr>
      <w:r>
        <w:rPr>
          <w:rFonts w:hint="eastAsia" w:hAnsi="宋体" w:cs="宋体"/>
          <w:highlight w:val="none"/>
        </w:rPr>
        <w:t>通知时间：</w:t>
      </w:r>
      <w:r>
        <w:rPr>
          <w:rFonts w:hint="eastAsia" w:hAnsi="宋体" w:cs="宋体"/>
          <w:highlight w:val="none"/>
          <w:u w:val="single"/>
        </w:rPr>
        <w:t xml:space="preserve">执行通用条款 </w:t>
      </w:r>
      <w:r>
        <w:rPr>
          <w:rFonts w:hint="eastAsia" w:hAnsi="宋体" w:cs="宋体"/>
          <w:highlight w:val="none"/>
        </w:rPr>
        <w:t>。</w:t>
      </w:r>
    </w:p>
    <w:p>
      <w:pPr>
        <w:snapToGrid w:val="0"/>
        <w:spacing w:line="360" w:lineRule="auto"/>
        <w:ind w:firstLine="1080" w:firstLineChars="450"/>
        <w:rPr>
          <w:rFonts w:hAnsi="宋体" w:cs="宋体"/>
          <w:highlight w:val="none"/>
        </w:rPr>
      </w:pPr>
      <w:r>
        <w:rPr>
          <w:rFonts w:hint="eastAsia" w:hAnsi="宋体" w:cs="宋体"/>
          <w:highlight w:val="none"/>
        </w:rPr>
        <w:t>通知内容：</w:t>
      </w:r>
      <w:r>
        <w:rPr>
          <w:rFonts w:hint="eastAsia" w:hAnsi="宋体" w:cs="宋体"/>
          <w:highlight w:val="none"/>
          <w:u w:val="single"/>
        </w:rPr>
        <w:t xml:space="preserve"> 执行通用条款</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5.3.4 超大超重包装：</w:t>
      </w:r>
      <w:r>
        <w:rPr>
          <w:rFonts w:hint="eastAsia" w:hAnsi="宋体" w:cs="宋体"/>
          <w:snapToGrid w:val="0"/>
          <w:highlight w:val="none"/>
          <w:u w:val="single"/>
        </w:rPr>
        <w:t xml:space="preserve"> 执行通用条款 </w:t>
      </w:r>
      <w:r>
        <w:rPr>
          <w:rFonts w:hint="eastAsia" w:hAnsi="宋体" w:cs="宋体"/>
          <w:highlight w:val="none"/>
        </w:rPr>
        <w:t>。</w:t>
      </w:r>
    </w:p>
    <w:p>
      <w:pPr>
        <w:pStyle w:val="5"/>
        <w:spacing w:before="0" w:after="0"/>
        <w:rPr>
          <w:rFonts w:ascii="黑体" w:hAnsi="黑体" w:cs="黑体"/>
          <w:szCs w:val="24"/>
          <w:highlight w:val="none"/>
        </w:rPr>
      </w:pPr>
      <w:bookmarkStart w:id="745" w:name="_Toc392346762"/>
      <w:r>
        <w:rPr>
          <w:rFonts w:hint="eastAsia" w:ascii="黑体" w:hAnsi="黑体" w:cs="黑体"/>
          <w:szCs w:val="24"/>
          <w:highlight w:val="none"/>
        </w:rPr>
        <w:t>5.4 交付</w:t>
      </w:r>
      <w:bookmarkEnd w:id="745"/>
    </w:p>
    <w:p>
      <w:pPr>
        <w:tabs>
          <w:tab w:val="left" w:pos="540"/>
          <w:tab w:val="left" w:pos="1260"/>
        </w:tabs>
        <w:adjustRightInd w:val="0"/>
        <w:snapToGrid w:val="0"/>
        <w:spacing w:line="360" w:lineRule="auto"/>
        <w:ind w:firstLine="480" w:firstLineChars="200"/>
        <w:rPr>
          <w:rFonts w:hAnsi="宋体" w:cs="宋体"/>
          <w:snapToGrid w:val="0"/>
          <w:highlight w:val="none"/>
          <w:u w:val="single"/>
        </w:rPr>
      </w:pPr>
      <w:r>
        <w:rPr>
          <w:rFonts w:hint="eastAsia" w:hAnsi="宋体" w:cs="宋体"/>
          <w:highlight w:val="none"/>
        </w:rPr>
        <w:t>4.4.1 交付时间、批次：</w:t>
      </w:r>
      <w:r>
        <w:rPr>
          <w:rFonts w:hint="eastAsia" w:hAnsi="宋体" w:cs="宋体"/>
          <w:snapToGrid w:val="0"/>
          <w:highlight w:val="none"/>
          <w:u w:val="single"/>
        </w:rPr>
        <w:t xml:space="preserve"> 根据买方具体通知</w:t>
      </w:r>
      <w:r>
        <w:rPr>
          <w:rFonts w:hint="eastAsia" w:hAnsi="宋体" w:cs="宋体"/>
          <w:highlight w:val="none"/>
        </w:rPr>
        <w:t>。</w:t>
      </w:r>
    </w:p>
    <w:p>
      <w:pPr>
        <w:tabs>
          <w:tab w:val="left" w:pos="540"/>
          <w:tab w:val="left" w:pos="1260"/>
        </w:tabs>
        <w:adjustRightInd w:val="0"/>
        <w:snapToGrid w:val="0"/>
        <w:spacing w:line="360" w:lineRule="auto"/>
        <w:ind w:firstLine="480" w:firstLineChars="200"/>
        <w:rPr>
          <w:rFonts w:hAnsi="宋体" w:cs="宋体"/>
          <w:highlight w:val="none"/>
          <w:u w:val="single"/>
        </w:rPr>
      </w:pPr>
      <w:r>
        <w:rPr>
          <w:rFonts w:hint="eastAsia" w:hAnsi="宋体" w:cs="宋体"/>
          <w:highlight w:val="none"/>
        </w:rPr>
        <w:t>交付地点：</w:t>
      </w:r>
      <w:r>
        <w:rPr>
          <w:rFonts w:hint="eastAsia" w:hAnsi="宋体" w:cs="宋体"/>
          <w:highlight w:val="none"/>
          <w:u w:val="single"/>
        </w:rPr>
        <w:t>根据买方具体通知</w:t>
      </w:r>
      <w:r>
        <w:rPr>
          <w:rFonts w:hint="eastAsia" w:hAnsi="宋体" w:cs="宋体"/>
          <w:highlight w:val="none"/>
        </w:rPr>
        <w:t>。</w:t>
      </w:r>
    </w:p>
    <w:p>
      <w:pPr>
        <w:tabs>
          <w:tab w:val="left" w:pos="540"/>
          <w:tab w:val="left" w:pos="1260"/>
        </w:tabs>
        <w:adjustRightInd w:val="0"/>
        <w:snapToGrid w:val="0"/>
        <w:spacing w:line="360" w:lineRule="auto"/>
        <w:ind w:firstLine="480" w:firstLineChars="200"/>
        <w:rPr>
          <w:rFonts w:hAnsi="宋体" w:cs="宋体"/>
          <w:snapToGrid w:val="0"/>
          <w:highlight w:val="none"/>
          <w:u w:val="single"/>
        </w:rPr>
      </w:pPr>
      <w:r>
        <w:rPr>
          <w:rFonts w:hint="eastAsia" w:hAnsi="宋体" w:cs="宋体"/>
          <w:highlight w:val="none"/>
        </w:rPr>
        <w:t>交付方式：</w:t>
      </w:r>
      <w:r>
        <w:rPr>
          <w:rFonts w:hint="eastAsia" w:hAnsi="宋体" w:cs="宋体"/>
          <w:highlight w:val="none"/>
          <w:u w:val="single"/>
        </w:rPr>
        <w:t>根据买方具体通知</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5.4.3 技术资料免费补齐的时间：</w:t>
      </w:r>
      <w:r>
        <w:rPr>
          <w:rFonts w:hint="eastAsia" w:hAnsi="宋体" w:cs="宋体"/>
          <w:highlight w:val="none"/>
          <w:u w:val="single"/>
        </w:rPr>
        <w:t xml:space="preserve"> 根据买方具体通知</w:t>
      </w:r>
      <w:r>
        <w:rPr>
          <w:rFonts w:hint="eastAsia" w:hAnsi="宋体" w:cs="宋体"/>
          <w:highlight w:val="none"/>
        </w:rPr>
        <w:t>。</w:t>
      </w:r>
    </w:p>
    <w:p>
      <w:pPr>
        <w:pStyle w:val="2"/>
        <w:spacing w:before="0" w:after="0"/>
        <w:ind w:left="240" w:leftChars="100"/>
        <w:rPr>
          <w:rFonts w:cs="黑体"/>
          <w:highlight w:val="none"/>
        </w:rPr>
      </w:pPr>
      <w:bookmarkStart w:id="746" w:name="_Toc24965169"/>
      <w:bookmarkStart w:id="747" w:name="_Toc26700669"/>
      <w:bookmarkStart w:id="748" w:name="_Toc26721403"/>
      <w:bookmarkStart w:id="749" w:name="_Toc15753925"/>
      <w:bookmarkStart w:id="750" w:name="_Toc392346763"/>
      <w:bookmarkStart w:id="751" w:name="_Toc26721558"/>
      <w:bookmarkStart w:id="752" w:name="_Toc26700499"/>
      <w:bookmarkStart w:id="753" w:name="_Toc17100689"/>
      <w:r>
        <w:rPr>
          <w:rFonts w:hint="eastAsia" w:cs="黑体"/>
          <w:highlight w:val="none"/>
        </w:rPr>
        <w:t>6. 开箱检验、安装、调试、考核、验收</w:t>
      </w:r>
      <w:bookmarkEnd w:id="746"/>
      <w:bookmarkEnd w:id="747"/>
      <w:bookmarkEnd w:id="748"/>
      <w:bookmarkEnd w:id="749"/>
      <w:bookmarkEnd w:id="750"/>
      <w:bookmarkEnd w:id="751"/>
      <w:bookmarkEnd w:id="752"/>
      <w:bookmarkEnd w:id="753"/>
    </w:p>
    <w:p>
      <w:pPr>
        <w:pStyle w:val="5"/>
        <w:spacing w:before="0" w:after="0"/>
        <w:rPr>
          <w:rFonts w:ascii="黑体" w:hAnsi="黑体" w:cs="黑体"/>
          <w:szCs w:val="24"/>
          <w:highlight w:val="none"/>
        </w:rPr>
      </w:pPr>
      <w:r>
        <w:rPr>
          <w:rFonts w:hint="eastAsia" w:ascii="黑体" w:hAnsi="黑体" w:cs="黑体"/>
          <w:szCs w:val="24"/>
          <w:highlight w:val="none"/>
        </w:rPr>
        <w:t>6.1 开箱检验</w:t>
      </w:r>
    </w:p>
    <w:p>
      <w:pPr>
        <w:spacing w:line="360" w:lineRule="auto"/>
        <w:ind w:firstLine="480" w:firstLineChars="200"/>
        <w:rPr>
          <w:rFonts w:hAnsi="宋体" w:cs="宋体"/>
          <w:highlight w:val="none"/>
        </w:rPr>
      </w:pPr>
      <w:r>
        <w:rPr>
          <w:rFonts w:hint="eastAsia" w:hAnsi="宋体" w:cs="宋体"/>
          <w:highlight w:val="none"/>
        </w:rPr>
        <w:t>6.1.1 开箱检验的时间按以下第_</w:t>
      </w:r>
      <w:r>
        <w:rPr>
          <w:rFonts w:hint="eastAsia" w:hAnsi="宋体" w:cs="宋体"/>
          <w:highlight w:val="none"/>
          <w:u w:val="single"/>
        </w:rPr>
        <w:t>（1）_</w:t>
      </w:r>
      <w:r>
        <w:rPr>
          <w:rFonts w:hint="eastAsia" w:hAnsi="宋体" w:cs="宋体"/>
          <w:highlight w:val="none"/>
        </w:rPr>
        <w:t>种方式确定。</w:t>
      </w:r>
    </w:p>
    <w:p>
      <w:pPr>
        <w:snapToGrid w:val="0"/>
        <w:spacing w:line="360" w:lineRule="auto"/>
        <w:ind w:firstLine="480" w:firstLineChars="200"/>
        <w:rPr>
          <w:rFonts w:hAnsi="宋体" w:cs="宋体"/>
          <w:snapToGrid w:val="0"/>
          <w:highlight w:val="none"/>
          <w:u w:val="single"/>
        </w:rPr>
      </w:pPr>
      <w:r>
        <w:rPr>
          <w:rFonts w:hint="eastAsia" w:hAnsi="宋体" w:cs="宋体"/>
          <w:snapToGrid w:val="0"/>
          <w:highlight w:val="none"/>
          <w:u w:val="single"/>
        </w:rPr>
        <w:t xml:space="preserve">（1）合同设备交付时； </w:t>
      </w:r>
    </w:p>
    <w:p>
      <w:pPr>
        <w:snapToGrid w:val="0"/>
        <w:spacing w:line="360" w:lineRule="auto"/>
        <w:ind w:firstLine="480" w:firstLineChars="200"/>
        <w:rPr>
          <w:rFonts w:hAnsi="宋体" w:cs="宋体"/>
          <w:snapToGrid w:val="0"/>
          <w:highlight w:val="none"/>
        </w:rPr>
      </w:pPr>
      <w:r>
        <w:rPr>
          <w:rFonts w:hint="eastAsia" w:hAnsi="宋体" w:cs="宋体"/>
          <w:snapToGrid w:val="0"/>
          <w:highlight w:val="none"/>
          <w:u w:val="single"/>
        </w:rPr>
        <w:t>（2）合同设备交付后的一定期限内。如开箱检验不在合同设备交付时进行，买方应在开箱检验   日前将开箱检验的时间和地点通知卖方。</w:t>
      </w:r>
    </w:p>
    <w:p>
      <w:pPr>
        <w:snapToGrid w:val="0"/>
        <w:spacing w:line="360" w:lineRule="auto"/>
        <w:ind w:firstLine="480" w:firstLineChars="200"/>
        <w:rPr>
          <w:rFonts w:hAnsi="宋体" w:cs="宋体"/>
          <w:highlight w:val="none"/>
        </w:rPr>
      </w:pPr>
      <w:r>
        <w:rPr>
          <w:rFonts w:hint="eastAsia" w:hAnsi="宋体" w:cs="宋体"/>
          <w:highlight w:val="none"/>
        </w:rPr>
        <w:t>6.1.2 合同设备的开箱检验地点：</w:t>
      </w:r>
      <w:r>
        <w:rPr>
          <w:rFonts w:hint="eastAsia" w:hAnsi="宋体" w:cs="宋体"/>
          <w:highlight w:val="none"/>
          <w:u w:val="single"/>
        </w:rPr>
        <w:t xml:space="preserve">根据买方具体通知 </w:t>
      </w:r>
      <w:r>
        <w:rPr>
          <w:rFonts w:hint="eastAsia" w:hAnsi="宋体" w:cs="宋体"/>
          <w:highlight w:val="none"/>
        </w:rPr>
        <w:t>。</w:t>
      </w:r>
    </w:p>
    <w:p>
      <w:pPr>
        <w:snapToGrid w:val="0"/>
        <w:spacing w:line="360" w:lineRule="auto"/>
        <w:ind w:firstLine="480" w:firstLineChars="200"/>
        <w:rPr>
          <w:rFonts w:hAnsi="宋体" w:cs="宋体"/>
          <w:snapToGrid w:val="0"/>
          <w:highlight w:val="none"/>
        </w:rPr>
      </w:pPr>
      <w:r>
        <w:rPr>
          <w:rFonts w:hint="eastAsia" w:hAnsi="宋体" w:cs="宋体"/>
          <w:highlight w:val="none"/>
        </w:rPr>
        <w:t>6.1.6 合同设备的短缺、损坏或其它与合同约定不符的情形：</w:t>
      </w:r>
      <w:r>
        <w:rPr>
          <w:rFonts w:hint="eastAsia" w:hAnsi="宋体" w:cs="宋体"/>
          <w:snapToGrid w:val="0"/>
          <w:highlight w:val="none"/>
          <w:u w:val="single"/>
        </w:rPr>
        <w:t xml:space="preserve"> 执行通用条款，并按短缺、损坏的设备相应货款的30%处以违约金</w:t>
      </w:r>
      <w:r>
        <w:rPr>
          <w:rFonts w:hint="eastAsia" w:hAnsi="宋体" w:cs="宋体"/>
          <w:snapToGrid w:val="0"/>
          <w:highlight w:val="none"/>
        </w:rPr>
        <w:t>。</w:t>
      </w:r>
    </w:p>
    <w:p>
      <w:pPr>
        <w:spacing w:line="360" w:lineRule="auto"/>
        <w:ind w:firstLine="480" w:firstLineChars="200"/>
        <w:rPr>
          <w:rFonts w:hAnsi="宋体" w:cs="宋体"/>
          <w:highlight w:val="none"/>
        </w:rPr>
      </w:pPr>
      <w:r>
        <w:rPr>
          <w:rFonts w:hint="eastAsia" w:hAnsi="宋体" w:cs="宋体"/>
          <w:highlight w:val="none"/>
        </w:rPr>
        <w:t>6.1.7 第三方检测机构的委托要求、费用承担和检验效力：</w:t>
      </w:r>
      <w:r>
        <w:rPr>
          <w:rFonts w:hint="eastAsia" w:hAnsi="宋体" w:cs="宋体"/>
          <w:highlight w:val="none"/>
          <w:u w:val="single"/>
        </w:rPr>
        <w:t>买方委托，费用卖方承担</w:t>
      </w:r>
      <w:r>
        <w:rPr>
          <w:rFonts w:hint="eastAsia" w:hAnsi="宋体" w:cs="宋体"/>
          <w:highlight w:val="none"/>
        </w:rPr>
        <w:t>。</w:t>
      </w:r>
    </w:p>
    <w:p>
      <w:pPr>
        <w:pStyle w:val="5"/>
        <w:spacing w:before="0" w:after="0"/>
        <w:rPr>
          <w:rFonts w:ascii="黑体" w:hAnsi="黑体" w:cs="黑体"/>
          <w:szCs w:val="24"/>
          <w:highlight w:val="none"/>
        </w:rPr>
      </w:pPr>
      <w:r>
        <w:rPr>
          <w:rFonts w:hint="eastAsia" w:ascii="黑体" w:hAnsi="黑体" w:cs="黑体"/>
          <w:szCs w:val="24"/>
          <w:highlight w:val="none"/>
        </w:rPr>
        <w:t>6.2 安装、调试</w:t>
      </w:r>
    </w:p>
    <w:p>
      <w:pPr>
        <w:snapToGrid w:val="0"/>
        <w:spacing w:line="360" w:lineRule="auto"/>
        <w:ind w:firstLine="480" w:firstLineChars="200"/>
        <w:rPr>
          <w:rFonts w:hAnsi="宋体" w:cs="宋体"/>
          <w:highlight w:val="none"/>
        </w:rPr>
      </w:pPr>
      <w:r>
        <w:rPr>
          <w:rFonts w:hint="eastAsia" w:hAnsi="宋体" w:cs="宋体"/>
          <w:highlight w:val="none"/>
        </w:rPr>
        <w:t>6.2.1 安装、调试按照下列</w:t>
      </w:r>
      <w:r>
        <w:rPr>
          <w:rFonts w:hint="eastAsia" w:hAnsi="宋体" w:cs="宋体"/>
          <w:highlight w:val="none"/>
          <w:u w:val="single"/>
        </w:rPr>
        <w:t xml:space="preserve"> （1）</w:t>
      </w:r>
      <w:r>
        <w:rPr>
          <w:rFonts w:hint="eastAsia" w:hAnsi="宋体" w:cs="宋体"/>
          <w:highlight w:val="none"/>
        </w:rPr>
        <w:t>方式进行：</w:t>
      </w:r>
    </w:p>
    <w:p>
      <w:pPr>
        <w:snapToGrid w:val="0"/>
        <w:spacing w:line="360" w:lineRule="auto"/>
        <w:ind w:firstLine="480" w:firstLineChars="200"/>
        <w:rPr>
          <w:rFonts w:hAnsi="宋体" w:cs="宋体"/>
          <w:highlight w:val="none"/>
        </w:rPr>
      </w:pPr>
      <w:r>
        <w:rPr>
          <w:rFonts w:hint="eastAsia" w:hAnsi="宋体" w:cs="宋体"/>
          <w:highlight w:val="none"/>
        </w:rPr>
        <w:t>（1）卖方按照合同约定完成合同设备的安装、调试工作；</w:t>
      </w:r>
    </w:p>
    <w:p>
      <w:pPr>
        <w:snapToGrid w:val="0"/>
        <w:spacing w:line="360" w:lineRule="auto"/>
        <w:ind w:firstLine="480" w:firstLineChars="200"/>
        <w:rPr>
          <w:rFonts w:hAnsi="宋体" w:cs="宋体"/>
          <w:highlight w:val="none"/>
        </w:rPr>
      </w:pPr>
      <w:r>
        <w:rPr>
          <w:rFonts w:hint="eastAsia" w:hAnsi="宋体" w:cs="宋体"/>
          <w:highlight w:val="none"/>
        </w:rPr>
        <w:t>（2）买方或买方安排第三方负责合同设备的安装、调试工作，卖方提供技术服务。</w:t>
      </w:r>
    </w:p>
    <w:p>
      <w:pPr>
        <w:snapToGrid w:val="0"/>
        <w:spacing w:line="360" w:lineRule="auto"/>
        <w:ind w:firstLine="480" w:firstLineChars="200"/>
        <w:rPr>
          <w:rFonts w:hAnsi="宋体" w:cs="宋体"/>
          <w:highlight w:val="none"/>
        </w:rPr>
      </w:pPr>
      <w:r>
        <w:rPr>
          <w:rFonts w:hint="eastAsia" w:hAnsi="宋体" w:cs="宋体"/>
          <w:highlight w:val="none"/>
          <w:lang w:val="zh-CN"/>
        </w:rPr>
        <w:t>买方</w:t>
      </w:r>
      <w:r>
        <w:rPr>
          <w:rFonts w:hint="eastAsia" w:hAnsi="宋体" w:cs="宋体"/>
          <w:highlight w:val="none"/>
        </w:rPr>
        <w:t>或买方安排的第三方</w:t>
      </w:r>
      <w:r>
        <w:rPr>
          <w:rFonts w:hint="eastAsia" w:hAnsi="宋体" w:cs="宋体"/>
          <w:highlight w:val="none"/>
          <w:lang w:val="zh-CN"/>
        </w:rPr>
        <w:t>未按照卖方现场服务人员的指导导致安装、调试不成功和（或）出现合同货物损坏的责任承担：</w:t>
      </w:r>
      <w:r>
        <w:rPr>
          <w:rFonts w:hint="eastAsia" w:hAnsi="宋体" w:cs="宋体"/>
          <w:highlight w:val="none"/>
          <w:u w:val="single"/>
        </w:rPr>
        <w:t xml:space="preserve">       /       </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6.2.2 安装、调试所需的动力、耗材和原材料（如需要）：</w:t>
      </w:r>
      <w:r>
        <w:rPr>
          <w:rFonts w:hint="eastAsia" w:hAnsi="宋体" w:cs="宋体"/>
          <w:highlight w:val="none"/>
          <w:u w:val="single"/>
        </w:rPr>
        <w:t>由卖方承担。</w:t>
      </w:r>
    </w:p>
    <w:p>
      <w:pPr>
        <w:pStyle w:val="5"/>
        <w:spacing w:before="0" w:after="0"/>
        <w:rPr>
          <w:rFonts w:ascii="黑体" w:hAnsi="黑体" w:cs="黑体"/>
          <w:szCs w:val="24"/>
          <w:highlight w:val="none"/>
        </w:rPr>
      </w:pPr>
      <w:bookmarkStart w:id="754" w:name="_Toc392227887"/>
      <w:r>
        <w:rPr>
          <w:rFonts w:hint="eastAsia" w:ascii="黑体" w:hAnsi="黑体" w:cs="黑体"/>
          <w:szCs w:val="24"/>
          <w:highlight w:val="none"/>
        </w:rPr>
        <w:t>6.3 考核</w:t>
      </w:r>
      <w:bookmarkEnd w:id="754"/>
    </w:p>
    <w:p>
      <w:pPr>
        <w:snapToGrid w:val="0"/>
        <w:spacing w:line="360" w:lineRule="auto"/>
        <w:ind w:firstLine="480" w:firstLineChars="200"/>
        <w:rPr>
          <w:rFonts w:hAnsi="宋体" w:cs="宋体"/>
          <w:highlight w:val="none"/>
        </w:rPr>
      </w:pPr>
      <w:r>
        <w:rPr>
          <w:rFonts w:hint="eastAsia" w:hAnsi="宋体" w:cs="宋体"/>
          <w:highlight w:val="none"/>
        </w:rPr>
        <w:t>6.3.1 考核所需的动力、耗材和原材料（如需要）的承担：</w:t>
      </w:r>
      <w:r>
        <w:rPr>
          <w:rFonts w:hint="eastAsia" w:hAnsi="宋体" w:cs="宋体"/>
          <w:highlight w:val="none"/>
          <w:u w:val="single"/>
        </w:rPr>
        <w:t>由卖方承担。</w:t>
      </w:r>
    </w:p>
    <w:p>
      <w:pPr>
        <w:snapToGrid w:val="0"/>
        <w:spacing w:line="360" w:lineRule="auto"/>
        <w:ind w:firstLine="480" w:firstLineChars="200"/>
        <w:rPr>
          <w:rFonts w:hAnsi="宋体" w:cs="宋体"/>
          <w:highlight w:val="none"/>
        </w:rPr>
      </w:pPr>
      <w:r>
        <w:rPr>
          <w:rFonts w:hint="eastAsia" w:hAnsi="宋体" w:cs="宋体"/>
          <w:highlight w:val="none"/>
        </w:rPr>
        <w:t>6.3.2 技术性能考核指标：</w:t>
      </w:r>
      <w:r>
        <w:rPr>
          <w:rFonts w:hint="eastAsia" w:hAnsi="宋体" w:cs="宋体"/>
          <w:highlight w:val="none"/>
          <w:u w:val="single"/>
        </w:rPr>
        <w:t>满足技术规范书及图纸要求。</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6.3.3 对卖方进行考核的次数：</w:t>
      </w:r>
      <w:r>
        <w:rPr>
          <w:rFonts w:hint="eastAsia" w:hAnsi="宋体" w:cs="宋体"/>
          <w:highlight w:val="none"/>
          <w:u w:val="single"/>
        </w:rPr>
        <w:t xml:space="preserve">  3  </w:t>
      </w:r>
      <w:r>
        <w:rPr>
          <w:rFonts w:hint="eastAsia" w:hAnsi="宋体" w:cs="宋体"/>
          <w:highlight w:val="none"/>
        </w:rPr>
        <w:t>次。</w:t>
      </w:r>
    </w:p>
    <w:p>
      <w:pPr>
        <w:snapToGrid w:val="0"/>
        <w:spacing w:line="360" w:lineRule="auto"/>
        <w:ind w:firstLine="480" w:firstLineChars="200"/>
        <w:rPr>
          <w:rFonts w:hAnsi="宋体" w:cs="宋体"/>
          <w:highlight w:val="none"/>
          <w:u w:val="single"/>
        </w:rPr>
      </w:pPr>
      <w:r>
        <w:rPr>
          <w:rFonts w:hint="eastAsia" w:hAnsi="宋体" w:cs="宋体"/>
          <w:highlight w:val="none"/>
        </w:rPr>
        <w:t>考核均未能达到合同约定的技术性能考核指标的处理办法：</w:t>
      </w:r>
      <w:r>
        <w:rPr>
          <w:rFonts w:hint="eastAsia" w:hAnsi="宋体" w:cs="宋体"/>
          <w:highlight w:val="none"/>
          <w:u w:val="single"/>
        </w:rPr>
        <w:t>执行通用条款，</w:t>
      </w:r>
    </w:p>
    <w:p>
      <w:pPr>
        <w:snapToGrid w:val="0"/>
        <w:spacing w:line="360" w:lineRule="auto"/>
        <w:ind w:firstLine="480" w:firstLineChars="200"/>
        <w:rPr>
          <w:rFonts w:hAnsi="宋体" w:cs="宋体"/>
          <w:highlight w:val="none"/>
          <w:u w:val="single"/>
        </w:rPr>
      </w:pPr>
      <w:r>
        <w:rPr>
          <w:rFonts w:hint="eastAsia" w:hAnsi="宋体" w:cs="宋体"/>
          <w:highlight w:val="none"/>
          <w:u w:val="single"/>
        </w:rPr>
        <w:t>并按设备相应货款的 30%处以违约金</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视为合同货物已达到技术性能考核指标时的减价或向买方支付补偿金的标准：</w:t>
      </w:r>
      <w:r>
        <w:rPr>
          <w:rFonts w:hint="eastAsia" w:hAnsi="宋体" w:cs="宋体"/>
          <w:highlight w:val="none"/>
          <w:u w:val="single"/>
        </w:rPr>
        <w:t xml:space="preserve">   /    </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如果买方委托第三方检测机构对合同设备进行技术性能考核，则第三方检测机构的检验结果对双方均具有约束力。检测费用由</w:t>
      </w:r>
      <w:r>
        <w:rPr>
          <w:rFonts w:hint="eastAsia" w:hAnsi="宋体" w:cs="宋体"/>
          <w:highlight w:val="none"/>
          <w:u w:val="single"/>
        </w:rPr>
        <w:t>卖方</w:t>
      </w:r>
      <w:r>
        <w:rPr>
          <w:rFonts w:hint="eastAsia" w:hAnsi="宋体" w:cs="宋体"/>
          <w:highlight w:val="none"/>
        </w:rPr>
        <w:t>承担。</w:t>
      </w:r>
    </w:p>
    <w:p>
      <w:pPr>
        <w:pStyle w:val="5"/>
        <w:spacing w:before="0" w:after="0"/>
        <w:rPr>
          <w:rFonts w:ascii="黑体" w:hAnsi="黑体" w:cs="黑体"/>
          <w:szCs w:val="24"/>
          <w:highlight w:val="none"/>
        </w:rPr>
      </w:pPr>
      <w:bookmarkStart w:id="755" w:name="_Toc392227888"/>
      <w:r>
        <w:rPr>
          <w:rFonts w:hint="eastAsia" w:ascii="黑体" w:hAnsi="黑体" w:cs="黑体"/>
          <w:szCs w:val="24"/>
          <w:highlight w:val="none"/>
        </w:rPr>
        <w:t>6.4 验收</w:t>
      </w:r>
      <w:bookmarkEnd w:id="755"/>
    </w:p>
    <w:p>
      <w:pPr>
        <w:snapToGrid w:val="0"/>
        <w:spacing w:line="360" w:lineRule="auto"/>
        <w:ind w:firstLine="480" w:firstLineChars="200"/>
        <w:rPr>
          <w:rFonts w:hAnsi="宋体" w:cs="宋体"/>
          <w:highlight w:val="none"/>
        </w:rPr>
      </w:pPr>
      <w:r>
        <w:rPr>
          <w:rFonts w:hint="eastAsia" w:hAnsi="宋体" w:cs="宋体"/>
          <w:highlight w:val="none"/>
        </w:rPr>
        <w:t>6.4.1 签署合同货物验收证书的时间：</w:t>
      </w:r>
      <w:r>
        <w:rPr>
          <w:rFonts w:hint="eastAsia" w:hAnsi="宋体" w:cs="宋体"/>
          <w:highlight w:val="none"/>
          <w:u w:val="single"/>
        </w:rPr>
        <w:t>达到合同及招标文件约定的标准后</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6.4.2 由于买方原因造成未能达到技术性能考核指标时签署验收款支付函的时间：</w:t>
      </w:r>
      <w:r>
        <w:rPr>
          <w:rFonts w:hint="eastAsia" w:hAnsi="宋体" w:cs="宋体"/>
          <w:highlight w:val="none"/>
          <w:u w:val="single"/>
        </w:rPr>
        <w:t xml:space="preserve">  /    </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未能达到技术性能考核指标时卖方提供的技术服务的期限：</w:t>
      </w:r>
      <w:r>
        <w:rPr>
          <w:rFonts w:hint="eastAsia" w:hAnsi="宋体" w:cs="宋体"/>
          <w:highlight w:val="none"/>
          <w:u w:val="single"/>
        </w:rPr>
        <w:t>执行通用条款</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6.4.3 由于买方原因未进行考核时验收款支付的期限：</w:t>
      </w:r>
      <w:r>
        <w:rPr>
          <w:rFonts w:hint="eastAsia" w:hAnsi="宋体" w:cs="宋体"/>
          <w:highlight w:val="none"/>
          <w:u w:val="single"/>
        </w:rPr>
        <w:t xml:space="preserve">      /          </w:t>
      </w:r>
      <w:r>
        <w:rPr>
          <w:rFonts w:hint="eastAsia" w:hAnsi="宋体" w:cs="宋体"/>
          <w:highlight w:val="none"/>
        </w:rPr>
        <w:t>。</w:t>
      </w:r>
    </w:p>
    <w:p>
      <w:pPr>
        <w:snapToGrid w:val="0"/>
        <w:spacing w:line="360" w:lineRule="auto"/>
        <w:ind w:firstLine="480" w:firstLineChars="200"/>
        <w:rPr>
          <w:rFonts w:hAnsi="宋体" w:cs="宋体"/>
          <w:highlight w:val="none"/>
        </w:rPr>
      </w:pPr>
      <w:r>
        <w:rPr>
          <w:rStyle w:val="65"/>
          <w:rFonts w:hint="eastAsia" w:hAnsi="宋体" w:cs="宋体"/>
          <w:sz w:val="24"/>
          <w:highlight w:val="none"/>
        </w:rPr>
        <w:t>验收款支付函</w:t>
      </w:r>
      <w:r>
        <w:rPr>
          <w:rFonts w:hint="eastAsia" w:hAnsi="宋体" w:cs="宋体"/>
          <w:highlight w:val="none"/>
        </w:rPr>
        <w:t>签署后卖方提供的技术服务的期限：</w:t>
      </w:r>
      <w:r>
        <w:rPr>
          <w:rFonts w:hint="eastAsia" w:hAnsi="宋体" w:cs="宋体"/>
          <w:highlight w:val="none"/>
          <w:u w:val="single"/>
        </w:rPr>
        <w:t>执行通用条款</w:t>
      </w:r>
      <w:r>
        <w:rPr>
          <w:rFonts w:hint="eastAsia" w:hAnsi="宋体" w:cs="宋体"/>
          <w:highlight w:val="none"/>
        </w:rPr>
        <w:t>。</w:t>
      </w:r>
    </w:p>
    <w:p>
      <w:pPr>
        <w:pStyle w:val="2"/>
        <w:spacing w:before="0" w:after="0"/>
        <w:ind w:left="240" w:leftChars="100"/>
        <w:rPr>
          <w:rFonts w:cs="黑体"/>
          <w:highlight w:val="none"/>
        </w:rPr>
      </w:pPr>
      <w:bookmarkStart w:id="756" w:name="_Toc24965170"/>
      <w:bookmarkStart w:id="757" w:name="_Toc392346764"/>
      <w:bookmarkStart w:id="758" w:name="_Toc17100690"/>
      <w:bookmarkStart w:id="759" w:name="_Toc15753926"/>
      <w:bookmarkStart w:id="760" w:name="_Toc26721404"/>
      <w:bookmarkStart w:id="761" w:name="_Toc26700500"/>
      <w:bookmarkStart w:id="762" w:name="_Toc26721559"/>
      <w:bookmarkStart w:id="763" w:name="_Toc26700670"/>
      <w:r>
        <w:rPr>
          <w:rFonts w:hint="eastAsia" w:cs="黑体"/>
          <w:highlight w:val="none"/>
        </w:rPr>
        <w:t xml:space="preserve">7. </w:t>
      </w:r>
      <w:bookmarkEnd w:id="756"/>
      <w:bookmarkEnd w:id="757"/>
      <w:bookmarkEnd w:id="758"/>
      <w:bookmarkEnd w:id="759"/>
      <w:r>
        <w:rPr>
          <w:rFonts w:hint="eastAsia" w:cs="黑体"/>
          <w:highlight w:val="none"/>
        </w:rPr>
        <w:t>技术服务</w:t>
      </w:r>
      <w:bookmarkEnd w:id="760"/>
      <w:bookmarkEnd w:id="761"/>
      <w:bookmarkEnd w:id="762"/>
      <w:bookmarkEnd w:id="763"/>
    </w:p>
    <w:p>
      <w:pPr>
        <w:spacing w:line="360" w:lineRule="auto"/>
        <w:ind w:firstLine="480" w:firstLineChars="200"/>
        <w:rPr>
          <w:rFonts w:hAnsi="宋体" w:cs="宋体"/>
          <w:highlight w:val="none"/>
        </w:rPr>
      </w:pPr>
      <w:r>
        <w:rPr>
          <w:rFonts w:hint="eastAsia" w:hAnsi="宋体" w:cs="宋体"/>
          <w:highlight w:val="none"/>
        </w:rPr>
        <w:t>7.2卖方技术人员的费用承担：</w:t>
      </w:r>
      <w:r>
        <w:rPr>
          <w:rFonts w:hint="eastAsia" w:hAnsi="宋体" w:cs="宋体"/>
          <w:highlight w:val="none"/>
          <w:u w:val="single"/>
        </w:rPr>
        <w:t xml:space="preserve">卖方承担 </w:t>
      </w:r>
      <w:r>
        <w:rPr>
          <w:rFonts w:hint="eastAsia" w:hAnsi="宋体" w:cs="宋体"/>
          <w:highlight w:val="none"/>
        </w:rPr>
        <w:t>。</w:t>
      </w:r>
    </w:p>
    <w:p>
      <w:pPr>
        <w:pStyle w:val="2"/>
        <w:spacing w:before="0" w:after="0"/>
        <w:ind w:left="240" w:leftChars="100"/>
        <w:rPr>
          <w:rFonts w:cs="黑体"/>
          <w:highlight w:val="none"/>
        </w:rPr>
      </w:pPr>
      <w:bookmarkStart w:id="764" w:name="_Toc26700671"/>
      <w:bookmarkStart w:id="765" w:name="_Toc392346765"/>
      <w:bookmarkStart w:id="766" w:name="_Toc26721405"/>
      <w:bookmarkStart w:id="767" w:name="_Toc26700501"/>
      <w:bookmarkStart w:id="768" w:name="_Toc15753927"/>
      <w:bookmarkStart w:id="769" w:name="_Toc24965171"/>
      <w:bookmarkStart w:id="770" w:name="_Toc26721560"/>
      <w:bookmarkStart w:id="771" w:name="_Toc17100691"/>
      <w:r>
        <w:rPr>
          <w:rFonts w:hint="eastAsia" w:cs="黑体"/>
          <w:highlight w:val="none"/>
        </w:rPr>
        <w:t>8. 质量保证期</w:t>
      </w:r>
      <w:bookmarkEnd w:id="764"/>
      <w:bookmarkEnd w:id="765"/>
      <w:bookmarkEnd w:id="766"/>
      <w:bookmarkEnd w:id="767"/>
      <w:bookmarkEnd w:id="768"/>
      <w:bookmarkEnd w:id="769"/>
      <w:bookmarkEnd w:id="770"/>
      <w:bookmarkEnd w:id="771"/>
    </w:p>
    <w:p>
      <w:pPr>
        <w:spacing w:line="360" w:lineRule="auto"/>
        <w:ind w:firstLine="480" w:firstLineChars="200"/>
        <w:rPr>
          <w:rFonts w:hAnsi="宋体" w:cs="宋体"/>
          <w:highlight w:val="none"/>
        </w:rPr>
      </w:pPr>
      <w:r>
        <w:rPr>
          <w:rFonts w:hint="eastAsia" w:hAnsi="宋体" w:cs="宋体"/>
          <w:highlight w:val="none"/>
        </w:rPr>
        <w:t>8.1 合同货物整体质量保证期：</w:t>
      </w:r>
      <w:r>
        <w:rPr>
          <w:rFonts w:hint="eastAsia" w:ascii="Times New Roman"/>
          <w:highlight w:val="none"/>
          <w:u w:val="single"/>
        </w:rPr>
        <w:t>见《</w:t>
      </w:r>
      <w:r>
        <w:rPr>
          <w:rFonts w:hint="eastAsia" w:ascii="Times New Roman"/>
          <w:szCs w:val="21"/>
          <w:highlight w:val="none"/>
          <w:u w:val="single"/>
        </w:rPr>
        <w:t>专用合同条款数据表</w:t>
      </w:r>
      <w:r>
        <w:rPr>
          <w:rFonts w:hint="eastAsia" w:ascii="Times New Roman"/>
          <w:highlight w:val="none"/>
          <w:u w:val="single"/>
        </w:rPr>
        <w:t>》</w:t>
      </w:r>
      <w:r>
        <w:rPr>
          <w:rFonts w:hint="eastAsia" w:hAnsi="宋体" w:cs="宋体"/>
          <w:highlight w:val="none"/>
        </w:rPr>
        <w:t>。</w:t>
      </w:r>
    </w:p>
    <w:p>
      <w:pPr>
        <w:snapToGrid w:val="0"/>
        <w:spacing w:line="360" w:lineRule="auto"/>
        <w:ind w:firstLine="960" w:firstLineChars="400"/>
        <w:rPr>
          <w:rFonts w:hAnsi="宋体" w:cs="宋体"/>
          <w:highlight w:val="none"/>
        </w:rPr>
      </w:pPr>
      <w:r>
        <w:rPr>
          <w:rFonts w:hint="eastAsia" w:hAnsi="宋体" w:cs="宋体"/>
          <w:highlight w:val="none"/>
        </w:rPr>
        <w:t>关键部件质保期的特殊约定：</w:t>
      </w:r>
      <w:r>
        <w:rPr>
          <w:rFonts w:hint="eastAsia" w:ascii="Times New Roman"/>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8.3 出具质量保证期届满证书的时间：</w:t>
      </w:r>
      <w:r>
        <w:rPr>
          <w:rFonts w:hint="eastAsia" w:hAnsi="宋体" w:cs="宋体"/>
          <w:highlight w:val="none"/>
          <w:u w:val="single"/>
        </w:rPr>
        <w:t>整体质量保证期满后且校方确认后</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8.4由于买方原因合同货物未能达到技术性能考核指标时签署结清款支付函的期限：</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8.5 由于买方原因合同货物未进行考核或未达到技术性能考核指标时签署结清款支付函的期限：</w:t>
      </w:r>
      <w:r>
        <w:rPr>
          <w:rFonts w:hint="eastAsia" w:hAnsi="宋体" w:cs="宋体"/>
          <w:highlight w:val="none"/>
          <w:u w:val="single"/>
        </w:rPr>
        <w:t xml:space="preserve">     /       </w:t>
      </w:r>
      <w:r>
        <w:rPr>
          <w:rFonts w:hint="eastAsia" w:hAnsi="宋体" w:cs="宋体"/>
          <w:highlight w:val="none"/>
        </w:rPr>
        <w:t>。</w:t>
      </w:r>
    </w:p>
    <w:p>
      <w:pPr>
        <w:pStyle w:val="2"/>
        <w:spacing w:before="0" w:after="0"/>
        <w:ind w:left="240" w:leftChars="100"/>
        <w:rPr>
          <w:rFonts w:cs="黑体"/>
          <w:highlight w:val="none"/>
        </w:rPr>
      </w:pPr>
      <w:bookmarkStart w:id="772" w:name="_Toc26721406"/>
      <w:bookmarkStart w:id="773" w:name="_Toc26721561"/>
      <w:bookmarkStart w:id="774" w:name="_Toc24965172"/>
      <w:bookmarkStart w:id="775" w:name="_Toc527622464"/>
      <w:bookmarkStart w:id="776" w:name="_Toc26700502"/>
      <w:bookmarkStart w:id="777" w:name="_Toc512544417"/>
      <w:bookmarkStart w:id="778" w:name="_Toc512544524"/>
      <w:bookmarkStart w:id="779" w:name="_Toc512611674"/>
      <w:bookmarkStart w:id="780" w:name="_Toc17100692"/>
      <w:bookmarkStart w:id="781" w:name="_Toc525761973"/>
      <w:bookmarkStart w:id="782" w:name="_Toc26700672"/>
      <w:bookmarkStart w:id="783" w:name="_Toc15753928"/>
      <w:bookmarkStart w:id="784" w:name="_Toc392346766"/>
      <w:r>
        <w:rPr>
          <w:rFonts w:hint="eastAsia" w:cs="黑体"/>
          <w:highlight w:val="none"/>
        </w:rPr>
        <w:t>9. 质保期服务</w:t>
      </w:r>
      <w:bookmarkEnd w:id="772"/>
      <w:bookmarkEnd w:id="773"/>
      <w:bookmarkEnd w:id="774"/>
      <w:bookmarkEnd w:id="775"/>
      <w:bookmarkEnd w:id="776"/>
      <w:bookmarkEnd w:id="777"/>
      <w:bookmarkEnd w:id="778"/>
      <w:bookmarkEnd w:id="779"/>
      <w:bookmarkEnd w:id="780"/>
      <w:bookmarkEnd w:id="781"/>
      <w:bookmarkEnd w:id="782"/>
      <w:bookmarkEnd w:id="783"/>
    </w:p>
    <w:p>
      <w:pPr>
        <w:snapToGrid w:val="0"/>
        <w:spacing w:line="360" w:lineRule="auto"/>
        <w:ind w:firstLine="480" w:firstLineChars="200"/>
        <w:rPr>
          <w:rFonts w:hAnsi="宋体" w:cs="宋体"/>
          <w:highlight w:val="none"/>
        </w:rPr>
      </w:pPr>
      <w:r>
        <w:rPr>
          <w:rFonts w:hint="eastAsia" w:hAnsi="宋体" w:cs="宋体"/>
          <w:highlight w:val="none"/>
        </w:rPr>
        <w:t>9.1 质保期服务响应、到达现场和解决问题的时间：</w:t>
      </w:r>
      <w:r>
        <w:rPr>
          <w:rFonts w:hint="eastAsia" w:hAnsi="宋体" w:cs="宋体"/>
          <w:highlight w:val="none"/>
          <w:u w:val="single"/>
        </w:rPr>
        <w:t xml:space="preserve"> 24 小时 </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9.2 卖方技术人员的交通、食宿费用：</w:t>
      </w:r>
      <w:r>
        <w:rPr>
          <w:rFonts w:hint="eastAsia" w:hAnsi="宋体" w:cs="宋体"/>
          <w:highlight w:val="none"/>
          <w:u w:val="single"/>
        </w:rPr>
        <w:t>卖方承担</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9.4 质保期服务情况记录：</w:t>
      </w:r>
      <w:r>
        <w:rPr>
          <w:rFonts w:hint="eastAsia" w:hAnsi="宋体" w:cs="宋体"/>
          <w:highlight w:val="none"/>
          <w:u w:val="single"/>
        </w:rPr>
        <w:t xml:space="preserve">执行通用条款 </w:t>
      </w:r>
      <w:r>
        <w:rPr>
          <w:rFonts w:hint="eastAsia" w:hAnsi="宋体" w:cs="宋体"/>
          <w:highlight w:val="none"/>
        </w:rPr>
        <w:t>。</w:t>
      </w:r>
    </w:p>
    <w:p>
      <w:pPr>
        <w:pStyle w:val="2"/>
        <w:spacing w:before="0" w:after="0"/>
        <w:ind w:left="240" w:leftChars="100"/>
        <w:rPr>
          <w:rFonts w:cs="黑体"/>
          <w:highlight w:val="none"/>
        </w:rPr>
      </w:pPr>
      <w:bookmarkStart w:id="785" w:name="_Toc24965173"/>
      <w:bookmarkStart w:id="786" w:name="_Toc26721562"/>
      <w:bookmarkStart w:id="787" w:name="_Toc17100693"/>
      <w:bookmarkStart w:id="788" w:name="_Toc26721407"/>
      <w:bookmarkStart w:id="789" w:name="_Toc26700503"/>
      <w:bookmarkStart w:id="790" w:name="_Toc15753929"/>
      <w:bookmarkStart w:id="791" w:name="_Toc26700673"/>
      <w:r>
        <w:rPr>
          <w:rFonts w:hint="eastAsia" w:cs="黑体"/>
          <w:highlight w:val="none"/>
        </w:rPr>
        <w:t>10. 履约保证金</w:t>
      </w:r>
      <w:bookmarkEnd w:id="784"/>
      <w:bookmarkEnd w:id="785"/>
      <w:bookmarkEnd w:id="786"/>
      <w:bookmarkEnd w:id="787"/>
      <w:bookmarkEnd w:id="788"/>
      <w:bookmarkEnd w:id="789"/>
      <w:bookmarkEnd w:id="790"/>
      <w:bookmarkEnd w:id="791"/>
    </w:p>
    <w:p>
      <w:pPr>
        <w:spacing w:line="360" w:lineRule="auto"/>
        <w:ind w:firstLine="480" w:firstLineChars="200"/>
        <w:rPr>
          <w:rFonts w:hAnsi="宋体" w:cs="宋体"/>
          <w:highlight w:val="none"/>
          <w:u w:val="single"/>
        </w:rPr>
      </w:pPr>
      <w:r>
        <w:rPr>
          <w:rFonts w:hint="eastAsia" w:hAnsi="宋体" w:cs="宋体"/>
          <w:highlight w:val="none"/>
        </w:rPr>
        <w:t>履约保证金：见</w:t>
      </w:r>
      <w:r>
        <w:rPr>
          <w:rFonts w:hint="eastAsia" w:hAnsi="宋体" w:cs="宋体"/>
          <w:highlight w:val="none"/>
          <w:u w:val="single"/>
        </w:rPr>
        <w:t>《专用合同条款数据表》。</w:t>
      </w:r>
    </w:p>
    <w:p>
      <w:pPr>
        <w:spacing w:line="360" w:lineRule="auto"/>
        <w:ind w:firstLine="480" w:firstLineChars="200"/>
        <w:rPr>
          <w:rFonts w:hAnsi="宋体" w:cs="宋体"/>
          <w:highlight w:val="none"/>
        </w:rPr>
      </w:pPr>
      <w:r>
        <w:rPr>
          <w:rFonts w:hint="eastAsia" w:hAnsi="宋体" w:cs="宋体"/>
          <w:highlight w:val="none"/>
        </w:rPr>
        <w:t>履约保证金的形式：现金（银行转账、银行电汇）或银行保函或担保机构担保或保证保险。</w:t>
      </w:r>
    </w:p>
    <w:p>
      <w:pPr>
        <w:spacing w:line="360" w:lineRule="auto"/>
        <w:ind w:firstLine="480" w:firstLineChars="200"/>
        <w:rPr>
          <w:rFonts w:hAnsi="宋体" w:cs="宋体"/>
          <w:highlight w:val="none"/>
        </w:rPr>
      </w:pPr>
      <w:r>
        <w:rPr>
          <w:rFonts w:hint="eastAsia" w:hAnsi="宋体" w:cs="宋体"/>
          <w:highlight w:val="none"/>
        </w:rPr>
        <w:t>履约保证金的金额：见</w:t>
      </w:r>
      <w:r>
        <w:rPr>
          <w:rFonts w:hint="eastAsia" w:hAnsi="宋体" w:cs="宋体"/>
          <w:highlight w:val="none"/>
          <w:u w:val="single"/>
        </w:rPr>
        <w:t>《专用合同条款数据表》。</w:t>
      </w:r>
    </w:p>
    <w:p>
      <w:pPr>
        <w:spacing w:line="360" w:lineRule="auto"/>
        <w:ind w:firstLine="480" w:firstLineChars="200"/>
        <w:rPr>
          <w:rFonts w:hAnsi="宋体" w:cs="宋体"/>
          <w:highlight w:val="none"/>
        </w:rPr>
      </w:pPr>
      <w:r>
        <w:rPr>
          <w:rFonts w:hint="eastAsia" w:hAnsi="宋体" w:cs="宋体"/>
          <w:highlight w:val="none"/>
        </w:rPr>
        <w:t>履约保证金提交期限的要求：签订合同前。</w:t>
      </w:r>
    </w:p>
    <w:p>
      <w:pPr>
        <w:spacing w:line="360" w:lineRule="auto"/>
        <w:ind w:firstLine="480" w:firstLineChars="200"/>
        <w:rPr>
          <w:rFonts w:hAnsi="宋体" w:cs="宋体"/>
          <w:highlight w:val="none"/>
        </w:rPr>
      </w:pPr>
      <w:r>
        <w:rPr>
          <w:rFonts w:hint="eastAsia" w:hAnsi="宋体" w:cs="宋体"/>
          <w:highlight w:val="none"/>
        </w:rPr>
        <w:t>履约保证金的期限：见</w:t>
      </w:r>
      <w:r>
        <w:rPr>
          <w:rFonts w:hint="eastAsia" w:hAnsi="宋体" w:cs="宋体"/>
          <w:highlight w:val="none"/>
          <w:u w:val="single"/>
        </w:rPr>
        <w:t>《专用合同条款数据表》。</w:t>
      </w:r>
    </w:p>
    <w:p>
      <w:pPr>
        <w:spacing w:line="360" w:lineRule="auto"/>
        <w:ind w:firstLine="480" w:firstLineChars="200"/>
        <w:rPr>
          <w:rFonts w:hAnsi="宋体" w:cs="宋体"/>
          <w:highlight w:val="none"/>
        </w:rPr>
      </w:pPr>
      <w:r>
        <w:rPr>
          <w:rFonts w:hint="eastAsia" w:hAnsi="宋体" w:cs="宋体"/>
          <w:highlight w:val="none"/>
        </w:rPr>
        <w:t>履约保证金退还时限：见</w:t>
      </w:r>
      <w:r>
        <w:rPr>
          <w:rFonts w:hint="eastAsia" w:hAnsi="宋体" w:cs="宋体"/>
          <w:highlight w:val="none"/>
          <w:u w:val="single"/>
        </w:rPr>
        <w:t>《专用合同条款数据表》。</w:t>
      </w:r>
    </w:p>
    <w:p>
      <w:pPr>
        <w:pStyle w:val="2"/>
        <w:spacing w:before="0" w:after="0"/>
        <w:ind w:left="240" w:leftChars="100"/>
        <w:rPr>
          <w:rFonts w:cs="黑体"/>
          <w:highlight w:val="none"/>
        </w:rPr>
      </w:pPr>
      <w:bookmarkStart w:id="792" w:name="_Toc24965174"/>
      <w:bookmarkStart w:id="793" w:name="_Toc26721563"/>
      <w:bookmarkStart w:id="794" w:name="_Toc392346767"/>
      <w:bookmarkStart w:id="795" w:name="_Toc15753930"/>
      <w:bookmarkStart w:id="796" w:name="_Toc17100694"/>
      <w:bookmarkStart w:id="797" w:name="_Toc26700504"/>
      <w:bookmarkStart w:id="798" w:name="_Toc26721408"/>
      <w:bookmarkStart w:id="799" w:name="_Toc26700674"/>
      <w:r>
        <w:rPr>
          <w:rFonts w:hint="eastAsia" w:cs="黑体"/>
          <w:highlight w:val="none"/>
        </w:rPr>
        <w:t>11. 保证</w:t>
      </w:r>
      <w:bookmarkEnd w:id="792"/>
      <w:bookmarkEnd w:id="793"/>
      <w:bookmarkEnd w:id="794"/>
      <w:bookmarkEnd w:id="795"/>
      <w:bookmarkEnd w:id="796"/>
      <w:bookmarkEnd w:id="797"/>
      <w:bookmarkEnd w:id="798"/>
      <w:bookmarkEnd w:id="799"/>
    </w:p>
    <w:p>
      <w:pPr>
        <w:spacing w:line="360" w:lineRule="auto"/>
        <w:ind w:firstLine="480" w:firstLineChars="200"/>
        <w:rPr>
          <w:rFonts w:hAnsi="宋体" w:cs="宋体"/>
          <w:highlight w:val="none"/>
        </w:rPr>
      </w:pPr>
      <w:r>
        <w:rPr>
          <w:rFonts w:hint="eastAsia" w:hAnsi="宋体" w:cs="宋体"/>
          <w:highlight w:val="none"/>
        </w:rPr>
        <w:t>11.4 合同货物技术规格、质量标准的特殊要求：</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11.7 合同货物设计使用寿命期内备品备件停止生产时卖方的通知和配合义务：</w:t>
      </w:r>
      <w:r>
        <w:rPr>
          <w:rFonts w:hint="eastAsia" w:hAnsi="宋体" w:cs="宋体"/>
          <w:highlight w:val="none"/>
          <w:u w:val="single"/>
        </w:rPr>
        <w:t>执行通用条款</w:t>
      </w:r>
      <w:r>
        <w:rPr>
          <w:rFonts w:hint="eastAsia" w:hAnsi="宋体" w:cs="宋体"/>
          <w:highlight w:val="none"/>
        </w:rPr>
        <w:t>。</w:t>
      </w:r>
    </w:p>
    <w:p>
      <w:pPr>
        <w:pStyle w:val="2"/>
        <w:spacing w:before="0" w:after="0"/>
        <w:ind w:left="240" w:leftChars="100"/>
        <w:rPr>
          <w:rFonts w:cs="黑体"/>
          <w:highlight w:val="none"/>
        </w:rPr>
      </w:pPr>
      <w:bookmarkStart w:id="800" w:name="_Toc512544527"/>
      <w:bookmarkStart w:id="801" w:name="_Toc26700675"/>
      <w:bookmarkStart w:id="802" w:name="_Toc512544420"/>
      <w:bookmarkStart w:id="803" w:name="_Toc17100695"/>
      <w:bookmarkStart w:id="804" w:name="_Toc26700505"/>
      <w:bookmarkStart w:id="805" w:name="_Toc527622467"/>
      <w:bookmarkStart w:id="806" w:name="_Toc15753931"/>
      <w:bookmarkStart w:id="807" w:name="_Toc24965175"/>
      <w:bookmarkStart w:id="808" w:name="_Toc512611677"/>
      <w:bookmarkStart w:id="809" w:name="_Toc26721564"/>
      <w:bookmarkStart w:id="810" w:name="_Toc26721409"/>
      <w:bookmarkStart w:id="811" w:name="_Toc525761976"/>
      <w:bookmarkStart w:id="812" w:name="_Toc392346768"/>
      <w:r>
        <w:rPr>
          <w:rFonts w:hint="eastAsia" w:cs="黑体"/>
          <w:highlight w:val="none"/>
        </w:rPr>
        <w:t>12. 知识产权</w:t>
      </w:r>
      <w:bookmarkEnd w:id="800"/>
      <w:bookmarkEnd w:id="801"/>
      <w:bookmarkEnd w:id="802"/>
      <w:bookmarkEnd w:id="803"/>
      <w:bookmarkEnd w:id="804"/>
      <w:bookmarkEnd w:id="805"/>
      <w:bookmarkEnd w:id="806"/>
      <w:bookmarkEnd w:id="807"/>
      <w:bookmarkEnd w:id="808"/>
      <w:bookmarkEnd w:id="809"/>
      <w:bookmarkEnd w:id="810"/>
      <w:bookmarkEnd w:id="811"/>
    </w:p>
    <w:p>
      <w:pPr>
        <w:spacing w:line="360" w:lineRule="auto"/>
        <w:ind w:firstLine="480" w:firstLineChars="200"/>
        <w:rPr>
          <w:rFonts w:hAnsi="宋体" w:cs="宋体"/>
          <w:highlight w:val="none"/>
          <w:u w:val="single"/>
        </w:rPr>
      </w:pPr>
      <w:r>
        <w:rPr>
          <w:rFonts w:hint="eastAsia" w:hAnsi="宋体" w:cs="宋体"/>
          <w:highlight w:val="none"/>
        </w:rPr>
        <w:t>12.2 卖方提供给买方</w:t>
      </w:r>
      <w:r>
        <w:rPr>
          <w:rStyle w:val="65"/>
          <w:rFonts w:hint="eastAsia" w:hAnsi="宋体" w:cs="宋体"/>
          <w:sz w:val="24"/>
          <w:highlight w:val="none"/>
        </w:rPr>
        <w:t>的图纸、文件、配套软件、电子辅助程序和其他含有数据和信息的资料</w:t>
      </w:r>
      <w:r>
        <w:rPr>
          <w:rFonts w:hint="eastAsia" w:hAnsi="宋体" w:cs="宋体"/>
          <w:highlight w:val="none"/>
        </w:rPr>
        <w:t>的知识产权：</w:t>
      </w:r>
      <w:r>
        <w:rPr>
          <w:rFonts w:hint="eastAsia" w:hAnsi="宋体" w:cs="宋体"/>
          <w:highlight w:val="none"/>
          <w:u w:val="single"/>
        </w:rPr>
        <w:t>归买方及校方所有</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12.4 卖方应当对买方收到</w:t>
      </w:r>
      <w:r>
        <w:rPr>
          <w:rStyle w:val="65"/>
          <w:rFonts w:hint="eastAsia" w:hAnsi="宋体" w:cs="宋体"/>
          <w:sz w:val="24"/>
          <w:highlight w:val="none"/>
        </w:rPr>
        <w:t>任何第三方有关</w:t>
      </w:r>
      <w:r>
        <w:rPr>
          <w:rFonts w:hint="eastAsia" w:hAnsi="宋体" w:cs="宋体"/>
          <w:highlight w:val="none"/>
        </w:rPr>
        <w:t>知识产权导致的主张、索赔或诉讼进行处理的期限：</w:t>
      </w:r>
      <w:r>
        <w:rPr>
          <w:rFonts w:hint="eastAsia" w:hAnsi="宋体" w:cs="宋体"/>
          <w:highlight w:val="none"/>
          <w:u w:val="single"/>
        </w:rPr>
        <w:t>执行通用条款</w:t>
      </w:r>
      <w:r>
        <w:rPr>
          <w:rFonts w:hint="eastAsia" w:hAnsi="宋体" w:cs="宋体"/>
          <w:highlight w:val="none"/>
        </w:rPr>
        <w:t>。</w:t>
      </w:r>
    </w:p>
    <w:p>
      <w:pPr>
        <w:pStyle w:val="2"/>
        <w:spacing w:before="0" w:after="0"/>
        <w:ind w:left="240" w:leftChars="100"/>
        <w:rPr>
          <w:rFonts w:cs="黑体"/>
          <w:highlight w:val="none"/>
        </w:rPr>
      </w:pPr>
      <w:bookmarkStart w:id="813" w:name="_Toc26721565"/>
      <w:bookmarkStart w:id="814" w:name="_Toc15753932"/>
      <w:bookmarkStart w:id="815" w:name="_Toc26721410"/>
      <w:bookmarkStart w:id="816" w:name="_Toc26700506"/>
      <w:bookmarkStart w:id="817" w:name="_Toc17100696"/>
      <w:bookmarkStart w:id="818" w:name="_Toc26700676"/>
      <w:bookmarkStart w:id="819" w:name="_Toc24965176"/>
      <w:r>
        <w:rPr>
          <w:rFonts w:hint="eastAsia" w:cs="黑体"/>
          <w:highlight w:val="none"/>
        </w:rPr>
        <w:t>14. 违约</w:t>
      </w:r>
      <w:bookmarkEnd w:id="812"/>
      <w:r>
        <w:rPr>
          <w:rFonts w:hint="eastAsia" w:cs="黑体"/>
          <w:highlight w:val="none"/>
        </w:rPr>
        <w:t>责任</w:t>
      </w:r>
      <w:bookmarkEnd w:id="813"/>
      <w:bookmarkEnd w:id="814"/>
      <w:bookmarkEnd w:id="815"/>
      <w:bookmarkEnd w:id="816"/>
      <w:bookmarkEnd w:id="817"/>
      <w:bookmarkEnd w:id="818"/>
      <w:bookmarkEnd w:id="819"/>
    </w:p>
    <w:p>
      <w:pPr>
        <w:spacing w:line="360" w:lineRule="auto"/>
        <w:ind w:firstLine="480" w:firstLineChars="200"/>
        <w:rPr>
          <w:rFonts w:hAnsi="宋体" w:cs="宋体"/>
          <w:highlight w:val="none"/>
        </w:rPr>
      </w:pPr>
      <w:r>
        <w:rPr>
          <w:rFonts w:hint="eastAsia" w:hAnsi="宋体" w:cs="宋体"/>
          <w:highlight w:val="none"/>
        </w:rPr>
        <w:t>14.2迟延交付违约金的计算方法：</w:t>
      </w:r>
      <w:r>
        <w:rPr>
          <w:rFonts w:hint="eastAsia" w:hAnsi="宋体" w:cs="宋体"/>
          <w:highlight w:val="none"/>
          <w:u w:val="single"/>
        </w:rPr>
        <w:t xml:space="preserve">按招标文件约定执行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14.3迟延付款违约金的计算方法：</w:t>
      </w:r>
      <w:r>
        <w:rPr>
          <w:rFonts w:hint="eastAsia" w:hAnsi="宋体" w:cs="宋体"/>
          <w:highlight w:val="none"/>
          <w:u w:val="single"/>
        </w:rPr>
        <w:t xml:space="preserve">      /            </w:t>
      </w:r>
      <w:r>
        <w:rPr>
          <w:rFonts w:hint="eastAsia" w:hAnsi="宋体" w:cs="宋体"/>
          <w:highlight w:val="none"/>
        </w:rPr>
        <w:t>。</w:t>
      </w:r>
    </w:p>
    <w:p>
      <w:pPr>
        <w:pStyle w:val="2"/>
        <w:spacing w:before="0" w:after="0"/>
        <w:ind w:left="240" w:leftChars="100"/>
        <w:rPr>
          <w:rFonts w:cs="黑体"/>
          <w:highlight w:val="none"/>
        </w:rPr>
      </w:pPr>
      <w:bookmarkStart w:id="820" w:name="_Toc392346769"/>
      <w:bookmarkStart w:id="821" w:name="_Toc26721566"/>
      <w:bookmarkStart w:id="822" w:name="_Toc26700677"/>
      <w:bookmarkStart w:id="823" w:name="_Toc15753933"/>
      <w:bookmarkStart w:id="824" w:name="_Toc17100697"/>
      <w:bookmarkStart w:id="825" w:name="_Toc24965177"/>
      <w:bookmarkStart w:id="826" w:name="_Toc26700507"/>
      <w:bookmarkStart w:id="827" w:name="_Toc26721411"/>
      <w:r>
        <w:rPr>
          <w:rFonts w:hint="eastAsia" w:cs="黑体"/>
          <w:highlight w:val="none"/>
        </w:rPr>
        <w:t>15. 合同</w:t>
      </w:r>
      <w:bookmarkEnd w:id="820"/>
      <w:r>
        <w:rPr>
          <w:rFonts w:hint="eastAsia" w:cs="黑体"/>
          <w:highlight w:val="none"/>
        </w:rPr>
        <w:t>的解除</w:t>
      </w:r>
      <w:bookmarkEnd w:id="821"/>
      <w:bookmarkEnd w:id="822"/>
      <w:bookmarkEnd w:id="823"/>
      <w:bookmarkEnd w:id="824"/>
      <w:bookmarkEnd w:id="825"/>
      <w:bookmarkEnd w:id="826"/>
      <w:bookmarkEnd w:id="827"/>
    </w:p>
    <w:p>
      <w:pPr>
        <w:spacing w:line="360" w:lineRule="auto"/>
        <w:ind w:firstLine="480" w:firstLineChars="200"/>
        <w:rPr>
          <w:rFonts w:hAnsi="宋体" w:cs="宋体"/>
          <w:highlight w:val="none"/>
        </w:rPr>
      </w:pPr>
      <w:r>
        <w:rPr>
          <w:rFonts w:hint="eastAsia" w:hAnsi="宋体" w:cs="宋体"/>
          <w:highlight w:val="none"/>
        </w:rPr>
        <w:t>合同解除的其他情形：</w:t>
      </w:r>
      <w:r>
        <w:rPr>
          <w:rFonts w:hint="eastAsia" w:hAnsi="宋体" w:cs="宋体"/>
          <w:highlight w:val="none"/>
          <w:u w:val="single"/>
        </w:rPr>
        <w:t xml:space="preserve">执行通用条款 </w:t>
      </w:r>
      <w:r>
        <w:rPr>
          <w:rFonts w:hint="eastAsia" w:hAnsi="宋体" w:cs="宋体"/>
          <w:highlight w:val="none"/>
        </w:rPr>
        <w:t>。</w:t>
      </w:r>
    </w:p>
    <w:p>
      <w:pPr>
        <w:pStyle w:val="2"/>
        <w:spacing w:before="0" w:after="0"/>
        <w:ind w:left="240" w:leftChars="100"/>
        <w:rPr>
          <w:rFonts w:cs="黑体"/>
          <w:highlight w:val="none"/>
        </w:rPr>
      </w:pPr>
      <w:bookmarkStart w:id="828" w:name="_Toc525761979"/>
      <w:bookmarkStart w:id="829" w:name="_Toc26721412"/>
      <w:bookmarkStart w:id="830" w:name="_Toc26700678"/>
      <w:bookmarkStart w:id="831" w:name="_Toc24965178"/>
      <w:bookmarkStart w:id="832" w:name="_Toc26700508"/>
      <w:bookmarkStart w:id="833" w:name="_Toc512544530"/>
      <w:bookmarkStart w:id="834" w:name="_Toc512611680"/>
      <w:bookmarkStart w:id="835" w:name="_Toc527622470"/>
      <w:bookmarkStart w:id="836" w:name="_Toc17100698"/>
      <w:bookmarkStart w:id="837" w:name="_Toc15753934"/>
      <w:bookmarkStart w:id="838" w:name="_Toc512544423"/>
      <w:bookmarkStart w:id="839" w:name="_Toc26721567"/>
      <w:bookmarkStart w:id="840" w:name="_Toc392346770"/>
      <w:r>
        <w:rPr>
          <w:rFonts w:hint="eastAsia" w:cs="黑体"/>
          <w:highlight w:val="none"/>
        </w:rPr>
        <w:t>16. 不可抗力</w:t>
      </w:r>
      <w:bookmarkEnd w:id="828"/>
      <w:bookmarkEnd w:id="829"/>
      <w:bookmarkEnd w:id="830"/>
      <w:bookmarkEnd w:id="831"/>
      <w:bookmarkEnd w:id="832"/>
      <w:bookmarkEnd w:id="833"/>
      <w:bookmarkEnd w:id="834"/>
      <w:bookmarkEnd w:id="835"/>
      <w:bookmarkEnd w:id="836"/>
      <w:bookmarkEnd w:id="837"/>
      <w:bookmarkEnd w:id="838"/>
      <w:bookmarkEnd w:id="839"/>
    </w:p>
    <w:p>
      <w:pPr>
        <w:snapToGrid w:val="0"/>
        <w:spacing w:line="360" w:lineRule="auto"/>
        <w:ind w:firstLine="480" w:firstLineChars="200"/>
        <w:rPr>
          <w:rFonts w:hAnsi="宋体" w:cs="宋体"/>
          <w:highlight w:val="none"/>
          <w:u w:val="single"/>
        </w:rPr>
      </w:pPr>
      <w:r>
        <w:rPr>
          <w:rFonts w:hint="eastAsia" w:hAnsi="宋体" w:cs="宋体"/>
          <w:highlight w:val="none"/>
        </w:rPr>
        <w:t>16.1 不可抗力的其它情形：</w:t>
      </w:r>
      <w:r>
        <w:rPr>
          <w:rFonts w:hint="eastAsia" w:hAnsi="宋体" w:cs="宋体"/>
          <w:highlight w:val="none"/>
          <w:u w:val="single"/>
        </w:rPr>
        <w:t>执行通用条款（第 3 条除外）</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16.3 可以解除合同的不可抗力事件影响持续期限：</w:t>
      </w:r>
      <w:r>
        <w:rPr>
          <w:rFonts w:hint="eastAsia" w:hAnsi="宋体" w:cs="宋体"/>
          <w:highlight w:val="none"/>
          <w:u w:val="single"/>
        </w:rPr>
        <w:t>执行通用条款</w:t>
      </w:r>
      <w:r>
        <w:rPr>
          <w:rFonts w:hint="eastAsia" w:hAnsi="宋体" w:cs="宋体"/>
          <w:highlight w:val="none"/>
        </w:rPr>
        <w:t>。</w:t>
      </w:r>
    </w:p>
    <w:p>
      <w:pPr>
        <w:pStyle w:val="2"/>
        <w:spacing w:before="0" w:after="0"/>
        <w:ind w:left="240" w:leftChars="100"/>
        <w:rPr>
          <w:rFonts w:cs="黑体"/>
          <w:highlight w:val="none"/>
        </w:rPr>
      </w:pPr>
      <w:bookmarkStart w:id="841" w:name="_Toc17100699"/>
      <w:bookmarkStart w:id="842" w:name="_Toc26700509"/>
      <w:bookmarkStart w:id="843" w:name="_Toc26721568"/>
      <w:bookmarkStart w:id="844" w:name="_Toc24965179"/>
      <w:bookmarkStart w:id="845" w:name="_Toc26721413"/>
      <w:bookmarkStart w:id="846" w:name="_Toc26700679"/>
      <w:bookmarkStart w:id="847" w:name="_Toc15753935"/>
      <w:r>
        <w:rPr>
          <w:rFonts w:hint="eastAsia" w:cs="黑体"/>
          <w:highlight w:val="none"/>
        </w:rPr>
        <w:t>17. 争议的解决</w:t>
      </w:r>
      <w:bookmarkEnd w:id="840"/>
      <w:bookmarkEnd w:id="841"/>
      <w:bookmarkEnd w:id="842"/>
      <w:bookmarkEnd w:id="843"/>
      <w:bookmarkEnd w:id="844"/>
      <w:bookmarkEnd w:id="845"/>
      <w:bookmarkEnd w:id="846"/>
      <w:bookmarkEnd w:id="847"/>
    </w:p>
    <w:p>
      <w:pPr>
        <w:spacing w:line="360" w:lineRule="auto"/>
        <w:ind w:firstLine="480" w:firstLineChars="200"/>
        <w:rPr>
          <w:rFonts w:hAnsi="宋体" w:cs="宋体"/>
          <w:bCs/>
          <w:highlight w:val="none"/>
        </w:rPr>
      </w:pPr>
      <w:r>
        <w:rPr>
          <w:rFonts w:hint="eastAsia" w:hAnsi="宋体" w:cs="宋体"/>
          <w:highlight w:val="none"/>
          <w:shd w:val="clear" w:color="auto" w:fill="FFFFFF"/>
        </w:rPr>
        <w:t>因合同引起的或与合同有关的任何争议，</w:t>
      </w:r>
      <w:r>
        <w:rPr>
          <w:rFonts w:hint="eastAsia" w:hAnsi="宋体" w:cs="宋体"/>
          <w:bCs/>
          <w:highlight w:val="none"/>
        </w:rPr>
        <w:t>按下列第</w:t>
      </w:r>
      <w:r>
        <w:rPr>
          <w:rFonts w:hint="eastAsia" w:hAnsi="宋体" w:cs="宋体"/>
          <w:highlight w:val="none"/>
          <w:u w:val="single"/>
        </w:rPr>
        <w:t xml:space="preserve"> （2）</w:t>
      </w:r>
      <w:r>
        <w:rPr>
          <w:rFonts w:hint="eastAsia" w:hAnsi="宋体" w:cs="宋体"/>
          <w:bCs/>
          <w:highlight w:val="none"/>
        </w:rPr>
        <w:t>种方式解决：</w:t>
      </w:r>
    </w:p>
    <w:p>
      <w:pPr>
        <w:spacing w:line="360" w:lineRule="auto"/>
        <w:ind w:firstLine="360" w:firstLineChars="150"/>
        <w:rPr>
          <w:rFonts w:hAnsi="宋体" w:cs="宋体"/>
          <w:bCs/>
          <w:highlight w:val="none"/>
        </w:rPr>
      </w:pPr>
      <w:r>
        <w:rPr>
          <w:rFonts w:hint="eastAsia" w:hAnsi="宋体" w:cs="宋体"/>
          <w:bCs/>
          <w:highlight w:val="none"/>
        </w:rPr>
        <w:t>（1）向</w:t>
      </w:r>
      <w:r>
        <w:rPr>
          <w:rFonts w:hint="eastAsia" w:hAnsi="宋体" w:cs="宋体"/>
          <w:highlight w:val="none"/>
          <w:u w:val="single"/>
        </w:rPr>
        <w:t xml:space="preserve">  合肥 </w:t>
      </w:r>
      <w:r>
        <w:rPr>
          <w:rFonts w:hint="eastAsia" w:hAnsi="宋体" w:cs="宋体"/>
          <w:bCs/>
          <w:highlight w:val="none"/>
        </w:rPr>
        <w:t>仲裁委员会申请仲裁；</w:t>
      </w:r>
    </w:p>
    <w:p>
      <w:pPr>
        <w:spacing w:line="360" w:lineRule="auto"/>
        <w:ind w:firstLine="360" w:firstLineChars="150"/>
        <w:rPr>
          <w:rFonts w:hAnsi="宋体" w:cs="宋体"/>
          <w:bCs/>
          <w:highlight w:val="none"/>
        </w:rPr>
      </w:pPr>
      <w:r>
        <w:rPr>
          <w:rFonts w:hint="eastAsia" w:hAnsi="宋体" w:cs="宋体"/>
          <w:bCs/>
          <w:highlight w:val="none"/>
        </w:rPr>
        <w:t>（2）向</w:t>
      </w:r>
      <w:r>
        <w:rPr>
          <w:rFonts w:hint="eastAsia" w:hAnsi="宋体" w:cs="宋体"/>
          <w:highlight w:val="none"/>
          <w:u w:val="single"/>
        </w:rPr>
        <w:t xml:space="preserve"> 肥东县 </w:t>
      </w:r>
      <w:r>
        <w:rPr>
          <w:rFonts w:hint="eastAsia" w:hAnsi="宋体" w:cs="宋体"/>
          <w:bCs/>
          <w:highlight w:val="none"/>
        </w:rPr>
        <w:t>人民法院起诉。</w:t>
      </w:r>
    </w:p>
    <w:p>
      <w:pPr>
        <w:spacing w:line="360" w:lineRule="auto"/>
        <w:ind w:firstLine="480" w:firstLineChars="200"/>
        <w:rPr>
          <w:rFonts w:hAnsi="宋体" w:cs="宋体"/>
          <w:highlight w:val="none"/>
          <w:shd w:val="clear" w:color="auto" w:fill="FFFFFF"/>
        </w:rPr>
      </w:pPr>
    </w:p>
    <w:p>
      <w:pPr>
        <w:spacing w:line="360" w:lineRule="auto"/>
        <w:ind w:firstLine="480" w:firstLineChars="200"/>
        <w:rPr>
          <w:rFonts w:hAnsi="宋体" w:cs="宋体"/>
          <w:highlight w:val="none"/>
          <w:shd w:val="clear" w:color="auto" w:fill="FFFFFF"/>
        </w:rPr>
      </w:pPr>
      <w:r>
        <w:rPr>
          <w:rFonts w:hint="eastAsia" w:hAnsi="宋体" w:cs="宋体"/>
          <w:highlight w:val="none"/>
          <w:shd w:val="clear" w:color="auto" w:fill="FFFFFF"/>
        </w:rPr>
        <w:t>附件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附件1：供货要求（见招标文件第五章）</w:t>
      </w:r>
    </w:p>
    <w:p>
      <w:pPr>
        <w:spacing w:line="360" w:lineRule="auto"/>
        <w:ind w:firstLine="480" w:firstLineChars="200"/>
        <w:rPr>
          <w:rFonts w:hAnsi="宋体" w:cs="宋体"/>
          <w:bCs/>
          <w:snapToGrid w:val="0"/>
          <w:highlight w:val="none"/>
        </w:rPr>
      </w:pPr>
      <w:r>
        <w:rPr>
          <w:rFonts w:hint="eastAsia" w:hAnsi="宋体" w:cs="宋体"/>
          <w:bCs/>
          <w:snapToGrid w:val="0"/>
          <w:highlight w:val="none"/>
        </w:rPr>
        <w:t>附件2：分项报价表（见投标文件）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附件3：履约保证金</w:t>
      </w:r>
    </w:p>
    <w:p>
      <w:pPr>
        <w:spacing w:line="360" w:lineRule="auto"/>
        <w:ind w:firstLine="480" w:firstLineChars="200"/>
        <w:jc w:val="center"/>
        <w:rPr>
          <w:rFonts w:ascii="Times New Roman"/>
          <w:b/>
          <w:highlight w:val="none"/>
        </w:rPr>
      </w:pPr>
      <w:r>
        <w:rPr>
          <w:rFonts w:hint="eastAsia" w:hAnsi="宋体" w:cs="宋体"/>
          <w:bCs/>
          <w:snapToGrid w:val="0"/>
          <w:highlight w:val="none"/>
        </w:rPr>
        <w:t>附件4：廉政协议</w:t>
      </w:r>
      <w:r>
        <w:rPr>
          <w:rFonts w:ascii="Times New Roman"/>
          <w:b/>
          <w:highlight w:val="none"/>
        </w:rPr>
        <w:br w:type="page"/>
      </w:r>
      <w:bookmarkStart w:id="848" w:name="_Toc296602565"/>
      <w:bookmarkEnd w:id="848"/>
      <w:bookmarkStart w:id="849" w:name="_Toc369531675"/>
      <w:bookmarkEnd w:id="849"/>
      <w:bookmarkStart w:id="850" w:name="_Toc184635117"/>
      <w:bookmarkEnd w:id="850"/>
      <w:bookmarkStart w:id="851" w:name="_Toc246996319"/>
      <w:bookmarkEnd w:id="851"/>
      <w:bookmarkStart w:id="852" w:name="_Toc246997062"/>
      <w:bookmarkEnd w:id="852"/>
      <w:bookmarkStart w:id="853" w:name="_Toc369531676"/>
      <w:bookmarkEnd w:id="853"/>
      <w:bookmarkStart w:id="854" w:name="_Toc9766"/>
      <w:bookmarkEnd w:id="854"/>
      <w:bookmarkStart w:id="855" w:name="_Toc247085834"/>
      <w:bookmarkEnd w:id="855"/>
      <w:bookmarkStart w:id="856" w:name="_Toc29298"/>
      <w:bookmarkEnd w:id="856"/>
      <w:bookmarkStart w:id="857" w:name="_Toc140069434"/>
      <w:bookmarkStart w:id="858" w:name="_Toc26369"/>
      <w:bookmarkStart w:id="859" w:name="_Toc501460713"/>
      <w:r>
        <w:rPr>
          <w:rFonts w:ascii="Times New Roman"/>
          <w:b/>
          <w:highlight w:val="none"/>
        </w:rPr>
        <w:t>第三节合同附件格式</w:t>
      </w:r>
      <w:bookmarkEnd w:id="857"/>
      <w:bookmarkEnd w:id="858"/>
      <w:bookmarkEnd w:id="859"/>
    </w:p>
    <w:p>
      <w:pPr>
        <w:pStyle w:val="2"/>
        <w:spacing w:before="0" w:after="0"/>
        <w:ind w:firstLine="137"/>
        <w:rPr>
          <w:rFonts w:ascii="宋体" w:hAnsi="宋体" w:eastAsia="宋体" w:cs="宋体"/>
          <w:highlight w:val="none"/>
        </w:rPr>
      </w:pPr>
      <w:r>
        <w:rPr>
          <w:rFonts w:ascii="Times New Roman" w:hAnsi="Times New Roman"/>
          <w:highlight w:val="none"/>
        </w:rPr>
        <w:br w:type="page"/>
      </w:r>
      <w:bookmarkEnd w:id="697"/>
      <w:bookmarkEnd w:id="698"/>
      <w:bookmarkEnd w:id="699"/>
      <w:bookmarkEnd w:id="700"/>
      <w:bookmarkStart w:id="860" w:name="_Toc501460714"/>
      <w:r>
        <w:rPr>
          <w:rFonts w:hint="eastAsia" w:cs="黑体"/>
          <w:highlight w:val="none"/>
        </w:rPr>
        <w:t>附件一：合同协议书</w:t>
      </w:r>
      <w:bookmarkEnd w:id="860"/>
    </w:p>
    <w:p>
      <w:pPr>
        <w:spacing w:line="360" w:lineRule="auto"/>
        <w:rPr>
          <w:rFonts w:hAnsi="宋体" w:cs="宋体"/>
          <w:highlight w:val="none"/>
        </w:rPr>
      </w:pPr>
    </w:p>
    <w:p>
      <w:pPr>
        <w:spacing w:line="360" w:lineRule="auto"/>
        <w:jc w:val="center"/>
        <w:rPr>
          <w:rFonts w:ascii="黑体" w:hAnsi="黑体" w:eastAsia="黑体" w:cs="黑体"/>
          <w:highlight w:val="none"/>
        </w:rPr>
      </w:pPr>
      <w:r>
        <w:rPr>
          <w:rFonts w:hint="eastAsia" w:ascii="黑体" w:hAnsi="黑体" w:eastAsia="黑体" w:cs="黑体"/>
          <w:highlight w:val="none"/>
        </w:rPr>
        <w:t>合同协议书</w:t>
      </w:r>
    </w:p>
    <w:p>
      <w:pPr>
        <w:spacing w:line="360" w:lineRule="auto"/>
        <w:rPr>
          <w:rFonts w:hAnsi="宋体" w:cs="宋体"/>
          <w:highlight w:val="none"/>
        </w:rPr>
      </w:pPr>
    </w:p>
    <w:p>
      <w:pPr>
        <w:spacing w:line="360" w:lineRule="auto"/>
        <w:ind w:firstLine="484" w:firstLineChars="202"/>
        <w:rPr>
          <w:rFonts w:hAnsi="宋体" w:cs="宋体"/>
          <w:highlight w:val="none"/>
        </w:rPr>
      </w:pPr>
      <w:r>
        <w:rPr>
          <w:rFonts w:hint="eastAsia" w:hAnsi="宋体" w:cs="宋体"/>
          <w:highlight w:val="none"/>
        </w:rPr>
        <w:t>（买方名称，以下简称“买方”）为获得（招标项目名称）合同货物和相关服务，已接受（卖方名称，以下简称“卖方”）为提供上述合同货物和相关服务所作的投标，买方和卖方共同达成如下协议：</w:t>
      </w:r>
    </w:p>
    <w:p>
      <w:pPr>
        <w:spacing w:line="360" w:lineRule="auto"/>
        <w:ind w:firstLine="480" w:firstLineChars="200"/>
        <w:rPr>
          <w:rFonts w:hAnsi="宋体" w:cs="宋体"/>
          <w:highlight w:val="none"/>
        </w:rPr>
      </w:pPr>
      <w:r>
        <w:rPr>
          <w:rFonts w:hint="eastAsia" w:hAnsi="宋体" w:cs="宋体"/>
          <w:highlight w:val="none"/>
        </w:rPr>
        <w:t>1.本协议书与下列文件一起构成合同文件：</w:t>
      </w:r>
    </w:p>
    <w:p>
      <w:pPr>
        <w:spacing w:line="360" w:lineRule="auto"/>
        <w:ind w:firstLine="480" w:firstLineChars="200"/>
        <w:rPr>
          <w:rFonts w:hAnsi="宋体" w:cs="宋体"/>
          <w:highlight w:val="none"/>
        </w:rPr>
      </w:pPr>
      <w:r>
        <w:rPr>
          <w:rFonts w:hint="eastAsia" w:hAnsi="宋体" w:cs="宋体"/>
          <w:highlight w:val="none"/>
        </w:rPr>
        <w:t>（1）中标通知书；</w:t>
      </w:r>
    </w:p>
    <w:p>
      <w:pPr>
        <w:spacing w:line="360" w:lineRule="auto"/>
        <w:ind w:firstLine="480" w:firstLineChars="200"/>
        <w:rPr>
          <w:rFonts w:hAnsi="宋体" w:cs="宋体"/>
          <w:highlight w:val="none"/>
        </w:rPr>
      </w:pPr>
      <w:r>
        <w:rPr>
          <w:rFonts w:hint="eastAsia" w:hAnsi="宋体" w:cs="宋体"/>
          <w:highlight w:val="none"/>
        </w:rPr>
        <w:t>（2）投标函；</w:t>
      </w:r>
    </w:p>
    <w:p>
      <w:pPr>
        <w:spacing w:line="360" w:lineRule="auto"/>
        <w:ind w:firstLine="480" w:firstLineChars="200"/>
        <w:rPr>
          <w:rFonts w:hAnsi="宋体" w:cs="宋体"/>
          <w:highlight w:val="none"/>
        </w:rPr>
      </w:pPr>
      <w:r>
        <w:rPr>
          <w:rFonts w:hint="eastAsia" w:hAnsi="宋体" w:cs="宋体"/>
          <w:highlight w:val="none"/>
        </w:rPr>
        <w:t>（3）商务和技术偏差表；</w:t>
      </w:r>
    </w:p>
    <w:p>
      <w:pPr>
        <w:spacing w:line="360" w:lineRule="auto"/>
        <w:ind w:firstLine="480" w:firstLineChars="200"/>
        <w:rPr>
          <w:rFonts w:hAnsi="宋体" w:cs="宋体"/>
          <w:highlight w:val="none"/>
        </w:rPr>
      </w:pPr>
      <w:r>
        <w:rPr>
          <w:rFonts w:hint="eastAsia" w:hAnsi="宋体" w:cs="宋体"/>
          <w:highlight w:val="none"/>
        </w:rPr>
        <w:t>（4）专用合同条款；</w:t>
      </w:r>
    </w:p>
    <w:p>
      <w:pPr>
        <w:spacing w:line="360" w:lineRule="auto"/>
        <w:ind w:firstLine="480" w:firstLineChars="200"/>
        <w:rPr>
          <w:rFonts w:hAnsi="宋体" w:cs="宋体"/>
          <w:highlight w:val="none"/>
        </w:rPr>
      </w:pPr>
      <w:r>
        <w:rPr>
          <w:rFonts w:hint="eastAsia" w:hAnsi="宋体" w:cs="宋体"/>
          <w:highlight w:val="none"/>
        </w:rPr>
        <w:t>（5）通用合同条款；</w:t>
      </w:r>
    </w:p>
    <w:p>
      <w:pPr>
        <w:spacing w:line="360" w:lineRule="auto"/>
        <w:ind w:firstLine="480" w:firstLineChars="200"/>
        <w:rPr>
          <w:rFonts w:hAnsi="宋体" w:cs="宋体"/>
          <w:highlight w:val="none"/>
        </w:rPr>
      </w:pPr>
      <w:r>
        <w:rPr>
          <w:rFonts w:hint="eastAsia" w:hAnsi="宋体" w:cs="宋体"/>
          <w:highlight w:val="none"/>
        </w:rPr>
        <w:t>（6）供货要求；</w:t>
      </w:r>
    </w:p>
    <w:p>
      <w:pPr>
        <w:spacing w:line="360" w:lineRule="auto"/>
        <w:ind w:firstLine="480" w:firstLineChars="200"/>
        <w:rPr>
          <w:rFonts w:hAnsi="宋体" w:cs="宋体"/>
          <w:highlight w:val="none"/>
        </w:rPr>
      </w:pPr>
      <w:r>
        <w:rPr>
          <w:rFonts w:hint="eastAsia" w:hAnsi="宋体" w:cs="宋体"/>
          <w:highlight w:val="none"/>
        </w:rPr>
        <w:t>（7）分项报价表；</w:t>
      </w:r>
    </w:p>
    <w:p>
      <w:pPr>
        <w:spacing w:line="360" w:lineRule="auto"/>
        <w:ind w:firstLine="480" w:firstLineChars="200"/>
        <w:rPr>
          <w:rFonts w:hAnsi="宋体" w:cs="宋体"/>
          <w:highlight w:val="none"/>
        </w:rPr>
      </w:pPr>
      <w:r>
        <w:rPr>
          <w:rFonts w:hint="eastAsia" w:hAnsi="宋体" w:cs="宋体"/>
          <w:highlight w:val="none"/>
        </w:rPr>
        <w:t>（8）中标货物技术性能指标的详细描述；</w:t>
      </w:r>
    </w:p>
    <w:p>
      <w:pPr>
        <w:spacing w:line="360" w:lineRule="auto"/>
        <w:ind w:firstLine="480" w:firstLineChars="200"/>
        <w:rPr>
          <w:rFonts w:hAnsi="宋体" w:cs="宋体"/>
          <w:highlight w:val="none"/>
        </w:rPr>
      </w:pPr>
      <w:r>
        <w:rPr>
          <w:rFonts w:hint="eastAsia" w:hAnsi="宋体" w:cs="宋体"/>
          <w:highlight w:val="none"/>
        </w:rPr>
        <w:t>（9）相关服务计划；</w:t>
      </w:r>
    </w:p>
    <w:p>
      <w:pPr>
        <w:spacing w:line="360" w:lineRule="auto"/>
        <w:ind w:firstLine="480" w:firstLineChars="200"/>
        <w:rPr>
          <w:rFonts w:hAnsi="宋体" w:cs="宋体"/>
          <w:highlight w:val="none"/>
        </w:rPr>
      </w:pPr>
      <w:r>
        <w:rPr>
          <w:rFonts w:hint="eastAsia" w:hAnsi="宋体" w:cs="宋体"/>
          <w:highlight w:val="none"/>
        </w:rPr>
        <w:t>（10）其他合同文件。</w:t>
      </w:r>
    </w:p>
    <w:p>
      <w:pPr>
        <w:spacing w:line="360" w:lineRule="auto"/>
        <w:ind w:firstLine="480" w:firstLineChars="200"/>
        <w:rPr>
          <w:rFonts w:hAnsi="宋体" w:cs="宋体"/>
          <w:highlight w:val="none"/>
        </w:rPr>
      </w:pPr>
      <w:r>
        <w:rPr>
          <w:rFonts w:hint="eastAsia" w:hAnsi="宋体" w:cs="宋体"/>
          <w:highlight w:val="none"/>
        </w:rPr>
        <w:t>2.上述合同文件互相补充和解释。如果合同文件之间存在矛盾或不一致之处，以上述文件的排列顺序在先者为准。</w:t>
      </w:r>
    </w:p>
    <w:p>
      <w:pPr>
        <w:spacing w:line="360" w:lineRule="auto"/>
        <w:ind w:firstLine="480" w:firstLineChars="200"/>
        <w:rPr>
          <w:rFonts w:hAnsi="宋体" w:cs="宋体"/>
          <w:highlight w:val="none"/>
        </w:rPr>
      </w:pPr>
      <w:r>
        <w:rPr>
          <w:rFonts w:hint="eastAsia" w:hAnsi="宋体" w:cs="宋体"/>
          <w:highlight w:val="none"/>
        </w:rPr>
        <w:t>3. 签约合同价：人民币（大写）（¥）。</w:t>
      </w:r>
    </w:p>
    <w:p>
      <w:pPr>
        <w:spacing w:line="360" w:lineRule="auto"/>
        <w:ind w:firstLine="480" w:firstLineChars="200"/>
        <w:rPr>
          <w:rFonts w:hAnsi="宋体" w:cs="宋体"/>
          <w:highlight w:val="none"/>
        </w:rPr>
      </w:pPr>
      <w:r>
        <w:rPr>
          <w:rFonts w:hint="eastAsia" w:hAnsi="宋体" w:cs="宋体"/>
          <w:highlight w:val="none"/>
        </w:rPr>
        <w:t>4.卖方承诺保证完全按照合同约定提供合同货物和相关服务并修补缺陷。</w:t>
      </w:r>
    </w:p>
    <w:p>
      <w:pPr>
        <w:spacing w:line="360" w:lineRule="auto"/>
        <w:ind w:firstLine="480" w:firstLineChars="200"/>
        <w:rPr>
          <w:rFonts w:hAnsi="宋体" w:cs="宋体"/>
          <w:highlight w:val="none"/>
        </w:rPr>
      </w:pPr>
      <w:r>
        <w:rPr>
          <w:rFonts w:hint="eastAsia" w:hAnsi="宋体" w:cs="宋体"/>
          <w:highlight w:val="none"/>
        </w:rPr>
        <w:t>5.买方承诺保证按照合同约定的条件、时间和方式向卖方支付合同价款。</w:t>
      </w:r>
    </w:p>
    <w:p>
      <w:pPr>
        <w:spacing w:line="360" w:lineRule="auto"/>
        <w:ind w:firstLine="480" w:firstLineChars="200"/>
        <w:rPr>
          <w:rFonts w:hAnsi="宋体" w:cs="宋体"/>
          <w:highlight w:val="none"/>
        </w:rPr>
      </w:pPr>
      <w:r>
        <w:rPr>
          <w:rFonts w:hint="eastAsia" w:hAnsi="宋体" w:cs="宋体"/>
          <w:highlight w:val="none"/>
        </w:rPr>
        <w:t>6.本合同协议书一式份，合同双方各执份。</w:t>
      </w:r>
    </w:p>
    <w:p>
      <w:pPr>
        <w:spacing w:line="360" w:lineRule="auto"/>
        <w:ind w:firstLine="480" w:firstLineChars="200"/>
        <w:rPr>
          <w:rFonts w:hAnsi="宋体" w:cs="宋体"/>
          <w:highlight w:val="none"/>
        </w:rPr>
      </w:pPr>
      <w:r>
        <w:rPr>
          <w:rFonts w:hint="eastAsia" w:hAnsi="宋体" w:cs="宋体"/>
          <w:highlight w:val="none"/>
        </w:rPr>
        <w:t>7.合同未尽事宜，双方另行签订补充协议，补充协议是合同的组成部分。</w:t>
      </w:r>
    </w:p>
    <w:p>
      <w:pPr>
        <w:adjustRightInd w:val="0"/>
        <w:snapToGrid w:val="0"/>
        <w:spacing w:line="360" w:lineRule="auto"/>
        <w:rPr>
          <w:rFonts w:hAnsi="宋体" w:cs="宋体"/>
          <w:highlight w:val="none"/>
        </w:rPr>
      </w:pPr>
    </w:p>
    <w:p>
      <w:pPr>
        <w:tabs>
          <w:tab w:val="left" w:pos="4395"/>
        </w:tabs>
        <w:spacing w:line="360" w:lineRule="auto"/>
        <w:ind w:firstLine="3000" w:firstLineChars="1250"/>
        <w:rPr>
          <w:rFonts w:hAnsi="宋体" w:cs="宋体"/>
          <w:highlight w:val="none"/>
        </w:rPr>
      </w:pPr>
      <w:r>
        <w:rPr>
          <w:rFonts w:hint="eastAsia" w:hAnsi="宋体" w:cs="宋体"/>
          <w:highlight w:val="none"/>
        </w:rPr>
        <w:t>买方：（盖单位章）</w:t>
      </w:r>
    </w:p>
    <w:p>
      <w:pPr>
        <w:tabs>
          <w:tab w:val="left" w:pos="4395"/>
        </w:tabs>
        <w:spacing w:line="360" w:lineRule="auto"/>
        <w:jc w:val="right"/>
        <w:rPr>
          <w:rFonts w:hAnsi="宋体" w:cs="宋体"/>
          <w:highlight w:val="none"/>
        </w:rPr>
      </w:pPr>
      <w:r>
        <w:rPr>
          <w:rFonts w:hint="eastAsia" w:hAnsi="宋体" w:cs="宋体"/>
          <w:highlight w:val="none"/>
        </w:rPr>
        <w:t>法定代表人或其委托代理人：（签字）</w:t>
      </w:r>
    </w:p>
    <w:p>
      <w:pPr>
        <w:spacing w:line="360" w:lineRule="auto"/>
        <w:ind w:firstLine="4867" w:firstLineChars="2028"/>
        <w:jc w:val="right"/>
        <w:rPr>
          <w:rFonts w:hAnsi="宋体" w:cs="宋体"/>
          <w:highlight w:val="none"/>
        </w:rPr>
      </w:pPr>
      <w:r>
        <w:rPr>
          <w:rFonts w:hint="eastAsia" w:hAnsi="宋体" w:cs="宋体"/>
          <w:highlight w:val="none"/>
        </w:rPr>
        <w:t>年月日</w:t>
      </w:r>
    </w:p>
    <w:p>
      <w:pPr>
        <w:tabs>
          <w:tab w:val="left" w:pos="4395"/>
        </w:tabs>
        <w:spacing w:line="360" w:lineRule="auto"/>
        <w:rPr>
          <w:rFonts w:hAnsi="宋体" w:cs="宋体"/>
          <w:highlight w:val="none"/>
        </w:rPr>
      </w:pPr>
    </w:p>
    <w:p>
      <w:pPr>
        <w:tabs>
          <w:tab w:val="left" w:pos="4395"/>
        </w:tabs>
        <w:spacing w:line="360" w:lineRule="auto"/>
        <w:rPr>
          <w:rFonts w:hAnsi="宋体" w:cs="宋体"/>
          <w:highlight w:val="none"/>
        </w:rPr>
      </w:pPr>
    </w:p>
    <w:p>
      <w:pPr>
        <w:tabs>
          <w:tab w:val="left" w:pos="4395"/>
        </w:tabs>
        <w:spacing w:line="360" w:lineRule="auto"/>
        <w:ind w:firstLine="2880" w:firstLineChars="1200"/>
        <w:rPr>
          <w:rFonts w:hAnsi="宋体" w:cs="宋体"/>
          <w:highlight w:val="none"/>
        </w:rPr>
      </w:pPr>
      <w:r>
        <w:rPr>
          <w:rFonts w:hint="eastAsia" w:hAnsi="宋体" w:cs="宋体"/>
          <w:highlight w:val="none"/>
        </w:rPr>
        <w:t>卖方：（盖单位章）</w:t>
      </w:r>
    </w:p>
    <w:p>
      <w:pPr>
        <w:tabs>
          <w:tab w:val="left" w:pos="4395"/>
        </w:tabs>
        <w:spacing w:line="360" w:lineRule="auto"/>
        <w:jc w:val="right"/>
        <w:rPr>
          <w:rFonts w:hAnsi="宋体" w:cs="宋体"/>
          <w:highlight w:val="none"/>
        </w:rPr>
      </w:pPr>
      <w:r>
        <w:rPr>
          <w:rFonts w:hint="eastAsia" w:hAnsi="宋体" w:cs="宋体"/>
          <w:highlight w:val="none"/>
        </w:rPr>
        <w:t>法定代表人或其委托代理人：（签字）</w:t>
      </w:r>
    </w:p>
    <w:p>
      <w:pPr>
        <w:spacing w:line="360" w:lineRule="auto"/>
        <w:ind w:firstLine="4867" w:firstLineChars="2028"/>
        <w:jc w:val="right"/>
        <w:rPr>
          <w:rFonts w:hAnsi="宋体" w:cs="宋体"/>
          <w:highlight w:val="none"/>
        </w:rPr>
      </w:pPr>
      <w:r>
        <w:rPr>
          <w:rFonts w:hint="eastAsia" w:hAnsi="宋体" w:cs="宋体"/>
          <w:highlight w:val="none"/>
        </w:rPr>
        <w:t>年月日</w:t>
      </w:r>
    </w:p>
    <w:p>
      <w:pPr>
        <w:adjustRightInd w:val="0"/>
        <w:snapToGrid w:val="0"/>
        <w:spacing w:line="360" w:lineRule="auto"/>
        <w:rPr>
          <w:rFonts w:hAnsi="宋体" w:cs="宋体"/>
          <w:highlight w:val="none"/>
        </w:rPr>
      </w:pPr>
      <w:r>
        <w:rPr>
          <w:rFonts w:hint="eastAsia" w:hAnsi="宋体" w:cs="宋体"/>
          <w:highlight w:val="none"/>
        </w:rPr>
        <w:br w:type="page"/>
      </w:r>
    </w:p>
    <w:p>
      <w:pPr>
        <w:pStyle w:val="2"/>
        <w:spacing w:before="0" w:after="0"/>
        <w:ind w:firstLine="137"/>
        <w:rPr>
          <w:rFonts w:cs="黑体"/>
          <w:highlight w:val="none"/>
        </w:rPr>
      </w:pPr>
      <w:bookmarkStart w:id="861" w:name="_Toc501460715"/>
      <w:r>
        <w:rPr>
          <w:rFonts w:hint="eastAsia" w:cs="黑体"/>
          <w:highlight w:val="none"/>
        </w:rPr>
        <w:t>附件二：履约保证金格式</w:t>
      </w:r>
      <w:bookmarkEnd w:id="861"/>
    </w:p>
    <w:p>
      <w:pPr>
        <w:spacing w:line="360" w:lineRule="auto"/>
        <w:rPr>
          <w:rFonts w:hAnsi="宋体" w:cs="宋体"/>
          <w:highlight w:val="none"/>
        </w:rPr>
      </w:pPr>
      <w:r>
        <w:rPr>
          <w:rFonts w:hint="eastAsia" w:hAnsi="宋体" w:cs="宋体"/>
          <w:highlight w:val="none"/>
        </w:rPr>
        <w:t>如采用银行保函，格式如下。</w:t>
      </w:r>
    </w:p>
    <w:p>
      <w:pPr>
        <w:spacing w:line="360" w:lineRule="auto"/>
        <w:jc w:val="center"/>
        <w:rPr>
          <w:rFonts w:ascii="黑体" w:hAnsi="黑体" w:eastAsia="黑体" w:cs="黑体"/>
          <w:highlight w:val="none"/>
        </w:rPr>
      </w:pPr>
      <w:r>
        <w:rPr>
          <w:rFonts w:hint="eastAsia" w:ascii="黑体" w:hAnsi="黑体" w:eastAsia="黑体" w:cs="黑体"/>
          <w:highlight w:val="none"/>
        </w:rPr>
        <w:t>履约保证金</w:t>
      </w:r>
    </w:p>
    <w:p>
      <w:pPr>
        <w:spacing w:line="360" w:lineRule="auto"/>
        <w:jc w:val="center"/>
        <w:rPr>
          <w:rFonts w:hAnsi="宋体" w:cs="宋体"/>
          <w:highlight w:val="none"/>
          <w:u w:val="single"/>
        </w:rPr>
      </w:pPr>
    </w:p>
    <w:p>
      <w:pPr>
        <w:spacing w:line="360" w:lineRule="auto"/>
        <w:rPr>
          <w:rFonts w:hAnsi="宋体" w:cs="宋体"/>
          <w:highlight w:val="none"/>
        </w:rPr>
      </w:pPr>
      <w:r>
        <w:rPr>
          <w:rFonts w:hint="eastAsia" w:hAnsi="宋体" w:cs="宋体"/>
          <w:highlight w:val="none"/>
        </w:rPr>
        <w:t>（买方名称）：</w:t>
      </w:r>
    </w:p>
    <w:p>
      <w:pPr>
        <w:spacing w:line="360" w:lineRule="auto"/>
        <w:ind w:firstLine="480" w:firstLineChars="200"/>
        <w:rPr>
          <w:rFonts w:hAnsi="宋体" w:cs="宋体"/>
          <w:highlight w:val="none"/>
        </w:rPr>
      </w:pPr>
      <w:r>
        <w:rPr>
          <w:rFonts w:hint="eastAsia" w:hAnsi="宋体" w:cs="宋体"/>
          <w:highlight w:val="none"/>
        </w:rPr>
        <w:t>鉴于（卖方名称，以下称“卖方”） 为（项目名称）的中标（成交）人，应卖方申请，我方愿意无条件地、不可撤销地就卖方履行与你方签订的合同，向你方提供连带责任担保。我方愿意无条件地、不可撤销地就卖方履行与你方订立的合同，向你方提供连带责任担保。</w:t>
      </w:r>
    </w:p>
    <w:p>
      <w:pPr>
        <w:spacing w:line="360" w:lineRule="auto"/>
        <w:ind w:firstLine="480" w:firstLineChars="200"/>
        <w:rPr>
          <w:rFonts w:hAnsi="宋体" w:cs="宋体"/>
          <w:highlight w:val="none"/>
        </w:rPr>
      </w:pPr>
      <w:r>
        <w:rPr>
          <w:rFonts w:hint="eastAsia" w:hAnsi="宋体" w:cs="宋体"/>
          <w:highlight w:val="none"/>
        </w:rPr>
        <w:t>1. 担保金额人民币（大写）（¥）。</w:t>
      </w:r>
    </w:p>
    <w:p>
      <w:pPr>
        <w:spacing w:line="360" w:lineRule="auto"/>
        <w:ind w:firstLine="480" w:firstLineChars="200"/>
        <w:rPr>
          <w:rFonts w:hAnsi="宋体" w:cs="宋体"/>
          <w:highlight w:val="none"/>
        </w:rPr>
      </w:pPr>
      <w:r>
        <w:rPr>
          <w:rFonts w:hint="eastAsia" w:hAnsi="宋体" w:cs="宋体"/>
          <w:highlight w:val="none"/>
        </w:rPr>
        <w:t>2. 担保有效期自买方与卖方签订的合同生效之日起至你方</w:t>
      </w:r>
      <w:r>
        <w:rPr>
          <w:rFonts w:hint="eastAsia" w:hAnsi="宋体" w:cs="宋体"/>
          <w:bCs/>
          <w:highlight w:val="none"/>
        </w:rPr>
        <w:t>签发合同货物验收证书或验收款支付函且卖方按照合同约定缴纳质量保证金之日为止。</w:t>
      </w:r>
      <w:r>
        <w:rPr>
          <w:rStyle w:val="67"/>
          <w:rFonts w:hint="eastAsia" w:hAnsi="宋体" w:cs="宋体"/>
          <w:highlight w:val="none"/>
        </w:rPr>
        <w:footnoteReference w:id="0"/>
      </w:r>
    </w:p>
    <w:p>
      <w:pPr>
        <w:spacing w:line="360" w:lineRule="auto"/>
        <w:ind w:firstLine="480" w:firstLineChars="200"/>
        <w:rPr>
          <w:rFonts w:hAnsi="宋体" w:cs="宋体"/>
          <w:highlight w:val="none"/>
        </w:rPr>
      </w:pPr>
      <w:r>
        <w:rPr>
          <w:rFonts w:hint="eastAsia" w:hAnsi="宋体" w:cs="宋体"/>
          <w:highlight w:val="none"/>
        </w:rPr>
        <w:t>3. 在本担保有效期内，如果卖方不履行合同约定的义务或其履行不符合合同的约定，我方在收到你方以书面形式提出的在担保金额内的赔偿要求后，在7日内无条件支付。</w:t>
      </w:r>
    </w:p>
    <w:p>
      <w:pPr>
        <w:spacing w:line="360" w:lineRule="auto"/>
        <w:ind w:firstLine="480" w:firstLineChars="200"/>
        <w:rPr>
          <w:rFonts w:hAnsi="宋体" w:cs="宋体"/>
          <w:highlight w:val="none"/>
        </w:rPr>
      </w:pPr>
      <w:r>
        <w:rPr>
          <w:rFonts w:hint="eastAsia" w:hAnsi="宋体" w:cs="宋体"/>
          <w:highlight w:val="none"/>
        </w:rPr>
        <w:t>4. 买方和卖方按合同约定变更合同时</w:t>
      </w:r>
      <w:bookmarkStart w:id="862" w:name="_Toc296602586"/>
      <w:bookmarkStart w:id="863" w:name="_Toc247527799"/>
      <w:bookmarkStart w:id="864" w:name="_Toc361508743"/>
      <w:bookmarkStart w:id="865" w:name="_Toc246996336"/>
      <w:bookmarkStart w:id="866" w:name="_Toc384308366"/>
      <w:bookmarkStart w:id="867" w:name="_Toc184635123"/>
      <w:bookmarkStart w:id="868" w:name="_Toc247085851"/>
      <w:bookmarkStart w:id="869" w:name="_Toc369531685"/>
      <w:bookmarkStart w:id="870" w:name="_Toc247514198"/>
      <w:bookmarkStart w:id="871" w:name="_Toc246997079"/>
      <w:bookmarkStart w:id="872" w:name="_Toc300835200"/>
      <w:bookmarkStart w:id="873" w:name="_Toc361231267"/>
      <w:r>
        <w:rPr>
          <w:rFonts w:hint="eastAsia" w:hAnsi="宋体" w:cs="宋体"/>
          <w:highlight w:val="none"/>
        </w:rPr>
        <w:t>，无论我方是否收到该</w:t>
      </w:r>
      <w:bookmarkEnd w:id="862"/>
      <w:bookmarkEnd w:id="863"/>
      <w:bookmarkEnd w:id="864"/>
      <w:bookmarkEnd w:id="865"/>
      <w:bookmarkEnd w:id="866"/>
      <w:bookmarkEnd w:id="867"/>
      <w:bookmarkEnd w:id="868"/>
      <w:bookmarkEnd w:id="869"/>
      <w:bookmarkEnd w:id="870"/>
      <w:bookmarkEnd w:id="871"/>
      <w:bookmarkEnd w:id="872"/>
      <w:bookmarkEnd w:id="873"/>
      <w:r>
        <w:rPr>
          <w:rFonts w:hint="eastAsia" w:hAnsi="宋体" w:cs="宋体"/>
          <w:highlight w:val="none"/>
        </w:rPr>
        <w:t>变</w:t>
      </w:r>
      <w:bookmarkStart w:id="874" w:name="_Toc247085852"/>
      <w:bookmarkStart w:id="875" w:name="_Toc152042547"/>
      <w:bookmarkStart w:id="876" w:name="_Toc179632786"/>
      <w:bookmarkStart w:id="877" w:name="_Toc5746"/>
      <w:bookmarkStart w:id="878" w:name="_Toc361508744"/>
      <w:bookmarkStart w:id="879" w:name="_Toc247514199"/>
      <w:bookmarkStart w:id="880" w:name="_Toc144974827"/>
      <w:bookmarkStart w:id="881" w:name="_Toc246996337"/>
      <w:bookmarkStart w:id="882" w:name="_Toc247527800"/>
      <w:bookmarkStart w:id="883" w:name="_Toc152045768"/>
      <w:bookmarkStart w:id="884" w:name="_Toc361231268"/>
      <w:bookmarkStart w:id="885" w:name="_Toc246997080"/>
      <w:bookmarkStart w:id="886" w:name="_Toc384308367"/>
      <w:bookmarkStart w:id="887" w:name="_Toc300835201"/>
      <w:bookmarkStart w:id="888" w:name="_Toc369531686"/>
      <w:r>
        <w:rPr>
          <w:rFonts w:hint="eastAsia" w:hAnsi="宋体" w:cs="宋体"/>
          <w:highlight w:val="none"/>
        </w:rPr>
        <w:t>更，我方承担本</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r>
        <w:rPr>
          <w:rFonts w:hint="eastAsia" w:hAnsi="宋体" w:cs="宋体"/>
          <w:highlight w:val="none"/>
        </w:rPr>
        <w:t>担保规定的义务不变。</w:t>
      </w:r>
    </w:p>
    <w:p>
      <w:pPr>
        <w:spacing w:line="360" w:lineRule="auto"/>
        <w:ind w:firstLine="480" w:firstLineChars="200"/>
        <w:rPr>
          <w:rFonts w:hAnsi="宋体" w:cs="宋体"/>
          <w:highlight w:val="none"/>
        </w:rPr>
      </w:pPr>
      <w:r>
        <w:rPr>
          <w:rFonts w:hint="eastAsia" w:hAnsi="宋体" w:cs="宋体"/>
          <w:highlight w:val="none"/>
        </w:rPr>
        <w:t>5. 因本保函发生的纠纷，可由双方协商解决，协商不成的，任何一方均可提请仲裁委员会仲裁。</w:t>
      </w:r>
    </w:p>
    <w:p>
      <w:pPr>
        <w:spacing w:line="360" w:lineRule="auto"/>
        <w:ind w:firstLine="480" w:firstLineChars="200"/>
        <w:rPr>
          <w:rFonts w:hAnsi="宋体" w:cs="宋体"/>
          <w:highlight w:val="none"/>
        </w:rPr>
      </w:pPr>
      <w:r>
        <w:rPr>
          <w:rFonts w:hint="eastAsia" w:hAnsi="宋体" w:cs="宋体"/>
          <w:highlight w:val="none"/>
        </w:rPr>
        <w:t>6. 本保函自我方法定代表人（或其授权代理人）签字并加盖公章之日起生效。</w:t>
      </w:r>
    </w:p>
    <w:p>
      <w:pPr>
        <w:spacing w:line="360" w:lineRule="auto"/>
        <w:ind w:firstLine="2640" w:firstLineChars="1100"/>
        <w:rPr>
          <w:rFonts w:hAnsi="宋体" w:cs="宋体"/>
          <w:highlight w:val="none"/>
        </w:rPr>
      </w:pPr>
    </w:p>
    <w:p>
      <w:pPr>
        <w:spacing w:line="360" w:lineRule="auto"/>
        <w:jc w:val="right"/>
        <w:rPr>
          <w:rFonts w:hAnsi="宋体" w:cs="宋体"/>
          <w:highlight w:val="none"/>
        </w:rPr>
      </w:pPr>
      <w:r>
        <w:rPr>
          <w:rFonts w:hint="eastAsia" w:hAnsi="宋体" w:cs="宋体"/>
          <w:highlight w:val="none"/>
        </w:rPr>
        <w:t>担保人名称：（盖单位章）</w:t>
      </w:r>
    </w:p>
    <w:p>
      <w:pPr>
        <w:spacing w:line="360" w:lineRule="auto"/>
        <w:jc w:val="right"/>
        <w:rPr>
          <w:rFonts w:hAnsi="宋体" w:cs="宋体"/>
          <w:highlight w:val="none"/>
        </w:rPr>
      </w:pPr>
      <w:r>
        <w:rPr>
          <w:rFonts w:hint="eastAsia" w:hAnsi="宋体" w:cs="宋体"/>
          <w:highlight w:val="none"/>
        </w:rPr>
        <w:t>法定代表人或其委托代理人：（签字）</w:t>
      </w:r>
    </w:p>
    <w:p>
      <w:pPr>
        <w:spacing w:line="360" w:lineRule="auto"/>
        <w:ind w:firstLine="2640" w:firstLineChars="1100"/>
        <w:rPr>
          <w:rFonts w:hAnsi="宋体" w:cs="宋体"/>
          <w:highlight w:val="none"/>
        </w:rPr>
      </w:pPr>
      <w:r>
        <w:rPr>
          <w:rFonts w:hint="eastAsia" w:hAnsi="宋体" w:cs="宋体"/>
          <w:highlight w:val="none"/>
        </w:rPr>
        <w:t>地址：</w:t>
      </w:r>
    </w:p>
    <w:p>
      <w:pPr>
        <w:spacing w:line="360" w:lineRule="auto"/>
        <w:ind w:firstLine="2640" w:firstLineChars="1100"/>
        <w:rPr>
          <w:rFonts w:hAnsi="宋体" w:cs="宋体"/>
          <w:highlight w:val="none"/>
        </w:rPr>
      </w:pPr>
      <w:r>
        <w:rPr>
          <w:rFonts w:hint="eastAsia" w:hAnsi="宋体" w:cs="宋体"/>
          <w:highlight w:val="none"/>
        </w:rPr>
        <w:t>邮政编码：</w:t>
      </w:r>
    </w:p>
    <w:p>
      <w:pPr>
        <w:spacing w:line="360" w:lineRule="auto"/>
        <w:ind w:firstLine="2640" w:firstLineChars="1100"/>
        <w:rPr>
          <w:rFonts w:hAnsi="宋体" w:cs="宋体"/>
          <w:highlight w:val="none"/>
        </w:rPr>
      </w:pPr>
      <w:r>
        <w:rPr>
          <w:rFonts w:hint="eastAsia" w:hAnsi="宋体" w:cs="宋体"/>
          <w:highlight w:val="none"/>
        </w:rPr>
        <w:t>电话：</w:t>
      </w:r>
    </w:p>
    <w:p>
      <w:pPr>
        <w:spacing w:line="360" w:lineRule="auto"/>
        <w:ind w:right="840" w:rightChars="350" w:firstLine="2640" w:firstLineChars="1100"/>
        <w:jc w:val="right"/>
        <w:rPr>
          <w:rFonts w:hAnsi="宋体" w:cs="宋体"/>
          <w:highlight w:val="none"/>
        </w:rPr>
      </w:pPr>
      <w:r>
        <w:rPr>
          <w:rFonts w:hint="eastAsia" w:hAnsi="宋体" w:cs="宋体"/>
          <w:highlight w:val="none"/>
        </w:rPr>
        <w:t>年月日</w:t>
      </w:r>
    </w:p>
    <w:p>
      <w:pPr>
        <w:outlineLvl w:val="2"/>
        <w:rPr>
          <w:rFonts w:ascii="黑体" w:hAnsi="黑体" w:eastAsia="黑体" w:cs="黑体"/>
          <w:bCs/>
          <w:highlight w:val="none"/>
        </w:rPr>
      </w:pPr>
      <w:r>
        <w:rPr>
          <w:rFonts w:hint="eastAsia" w:ascii="黑体" w:hAnsi="黑体" w:eastAsia="黑体" w:cs="黑体"/>
          <w:bCs/>
          <w:highlight w:val="none"/>
        </w:rPr>
        <w:br w:type="page"/>
      </w:r>
      <w:r>
        <w:rPr>
          <w:rFonts w:hint="eastAsia" w:ascii="黑体" w:hAnsi="黑体" w:eastAsia="黑体" w:cs="黑体"/>
          <w:bCs/>
          <w:highlight w:val="none"/>
        </w:rPr>
        <w:t>附</w:t>
      </w:r>
      <w:bookmarkStart w:id="889" w:name="_Toc296891059"/>
      <w:bookmarkStart w:id="890" w:name="_Toc296347230"/>
      <w:bookmarkStart w:id="891" w:name="_Toc296944570"/>
      <w:bookmarkStart w:id="892" w:name="_Toc296346732"/>
      <w:bookmarkStart w:id="893" w:name="_Toc296503231"/>
      <w:bookmarkStart w:id="894" w:name="_Toc296891271"/>
      <w:r>
        <w:rPr>
          <w:rFonts w:hint="eastAsia" w:ascii="黑体" w:hAnsi="黑体" w:eastAsia="黑体" w:cs="黑体"/>
          <w:bCs/>
          <w:highlight w:val="none"/>
        </w:rPr>
        <w:t>件三：廉政协议</w:t>
      </w:r>
    </w:p>
    <w:bookmarkEnd w:id="889"/>
    <w:bookmarkEnd w:id="890"/>
    <w:bookmarkEnd w:id="891"/>
    <w:bookmarkEnd w:id="892"/>
    <w:bookmarkEnd w:id="893"/>
    <w:bookmarkEnd w:id="894"/>
    <w:p>
      <w:pPr>
        <w:widowControl/>
        <w:spacing w:line="360" w:lineRule="auto"/>
        <w:ind w:firstLine="643"/>
        <w:jc w:val="center"/>
        <w:outlineLvl w:val="0"/>
        <w:rPr>
          <w:rFonts w:hAnsi="宋体" w:cs="宋体"/>
          <w:bCs/>
          <w:highlight w:val="none"/>
        </w:rPr>
      </w:pPr>
      <w:bookmarkStart w:id="895" w:name="_Toc117002184"/>
      <w:bookmarkStart w:id="896" w:name="_Toc140069435"/>
      <w:r>
        <w:rPr>
          <w:rFonts w:hint="eastAsia" w:hAnsi="宋体" w:cs="宋体"/>
          <w:bCs/>
          <w:highlight w:val="none"/>
        </w:rPr>
        <w:t>廉政协议</w:t>
      </w:r>
      <w:bookmarkEnd w:id="895"/>
      <w:bookmarkEnd w:id="896"/>
    </w:p>
    <w:p>
      <w:pPr>
        <w:widowControl/>
        <w:spacing w:line="360" w:lineRule="auto"/>
        <w:ind w:firstLine="480" w:firstLineChars="200"/>
        <w:jc w:val="left"/>
        <w:rPr>
          <w:rFonts w:hAnsi="宋体" w:cs="宋体"/>
          <w:highlight w:val="none"/>
        </w:rPr>
      </w:pPr>
      <w:r>
        <w:rPr>
          <w:rFonts w:hint="eastAsia" w:hAnsi="宋体" w:cs="宋体"/>
          <w:highlight w:val="none"/>
        </w:rPr>
        <w:t>为促进双方诚信经营、廉洁从业，防范商业贿赂，保护国家、集体和当事人的合法权益，根据国家有关法律法规和安徽省、合肥市廉政建设的规定，（买方名称，以下简称“买方”）与（卖方名称，以下称“卖方”），特此订立本协议共同遵照执行。</w:t>
      </w:r>
    </w:p>
    <w:p>
      <w:pPr>
        <w:widowControl/>
        <w:spacing w:line="360" w:lineRule="auto"/>
        <w:ind w:firstLine="480" w:firstLineChars="200"/>
        <w:jc w:val="left"/>
        <w:outlineLvl w:val="0"/>
        <w:rPr>
          <w:rFonts w:hAnsi="宋体" w:cs="宋体"/>
          <w:highlight w:val="none"/>
        </w:rPr>
      </w:pPr>
      <w:bookmarkStart w:id="897" w:name="_Toc140069436"/>
      <w:bookmarkStart w:id="898" w:name="_Toc117002185"/>
      <w:r>
        <w:rPr>
          <w:rFonts w:hint="eastAsia" w:hAnsi="宋体" w:cs="宋体"/>
          <w:highlight w:val="none"/>
        </w:rPr>
        <w:t>第一条 买卖双方的权利和义务</w:t>
      </w:r>
      <w:bookmarkEnd w:id="897"/>
      <w:bookmarkEnd w:id="898"/>
    </w:p>
    <w:p>
      <w:pPr>
        <w:widowControl/>
        <w:spacing w:line="360" w:lineRule="auto"/>
        <w:ind w:firstLine="480" w:firstLineChars="200"/>
        <w:jc w:val="left"/>
        <w:rPr>
          <w:rFonts w:hAnsi="宋体" w:cs="宋体"/>
          <w:highlight w:val="none"/>
        </w:rPr>
      </w:pPr>
      <w:r>
        <w:rPr>
          <w:rFonts w:hint="eastAsia" w:hAnsi="宋体" w:cs="宋体"/>
          <w:highlight w:val="none"/>
        </w:rPr>
        <w:t>（一）买卖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widowControl/>
        <w:spacing w:line="360" w:lineRule="auto"/>
        <w:ind w:firstLine="480" w:firstLineChars="200"/>
        <w:jc w:val="left"/>
        <w:rPr>
          <w:rFonts w:hAnsi="宋体" w:cs="宋体"/>
          <w:highlight w:val="none"/>
        </w:rPr>
      </w:pPr>
      <w:r>
        <w:rPr>
          <w:rFonts w:hint="eastAsia" w:hAnsi="宋体" w:cs="宋体"/>
          <w:highlight w:val="none"/>
        </w:rPr>
        <w:t>（二）严格执行的合同要求，自觉履行合同约定的相关义务。</w:t>
      </w:r>
    </w:p>
    <w:p>
      <w:pPr>
        <w:widowControl/>
        <w:spacing w:line="360" w:lineRule="auto"/>
        <w:ind w:firstLine="480" w:firstLineChars="200"/>
        <w:jc w:val="left"/>
        <w:rPr>
          <w:rFonts w:hAnsi="宋体" w:cs="宋体"/>
          <w:highlight w:val="none"/>
        </w:rPr>
      </w:pPr>
      <w:r>
        <w:rPr>
          <w:rFonts w:hint="eastAsia" w:hAnsi="宋体" w:cs="宋体"/>
          <w:highlight w:val="none"/>
        </w:rPr>
        <w:t>（三）在业务活动中坚持公开、公正、诚信、透明的原则，不得损害国家、集体利益。</w:t>
      </w:r>
    </w:p>
    <w:p>
      <w:pPr>
        <w:widowControl/>
        <w:spacing w:line="360" w:lineRule="auto"/>
        <w:ind w:firstLine="480" w:firstLineChars="200"/>
        <w:jc w:val="left"/>
        <w:rPr>
          <w:rFonts w:hAnsi="宋体" w:cs="宋体"/>
          <w:highlight w:val="none"/>
        </w:rPr>
      </w:pPr>
      <w:r>
        <w:rPr>
          <w:rFonts w:hint="eastAsia" w:hAnsi="宋体" w:cs="宋体"/>
          <w:highlight w:val="none"/>
        </w:rPr>
        <w:t>（四）建立健全廉政制度，开展廉政教育，公布举报电话，监督并认真查处违法违纪行为。</w:t>
      </w:r>
    </w:p>
    <w:p>
      <w:pPr>
        <w:widowControl/>
        <w:spacing w:line="360" w:lineRule="auto"/>
        <w:ind w:firstLine="480" w:firstLineChars="200"/>
        <w:jc w:val="left"/>
        <w:rPr>
          <w:rFonts w:hAnsi="宋体" w:cs="宋体"/>
          <w:highlight w:val="none"/>
        </w:rPr>
      </w:pPr>
      <w:r>
        <w:rPr>
          <w:rFonts w:hint="eastAsia" w:hAnsi="宋体" w:cs="宋体"/>
          <w:highlight w:val="none"/>
        </w:rPr>
        <w:t>（五）发现对方在业务活动中有违反廉政规定的行为，应及时提醒对方纠正。情节严重的，应向其上级有关部门举报、建议给予处理，并有权要求告知处理结果。</w:t>
      </w:r>
    </w:p>
    <w:p>
      <w:pPr>
        <w:widowControl/>
        <w:spacing w:line="360" w:lineRule="auto"/>
        <w:ind w:firstLine="480" w:firstLineChars="200"/>
        <w:jc w:val="left"/>
        <w:outlineLvl w:val="0"/>
        <w:rPr>
          <w:rFonts w:hAnsi="宋体" w:cs="宋体"/>
          <w:highlight w:val="none"/>
        </w:rPr>
      </w:pPr>
      <w:bookmarkStart w:id="899" w:name="_Toc140069437"/>
      <w:bookmarkStart w:id="900" w:name="_Toc117002186"/>
      <w:r>
        <w:rPr>
          <w:rFonts w:hint="eastAsia" w:hAnsi="宋体" w:cs="宋体"/>
          <w:highlight w:val="none"/>
        </w:rPr>
        <w:t>第二条 买方的义务</w:t>
      </w:r>
      <w:bookmarkEnd w:id="899"/>
      <w:bookmarkEnd w:id="900"/>
    </w:p>
    <w:p>
      <w:pPr>
        <w:widowControl/>
        <w:spacing w:line="360" w:lineRule="auto"/>
        <w:ind w:firstLine="600" w:firstLineChars="250"/>
        <w:jc w:val="left"/>
        <w:rPr>
          <w:rFonts w:hAnsi="宋体" w:cs="宋体"/>
          <w:highlight w:val="none"/>
        </w:rPr>
      </w:pPr>
      <w:r>
        <w:rPr>
          <w:rFonts w:hint="eastAsia" w:hAnsi="宋体" w:cs="宋体"/>
          <w:highlight w:val="none"/>
        </w:rPr>
        <w:t>（一）买方及其工作人员不得索要或接受卖方的礼金、有价证券和贵重物品，不得在卖方报销任何应由买方单位或个人支付的费用等。</w:t>
      </w:r>
    </w:p>
    <w:p>
      <w:pPr>
        <w:widowControl/>
        <w:spacing w:line="360" w:lineRule="auto"/>
        <w:ind w:firstLine="480" w:firstLineChars="200"/>
        <w:jc w:val="left"/>
        <w:rPr>
          <w:rFonts w:hAnsi="宋体" w:cs="宋体"/>
          <w:highlight w:val="none"/>
        </w:rPr>
      </w:pPr>
      <w:r>
        <w:rPr>
          <w:rFonts w:hint="eastAsia" w:hAnsi="宋体" w:cs="宋体"/>
          <w:highlight w:val="none"/>
        </w:rPr>
        <w:t>（二）买方工作人员不得参加卖方安排的可能影响相关业务公开、公正、公平性的宴请和娱乐活动；不得参与任何形式的赌博，严禁通过赌博方式取得卖方及其工作人员的财物；不得接受卖方提供的通讯工具和高档办公用品等。</w:t>
      </w:r>
    </w:p>
    <w:p>
      <w:pPr>
        <w:widowControl/>
        <w:spacing w:line="360" w:lineRule="auto"/>
        <w:ind w:firstLine="480" w:firstLineChars="200"/>
        <w:jc w:val="left"/>
        <w:rPr>
          <w:rFonts w:hAnsi="宋体" w:cs="宋体"/>
          <w:highlight w:val="none"/>
        </w:rPr>
      </w:pPr>
      <w:r>
        <w:rPr>
          <w:rFonts w:hint="eastAsia" w:hAnsi="宋体" w:cs="宋体"/>
          <w:highlight w:val="none"/>
        </w:rPr>
        <w:t>（三）买方及其工作人员不得要求或者接受卖方为其住房装修、婚丧嫁娶活动、配偶子女工作安排以及出国出境、旅游等提供方便等。</w:t>
      </w:r>
    </w:p>
    <w:p>
      <w:pPr>
        <w:widowControl/>
        <w:spacing w:line="360" w:lineRule="auto"/>
        <w:ind w:firstLine="480" w:firstLineChars="200"/>
        <w:jc w:val="left"/>
        <w:rPr>
          <w:rFonts w:hAnsi="宋体" w:cs="宋体"/>
          <w:highlight w:val="none"/>
        </w:rPr>
      </w:pPr>
      <w:r>
        <w:rPr>
          <w:rFonts w:hint="eastAsia" w:hAnsi="宋体" w:cs="宋体"/>
          <w:highlight w:val="none"/>
        </w:rPr>
        <w:t>（四）买方工作人员不得在卖方有股权关联的企业兼职，不得向卖方介绍家属或者亲友从事与买方业务有关的经济活动。</w:t>
      </w:r>
    </w:p>
    <w:p>
      <w:pPr>
        <w:widowControl/>
        <w:spacing w:line="360" w:lineRule="auto"/>
        <w:ind w:firstLine="480" w:firstLineChars="200"/>
        <w:jc w:val="left"/>
        <w:rPr>
          <w:rFonts w:hAnsi="宋体" w:cs="宋体"/>
          <w:highlight w:val="none"/>
        </w:rPr>
      </w:pPr>
      <w:r>
        <w:rPr>
          <w:rFonts w:hint="eastAsia" w:hAnsi="宋体" w:cs="宋体"/>
          <w:highlight w:val="none"/>
        </w:rPr>
        <w:t>（五）买方工作人员不得以明显低于市场的价格向卖方购买房屋、汽车等物品；不得以明显高于市场的价格向卖方出售房屋、汽车等物品；不得以其他交易形式非法收受请托人财物。</w:t>
      </w:r>
    </w:p>
    <w:p>
      <w:pPr>
        <w:widowControl/>
        <w:spacing w:line="360" w:lineRule="auto"/>
        <w:ind w:firstLine="480" w:firstLineChars="200"/>
        <w:jc w:val="left"/>
        <w:rPr>
          <w:rFonts w:hAnsi="宋体" w:cs="宋体"/>
          <w:highlight w:val="none"/>
        </w:rPr>
      </w:pPr>
      <w:r>
        <w:rPr>
          <w:rFonts w:hint="eastAsia" w:hAnsi="宋体" w:cs="宋体"/>
          <w:highlight w:val="none"/>
        </w:rPr>
        <w:t>（六）买方工作人员不得利用职务之便收受卖方以回扣、手续费、加班费、咨询费、劳务费、协调费、辛苦费等各种名义给予或赠送的钱物。</w:t>
      </w:r>
    </w:p>
    <w:p>
      <w:pPr>
        <w:widowControl/>
        <w:spacing w:line="360" w:lineRule="auto"/>
        <w:ind w:firstLine="480" w:firstLineChars="200"/>
        <w:jc w:val="left"/>
        <w:rPr>
          <w:rFonts w:hAnsi="宋体" w:cs="宋体"/>
          <w:highlight w:val="none"/>
        </w:rPr>
      </w:pPr>
      <w:r>
        <w:rPr>
          <w:rFonts w:hint="eastAsia" w:hAnsi="宋体" w:cs="宋体"/>
          <w:highlight w:val="none"/>
        </w:rPr>
        <w:t>（七）买方工作人员不得接受卖方给予或赠送的干股或红利。</w:t>
      </w:r>
    </w:p>
    <w:p>
      <w:pPr>
        <w:widowControl/>
        <w:spacing w:line="360" w:lineRule="auto"/>
        <w:ind w:firstLine="480" w:firstLineChars="200"/>
        <w:jc w:val="left"/>
        <w:rPr>
          <w:rFonts w:hAnsi="宋体" w:cs="宋体"/>
          <w:highlight w:val="none"/>
        </w:rPr>
      </w:pPr>
      <w:r>
        <w:rPr>
          <w:rFonts w:hint="eastAsia" w:hAnsi="宋体" w:cs="宋体"/>
          <w:highlight w:val="none"/>
        </w:rPr>
        <w:t>（八）买方任何人不得以个人的名义向卖方推荐设备、部件等供货商以及其它合作单位。</w:t>
      </w:r>
    </w:p>
    <w:p>
      <w:pPr>
        <w:widowControl/>
        <w:spacing w:line="360" w:lineRule="auto"/>
        <w:ind w:firstLine="480" w:firstLineChars="200"/>
        <w:jc w:val="left"/>
        <w:outlineLvl w:val="0"/>
        <w:rPr>
          <w:rFonts w:hAnsi="宋体" w:cs="宋体"/>
          <w:highlight w:val="none"/>
        </w:rPr>
      </w:pPr>
      <w:bookmarkStart w:id="901" w:name="_Toc140069438"/>
      <w:bookmarkStart w:id="902" w:name="_Toc117002187"/>
      <w:r>
        <w:rPr>
          <w:rFonts w:hint="eastAsia" w:hAnsi="宋体" w:cs="宋体"/>
          <w:highlight w:val="none"/>
        </w:rPr>
        <w:t>第三条 卖方的义务</w:t>
      </w:r>
      <w:bookmarkEnd w:id="901"/>
      <w:bookmarkEnd w:id="902"/>
    </w:p>
    <w:p>
      <w:pPr>
        <w:widowControl/>
        <w:spacing w:line="360" w:lineRule="auto"/>
        <w:ind w:firstLine="484" w:firstLineChars="202"/>
        <w:jc w:val="left"/>
        <w:rPr>
          <w:rFonts w:hAnsi="宋体" w:cs="宋体"/>
          <w:highlight w:val="none"/>
        </w:rPr>
      </w:pPr>
      <w:r>
        <w:rPr>
          <w:rFonts w:hint="eastAsia" w:hAnsi="宋体" w:cs="宋体"/>
          <w:highlight w:val="none"/>
        </w:rPr>
        <w:t>（一）卖方不得以任何理由向买方及其工作人员行贿或馈赠礼金、有价证券、贵重礼品。</w:t>
      </w:r>
    </w:p>
    <w:p>
      <w:pPr>
        <w:widowControl/>
        <w:spacing w:line="360" w:lineRule="auto"/>
        <w:ind w:firstLine="484" w:firstLineChars="202"/>
        <w:jc w:val="left"/>
        <w:rPr>
          <w:rFonts w:hAnsi="宋体" w:cs="宋体"/>
          <w:highlight w:val="none"/>
        </w:rPr>
      </w:pPr>
      <w:r>
        <w:rPr>
          <w:rFonts w:hint="eastAsia" w:hAnsi="宋体" w:cs="宋体"/>
          <w:highlight w:val="none"/>
        </w:rPr>
        <w:t>（二）卖方不得以任何名义为买方及其工作人员报销应由买方单位或个人支付的任何费用。</w:t>
      </w:r>
    </w:p>
    <w:p>
      <w:pPr>
        <w:widowControl/>
        <w:spacing w:line="360" w:lineRule="auto"/>
        <w:ind w:firstLine="484" w:firstLineChars="202"/>
        <w:jc w:val="left"/>
        <w:rPr>
          <w:rFonts w:hAnsi="宋体" w:cs="宋体"/>
          <w:highlight w:val="none"/>
        </w:rPr>
      </w:pPr>
      <w:r>
        <w:rPr>
          <w:rFonts w:hint="eastAsia" w:hAnsi="宋体" w:cs="宋体"/>
          <w:highlight w:val="none"/>
        </w:rPr>
        <w:t>（三）卖方不得以任何理由安排买方工作人员参加可能影响相关业务公开、公正、公平性的宴请及娱乐活动。</w:t>
      </w:r>
    </w:p>
    <w:p>
      <w:pPr>
        <w:widowControl/>
        <w:spacing w:line="360" w:lineRule="auto"/>
        <w:ind w:firstLine="480" w:firstLineChars="200"/>
        <w:jc w:val="left"/>
        <w:rPr>
          <w:rFonts w:hAnsi="宋体" w:cs="宋体"/>
          <w:highlight w:val="none"/>
        </w:rPr>
      </w:pPr>
      <w:r>
        <w:rPr>
          <w:rFonts w:hint="eastAsia" w:hAnsi="宋体" w:cs="宋体"/>
          <w:highlight w:val="none"/>
        </w:rPr>
        <w:t>（四）卖方不得为买方单位和个人购置或提供通讯工具和高档办公用品等物品，也不得为买方提供与工作无关的房屋、汽车等。</w:t>
      </w:r>
    </w:p>
    <w:p>
      <w:pPr>
        <w:widowControl/>
        <w:spacing w:line="360" w:lineRule="auto"/>
        <w:ind w:firstLine="480" w:firstLineChars="200"/>
        <w:jc w:val="left"/>
        <w:rPr>
          <w:rFonts w:hAnsi="宋体" w:cs="宋体"/>
          <w:highlight w:val="none"/>
        </w:rPr>
      </w:pPr>
      <w:r>
        <w:rPr>
          <w:rFonts w:hint="eastAsia" w:hAnsi="宋体" w:cs="宋体"/>
          <w:highlight w:val="none"/>
        </w:rPr>
        <w:t>（五）卖方不得与买方工作人员就合同中的质量、数量、价格、工程量、验收等条款进行私下商谈或者达成默契。</w:t>
      </w:r>
    </w:p>
    <w:p>
      <w:pPr>
        <w:widowControl/>
        <w:spacing w:line="360" w:lineRule="auto"/>
        <w:ind w:firstLine="480" w:firstLineChars="200"/>
        <w:jc w:val="left"/>
        <w:rPr>
          <w:rFonts w:hAnsi="宋体" w:cs="宋体"/>
          <w:highlight w:val="none"/>
        </w:rPr>
      </w:pPr>
      <w:r>
        <w:rPr>
          <w:rFonts w:hint="eastAsia" w:hAnsi="宋体" w:cs="宋体"/>
          <w:highlight w:val="none"/>
        </w:rPr>
        <w:t>（六）卖方不得以回扣、手续费、加班费、咨询费、劳务费、协调费、辛苦费等各种名义向买方工作人员给予或赠送钱物。</w:t>
      </w:r>
    </w:p>
    <w:p>
      <w:pPr>
        <w:widowControl/>
        <w:spacing w:line="360" w:lineRule="auto"/>
        <w:ind w:firstLine="480" w:firstLineChars="200"/>
        <w:jc w:val="left"/>
        <w:rPr>
          <w:rFonts w:hAnsi="宋体" w:cs="宋体"/>
          <w:highlight w:val="none"/>
        </w:rPr>
      </w:pPr>
      <w:r>
        <w:rPr>
          <w:rFonts w:hint="eastAsia" w:hAnsi="宋体" w:cs="宋体"/>
          <w:highlight w:val="none"/>
        </w:rPr>
        <w:t>（七）卖方不得向买方工作人员提供干股或红利。</w:t>
      </w:r>
    </w:p>
    <w:p>
      <w:pPr>
        <w:widowControl/>
        <w:spacing w:line="360" w:lineRule="auto"/>
        <w:ind w:firstLine="480" w:firstLineChars="200"/>
        <w:jc w:val="left"/>
        <w:rPr>
          <w:rFonts w:hAnsi="宋体" w:cs="宋体"/>
          <w:highlight w:val="none"/>
        </w:rPr>
      </w:pPr>
      <w:r>
        <w:rPr>
          <w:rFonts w:hint="eastAsia" w:hAnsi="宋体" w:cs="宋体"/>
          <w:highlight w:val="none"/>
        </w:rPr>
        <w:t>（八）卖方须按专项纪检监察工作组（如有）要求开展相关工作。</w:t>
      </w:r>
    </w:p>
    <w:p>
      <w:pPr>
        <w:widowControl/>
        <w:spacing w:line="360" w:lineRule="auto"/>
        <w:ind w:firstLine="480" w:firstLineChars="200"/>
        <w:jc w:val="left"/>
        <w:outlineLvl w:val="0"/>
        <w:rPr>
          <w:rFonts w:hAnsi="宋体" w:cs="宋体"/>
          <w:highlight w:val="none"/>
        </w:rPr>
      </w:pPr>
      <w:bookmarkStart w:id="903" w:name="_Toc140069439"/>
      <w:bookmarkStart w:id="904" w:name="_Toc117002188"/>
      <w:r>
        <w:rPr>
          <w:rFonts w:hint="eastAsia" w:hAnsi="宋体" w:cs="宋体"/>
          <w:highlight w:val="none"/>
        </w:rPr>
        <w:t>第四条 违约责任</w:t>
      </w:r>
      <w:bookmarkEnd w:id="903"/>
      <w:bookmarkEnd w:id="904"/>
    </w:p>
    <w:p>
      <w:pPr>
        <w:widowControl/>
        <w:spacing w:line="360" w:lineRule="auto"/>
        <w:ind w:firstLine="480" w:firstLineChars="200"/>
        <w:jc w:val="left"/>
        <w:rPr>
          <w:rFonts w:hAnsi="宋体" w:cs="宋体"/>
          <w:highlight w:val="none"/>
        </w:rPr>
      </w:pPr>
      <w:r>
        <w:rPr>
          <w:rFonts w:hint="eastAsia" w:hAnsi="宋体" w:cs="宋体"/>
          <w:highlight w:val="none"/>
        </w:rPr>
        <w:t>（一）买方及其工作人员违反本协议第一、二条规定。买方按管理权限，对相关责任人依据有关规定给予党纪、政纪处分或组织处理；涉嫌犯罪的，移交司法机关追究刑事责任；给卖方单位造成经济损失的，应予以赔偿。</w:t>
      </w:r>
    </w:p>
    <w:p>
      <w:pPr>
        <w:widowControl/>
        <w:spacing w:line="360" w:lineRule="auto"/>
        <w:ind w:firstLine="480" w:firstLineChars="200"/>
        <w:jc w:val="left"/>
        <w:rPr>
          <w:rFonts w:hAnsi="宋体" w:cs="宋体"/>
          <w:highlight w:val="none"/>
        </w:rPr>
      </w:pPr>
      <w:r>
        <w:rPr>
          <w:rFonts w:hint="eastAsia" w:hAnsi="宋体" w:cs="宋体"/>
          <w:highlight w:val="none"/>
        </w:rPr>
        <w:t>买方投诉联系部门：，联系电话：。</w:t>
      </w:r>
    </w:p>
    <w:p>
      <w:pPr>
        <w:widowControl/>
        <w:spacing w:line="360" w:lineRule="auto"/>
        <w:ind w:firstLine="480" w:firstLineChars="200"/>
        <w:jc w:val="left"/>
        <w:rPr>
          <w:rFonts w:hAnsi="宋体" w:cs="宋体"/>
          <w:highlight w:val="none"/>
        </w:rPr>
      </w:pPr>
      <w:r>
        <w:rPr>
          <w:rFonts w:hint="eastAsia" w:hAnsi="宋体" w:cs="宋体"/>
          <w:highlight w:val="none"/>
        </w:rPr>
        <w:t>（二）卖方及其工作人员违反本协议第一、三条规定。根据具体情节和造成的后果，买方有权对卖方采取以下一种或多种处理办法：</w:t>
      </w:r>
    </w:p>
    <w:p>
      <w:pPr>
        <w:widowControl/>
        <w:spacing w:line="360" w:lineRule="auto"/>
        <w:ind w:firstLine="480" w:firstLineChars="200"/>
        <w:jc w:val="left"/>
        <w:rPr>
          <w:rFonts w:hAnsi="宋体" w:cs="宋体"/>
          <w:highlight w:val="none"/>
        </w:rPr>
      </w:pPr>
      <w:r>
        <w:rPr>
          <w:rFonts w:hint="eastAsia" w:hAnsi="宋体" w:cs="宋体"/>
          <w:highlight w:val="none"/>
        </w:rPr>
        <w:t xml:space="preserve">1.全额收取卖方合同履约保证金不予退还； </w:t>
      </w:r>
    </w:p>
    <w:p>
      <w:pPr>
        <w:widowControl/>
        <w:spacing w:line="360" w:lineRule="auto"/>
        <w:ind w:firstLine="480" w:firstLineChars="200"/>
        <w:jc w:val="left"/>
        <w:rPr>
          <w:rFonts w:hAnsi="宋体" w:cs="宋体"/>
          <w:highlight w:val="none"/>
        </w:rPr>
      </w:pPr>
      <w:r>
        <w:rPr>
          <w:rFonts w:hint="eastAsia" w:hAnsi="宋体" w:cs="宋体"/>
          <w:highlight w:val="none"/>
        </w:rPr>
        <w:t>2.追究卖方其他违约责任；</w:t>
      </w:r>
    </w:p>
    <w:p>
      <w:pPr>
        <w:widowControl/>
        <w:spacing w:line="360" w:lineRule="auto"/>
        <w:ind w:firstLine="480" w:firstLineChars="200"/>
        <w:jc w:val="left"/>
        <w:rPr>
          <w:rFonts w:hAnsi="宋体" w:cs="宋体"/>
          <w:highlight w:val="none"/>
        </w:rPr>
      </w:pPr>
      <w:r>
        <w:rPr>
          <w:rFonts w:hint="eastAsia" w:hAnsi="宋体" w:cs="宋体"/>
          <w:highlight w:val="none"/>
        </w:rPr>
        <w:t>3.终止或解除双方已签订的包括本合同在内的所有合同；</w:t>
      </w:r>
    </w:p>
    <w:p>
      <w:pPr>
        <w:widowControl/>
        <w:spacing w:line="360" w:lineRule="auto"/>
        <w:ind w:firstLine="480" w:firstLineChars="200"/>
        <w:jc w:val="left"/>
        <w:rPr>
          <w:rFonts w:hAnsi="宋体" w:cs="宋体"/>
          <w:highlight w:val="none"/>
        </w:rPr>
      </w:pPr>
      <w:r>
        <w:rPr>
          <w:rFonts w:hint="eastAsia" w:hAnsi="宋体" w:cs="宋体"/>
          <w:highlight w:val="none"/>
        </w:rPr>
        <w:t>4.卖方一定期限内（6个月至3年，具体由买方根据情况而定）不得参与买方作为发包人（业主）的项目投标。</w:t>
      </w:r>
    </w:p>
    <w:p>
      <w:pPr>
        <w:widowControl/>
        <w:spacing w:line="360" w:lineRule="auto"/>
        <w:ind w:firstLine="480" w:firstLineChars="200"/>
        <w:jc w:val="left"/>
        <w:rPr>
          <w:rFonts w:hAnsi="宋体" w:cs="宋体"/>
          <w:highlight w:val="none"/>
        </w:rPr>
      </w:pPr>
      <w:r>
        <w:rPr>
          <w:rFonts w:hint="eastAsia" w:hAnsi="宋体" w:cs="宋体"/>
          <w:highlight w:val="none"/>
        </w:rPr>
        <w:t>买方作出的处理意见，卖方应无条件接受并承担给买方造成的损失，全额返还通过不正当手段从买方获取的非法所得，并承担相应的法律责任。</w:t>
      </w:r>
    </w:p>
    <w:p>
      <w:pPr>
        <w:widowControl/>
        <w:spacing w:line="360" w:lineRule="auto"/>
        <w:ind w:firstLine="480" w:firstLineChars="200"/>
        <w:jc w:val="left"/>
        <w:outlineLvl w:val="0"/>
        <w:rPr>
          <w:rFonts w:hAnsi="宋体" w:cs="宋体"/>
          <w:highlight w:val="none"/>
        </w:rPr>
      </w:pPr>
      <w:bookmarkStart w:id="905" w:name="_Toc117002189"/>
      <w:bookmarkStart w:id="906" w:name="_Toc140069440"/>
      <w:r>
        <w:rPr>
          <w:rFonts w:hint="eastAsia" w:hAnsi="宋体" w:cs="宋体"/>
          <w:highlight w:val="none"/>
        </w:rPr>
        <w:t>第五条 双方约定</w:t>
      </w:r>
      <w:bookmarkEnd w:id="905"/>
      <w:bookmarkEnd w:id="906"/>
    </w:p>
    <w:p>
      <w:pPr>
        <w:widowControl/>
        <w:spacing w:line="360" w:lineRule="auto"/>
        <w:ind w:firstLine="480" w:firstLineChars="200"/>
        <w:jc w:val="left"/>
        <w:rPr>
          <w:rFonts w:hAnsi="宋体" w:cs="宋体"/>
          <w:highlight w:val="none"/>
        </w:rPr>
      </w:pPr>
      <w:r>
        <w:rPr>
          <w:rFonts w:hint="eastAsia" w:hAnsi="宋体" w:cs="宋体"/>
          <w:highlight w:val="none"/>
        </w:rPr>
        <w:t>本协议由双方或双方上级单位负责监督。可由买方或买方上级单位的纪检监察部门约请卖方或卖方上级单位的纪检监察部门对本协议履行情况进行检查，提出在本协议规定范围内的裁定意见。</w:t>
      </w:r>
    </w:p>
    <w:p>
      <w:pPr>
        <w:widowControl/>
        <w:spacing w:line="360" w:lineRule="auto"/>
        <w:ind w:firstLine="480" w:firstLineChars="200"/>
        <w:jc w:val="left"/>
        <w:outlineLvl w:val="0"/>
        <w:rPr>
          <w:rFonts w:hAnsi="宋体" w:cs="宋体"/>
          <w:highlight w:val="none"/>
        </w:rPr>
      </w:pPr>
      <w:bookmarkStart w:id="907" w:name="_Toc140069441"/>
      <w:bookmarkStart w:id="908" w:name="_Toc117002190"/>
      <w:r>
        <w:rPr>
          <w:rFonts w:hint="eastAsia" w:hAnsi="宋体" w:cs="宋体"/>
          <w:highlight w:val="none"/>
        </w:rPr>
        <w:t>第六条  本协议有效期为买卖双方签署之日起至合同终止。</w:t>
      </w:r>
      <w:bookmarkEnd w:id="907"/>
      <w:bookmarkEnd w:id="908"/>
    </w:p>
    <w:p>
      <w:pPr>
        <w:widowControl/>
        <w:spacing w:line="360" w:lineRule="auto"/>
        <w:ind w:firstLine="480" w:firstLineChars="200"/>
        <w:jc w:val="left"/>
        <w:outlineLvl w:val="0"/>
        <w:rPr>
          <w:rFonts w:hAnsi="宋体" w:cs="宋体"/>
          <w:highlight w:val="none"/>
        </w:rPr>
      </w:pPr>
      <w:bookmarkStart w:id="909" w:name="_Toc140069442"/>
      <w:r>
        <w:rPr>
          <w:rFonts w:hint="eastAsia" w:hAnsi="宋体" w:cs="宋体"/>
          <w:highlight w:val="none"/>
        </w:rPr>
        <w:t>第七条  本协议作为合同的附件，与本合同具有同等法律效力。</w:t>
      </w:r>
      <w:bookmarkEnd w:id="909"/>
    </w:p>
    <w:p>
      <w:pPr>
        <w:widowControl/>
        <w:spacing w:line="360" w:lineRule="auto"/>
        <w:ind w:firstLine="480" w:firstLineChars="200"/>
        <w:jc w:val="left"/>
        <w:rPr>
          <w:rFonts w:hAnsi="宋体" w:cs="宋体"/>
          <w:highlight w:val="none"/>
        </w:rPr>
      </w:pPr>
    </w:p>
    <w:p>
      <w:pPr>
        <w:widowControl/>
        <w:spacing w:line="360" w:lineRule="auto"/>
        <w:ind w:firstLine="480" w:firstLineChars="200"/>
        <w:jc w:val="left"/>
        <w:rPr>
          <w:rFonts w:hAnsi="宋体" w:cs="宋体"/>
          <w:highlight w:val="none"/>
        </w:rPr>
      </w:pPr>
      <w:r>
        <w:rPr>
          <w:rFonts w:hint="eastAsia" w:hAnsi="宋体" w:cs="宋体"/>
          <w:highlight w:val="none"/>
        </w:rPr>
        <w:t>买方（盖章）：            卖方（盖章）：</w:t>
      </w:r>
    </w:p>
    <w:p>
      <w:pPr>
        <w:widowControl/>
        <w:spacing w:line="360" w:lineRule="auto"/>
        <w:ind w:firstLine="480" w:firstLineChars="200"/>
        <w:jc w:val="left"/>
        <w:rPr>
          <w:rFonts w:hAnsi="宋体" w:cs="宋体"/>
          <w:highlight w:val="none"/>
        </w:rPr>
      </w:pPr>
    </w:p>
    <w:p>
      <w:pPr>
        <w:widowControl/>
        <w:spacing w:line="360" w:lineRule="auto"/>
        <w:ind w:firstLine="480" w:firstLineChars="200"/>
        <w:jc w:val="left"/>
        <w:rPr>
          <w:rFonts w:hAnsi="宋体" w:cs="宋体"/>
          <w:highlight w:val="none"/>
        </w:rPr>
      </w:pPr>
      <w:r>
        <w:rPr>
          <w:rFonts w:hint="eastAsia" w:hAnsi="宋体" w:cs="宋体"/>
          <w:highlight w:val="none"/>
        </w:rPr>
        <w:t>法定代表人或                            法定代表人或</w:t>
      </w:r>
    </w:p>
    <w:p>
      <w:pPr>
        <w:widowControl/>
        <w:spacing w:line="360" w:lineRule="auto"/>
        <w:ind w:firstLine="480" w:firstLineChars="200"/>
        <w:jc w:val="left"/>
        <w:rPr>
          <w:rFonts w:hAnsi="宋体" w:cs="宋体"/>
          <w:highlight w:val="none"/>
        </w:rPr>
      </w:pPr>
      <w:r>
        <w:rPr>
          <w:rFonts w:hint="eastAsia" w:hAnsi="宋体" w:cs="宋体"/>
          <w:highlight w:val="none"/>
        </w:rPr>
        <w:t>授权代表：</w:t>
      </w:r>
      <w:r>
        <w:rPr>
          <w:rFonts w:hint="eastAsia" w:hAnsi="宋体" w:cs="宋体"/>
          <w:highlight w:val="none"/>
          <w:u w:val="single"/>
        </w:rPr>
        <w:t xml:space="preserve">            （</w:t>
      </w:r>
      <w:r>
        <w:rPr>
          <w:rFonts w:hint="eastAsia" w:hAnsi="宋体" w:cs="宋体"/>
          <w:highlight w:val="none"/>
        </w:rPr>
        <w:t>职务）           授权代表：</w:t>
      </w:r>
      <w:r>
        <w:rPr>
          <w:rFonts w:hint="eastAsia" w:hAnsi="宋体" w:cs="宋体"/>
          <w:highlight w:val="none"/>
          <w:u w:val="single"/>
        </w:rPr>
        <w:t xml:space="preserve">         （</w:t>
      </w:r>
      <w:r>
        <w:rPr>
          <w:rFonts w:hint="eastAsia" w:hAnsi="宋体" w:cs="宋体"/>
          <w:highlight w:val="none"/>
        </w:rPr>
        <w:t>职务）</w:t>
      </w:r>
    </w:p>
    <w:p>
      <w:pPr>
        <w:widowControl/>
        <w:spacing w:line="360" w:lineRule="auto"/>
        <w:ind w:firstLine="480" w:firstLineChars="200"/>
        <w:jc w:val="left"/>
        <w:rPr>
          <w:rFonts w:hAnsi="宋体" w:cs="宋体"/>
          <w:highlight w:val="none"/>
        </w:rPr>
      </w:pPr>
      <w:r>
        <w:rPr>
          <w:rFonts w:hint="eastAsia" w:hAnsi="宋体" w:cs="宋体"/>
          <w:highlight w:val="none"/>
        </w:rPr>
        <w:t>姓名：                      姓名：</w:t>
      </w:r>
    </w:p>
    <w:p>
      <w:pPr>
        <w:widowControl/>
        <w:spacing w:line="360" w:lineRule="auto"/>
        <w:ind w:firstLine="480" w:firstLineChars="200"/>
        <w:jc w:val="left"/>
        <w:rPr>
          <w:rFonts w:hAnsi="宋体" w:cs="宋体"/>
          <w:highlight w:val="none"/>
        </w:rPr>
      </w:pPr>
      <w:r>
        <w:rPr>
          <w:rFonts w:hint="eastAsia" w:hAnsi="宋体" w:cs="宋体"/>
          <w:highlight w:val="none"/>
        </w:rPr>
        <w:t>签字：                      签字：</w:t>
      </w:r>
    </w:p>
    <w:p>
      <w:pPr>
        <w:widowControl/>
        <w:spacing w:line="360" w:lineRule="auto"/>
        <w:ind w:firstLine="480" w:firstLineChars="200"/>
        <w:jc w:val="left"/>
        <w:rPr>
          <w:rFonts w:hAnsi="宋体" w:cs="宋体"/>
          <w:highlight w:val="none"/>
        </w:rPr>
      </w:pPr>
    </w:p>
    <w:p>
      <w:pPr>
        <w:widowControl/>
        <w:spacing w:line="360" w:lineRule="auto"/>
        <w:ind w:firstLine="480" w:firstLineChars="200"/>
        <w:jc w:val="left"/>
        <w:rPr>
          <w:rFonts w:hAnsi="宋体" w:cs="宋体"/>
          <w:highlight w:val="none"/>
        </w:rPr>
      </w:pPr>
      <w:r>
        <w:rPr>
          <w:rFonts w:hint="eastAsia" w:hAnsi="宋体" w:cs="宋体"/>
          <w:highlight w:val="none"/>
        </w:rPr>
        <w:t>廉政监督联系人                           廉政监督联系人</w:t>
      </w:r>
    </w:p>
    <w:p>
      <w:pPr>
        <w:widowControl/>
        <w:spacing w:line="360" w:lineRule="auto"/>
        <w:ind w:firstLine="480" w:firstLineChars="200"/>
        <w:jc w:val="left"/>
        <w:rPr>
          <w:rFonts w:hAnsi="宋体" w:cs="宋体"/>
          <w:highlight w:val="none"/>
        </w:rPr>
      </w:pPr>
      <w:r>
        <w:rPr>
          <w:rFonts w:hint="eastAsia" w:hAnsi="宋体" w:cs="宋体"/>
          <w:highlight w:val="none"/>
        </w:rPr>
        <w:t>姓名：            姓名：</w:t>
      </w:r>
    </w:p>
    <w:p>
      <w:pPr>
        <w:widowControl/>
        <w:spacing w:line="360" w:lineRule="auto"/>
        <w:ind w:firstLine="480" w:firstLineChars="200"/>
        <w:jc w:val="left"/>
        <w:rPr>
          <w:rFonts w:hAnsi="宋体" w:cs="宋体"/>
          <w:highlight w:val="none"/>
        </w:rPr>
      </w:pPr>
      <w:r>
        <w:rPr>
          <w:rFonts w:hint="eastAsia" w:hAnsi="宋体" w:cs="宋体"/>
          <w:highlight w:val="none"/>
        </w:rPr>
        <w:t>签字：            签字：</w:t>
      </w:r>
    </w:p>
    <w:p>
      <w:pPr>
        <w:widowControl/>
        <w:spacing w:line="360" w:lineRule="auto"/>
        <w:ind w:firstLine="480" w:firstLineChars="200"/>
        <w:jc w:val="left"/>
        <w:rPr>
          <w:rFonts w:hAnsi="宋体" w:cs="宋体"/>
          <w:highlight w:val="none"/>
        </w:rPr>
      </w:pPr>
      <w:r>
        <w:rPr>
          <w:rFonts w:hint="eastAsia" w:hAnsi="宋体" w:cs="宋体"/>
          <w:highlight w:val="none"/>
        </w:rPr>
        <w:t>电话：            电话：</w:t>
      </w:r>
    </w:p>
    <w:p>
      <w:pPr>
        <w:widowControl/>
        <w:spacing w:line="360" w:lineRule="auto"/>
        <w:ind w:firstLine="480" w:firstLineChars="200"/>
        <w:jc w:val="left"/>
        <w:rPr>
          <w:rFonts w:hAnsi="宋体" w:cs="宋体"/>
          <w:highlight w:val="none"/>
        </w:rPr>
      </w:pPr>
      <w:r>
        <w:rPr>
          <w:rFonts w:hint="eastAsia" w:hAnsi="宋体" w:cs="宋体"/>
          <w:highlight w:val="none"/>
        </w:rPr>
        <w:t>地址：            地址：</w:t>
      </w:r>
    </w:p>
    <w:p>
      <w:pPr>
        <w:widowControl/>
        <w:spacing w:line="360" w:lineRule="auto"/>
        <w:ind w:firstLine="480" w:firstLineChars="200"/>
        <w:jc w:val="left"/>
        <w:rPr>
          <w:rFonts w:hAnsi="宋体" w:cs="宋体"/>
          <w:highlight w:val="none"/>
        </w:rPr>
      </w:pPr>
      <w:r>
        <w:rPr>
          <w:rFonts w:hint="eastAsia" w:hAnsi="宋体" w:cs="宋体"/>
          <w:highlight w:val="none"/>
        </w:rPr>
        <w:t>日期：            日期：</w:t>
      </w:r>
    </w:p>
    <w:p>
      <w:pPr>
        <w:pStyle w:val="3"/>
        <w:spacing w:before="240" w:beforeLines="100" w:after="240" w:afterLines="100" w:line="240" w:lineRule="auto"/>
        <w:jc w:val="center"/>
        <w:rPr>
          <w:highlight w:val="none"/>
        </w:rPr>
      </w:pPr>
      <w:r>
        <w:rPr>
          <w:rFonts w:hint="eastAsia" w:eastAsia="黑体"/>
          <w:b w:val="0"/>
          <w:highlight w:val="none"/>
        </w:rPr>
        <w:br w:type="page"/>
      </w:r>
      <w:bookmarkStart w:id="910" w:name="_Toc30332"/>
      <w:r>
        <w:rPr>
          <w:rFonts w:hint="eastAsia"/>
          <w:highlight w:val="none"/>
        </w:rPr>
        <w:t xml:space="preserve">第五章  </w:t>
      </w:r>
      <w:r>
        <w:rPr>
          <w:rFonts w:hint="eastAsia" w:hAnsi="宋体" w:cs="宋体"/>
          <w:highlight w:val="none"/>
        </w:rPr>
        <w:t>供货要求</w:t>
      </w:r>
      <w:bookmarkEnd w:id="910"/>
    </w:p>
    <w:p>
      <w:pPr>
        <w:pStyle w:val="4"/>
        <w:spacing w:before="0" w:after="0" w:line="360" w:lineRule="auto"/>
        <w:rPr>
          <w:rFonts w:hint="eastAsia" w:ascii="黑体" w:hAnsi="黑体" w:eastAsia="黑体" w:cs="黑体"/>
          <w:b w:val="0"/>
          <w:sz w:val="28"/>
          <w:szCs w:val="28"/>
          <w:highlight w:val="none"/>
        </w:rPr>
      </w:pPr>
      <w:bookmarkStart w:id="911" w:name="_Toc3606"/>
      <w:bookmarkStart w:id="912" w:name="_Toc26181"/>
      <w:bookmarkStart w:id="913" w:name="_Toc501460778"/>
      <w:bookmarkStart w:id="914" w:name="_Toc13784"/>
      <w:r>
        <w:rPr>
          <w:rFonts w:hint="eastAsia" w:ascii="黑体" w:hAnsi="黑体" w:eastAsia="黑体" w:cs="黑体"/>
          <w:b w:val="0"/>
          <w:sz w:val="28"/>
          <w:szCs w:val="28"/>
          <w:highlight w:val="none"/>
        </w:rPr>
        <w:t>一、项目概况</w:t>
      </w:r>
      <w:bookmarkEnd w:id="911"/>
      <w:bookmarkEnd w:id="912"/>
      <w:bookmarkEnd w:id="913"/>
      <w:bookmarkEnd w:id="914"/>
    </w:p>
    <w:p>
      <w:pPr>
        <w:spacing w:line="360" w:lineRule="auto"/>
        <w:ind w:firstLine="410" w:firstLineChars="171"/>
        <w:rPr>
          <w:rFonts w:hint="eastAsia" w:hAnsi="宋体" w:cs="宋体"/>
          <w:highlight w:val="none"/>
        </w:rPr>
      </w:pPr>
      <w:r>
        <w:rPr>
          <w:rFonts w:hint="eastAsia" w:hAnsi="宋体" w:cs="宋体"/>
          <w:highlight w:val="none"/>
        </w:rPr>
        <w:t xml:space="preserve"> 合肥通用技术学校实训中心9个智能化子系统，分别为：综合布线系统、综合安防系统、计算机网络系统、校园广播系统、机房工程系统、弱电综合管网系统、录播教室系统、信息发布系统、多媒体会议系统（多功能教室）等。</w:t>
      </w:r>
    </w:p>
    <w:p>
      <w:pPr>
        <w:pStyle w:val="4"/>
        <w:spacing w:before="0" w:after="0" w:line="360" w:lineRule="auto"/>
        <w:rPr>
          <w:rFonts w:hint="eastAsia" w:ascii="黑体" w:hAnsi="黑体" w:eastAsia="黑体" w:cs="黑体"/>
          <w:b w:val="0"/>
          <w:sz w:val="28"/>
          <w:szCs w:val="28"/>
          <w:highlight w:val="none"/>
        </w:rPr>
      </w:pPr>
      <w:bookmarkStart w:id="915" w:name="_Toc32277"/>
      <w:bookmarkStart w:id="916" w:name="_Toc12928"/>
      <w:bookmarkStart w:id="917" w:name="_Toc501460779"/>
      <w:bookmarkStart w:id="918" w:name="_Toc3053"/>
      <w:r>
        <w:rPr>
          <w:rFonts w:hint="eastAsia" w:ascii="黑体" w:hAnsi="黑体" w:eastAsia="黑体" w:cs="黑体"/>
          <w:b w:val="0"/>
          <w:sz w:val="28"/>
          <w:szCs w:val="28"/>
          <w:highlight w:val="none"/>
        </w:rPr>
        <w:t>二、</w:t>
      </w:r>
      <w:bookmarkStart w:id="919" w:name="OLE_LINK2"/>
      <w:r>
        <w:rPr>
          <w:rFonts w:hint="eastAsia" w:ascii="黑体" w:hAnsi="黑体" w:eastAsia="黑体" w:cs="黑体"/>
          <w:b w:val="0"/>
          <w:sz w:val="28"/>
          <w:szCs w:val="28"/>
          <w:highlight w:val="none"/>
        </w:rPr>
        <w:t>设备需求一览表</w:t>
      </w:r>
      <w:bookmarkEnd w:id="915"/>
      <w:bookmarkEnd w:id="916"/>
      <w:bookmarkEnd w:id="917"/>
      <w:bookmarkEnd w:id="918"/>
      <w:bookmarkEnd w:id="919"/>
    </w:p>
    <w:p>
      <w:pPr>
        <w:spacing w:line="360" w:lineRule="auto"/>
        <w:ind w:firstLine="410" w:firstLineChars="171"/>
        <w:rPr>
          <w:rFonts w:hint="eastAsia" w:hAnsi="宋体" w:cs="宋体"/>
          <w:highlight w:val="none"/>
        </w:rPr>
      </w:pPr>
      <w:r>
        <w:rPr>
          <w:rFonts w:hint="eastAsia" w:hAnsi="宋体" w:cs="宋体"/>
          <w:highlight w:val="none"/>
        </w:rPr>
        <w:t>本次招标范围包括下表所列所有设备的供货、包装运输及保险、装卸、安装、调试、考核（检测）验收、培训及质保期内免费维修保养服务等全部内容。</w:t>
      </w:r>
    </w:p>
    <w:p>
      <w:pPr>
        <w:spacing w:line="360" w:lineRule="auto"/>
        <w:ind w:firstLine="410" w:firstLineChars="171"/>
        <w:rPr>
          <w:highlight w:val="none"/>
        </w:rPr>
      </w:pPr>
      <w:r>
        <w:rPr>
          <w:rFonts w:ascii="宋体" w:hAnsi="宋体" w:eastAsia="宋体" w:cs="宋体"/>
          <w:sz w:val="24"/>
          <w:szCs w:val="24"/>
          <w:highlight w:val="none"/>
        </w:rPr>
        <w:t>本项目投标人投标时不需要提供（除商务文件评分标准技术评审指标中要求外）所列产品参数的证明文件（如检测报告、测试报告、认证、证书、专利，以及其他须加盖原厂公章相关证明材料）。</w:t>
      </w:r>
    </w:p>
    <w:p>
      <w:pPr>
        <w:pStyle w:val="4"/>
        <w:spacing w:before="0" w:after="0" w:line="360" w:lineRule="auto"/>
        <w:rPr>
          <w:rFonts w:hint="default" w:ascii="黑体" w:hAnsi="黑体" w:eastAsia="黑体" w:cs="黑体"/>
          <w:b w:val="0"/>
          <w:sz w:val="28"/>
          <w:szCs w:val="28"/>
          <w:highlight w:val="none"/>
          <w:lang w:val="en-US" w:eastAsia="zh-CN"/>
        </w:rPr>
      </w:pPr>
      <w:bookmarkStart w:id="920" w:name="_Toc25604"/>
      <w:bookmarkStart w:id="921" w:name="_Toc501460780"/>
      <w:bookmarkStart w:id="922" w:name="_Toc28008"/>
      <w:bookmarkStart w:id="923" w:name="_Toc19102"/>
      <w:r>
        <w:rPr>
          <w:rFonts w:hint="eastAsia" w:ascii="黑体" w:hAnsi="黑体" w:eastAsia="黑体" w:cs="黑体"/>
          <w:b w:val="0"/>
          <w:sz w:val="28"/>
          <w:szCs w:val="28"/>
          <w:highlight w:val="none"/>
          <w:lang w:val="en-US" w:eastAsia="zh-CN"/>
        </w:rPr>
        <w:t xml:space="preserve">    </w:t>
      </w:r>
      <w:r>
        <w:rPr>
          <w:rFonts w:hint="eastAsia" w:ascii="黑体" w:hAnsi="黑体" w:eastAsia="黑体" w:cs="黑体"/>
          <w:b w:val="0"/>
          <w:sz w:val="28"/>
          <w:szCs w:val="28"/>
          <w:highlight w:val="none"/>
        </w:rPr>
        <w:t>设备需求一览表</w:t>
      </w:r>
      <w:r>
        <w:rPr>
          <w:rFonts w:hint="eastAsia" w:ascii="黑体" w:hAnsi="黑体" w:eastAsia="黑体" w:cs="黑体"/>
          <w:b w:val="0"/>
          <w:sz w:val="28"/>
          <w:szCs w:val="28"/>
          <w:highlight w:val="none"/>
          <w:lang w:val="en-US" w:eastAsia="zh-CN"/>
        </w:rPr>
        <w:t>见附件。</w:t>
      </w:r>
    </w:p>
    <w:p>
      <w:pPr>
        <w:pStyle w:val="4"/>
        <w:spacing w:before="0" w:after="0" w:line="360" w:lineRule="auto"/>
        <w:rPr>
          <w:rFonts w:hint="eastAsia" w:ascii="黑体" w:hAnsi="黑体" w:eastAsia="黑体" w:cs="黑体"/>
          <w:b w:val="0"/>
          <w:sz w:val="28"/>
          <w:szCs w:val="28"/>
          <w:highlight w:val="none"/>
        </w:rPr>
      </w:pPr>
      <w:r>
        <w:rPr>
          <w:rFonts w:hint="eastAsia" w:ascii="黑体" w:hAnsi="黑体" w:eastAsia="黑体" w:cs="黑体"/>
          <w:b w:val="0"/>
          <w:sz w:val="28"/>
          <w:szCs w:val="28"/>
          <w:highlight w:val="none"/>
        </w:rPr>
        <w:t>三、技术性能指标</w:t>
      </w:r>
      <w:bookmarkEnd w:id="920"/>
      <w:bookmarkEnd w:id="921"/>
      <w:bookmarkEnd w:id="922"/>
      <w:bookmarkEnd w:id="923"/>
    </w:p>
    <w:p>
      <w:pPr>
        <w:spacing w:line="360" w:lineRule="auto"/>
        <w:ind w:firstLine="410" w:firstLineChars="171"/>
        <w:outlineLvl w:val="2"/>
        <w:rPr>
          <w:rFonts w:hint="eastAsia" w:hAnsi="宋体" w:cs="宋体"/>
          <w:highlight w:val="none"/>
        </w:rPr>
      </w:pPr>
      <w:r>
        <w:rPr>
          <w:rFonts w:hint="eastAsia" w:hAnsi="宋体" w:cs="宋体"/>
          <w:highlight w:val="none"/>
        </w:rPr>
        <w:t>（一）说明</w:t>
      </w:r>
    </w:p>
    <w:p>
      <w:pPr>
        <w:spacing w:line="360" w:lineRule="auto"/>
        <w:ind w:firstLine="410" w:firstLineChars="171"/>
        <w:rPr>
          <w:rFonts w:hint="eastAsia" w:hAnsi="宋体" w:cs="宋体"/>
          <w:highlight w:val="none"/>
        </w:rPr>
      </w:pPr>
      <w:r>
        <w:rPr>
          <w:rFonts w:hint="eastAsia" w:hAnsi="宋体" w:cs="宋体"/>
          <w:highlight w:val="none"/>
        </w:rPr>
        <w:t>1. 本供货要求提出的技术参数及要求为最低限度的技术要求，并未对一切技术细节做出规定，也未充分引述有关标准和规范的条文，投标人应保证提供符合或优于本技术参数及要求和有关标准、规范的优质产品。</w:t>
      </w:r>
    </w:p>
    <w:p>
      <w:pPr>
        <w:spacing w:line="360" w:lineRule="auto"/>
        <w:ind w:firstLine="410" w:firstLineChars="171"/>
        <w:rPr>
          <w:rFonts w:hint="eastAsia" w:hAnsi="宋体" w:cs="宋体"/>
          <w:highlight w:val="none"/>
        </w:rPr>
      </w:pPr>
      <w:r>
        <w:rPr>
          <w:rFonts w:hint="eastAsia" w:hAnsi="宋体" w:cs="宋体"/>
          <w:highlight w:val="none"/>
        </w:rPr>
        <w:t>2. 为鼓励不同品牌的充分竞争，如某设备的某技术参数或要求属于个别品牌专有，则该技术参数及要求不具有限制性，投标人可对该参数或要求的响应情况进行说明，且该说明须经评标委员会审核认可；</w:t>
      </w:r>
    </w:p>
    <w:p>
      <w:pPr>
        <w:spacing w:line="360" w:lineRule="auto"/>
        <w:ind w:firstLine="410" w:firstLineChars="171"/>
        <w:rPr>
          <w:rFonts w:hint="eastAsia" w:hAnsi="宋体" w:cs="宋体"/>
          <w:highlight w:val="none"/>
        </w:rPr>
      </w:pPr>
      <w:r>
        <w:rPr>
          <w:rFonts w:hint="eastAsia" w:hAnsi="宋体" w:cs="宋体"/>
          <w:highlight w:val="none"/>
        </w:rPr>
        <w:t>3. 如供货要求中提供了推荐品牌（或型号）、参考品牌（或型号）等，为有助于投标人选择投标产品，上述品牌（或型号）仅供参考，并无限制性。投标人可以选择性能不低于推荐（或参考）的品牌（或型号）的其他品牌产品，但投标时应当提供有关技术证明资料，未提供的可能导致投标无效。</w:t>
      </w:r>
    </w:p>
    <w:p>
      <w:pPr>
        <w:spacing w:line="360" w:lineRule="auto"/>
        <w:ind w:firstLine="410" w:firstLineChars="171"/>
        <w:rPr>
          <w:rFonts w:hint="eastAsia" w:hAnsi="宋体" w:cs="宋体"/>
          <w:highlight w:val="none"/>
        </w:rPr>
      </w:pPr>
      <w:r>
        <w:rPr>
          <w:rFonts w:hint="eastAsia" w:hAnsi="宋体" w:cs="宋体"/>
          <w:highlight w:val="none"/>
        </w:rPr>
        <w:t>4. 投标人应自行踏勘本项目实施现场，核对设备安装现场的土建尺寸等可能影响后期安装的全部因素，确保所投设备满足现场实际安装要求。</w:t>
      </w:r>
    </w:p>
    <w:p>
      <w:pPr>
        <w:spacing w:line="360" w:lineRule="auto"/>
        <w:ind w:firstLine="410" w:firstLineChars="171"/>
        <w:rPr>
          <w:rFonts w:hint="eastAsia" w:hAnsi="宋体" w:cs="宋体"/>
          <w:highlight w:val="none"/>
        </w:rPr>
      </w:pPr>
      <w:r>
        <w:rPr>
          <w:rFonts w:hint="eastAsia" w:hAnsi="宋体" w:cs="宋体"/>
          <w:highlight w:val="none"/>
        </w:rPr>
        <w:t>5. 招标人保留在签订合同之前对本技术规格及要求进行补充和修改的权利，投标人应予以配合。</w:t>
      </w:r>
    </w:p>
    <w:p>
      <w:pPr>
        <w:spacing w:line="360" w:lineRule="auto"/>
        <w:ind w:firstLine="410" w:firstLineChars="171"/>
        <w:outlineLvl w:val="2"/>
        <w:rPr>
          <w:rFonts w:hint="eastAsia" w:hAnsi="宋体" w:cs="宋体"/>
          <w:highlight w:val="none"/>
        </w:rPr>
      </w:pPr>
      <w:r>
        <w:rPr>
          <w:rFonts w:hint="eastAsia" w:hAnsi="宋体" w:cs="宋体"/>
          <w:highlight w:val="none"/>
        </w:rPr>
        <w:t>（二）总体要求</w:t>
      </w:r>
    </w:p>
    <w:p>
      <w:pPr>
        <w:spacing w:line="360" w:lineRule="auto"/>
        <w:ind w:firstLine="410" w:firstLineChars="171"/>
        <w:outlineLvl w:val="2"/>
        <w:rPr>
          <w:rFonts w:hint="default" w:hAnsi="宋体" w:eastAsia="宋体" w:cs="宋体"/>
          <w:highlight w:val="none"/>
          <w:lang w:val="en-US" w:eastAsia="zh-CN"/>
        </w:rPr>
      </w:pPr>
      <w:r>
        <w:rPr>
          <w:rFonts w:hint="eastAsia" w:hAnsi="宋体" w:cs="宋体"/>
          <w:highlight w:val="none"/>
          <w:lang w:val="en-US" w:eastAsia="zh-CN"/>
        </w:rPr>
        <w:t>1、招标人推荐品牌表</w:t>
      </w:r>
    </w:p>
    <w:tbl>
      <w:tblPr>
        <w:tblStyle w:val="52"/>
        <w:tblW w:w="82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3"/>
        <w:gridCol w:w="3575"/>
        <w:gridCol w:w="3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bookmarkStart w:id="924" w:name="_Toc25566"/>
            <w:bookmarkStart w:id="925" w:name="_Toc3254"/>
            <w:bookmarkStart w:id="926" w:name="_Toc501460781"/>
            <w:bookmarkStart w:id="927" w:name="_Toc12504"/>
            <w:r>
              <w:rPr>
                <w:rFonts w:hint="eastAsia" w:ascii="宋体" w:hAnsi="宋体" w:eastAsia="宋体" w:cs="宋体"/>
                <w:i w:val="0"/>
                <w:iCs w:val="0"/>
                <w:color w:val="000000"/>
                <w:kern w:val="0"/>
                <w:sz w:val="22"/>
                <w:szCs w:val="22"/>
                <w:highlight w:val="none"/>
                <w:u w:val="none"/>
                <w:lang w:val="en-US" w:eastAsia="zh-CN" w:bidi="ar"/>
              </w:rPr>
              <w:t>1</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综合布线系统</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新华三、德塔森特、富利联讯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综合安防系统</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海康、大华、天地伟业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计算机网络系统</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威努特、新华三、博达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校园广播系统</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声曼 、锐丰LAX 、湖山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机房工程系统</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德塔森特、海悟、黎耀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弱电综合管网系统</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录播教室系统</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控智、新羽、万昌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信息发布系统</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蓝普、利亚德、强力巨彩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3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多媒体会议系统（多功能教室）</w:t>
            </w:r>
          </w:p>
        </w:tc>
        <w:tc>
          <w:tcPr>
            <w:tcW w:w="3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徽为 、声曼 、湖山</w:t>
            </w:r>
          </w:p>
        </w:tc>
      </w:tr>
    </w:tbl>
    <w:p>
      <w:pPr>
        <w:pStyle w:val="4"/>
        <w:numPr>
          <w:ilvl w:val="0"/>
          <w:numId w:val="0"/>
        </w:numPr>
        <w:spacing w:before="0" w:after="0" w:line="360" w:lineRule="auto"/>
        <w:ind w:firstLine="480" w:firstLineChars="200"/>
        <w:rPr>
          <w:rFonts w:hint="eastAsia" w:ascii="宋体" w:hAnsi="Times New Roman" w:cs="Times New Roman"/>
          <w:b w:val="0"/>
          <w:bCs w:val="0"/>
          <w:kern w:val="0"/>
          <w:sz w:val="24"/>
          <w:szCs w:val="20"/>
          <w:highlight w:val="none"/>
          <w:lang w:val="en-US" w:eastAsia="zh-CN" w:bidi="ar-SA"/>
        </w:rPr>
      </w:pPr>
      <w:r>
        <w:rPr>
          <w:rFonts w:hint="eastAsia" w:ascii="宋体" w:hAnsi="Times New Roman" w:eastAsia="宋体" w:cs="Times New Roman"/>
          <w:b w:val="0"/>
          <w:bCs w:val="0"/>
          <w:kern w:val="0"/>
          <w:sz w:val="24"/>
          <w:szCs w:val="20"/>
          <w:highlight w:val="none"/>
          <w:lang w:val="en-US" w:eastAsia="zh-CN" w:bidi="ar-SA"/>
        </w:rPr>
        <w:t>2、</w:t>
      </w:r>
      <w:r>
        <w:rPr>
          <w:rFonts w:hint="eastAsia" w:ascii="宋体" w:hAnsi="Times New Roman" w:cs="Times New Roman"/>
          <w:b w:val="0"/>
          <w:bCs w:val="0"/>
          <w:kern w:val="0"/>
          <w:sz w:val="24"/>
          <w:szCs w:val="20"/>
          <w:highlight w:val="none"/>
          <w:lang w:val="en-US" w:eastAsia="zh-CN" w:bidi="ar-SA"/>
        </w:rPr>
        <w:t>中标人需在投标报价中综合考虑智能化安装施工期间的水电等费用及智能化安装拆除恢复费用，招标人不再另行支付。</w:t>
      </w:r>
    </w:p>
    <w:p>
      <w:pPr>
        <w:pStyle w:val="4"/>
        <w:numPr>
          <w:ilvl w:val="0"/>
          <w:numId w:val="0"/>
        </w:numPr>
        <w:spacing w:before="0" w:after="0" w:line="360" w:lineRule="auto"/>
        <w:ind w:firstLine="480" w:firstLineChars="200"/>
        <w:rPr>
          <w:rFonts w:hint="eastAsia" w:ascii="宋体" w:hAnsi="Times New Roman" w:cs="Times New Roman"/>
          <w:b w:val="0"/>
          <w:bCs w:val="0"/>
          <w:kern w:val="0"/>
          <w:sz w:val="24"/>
          <w:szCs w:val="20"/>
          <w:highlight w:val="none"/>
          <w:lang w:val="en-US" w:eastAsia="zh-CN" w:bidi="ar-SA"/>
        </w:rPr>
      </w:pPr>
      <w:r>
        <w:rPr>
          <w:rFonts w:hint="eastAsia" w:ascii="宋体" w:hAnsi="Times New Roman" w:eastAsia="宋体" w:cs="Times New Roman"/>
          <w:b w:val="0"/>
          <w:bCs w:val="0"/>
          <w:kern w:val="0"/>
          <w:sz w:val="24"/>
          <w:szCs w:val="20"/>
          <w:highlight w:val="none"/>
          <w:lang w:val="en-US" w:eastAsia="zh-CN" w:bidi="ar-SA"/>
        </w:rPr>
        <w:t>3、</w:t>
      </w:r>
      <w:r>
        <w:rPr>
          <w:rFonts w:hint="eastAsia" w:ascii="宋体" w:hAnsi="Times New Roman" w:cs="Times New Roman"/>
          <w:b w:val="0"/>
          <w:bCs w:val="0"/>
          <w:kern w:val="0"/>
          <w:sz w:val="24"/>
          <w:szCs w:val="20"/>
          <w:highlight w:val="none"/>
          <w:lang w:val="en-US" w:eastAsia="zh-CN" w:bidi="ar-SA"/>
        </w:rPr>
        <w:t>中标人需确保新建系统与学校老系统能兼容使用，投标报价中综合考虑新建系统与学校老系统的对接费用，招标人不再另行支付。</w:t>
      </w:r>
    </w:p>
    <w:p>
      <w:pPr>
        <w:rPr>
          <w:rFonts w:hint="eastAsia" w:ascii="黑体" w:hAnsi="黑体" w:eastAsia="黑体" w:cs="黑体"/>
          <w:b w:val="0"/>
          <w:sz w:val="28"/>
          <w:szCs w:val="28"/>
          <w:highlight w:val="none"/>
          <w:lang w:eastAsia="zh-CN"/>
        </w:rPr>
      </w:pPr>
      <w:r>
        <w:rPr>
          <w:rFonts w:hint="eastAsia"/>
          <w:highlight w:val="none"/>
          <w:lang w:val="en-US" w:eastAsia="zh-CN"/>
        </w:rPr>
        <w:t xml:space="preserve">    </w:t>
      </w:r>
      <w:r>
        <w:rPr>
          <w:rFonts w:hint="eastAsia" w:ascii="黑体" w:hAnsi="黑体" w:eastAsia="黑体" w:cs="黑体"/>
          <w:b w:val="0"/>
          <w:sz w:val="28"/>
          <w:szCs w:val="28"/>
          <w:highlight w:val="none"/>
        </w:rPr>
        <w:t>四、检验考核要求</w:t>
      </w:r>
      <w:bookmarkEnd w:id="924"/>
      <w:bookmarkEnd w:id="925"/>
      <w:bookmarkEnd w:id="926"/>
      <w:bookmarkEnd w:id="927"/>
    </w:p>
    <w:p>
      <w:pPr>
        <w:spacing w:line="360" w:lineRule="auto"/>
        <w:ind w:firstLine="528" w:firstLineChars="220"/>
        <w:rPr>
          <w:rFonts w:hint="default" w:hAnsi="宋体" w:eastAsia="宋体" w:cs="宋体"/>
          <w:highlight w:val="none"/>
          <w:lang w:val="en-US" w:eastAsia="zh-CN"/>
        </w:rPr>
      </w:pPr>
      <w:r>
        <w:rPr>
          <w:rFonts w:hint="eastAsia" w:hAnsi="宋体" w:cs="宋体"/>
          <w:highlight w:val="none"/>
        </w:rPr>
        <w:t>符合设备需求一览表要求</w:t>
      </w:r>
      <w:r>
        <w:rPr>
          <w:rFonts w:hint="eastAsia" w:hAnsi="宋体" w:cs="宋体"/>
          <w:highlight w:val="none"/>
          <w:lang w:eastAsia="zh-CN"/>
        </w:rPr>
        <w:t>，</w:t>
      </w:r>
      <w:r>
        <w:rPr>
          <w:rFonts w:hint="eastAsia" w:hAnsi="宋体" w:cs="宋体"/>
          <w:highlight w:val="none"/>
          <w:lang w:val="en-US" w:eastAsia="zh-CN"/>
        </w:rPr>
        <w:t>中标单位需确保项目通过</w:t>
      </w:r>
      <w:r>
        <w:rPr>
          <w:rFonts w:hint="eastAsia" w:ascii="宋体" w:hAnsi="宋体" w:eastAsia="宋体" w:cs="宋体"/>
          <w:i w:val="0"/>
          <w:iCs w:val="0"/>
          <w:color w:val="000000"/>
          <w:kern w:val="0"/>
          <w:sz w:val="24"/>
          <w:szCs w:val="24"/>
          <w:highlight w:val="none"/>
          <w:u w:val="none"/>
          <w:lang w:val="en-US" w:eastAsia="zh-CN" w:bidi="ar"/>
        </w:rPr>
        <w:t>二级等保第三方测评</w:t>
      </w:r>
      <w:r>
        <w:rPr>
          <w:rFonts w:hint="eastAsia" w:hAnsi="宋体" w:cs="宋体"/>
          <w:i w:val="0"/>
          <w:iCs w:val="0"/>
          <w:color w:val="000000"/>
          <w:kern w:val="0"/>
          <w:sz w:val="24"/>
          <w:szCs w:val="24"/>
          <w:highlight w:val="none"/>
          <w:u w:val="none"/>
          <w:lang w:val="en-US" w:eastAsia="zh-CN" w:bidi="ar"/>
        </w:rPr>
        <w:t>。</w:t>
      </w:r>
    </w:p>
    <w:p>
      <w:pPr>
        <w:pStyle w:val="4"/>
        <w:spacing w:before="0" w:after="0" w:line="360" w:lineRule="auto"/>
        <w:rPr>
          <w:rFonts w:hint="eastAsia" w:ascii="黑体" w:hAnsi="黑体" w:eastAsia="黑体" w:cs="黑体"/>
          <w:b w:val="0"/>
          <w:sz w:val="28"/>
          <w:szCs w:val="28"/>
          <w:highlight w:val="none"/>
        </w:rPr>
      </w:pPr>
      <w:bookmarkStart w:id="928" w:name="_Toc5407"/>
      <w:bookmarkStart w:id="929" w:name="_Toc18695"/>
      <w:bookmarkStart w:id="930" w:name="_Toc20799"/>
      <w:bookmarkStart w:id="931" w:name="_Toc501460782"/>
      <w:r>
        <w:rPr>
          <w:rFonts w:hint="eastAsia" w:ascii="黑体" w:hAnsi="黑体" w:eastAsia="黑体" w:cs="黑体"/>
          <w:b w:val="0"/>
          <w:sz w:val="28"/>
          <w:szCs w:val="28"/>
          <w:highlight w:val="none"/>
        </w:rPr>
        <w:t>五、调试要求</w:t>
      </w:r>
      <w:bookmarkEnd w:id="928"/>
      <w:bookmarkEnd w:id="929"/>
      <w:bookmarkEnd w:id="930"/>
    </w:p>
    <w:p>
      <w:pPr>
        <w:spacing w:line="360" w:lineRule="auto"/>
        <w:ind w:firstLine="528" w:firstLineChars="220"/>
        <w:rPr>
          <w:rFonts w:hint="eastAsia" w:hAnsi="宋体" w:cs="宋体"/>
          <w:highlight w:val="none"/>
        </w:rPr>
      </w:pPr>
      <w:r>
        <w:rPr>
          <w:rFonts w:hint="eastAsia" w:hAnsi="宋体" w:cs="宋体"/>
          <w:highlight w:val="none"/>
        </w:rPr>
        <w:t>设备调试运行正常</w:t>
      </w:r>
    </w:p>
    <w:p>
      <w:pPr>
        <w:pStyle w:val="4"/>
        <w:spacing w:before="0" w:after="0" w:line="360" w:lineRule="auto"/>
        <w:rPr>
          <w:rFonts w:hint="eastAsia" w:ascii="黑体" w:hAnsi="黑体" w:eastAsia="黑体" w:cs="黑体"/>
          <w:b w:val="0"/>
          <w:sz w:val="28"/>
          <w:szCs w:val="28"/>
          <w:highlight w:val="none"/>
          <w:lang w:eastAsia="zh-CN"/>
        </w:rPr>
      </w:pPr>
      <w:bookmarkStart w:id="932" w:name="_Toc6738"/>
      <w:bookmarkStart w:id="933" w:name="_Toc21345"/>
      <w:bookmarkStart w:id="934" w:name="_Toc24378"/>
      <w:r>
        <w:rPr>
          <w:rFonts w:hint="eastAsia" w:ascii="黑体" w:hAnsi="黑体" w:eastAsia="黑体" w:cs="黑体"/>
          <w:b w:val="0"/>
          <w:sz w:val="28"/>
          <w:szCs w:val="28"/>
          <w:highlight w:val="none"/>
        </w:rPr>
        <w:t>六、</w:t>
      </w:r>
      <w:bookmarkEnd w:id="931"/>
      <w:bookmarkEnd w:id="932"/>
      <w:bookmarkEnd w:id="933"/>
      <w:r>
        <w:rPr>
          <w:rFonts w:hint="eastAsia" w:ascii="黑体" w:hAnsi="黑体" w:eastAsia="黑体" w:cs="黑体"/>
          <w:b w:val="0"/>
          <w:sz w:val="28"/>
          <w:szCs w:val="28"/>
          <w:highlight w:val="none"/>
        </w:rPr>
        <w:t>投标货物及技术服务和质保期服务要求</w:t>
      </w:r>
      <w:bookmarkEnd w:id="934"/>
    </w:p>
    <w:p>
      <w:pPr>
        <w:spacing w:line="360" w:lineRule="auto"/>
        <w:ind w:firstLine="528" w:firstLineChars="220"/>
        <w:rPr>
          <w:rFonts w:hint="eastAsia"/>
          <w:highlight w:val="none"/>
        </w:rPr>
      </w:pPr>
      <w:r>
        <w:rPr>
          <w:rFonts w:hint="eastAsia" w:hAnsi="宋体" w:cs="宋体"/>
          <w:highlight w:val="none"/>
        </w:rPr>
        <w:t>免费提供操作和维修培训；合同货物整体质量保证期：</w:t>
      </w:r>
      <w:r>
        <w:rPr>
          <w:rFonts w:hint="eastAsia" w:hAnsi="宋体" w:cs="宋体"/>
          <w:highlight w:val="none"/>
          <w:lang w:val="en-US" w:eastAsia="zh-CN"/>
        </w:rPr>
        <w:t>36</w:t>
      </w:r>
      <w:r>
        <w:rPr>
          <w:rFonts w:hint="eastAsia" w:hAnsi="宋体" w:cs="宋体"/>
          <w:highlight w:val="none"/>
        </w:rPr>
        <w:t>个月。</w:t>
      </w:r>
    </w:p>
    <w:p>
      <w:pPr>
        <w:spacing w:line="360" w:lineRule="auto"/>
        <w:rPr>
          <w:rFonts w:ascii="黑体" w:hAnsi="黑体" w:eastAsia="黑体" w:cs="黑体"/>
          <w:bCs/>
          <w:szCs w:val="28"/>
          <w:highlight w:val="none"/>
        </w:rPr>
      </w:pPr>
      <w:bookmarkStart w:id="935" w:name="_Toc13628"/>
      <w:bookmarkStart w:id="936" w:name="_Toc16625"/>
      <w:r>
        <w:rPr>
          <w:rFonts w:hint="eastAsia" w:ascii="黑体" w:hAnsi="黑体" w:eastAsia="黑体" w:cs="黑体"/>
          <w:b/>
          <w:sz w:val="28"/>
          <w:szCs w:val="28"/>
          <w:highlight w:val="none"/>
        </w:rPr>
        <w:t>七、其他要求</w:t>
      </w:r>
      <w:bookmarkEnd w:id="935"/>
      <w:bookmarkEnd w:id="936"/>
    </w:p>
    <w:p>
      <w:pPr>
        <w:spacing w:line="360" w:lineRule="auto"/>
        <w:ind w:firstLine="480" w:firstLineChars="200"/>
        <w:rPr>
          <w:rFonts w:hint="eastAsia" w:eastAsia="宋体"/>
          <w:highlight w:val="none"/>
          <w:lang w:val="en-US" w:eastAsia="zh-CN"/>
        </w:rPr>
      </w:pPr>
      <w:r>
        <w:rPr>
          <w:rFonts w:hint="eastAsia"/>
          <w:highlight w:val="none"/>
          <w:lang w:val="en-US" w:eastAsia="zh-CN"/>
        </w:rPr>
        <w:t>无</w:t>
      </w:r>
    </w:p>
    <w:p>
      <w:pPr>
        <w:pStyle w:val="2"/>
        <w:spacing w:before="0" w:after="0" w:line="320" w:lineRule="exact"/>
        <w:jc w:val="center"/>
        <w:rPr>
          <w:highlight w:val="none"/>
        </w:rPr>
      </w:pPr>
      <w:r>
        <w:rPr>
          <w:rFonts w:hint="eastAsia"/>
          <w:highlight w:val="none"/>
        </w:rPr>
        <w:br w:type="page"/>
      </w:r>
      <w:bookmarkStart w:id="937" w:name="_Toc140069450"/>
      <w:r>
        <w:rPr>
          <w:rFonts w:hint="eastAsia"/>
          <w:highlight w:val="none"/>
        </w:rPr>
        <w:t xml:space="preserve">第六章  </w:t>
      </w:r>
      <w:r>
        <w:rPr>
          <w:rFonts w:hint="eastAsia" w:hAnsi="宋体" w:cs="宋体"/>
          <w:highlight w:val="none"/>
        </w:rPr>
        <w:t>投标文件格式</w:t>
      </w:r>
      <w:bookmarkEnd w:id="937"/>
    </w:p>
    <w:p>
      <w:pPr>
        <w:spacing w:before="480" w:beforeLines="200"/>
        <w:jc w:val="center"/>
        <w:outlineLvl w:val="0"/>
        <w:rPr>
          <w:rFonts w:hint="eastAsia" w:ascii="Times New Roman"/>
          <w:b/>
          <w:bCs/>
          <w:color w:val="auto"/>
          <w:sz w:val="44"/>
          <w:szCs w:val="44"/>
          <w:highlight w:val="none"/>
        </w:rPr>
      </w:pPr>
      <w:bookmarkStart w:id="938" w:name="_Toc12149"/>
      <w:bookmarkStart w:id="939" w:name="_Toc16066"/>
      <w:bookmarkStart w:id="940" w:name="_Toc32657"/>
      <w:bookmarkStart w:id="941" w:name="_Toc12230"/>
      <w:bookmarkStart w:id="942" w:name="_Toc14595"/>
      <w:bookmarkStart w:id="943" w:name="_Toc23204"/>
      <w:bookmarkStart w:id="944" w:name="_Toc27118"/>
      <w:r>
        <w:rPr>
          <w:rFonts w:hint="eastAsia" w:ascii="Times New Roman"/>
          <w:bCs/>
          <w:sz w:val="44"/>
          <w:szCs w:val="44"/>
          <w:highlight w:val="none"/>
          <w:u w:val="single"/>
        </w:rPr>
        <w:br w:type="page"/>
      </w:r>
      <w:bookmarkEnd w:id="938"/>
      <w:bookmarkEnd w:id="939"/>
      <w:bookmarkEnd w:id="940"/>
      <w:bookmarkEnd w:id="941"/>
      <w:bookmarkEnd w:id="942"/>
      <w:bookmarkEnd w:id="943"/>
      <w:bookmarkEnd w:id="944"/>
      <w:r>
        <w:rPr>
          <w:rFonts w:hint="eastAsia" w:ascii="Times New Roman"/>
          <w:b/>
          <w:bCs/>
          <w:color w:val="auto"/>
          <w:sz w:val="44"/>
          <w:szCs w:val="44"/>
          <w:highlight w:val="none"/>
          <w:u w:val="single"/>
        </w:rPr>
        <w:t>（招标项目名称）</w:t>
      </w:r>
      <w:r>
        <w:rPr>
          <w:rFonts w:hint="eastAsia" w:ascii="Times New Roman"/>
          <w:bCs/>
          <w:color w:val="auto"/>
          <w:sz w:val="44"/>
          <w:szCs w:val="44"/>
          <w:highlight w:val="none"/>
        </w:rPr>
        <w:t xml:space="preserve"> </w:t>
      </w:r>
      <w:r>
        <w:rPr>
          <w:rFonts w:hint="eastAsia" w:ascii="Times New Roman" w:eastAsia="黑体"/>
          <w:color w:val="auto"/>
          <w:sz w:val="44"/>
          <w:szCs w:val="44"/>
          <w:highlight w:val="none"/>
          <w:u w:val="single"/>
        </w:rPr>
        <w:t xml:space="preserve">      </w:t>
      </w:r>
      <w:r>
        <w:rPr>
          <w:rFonts w:hint="eastAsia" w:ascii="Times New Roman"/>
          <w:b/>
          <w:bCs/>
          <w:color w:val="auto"/>
          <w:sz w:val="44"/>
          <w:szCs w:val="44"/>
          <w:highlight w:val="none"/>
        </w:rPr>
        <w:t>标段招标</w:t>
      </w:r>
    </w:p>
    <w:p>
      <w:pPr>
        <w:pStyle w:val="4"/>
        <w:spacing w:before="1440" w:beforeLines="600" w:after="240" w:afterLines="100" w:line="240" w:lineRule="auto"/>
        <w:jc w:val="center"/>
        <w:rPr>
          <w:rFonts w:hint="eastAsia" w:ascii="Times New Roman" w:hAnsi="Times New Roman" w:eastAsia="黑体"/>
          <w:b w:val="0"/>
          <w:color w:val="auto"/>
          <w:sz w:val="44"/>
          <w:szCs w:val="44"/>
          <w:highlight w:val="none"/>
        </w:rPr>
      </w:pPr>
      <w:bookmarkStart w:id="945" w:name="_Toc28604"/>
      <w:bookmarkStart w:id="946" w:name="_Toc26391"/>
      <w:r>
        <w:rPr>
          <w:rFonts w:hint="eastAsia" w:ascii="Times New Roman" w:hAnsi="Times New Roman" w:eastAsia="黑体"/>
          <w:b w:val="0"/>
          <w:color w:val="auto"/>
          <w:sz w:val="44"/>
          <w:szCs w:val="44"/>
          <w:highlight w:val="none"/>
        </w:rPr>
        <w:t>投标文件</w:t>
      </w:r>
      <w:bookmarkEnd w:id="945"/>
    </w:p>
    <w:p>
      <w:pPr>
        <w:pStyle w:val="4"/>
        <w:jc w:val="center"/>
        <w:rPr>
          <w:rFonts w:hint="eastAsia" w:ascii="Times New Roman" w:hAnsi="Times New Roman" w:eastAsia="黑体"/>
          <w:b w:val="0"/>
          <w:color w:val="auto"/>
          <w:highlight w:val="none"/>
        </w:rPr>
      </w:pPr>
      <w:bookmarkStart w:id="947" w:name="_Toc16711"/>
      <w:r>
        <w:rPr>
          <w:rFonts w:hint="eastAsia" w:ascii="Times New Roman" w:hAnsi="Times New Roman" w:eastAsia="黑体"/>
          <w:b w:val="0"/>
          <w:color w:val="auto"/>
          <w:highlight w:val="none"/>
        </w:rPr>
        <w:t>（商务文件）</w:t>
      </w:r>
      <w:bookmarkEnd w:id="946"/>
      <w:bookmarkEnd w:id="947"/>
    </w:p>
    <w:p>
      <w:pPr>
        <w:spacing w:before="7920" w:beforeLines="3300" w:line="480" w:lineRule="auto"/>
        <w:jc w:val="center"/>
        <w:rPr>
          <w:rFonts w:hint="eastAsia" w:ascii="Times New Roman" w:eastAsia="黑体"/>
          <w:color w:val="auto"/>
          <w:sz w:val="28"/>
          <w:szCs w:val="28"/>
          <w:highlight w:val="none"/>
        </w:rPr>
      </w:pPr>
      <w:bookmarkStart w:id="948" w:name="_Toc18532"/>
      <w:bookmarkStart w:id="949" w:name="_Toc17206"/>
      <w:bookmarkStart w:id="950" w:name="_Toc12206"/>
      <w:bookmarkStart w:id="951" w:name="_Toc19022"/>
      <w:r>
        <w:rPr>
          <w:rFonts w:hint="eastAsia" w:ascii="Times New Roman" w:eastAsia="黑体"/>
          <w:color w:val="auto"/>
          <w:sz w:val="28"/>
          <w:szCs w:val="28"/>
          <w:highlight w:val="none"/>
        </w:rPr>
        <w:t>投标人：</w:t>
      </w:r>
      <w:r>
        <w:rPr>
          <w:rFonts w:hint="eastAsia" w:ascii="Times New Roman" w:eastAsia="黑体"/>
          <w:color w:val="auto"/>
          <w:sz w:val="28"/>
          <w:szCs w:val="28"/>
          <w:highlight w:val="none"/>
          <w:u w:val="single"/>
        </w:rPr>
        <w:t xml:space="preserve">                               </w:t>
      </w:r>
      <w:r>
        <w:rPr>
          <w:rFonts w:hint="eastAsia" w:ascii="Times New Roman" w:eastAsia="黑体"/>
          <w:color w:val="auto"/>
          <w:sz w:val="28"/>
          <w:szCs w:val="28"/>
          <w:highlight w:val="none"/>
        </w:rPr>
        <w:t>（盖单位章）</w:t>
      </w:r>
      <w:bookmarkEnd w:id="948"/>
      <w:bookmarkEnd w:id="949"/>
      <w:bookmarkEnd w:id="950"/>
      <w:bookmarkEnd w:id="951"/>
    </w:p>
    <w:p>
      <w:pPr>
        <w:spacing w:line="480" w:lineRule="auto"/>
        <w:jc w:val="center"/>
        <w:rPr>
          <w:rFonts w:ascii="Times New Roman" w:eastAsia="黑体"/>
          <w:sz w:val="28"/>
          <w:szCs w:val="28"/>
          <w:highlight w:val="none"/>
        </w:rPr>
      </w:pPr>
      <w:r>
        <w:rPr>
          <w:rFonts w:hint="eastAsia" w:ascii="Times New Roman" w:eastAsia="黑体"/>
          <w:color w:val="auto"/>
          <w:sz w:val="28"/>
          <w:szCs w:val="28"/>
          <w:highlight w:val="none"/>
          <w:u w:val="single"/>
        </w:rPr>
        <w:t xml:space="preserve">    </w:t>
      </w:r>
      <w:bookmarkStart w:id="952" w:name="_Toc21200"/>
      <w:bookmarkStart w:id="953" w:name="_Toc25824"/>
      <w:bookmarkStart w:id="954" w:name="_Toc1982"/>
      <w:bookmarkStart w:id="955" w:name="_Toc16140"/>
      <w:r>
        <w:rPr>
          <w:rFonts w:hint="eastAsia" w:ascii="Times New Roman" w:eastAsia="黑体"/>
          <w:color w:val="auto"/>
          <w:sz w:val="28"/>
          <w:szCs w:val="28"/>
          <w:highlight w:val="none"/>
        </w:rPr>
        <w:t>年</w:t>
      </w:r>
      <w:r>
        <w:rPr>
          <w:rFonts w:hint="eastAsia" w:ascii="Times New Roman" w:eastAsia="黑体"/>
          <w:color w:val="auto"/>
          <w:sz w:val="28"/>
          <w:szCs w:val="28"/>
          <w:highlight w:val="none"/>
          <w:u w:val="single"/>
        </w:rPr>
        <w:t xml:space="preserve">   </w:t>
      </w:r>
      <w:r>
        <w:rPr>
          <w:rFonts w:hint="eastAsia" w:ascii="Times New Roman" w:eastAsia="黑体"/>
          <w:color w:val="auto"/>
          <w:sz w:val="28"/>
          <w:szCs w:val="28"/>
          <w:highlight w:val="none"/>
        </w:rPr>
        <w:t>月</w:t>
      </w:r>
      <w:r>
        <w:rPr>
          <w:rFonts w:hint="eastAsia" w:ascii="Times New Roman" w:eastAsia="黑体"/>
          <w:color w:val="auto"/>
          <w:sz w:val="28"/>
          <w:szCs w:val="28"/>
          <w:highlight w:val="none"/>
          <w:u w:val="single"/>
        </w:rPr>
        <w:t xml:space="preserve">   </w:t>
      </w:r>
      <w:r>
        <w:rPr>
          <w:rFonts w:hint="eastAsia" w:ascii="Times New Roman" w:eastAsia="黑体"/>
          <w:color w:val="auto"/>
          <w:sz w:val="28"/>
          <w:szCs w:val="28"/>
          <w:highlight w:val="none"/>
        </w:rPr>
        <w:t>日</w:t>
      </w:r>
      <w:bookmarkEnd w:id="952"/>
      <w:bookmarkEnd w:id="953"/>
      <w:bookmarkEnd w:id="954"/>
      <w:bookmarkEnd w:id="955"/>
    </w:p>
    <w:p>
      <w:pPr>
        <w:spacing w:beforeLines="100" w:afterLines="100"/>
        <w:ind w:firstLine="480" w:firstLineChars="200"/>
        <w:jc w:val="center"/>
        <w:rPr>
          <w:rFonts w:ascii="Times New Roman"/>
          <w:sz w:val="28"/>
          <w:szCs w:val="21"/>
          <w:highlight w:val="none"/>
        </w:rPr>
      </w:pPr>
      <w:r>
        <w:rPr>
          <w:rFonts w:ascii="Times New Roman"/>
          <w:szCs w:val="21"/>
          <w:highlight w:val="none"/>
        </w:rPr>
        <w:br w:type="page"/>
      </w:r>
      <w:r>
        <w:rPr>
          <w:rFonts w:hint="eastAsia" w:ascii="Times New Roman"/>
          <w:sz w:val="28"/>
          <w:szCs w:val="21"/>
          <w:highlight w:val="none"/>
        </w:rPr>
        <w:t>目  录</w:t>
      </w:r>
    </w:p>
    <w:p>
      <w:pPr>
        <w:spacing w:line="360" w:lineRule="auto"/>
        <w:ind w:firstLine="480" w:firstLineChars="200"/>
        <w:rPr>
          <w:rFonts w:ascii="Times New Roman"/>
          <w:szCs w:val="21"/>
          <w:highlight w:val="none"/>
        </w:rPr>
      </w:pPr>
      <w:r>
        <w:rPr>
          <w:rFonts w:hint="eastAsia" w:ascii="Times New Roman"/>
          <w:szCs w:val="21"/>
          <w:highlight w:val="none"/>
        </w:rPr>
        <w:t>一、投标函（不含报价）</w:t>
      </w:r>
    </w:p>
    <w:p>
      <w:pPr>
        <w:spacing w:line="360" w:lineRule="auto"/>
        <w:ind w:firstLine="480" w:firstLineChars="200"/>
        <w:rPr>
          <w:rFonts w:ascii="Times New Roman"/>
          <w:szCs w:val="21"/>
          <w:highlight w:val="none"/>
        </w:rPr>
      </w:pPr>
      <w:r>
        <w:rPr>
          <w:rFonts w:hint="eastAsia" w:ascii="Times New Roman"/>
          <w:szCs w:val="21"/>
          <w:highlight w:val="none"/>
        </w:rPr>
        <w:t>二、法定代表人身份证明或授权委托书</w:t>
      </w:r>
    </w:p>
    <w:p>
      <w:pPr>
        <w:spacing w:line="360" w:lineRule="auto"/>
        <w:ind w:firstLine="480" w:firstLineChars="200"/>
        <w:rPr>
          <w:rFonts w:ascii="Times New Roman"/>
          <w:szCs w:val="21"/>
          <w:highlight w:val="none"/>
        </w:rPr>
      </w:pPr>
      <w:r>
        <w:rPr>
          <w:rFonts w:hint="eastAsia" w:ascii="Times New Roman"/>
          <w:szCs w:val="21"/>
          <w:highlight w:val="none"/>
        </w:rPr>
        <w:t>三、联合体协议书（如有）</w:t>
      </w:r>
    </w:p>
    <w:p>
      <w:pPr>
        <w:spacing w:line="360" w:lineRule="auto"/>
        <w:ind w:firstLine="480" w:firstLineChars="200"/>
        <w:rPr>
          <w:rFonts w:ascii="Times New Roman"/>
          <w:szCs w:val="21"/>
          <w:highlight w:val="none"/>
        </w:rPr>
      </w:pPr>
      <w:r>
        <w:rPr>
          <w:rFonts w:hint="eastAsia" w:ascii="Times New Roman"/>
          <w:szCs w:val="21"/>
          <w:highlight w:val="none"/>
        </w:rPr>
        <w:t>四、投标保证金</w:t>
      </w:r>
    </w:p>
    <w:p>
      <w:pPr>
        <w:spacing w:line="360" w:lineRule="auto"/>
        <w:ind w:firstLine="480" w:firstLineChars="200"/>
        <w:rPr>
          <w:rFonts w:ascii="Times New Roman"/>
          <w:szCs w:val="21"/>
          <w:highlight w:val="none"/>
        </w:rPr>
      </w:pPr>
      <w:r>
        <w:rPr>
          <w:rFonts w:hint="eastAsia" w:ascii="Times New Roman"/>
          <w:szCs w:val="21"/>
          <w:highlight w:val="none"/>
        </w:rPr>
        <w:t>五、商务条款偏差表；</w:t>
      </w:r>
    </w:p>
    <w:p>
      <w:pPr>
        <w:spacing w:line="360" w:lineRule="auto"/>
        <w:ind w:firstLine="480" w:firstLineChars="200"/>
        <w:rPr>
          <w:rFonts w:ascii="Times New Roman"/>
          <w:szCs w:val="21"/>
          <w:highlight w:val="none"/>
        </w:rPr>
      </w:pPr>
      <w:r>
        <w:rPr>
          <w:rFonts w:hint="eastAsia" w:ascii="Times New Roman"/>
          <w:szCs w:val="21"/>
          <w:highlight w:val="none"/>
        </w:rPr>
        <w:t>六、资格审查资料</w:t>
      </w:r>
    </w:p>
    <w:p>
      <w:pPr>
        <w:spacing w:line="360" w:lineRule="auto"/>
        <w:ind w:firstLine="480" w:firstLineChars="200"/>
        <w:rPr>
          <w:rFonts w:ascii="Times New Roman"/>
          <w:szCs w:val="21"/>
          <w:highlight w:val="none"/>
        </w:rPr>
      </w:pPr>
      <w:r>
        <w:rPr>
          <w:rFonts w:hint="eastAsia" w:ascii="Times New Roman"/>
          <w:szCs w:val="21"/>
          <w:highlight w:val="none"/>
        </w:rPr>
        <w:t>七、商务文件详细评审资料</w:t>
      </w:r>
    </w:p>
    <w:p>
      <w:pPr>
        <w:spacing w:line="360" w:lineRule="auto"/>
        <w:ind w:firstLine="480" w:firstLineChars="200"/>
        <w:rPr>
          <w:rFonts w:ascii="Times New Roman"/>
          <w:szCs w:val="21"/>
          <w:highlight w:val="none"/>
        </w:rPr>
      </w:pPr>
      <w:bookmarkStart w:id="956" w:name="_Toc31175"/>
      <w:r>
        <w:rPr>
          <w:rFonts w:hint="eastAsia" w:ascii="Times New Roman"/>
          <w:szCs w:val="21"/>
          <w:highlight w:val="none"/>
        </w:rPr>
        <w:t>八、诚信投标承诺书</w:t>
      </w:r>
      <w:bookmarkEnd w:id="956"/>
    </w:p>
    <w:p>
      <w:pPr>
        <w:spacing w:line="360" w:lineRule="auto"/>
        <w:ind w:firstLine="480" w:firstLineChars="200"/>
        <w:rPr>
          <w:rFonts w:ascii="Times New Roman"/>
          <w:szCs w:val="21"/>
          <w:highlight w:val="none"/>
        </w:rPr>
      </w:pPr>
      <w:r>
        <w:rPr>
          <w:rFonts w:hint="eastAsia" w:ascii="Times New Roman"/>
          <w:szCs w:val="21"/>
          <w:highlight w:val="none"/>
        </w:rPr>
        <w:t>九</w:t>
      </w:r>
      <w:bookmarkStart w:id="957" w:name="_Toc19764"/>
      <w:r>
        <w:rPr>
          <w:rFonts w:hint="eastAsia" w:ascii="Times New Roman"/>
          <w:szCs w:val="21"/>
          <w:highlight w:val="none"/>
        </w:rPr>
        <w:t>、其他</w:t>
      </w:r>
      <w:bookmarkEnd w:id="957"/>
      <w:r>
        <w:rPr>
          <w:rFonts w:hint="eastAsia" w:ascii="Times New Roman"/>
          <w:szCs w:val="21"/>
          <w:highlight w:val="none"/>
        </w:rPr>
        <w:t>材料</w:t>
      </w:r>
    </w:p>
    <w:p>
      <w:pPr>
        <w:pStyle w:val="2"/>
        <w:spacing w:beforeLines="100" w:afterLines="100" w:line="240" w:lineRule="auto"/>
        <w:jc w:val="center"/>
        <w:rPr>
          <w:rFonts w:ascii="Times New Roman" w:hAnsi="Times New Roman"/>
          <w:highlight w:val="none"/>
        </w:rPr>
      </w:pPr>
      <w:r>
        <w:rPr>
          <w:rFonts w:ascii="Times New Roman" w:hAnsi="Times New Roman"/>
          <w:szCs w:val="21"/>
          <w:highlight w:val="none"/>
        </w:rPr>
        <w:br w:type="page"/>
      </w:r>
      <w:bookmarkStart w:id="958" w:name="_Toc460660223"/>
      <w:bookmarkStart w:id="959" w:name="_Toc390411621"/>
      <w:bookmarkStart w:id="960" w:name="_Toc421917001"/>
      <w:bookmarkStart w:id="961" w:name="_Toc460227108"/>
      <w:bookmarkStart w:id="962" w:name="_Toc224103496"/>
      <w:r>
        <w:rPr>
          <w:rFonts w:hint="eastAsia" w:ascii="Times New Roman" w:hAnsi="Times New Roman"/>
          <w:highlight w:val="none"/>
        </w:rPr>
        <w:t>一、投标函</w:t>
      </w:r>
    </w:p>
    <w:p>
      <w:pPr>
        <w:adjustRightInd w:val="0"/>
        <w:snapToGrid w:val="0"/>
        <w:spacing w:line="360" w:lineRule="auto"/>
        <w:rPr>
          <w:rFonts w:hAnsi="宋体" w:cs="宋体"/>
          <w:highlight w:val="none"/>
          <w:u w:val="single"/>
        </w:rPr>
      </w:pPr>
      <w:r>
        <w:rPr>
          <w:rFonts w:hint="eastAsia" w:hAnsi="宋体" w:cs="宋体"/>
          <w:highlight w:val="none"/>
        </w:rPr>
        <w:t>致：</w:t>
      </w:r>
      <w:r>
        <w:rPr>
          <w:rFonts w:hint="eastAsia" w:hAnsi="宋体" w:cs="宋体"/>
          <w:highlight w:val="none"/>
          <w:u w:val="single"/>
          <w:lang w:val="en-US" w:eastAsia="zh-CN"/>
        </w:rPr>
        <w:t xml:space="preserve">             </w:t>
      </w:r>
      <w:r>
        <w:rPr>
          <w:rFonts w:hint="eastAsia" w:hAnsi="宋体" w:cs="宋体"/>
          <w:highlight w:val="none"/>
          <w:u w:val="none"/>
        </w:rPr>
        <w:t>（招标人）</w:t>
      </w:r>
    </w:p>
    <w:p>
      <w:pPr>
        <w:spacing w:line="360" w:lineRule="auto"/>
        <w:ind w:firstLine="480" w:firstLineChars="200"/>
        <w:rPr>
          <w:rFonts w:hAnsi="宋体" w:cs="宋体"/>
          <w:highlight w:val="none"/>
        </w:rPr>
      </w:pPr>
      <w:r>
        <w:rPr>
          <w:rFonts w:hint="eastAsia" w:hAnsi="宋体" w:cs="宋体"/>
          <w:highlight w:val="none"/>
        </w:rPr>
        <w:t>1.我方已仔细研究了</w:t>
      </w:r>
      <w:r>
        <w:rPr>
          <w:rFonts w:hint="eastAsia" w:hAnsi="宋体" w:cs="宋体"/>
          <w:highlight w:val="none"/>
          <w:u w:val="single"/>
          <w:lang w:val="en-US" w:eastAsia="zh-CN"/>
        </w:rPr>
        <w:t xml:space="preserve">                       </w:t>
      </w:r>
      <w:r>
        <w:rPr>
          <w:rFonts w:hint="eastAsia" w:hAnsi="宋体" w:cs="宋体"/>
          <w:highlight w:val="none"/>
          <w:u w:val="none"/>
        </w:rPr>
        <w:t>（招标项目名称）</w:t>
      </w:r>
      <w:r>
        <w:rPr>
          <w:rFonts w:hint="eastAsia" w:hAnsi="宋体" w:cs="宋体"/>
          <w:highlight w:val="none"/>
          <w:u w:val="single"/>
          <w:lang w:val="en-US" w:eastAsia="zh-CN"/>
        </w:rPr>
        <w:t xml:space="preserve">    </w:t>
      </w:r>
      <w:r>
        <w:rPr>
          <w:rFonts w:hint="eastAsia" w:hAnsi="宋体" w:cs="宋体"/>
          <w:highlight w:val="none"/>
        </w:rPr>
        <w:t>标段招标文件的全部内容，愿以</w:t>
      </w:r>
      <w:r>
        <w:rPr>
          <w:rFonts w:hint="eastAsia" w:hAnsi="宋体" w:cs="宋体"/>
          <w:highlight w:val="none"/>
          <w:u w:val="single"/>
        </w:rPr>
        <w:t>报价文件投标函中</w:t>
      </w:r>
      <w:r>
        <w:rPr>
          <w:rFonts w:hint="eastAsia" w:hAnsi="宋体" w:cs="宋体"/>
          <w:highlight w:val="none"/>
        </w:rPr>
        <w:t>的投标总报价提供招标文件要求的货物、安装及技术服务和质保售后服务等，并按合同约定履行义务。</w:t>
      </w:r>
    </w:p>
    <w:p>
      <w:pPr>
        <w:spacing w:line="360" w:lineRule="auto"/>
        <w:ind w:firstLine="480" w:firstLineChars="200"/>
        <w:rPr>
          <w:rFonts w:hAnsi="宋体" w:cs="宋体"/>
          <w:highlight w:val="none"/>
        </w:rPr>
      </w:pPr>
      <w:r>
        <w:rPr>
          <w:rFonts w:hint="eastAsia" w:hAnsi="宋体" w:cs="宋体"/>
          <w:highlight w:val="none"/>
        </w:rPr>
        <w:t>2.我方承诺除商务和技术偏差表列出的偏差外，我方响应招标文件的全部要求。</w:t>
      </w:r>
    </w:p>
    <w:p>
      <w:pPr>
        <w:spacing w:line="360" w:lineRule="auto"/>
        <w:ind w:firstLine="480" w:firstLineChars="200"/>
        <w:rPr>
          <w:rFonts w:hAnsi="宋体" w:cs="宋体"/>
          <w:highlight w:val="none"/>
        </w:rPr>
      </w:pPr>
      <w:r>
        <w:rPr>
          <w:rFonts w:hint="eastAsia" w:hAnsi="宋体" w:cs="宋体"/>
          <w:highlight w:val="none"/>
        </w:rPr>
        <w:t>3.我方响应招标文件规定的投标有效期，并承诺在投标有效期内不撤销投标文件。</w:t>
      </w:r>
    </w:p>
    <w:p>
      <w:pPr>
        <w:spacing w:line="360" w:lineRule="auto"/>
        <w:ind w:firstLine="480" w:firstLineChars="200"/>
        <w:rPr>
          <w:rFonts w:hAnsi="宋体" w:cs="宋体"/>
          <w:bCs/>
          <w:highlight w:val="none"/>
        </w:rPr>
      </w:pPr>
      <w:r>
        <w:rPr>
          <w:rFonts w:hint="eastAsia" w:hAnsi="宋体" w:cs="宋体"/>
          <w:bCs/>
          <w:highlight w:val="none"/>
        </w:rPr>
        <w:t>4.如我方中标，我方承诺：</w:t>
      </w:r>
    </w:p>
    <w:p>
      <w:pPr>
        <w:spacing w:line="360" w:lineRule="auto"/>
        <w:ind w:firstLine="480" w:firstLineChars="200"/>
        <w:rPr>
          <w:rFonts w:hAnsi="宋体" w:cs="宋体"/>
          <w:highlight w:val="none"/>
        </w:rPr>
      </w:pPr>
      <w:r>
        <w:rPr>
          <w:rFonts w:hint="eastAsia" w:hAnsi="宋体" w:cs="宋体"/>
          <w:highlight w:val="none"/>
        </w:rPr>
        <w:t>（1）在收到中标通知书后，在中标通知书规定的期限内与你方签订合同；</w:t>
      </w:r>
    </w:p>
    <w:p>
      <w:pPr>
        <w:spacing w:line="360" w:lineRule="auto"/>
        <w:ind w:firstLine="480" w:firstLineChars="200"/>
        <w:rPr>
          <w:rFonts w:hAnsi="宋体" w:cs="宋体"/>
          <w:highlight w:val="none"/>
        </w:rPr>
      </w:pPr>
      <w:r>
        <w:rPr>
          <w:rFonts w:hint="eastAsia" w:hAnsi="宋体" w:cs="宋体"/>
          <w:highlight w:val="none"/>
        </w:rPr>
        <w:t>（2）在签订合同时不向你方提出附加条件；</w:t>
      </w:r>
    </w:p>
    <w:p>
      <w:pPr>
        <w:spacing w:line="360" w:lineRule="auto"/>
        <w:ind w:firstLine="405"/>
        <w:rPr>
          <w:rFonts w:hAnsi="宋体" w:cs="宋体"/>
          <w:highlight w:val="none"/>
        </w:rPr>
      </w:pPr>
      <w:r>
        <w:rPr>
          <w:rFonts w:hint="eastAsia" w:hAnsi="宋体" w:cs="宋体"/>
          <w:highlight w:val="none"/>
        </w:rPr>
        <w:t>（3）按照招标文件要求提交履约保证金；</w:t>
      </w:r>
      <w:bookmarkStart w:id="963" w:name="_Toc369531694"/>
      <w:bookmarkStart w:id="964" w:name="_Toc1187"/>
      <w:bookmarkStart w:id="965" w:name="_Toc352691658"/>
    </w:p>
    <w:p>
      <w:pPr>
        <w:spacing w:line="360" w:lineRule="auto"/>
        <w:ind w:firstLine="405"/>
        <w:rPr>
          <w:rFonts w:hAnsi="宋体" w:cs="宋体"/>
          <w:highlight w:val="none"/>
        </w:rPr>
      </w:pPr>
      <w:r>
        <w:rPr>
          <w:rFonts w:hint="eastAsia" w:hAnsi="宋体" w:cs="宋体"/>
          <w:highlight w:val="none"/>
        </w:rPr>
        <w:t>（4</w:t>
      </w:r>
      <w:bookmarkEnd w:id="963"/>
      <w:bookmarkEnd w:id="964"/>
      <w:bookmarkEnd w:id="965"/>
      <w:r>
        <w:rPr>
          <w:rFonts w:hint="eastAsia" w:hAnsi="宋体" w:cs="宋体"/>
          <w:highlight w:val="none"/>
        </w:rPr>
        <w:t>）在合同约定的期限内完成合同规定的全部义务。</w:t>
      </w:r>
    </w:p>
    <w:p>
      <w:pPr>
        <w:spacing w:line="360" w:lineRule="auto"/>
        <w:ind w:firstLine="480" w:firstLineChars="200"/>
        <w:rPr>
          <w:rFonts w:hAnsi="宋体" w:cs="宋体"/>
          <w:highlight w:val="none"/>
        </w:rPr>
      </w:pPr>
      <w:r>
        <w:rPr>
          <w:rFonts w:hint="eastAsia" w:hAnsi="宋体" w:cs="宋体"/>
          <w:highlight w:val="none"/>
        </w:rPr>
        <w:t>5.</w:t>
      </w:r>
      <w:r>
        <w:rPr>
          <w:rFonts w:hint="eastAsia" w:hAnsi="宋体" w:cs="宋体"/>
          <w:bCs/>
          <w:highlight w:val="none"/>
        </w:rPr>
        <w:t>除非另外达成协议并生效，你方的中标通知书和本投标文件以及招标文件、招标文件澄清、修改、补充文件将成为约束双方的合同文件的组成部分</w:t>
      </w:r>
      <w:r>
        <w:rPr>
          <w:rFonts w:hint="eastAsia" w:hAnsi="宋体" w:cs="宋体"/>
          <w:highlight w:val="none"/>
        </w:rPr>
        <w:t>。</w:t>
      </w:r>
    </w:p>
    <w:p>
      <w:pPr>
        <w:adjustRightInd w:val="0"/>
        <w:snapToGrid w:val="0"/>
        <w:spacing w:line="360" w:lineRule="auto"/>
        <w:ind w:firstLine="420" w:firstLineChars="175"/>
        <w:rPr>
          <w:rFonts w:hAnsi="宋体" w:cs="宋体"/>
          <w:bCs/>
          <w:highlight w:val="none"/>
          <w:u w:val="single"/>
        </w:rPr>
      </w:pPr>
      <w:r>
        <w:rPr>
          <w:rFonts w:hint="eastAsia" w:hAnsi="宋体" w:cs="宋体"/>
          <w:highlight w:val="none"/>
          <w:u w:val="single"/>
        </w:rPr>
        <w:t>6.</w:t>
      </w:r>
      <w:r>
        <w:rPr>
          <w:rFonts w:hint="eastAsia" w:hAnsi="宋体" w:cs="宋体"/>
          <w:highlight w:val="none"/>
          <w:u w:val="single"/>
          <w:lang w:val="en-US" w:eastAsia="zh-CN"/>
        </w:rPr>
        <w:t xml:space="preserve">                      </w:t>
      </w:r>
      <w:r>
        <w:rPr>
          <w:rFonts w:hint="eastAsia" w:hAnsi="宋体" w:cs="宋体"/>
          <w:highlight w:val="none"/>
          <w:u w:val="none"/>
        </w:rPr>
        <w:t>（其他补充说明）。</w:t>
      </w:r>
    </w:p>
    <w:p>
      <w:pPr>
        <w:adjustRightInd w:val="0"/>
        <w:snapToGrid w:val="0"/>
        <w:spacing w:line="360" w:lineRule="auto"/>
        <w:ind w:firstLine="420" w:firstLineChars="175"/>
        <w:rPr>
          <w:rFonts w:hAnsi="宋体" w:cs="宋体"/>
          <w:bCs/>
          <w:highlight w:val="none"/>
        </w:rPr>
      </w:pPr>
    </w:p>
    <w:p>
      <w:pPr>
        <w:adjustRightInd w:val="0"/>
        <w:snapToGrid w:val="0"/>
        <w:spacing w:line="360" w:lineRule="auto"/>
        <w:jc w:val="right"/>
        <w:rPr>
          <w:rFonts w:hint="eastAsia" w:ascii="Times New Roman"/>
          <w:bCs/>
          <w:color w:val="auto"/>
          <w:sz w:val="24"/>
          <w:szCs w:val="24"/>
          <w:highlight w:val="none"/>
          <w:u w:val="single"/>
        </w:rPr>
      </w:pPr>
      <w:r>
        <w:rPr>
          <w:rFonts w:hint="eastAsia" w:ascii="Times New Roman"/>
          <w:bCs/>
          <w:color w:val="auto"/>
          <w:spacing w:val="120"/>
          <w:kern w:val="0"/>
          <w:sz w:val="24"/>
          <w:szCs w:val="24"/>
          <w:highlight w:val="none"/>
          <w:fitText w:val="1200" w:id="1669233898"/>
        </w:rPr>
        <w:t>投标</w:t>
      </w:r>
      <w:r>
        <w:rPr>
          <w:rFonts w:hint="eastAsia" w:ascii="Times New Roman"/>
          <w:bCs/>
          <w:color w:val="auto"/>
          <w:spacing w:val="0"/>
          <w:kern w:val="0"/>
          <w:sz w:val="24"/>
          <w:szCs w:val="24"/>
          <w:highlight w:val="none"/>
          <w:fitText w:val="1200" w:id="1669233898"/>
        </w:rPr>
        <w:t>人</w:t>
      </w:r>
      <w:r>
        <w:rPr>
          <w:rFonts w:hint="eastAsia" w:ascii="Times New Roman"/>
          <w:bCs/>
          <w:color w:val="auto"/>
          <w:sz w:val="24"/>
          <w:szCs w:val="24"/>
          <w:highlight w:val="none"/>
        </w:rPr>
        <w:t>：</w:t>
      </w:r>
      <w:r>
        <w:rPr>
          <w:rFonts w:hint="eastAsia" w:ascii="Times New Roman"/>
          <w:bCs/>
          <w:color w:val="auto"/>
          <w:sz w:val="24"/>
          <w:szCs w:val="24"/>
          <w:highlight w:val="none"/>
          <w:u w:val="single"/>
        </w:rPr>
        <w:t xml:space="preserve">            </w:t>
      </w:r>
      <w:r>
        <w:rPr>
          <w:rFonts w:hint="eastAsia" w:ascii="Times New Roman"/>
          <w:bCs/>
          <w:color w:val="auto"/>
          <w:sz w:val="24"/>
          <w:szCs w:val="24"/>
          <w:highlight w:val="none"/>
        </w:rPr>
        <w:t>（盖单位章）</w:t>
      </w:r>
    </w:p>
    <w:p>
      <w:pPr>
        <w:adjustRightInd w:val="0"/>
        <w:snapToGrid w:val="0"/>
        <w:spacing w:line="360" w:lineRule="auto"/>
        <w:jc w:val="right"/>
        <w:rPr>
          <w:rFonts w:hint="eastAsia" w:ascii="Times New Roman"/>
          <w:color w:val="auto"/>
          <w:sz w:val="24"/>
          <w:szCs w:val="24"/>
          <w:highlight w:val="none"/>
          <w:u w:val="single"/>
        </w:rPr>
      </w:pPr>
      <w:r>
        <w:rPr>
          <w:rFonts w:hint="eastAsia" w:ascii="Times New Roman"/>
          <w:color w:val="auto"/>
          <w:spacing w:val="0"/>
          <w:kern w:val="0"/>
          <w:sz w:val="24"/>
          <w:szCs w:val="24"/>
          <w:highlight w:val="none"/>
          <w:fitText w:val="1200" w:id="259157900"/>
        </w:rPr>
        <w:t>法定代表人</w:t>
      </w:r>
      <w:r>
        <w:rPr>
          <w:rFonts w:hint="eastAsia" w:ascii="Times New Roman"/>
          <w:color w:val="auto"/>
          <w:sz w:val="24"/>
          <w:szCs w:val="24"/>
          <w:highlight w:val="none"/>
        </w:rPr>
        <w:t>：</w:t>
      </w:r>
      <w:r>
        <w:rPr>
          <w:rFonts w:hint="eastAsia" w:ascii="Times New Roman"/>
          <w:bCs/>
          <w:color w:val="auto"/>
          <w:sz w:val="24"/>
          <w:szCs w:val="24"/>
          <w:highlight w:val="none"/>
          <w:u w:val="single"/>
        </w:rPr>
        <w:t xml:space="preserve">          </w:t>
      </w:r>
      <w:r>
        <w:rPr>
          <w:rFonts w:hint="eastAsia" w:ascii="Times New Roman"/>
          <w:color w:val="auto"/>
          <w:sz w:val="24"/>
          <w:szCs w:val="24"/>
          <w:highlight w:val="none"/>
        </w:rPr>
        <w:t>（签字或盖章）</w:t>
      </w:r>
    </w:p>
    <w:p>
      <w:pPr>
        <w:adjustRightInd w:val="0"/>
        <w:snapToGrid w:val="0"/>
        <w:spacing w:line="360" w:lineRule="auto"/>
        <w:ind w:firstLine="1680" w:firstLineChars="175"/>
        <w:jc w:val="right"/>
        <w:rPr>
          <w:rFonts w:hAnsi="宋体" w:cs="宋体"/>
          <w:highlight w:val="none"/>
        </w:rPr>
      </w:pPr>
      <w:r>
        <w:rPr>
          <w:rFonts w:hint="eastAsia" w:ascii="Times New Roman"/>
          <w:bCs/>
          <w:color w:val="auto"/>
          <w:spacing w:val="360"/>
          <w:kern w:val="0"/>
          <w:sz w:val="24"/>
          <w:szCs w:val="24"/>
          <w:highlight w:val="none"/>
          <w:fitText w:val="1200" w:id="1583225148"/>
        </w:rPr>
        <w:t>日</w:t>
      </w:r>
      <w:r>
        <w:rPr>
          <w:rFonts w:hint="eastAsia" w:ascii="Times New Roman"/>
          <w:bCs/>
          <w:color w:val="auto"/>
          <w:spacing w:val="0"/>
          <w:kern w:val="0"/>
          <w:sz w:val="24"/>
          <w:szCs w:val="24"/>
          <w:highlight w:val="none"/>
          <w:fitText w:val="1200" w:id="1583225148"/>
        </w:rPr>
        <w:t>期</w:t>
      </w:r>
      <w:r>
        <w:rPr>
          <w:rFonts w:hint="eastAsia" w:ascii="Times New Roman"/>
          <w:color w:val="auto"/>
          <w:sz w:val="24"/>
          <w:szCs w:val="24"/>
          <w:highlight w:val="none"/>
        </w:rPr>
        <w:t>：</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年</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月</w:t>
      </w:r>
      <w:r>
        <w:rPr>
          <w:rFonts w:hint="eastAsia" w:ascii="Times New Roman"/>
          <w:color w:val="auto"/>
          <w:sz w:val="24"/>
          <w:szCs w:val="24"/>
          <w:highlight w:val="none"/>
          <w:u w:val="single"/>
        </w:rPr>
        <w:t xml:space="preserve">      </w:t>
      </w:r>
      <w:r>
        <w:rPr>
          <w:rFonts w:hint="eastAsia" w:ascii="宋体" w:hAnsi="宋体" w:cs="宋体"/>
          <w:color w:val="auto"/>
          <w:sz w:val="24"/>
          <w:highlight w:val="none"/>
        </w:rPr>
        <w:t>日</w:t>
      </w:r>
    </w:p>
    <w:p>
      <w:pPr>
        <w:pStyle w:val="2"/>
        <w:spacing w:beforeLines="100" w:afterLines="100" w:line="240" w:lineRule="auto"/>
        <w:jc w:val="center"/>
        <w:rPr>
          <w:rFonts w:ascii="Times New Roman" w:hAnsi="Times New Roman"/>
          <w:bCs w:val="0"/>
          <w:sz w:val="32"/>
          <w:szCs w:val="32"/>
          <w:highlight w:val="none"/>
        </w:rPr>
      </w:pPr>
      <w:r>
        <w:rPr>
          <w:rFonts w:hint="eastAsia" w:ascii="Times New Roman" w:hAnsi="Times New Roman"/>
          <w:highlight w:val="none"/>
        </w:rPr>
        <w:br w:type="page"/>
      </w:r>
      <w:r>
        <w:rPr>
          <w:rFonts w:hint="eastAsia" w:ascii="Times New Roman" w:hAnsi="Times New Roman"/>
          <w:highlight w:val="none"/>
        </w:rPr>
        <w:t>二、</w:t>
      </w:r>
      <w:bookmarkEnd w:id="958"/>
      <w:bookmarkEnd w:id="959"/>
      <w:bookmarkEnd w:id="960"/>
      <w:bookmarkEnd w:id="961"/>
      <w:r>
        <w:rPr>
          <w:rFonts w:hint="eastAsia" w:ascii="Times New Roman" w:hAnsi="Times New Roman"/>
          <w:highlight w:val="none"/>
        </w:rPr>
        <w:t>法定代表人身份证明或授权委托书</w:t>
      </w:r>
    </w:p>
    <w:p>
      <w:pPr>
        <w:spacing w:line="360" w:lineRule="auto"/>
        <w:ind w:firstLine="1159" w:firstLineChars="414"/>
        <w:rPr>
          <w:bCs/>
          <w:sz w:val="28"/>
          <w:szCs w:val="22"/>
          <w:highlight w:val="none"/>
        </w:rPr>
      </w:pPr>
    </w:p>
    <w:p>
      <w:pPr>
        <w:spacing w:line="360" w:lineRule="auto"/>
        <w:jc w:val="center"/>
        <w:outlineLvl w:val="3"/>
        <w:rPr>
          <w:rFonts w:ascii="黑体" w:hAnsi="黑体" w:eastAsia="黑体" w:cs="黑体"/>
          <w:bCs/>
          <w:highlight w:val="none"/>
        </w:rPr>
      </w:pPr>
      <w:r>
        <w:rPr>
          <w:rFonts w:hint="eastAsia" w:ascii="黑体" w:hAnsi="黑体" w:eastAsia="黑体" w:cs="黑体"/>
          <w:bCs/>
          <w:highlight w:val="none"/>
        </w:rPr>
        <w:t>法定代表人身份证明</w:t>
      </w:r>
    </w:p>
    <w:p>
      <w:pPr>
        <w:spacing w:line="360" w:lineRule="auto"/>
        <w:ind w:left="765"/>
        <w:rPr>
          <w:rFonts w:hAnsi="宋体" w:cs="宋体"/>
          <w:highlight w:val="none"/>
        </w:rPr>
      </w:pPr>
    </w:p>
    <w:p>
      <w:pPr>
        <w:spacing w:line="360" w:lineRule="auto"/>
        <w:rPr>
          <w:rFonts w:hAnsi="宋体" w:cs="宋体"/>
          <w:highlight w:val="none"/>
        </w:rPr>
      </w:pPr>
      <w:r>
        <w:rPr>
          <w:rFonts w:hint="eastAsia" w:hAnsi="宋体" w:cs="宋体"/>
          <w:highlight w:val="none"/>
        </w:rPr>
        <w:t>投 标 人：</w:t>
      </w:r>
      <w:r>
        <w:rPr>
          <w:rFonts w:hint="eastAsia" w:hAnsi="宋体" w:cs="宋体"/>
          <w:highlight w:val="none"/>
          <w:u w:val="single"/>
          <w:lang w:val="en-US" w:eastAsia="zh-CN"/>
        </w:rPr>
        <w:t xml:space="preserve">                                                         </w:t>
      </w:r>
    </w:p>
    <w:p>
      <w:pPr>
        <w:spacing w:line="360" w:lineRule="auto"/>
        <w:rPr>
          <w:rFonts w:hAnsi="宋体" w:cs="宋体"/>
          <w:highlight w:val="none"/>
        </w:rPr>
      </w:pPr>
      <w:r>
        <w:rPr>
          <w:rFonts w:hint="eastAsia" w:hAnsi="宋体" w:cs="宋体"/>
          <w:highlight w:val="none"/>
        </w:rPr>
        <w:t>单位性质：</w:t>
      </w:r>
      <w:r>
        <w:rPr>
          <w:rFonts w:hint="eastAsia" w:hAnsi="宋体" w:cs="宋体"/>
          <w:highlight w:val="none"/>
          <w:u w:val="single"/>
          <w:lang w:val="en-US" w:eastAsia="zh-CN"/>
        </w:rPr>
        <w:t xml:space="preserve">                                                         </w:t>
      </w:r>
    </w:p>
    <w:p>
      <w:pPr>
        <w:spacing w:line="360" w:lineRule="auto"/>
        <w:rPr>
          <w:rFonts w:hAnsi="宋体" w:cs="宋体"/>
          <w:highlight w:val="none"/>
        </w:rPr>
      </w:pPr>
      <w:r>
        <w:rPr>
          <w:rFonts w:hint="eastAsia" w:hAnsi="宋体" w:cs="宋体"/>
          <w:highlight w:val="none"/>
        </w:rPr>
        <w:t>地    址：</w:t>
      </w:r>
      <w:r>
        <w:rPr>
          <w:rFonts w:hint="eastAsia" w:hAnsi="宋体" w:cs="宋体"/>
          <w:highlight w:val="none"/>
          <w:u w:val="single"/>
          <w:lang w:val="en-US" w:eastAsia="zh-CN"/>
        </w:rPr>
        <w:t xml:space="preserve">                                                         </w:t>
      </w:r>
    </w:p>
    <w:p>
      <w:pPr>
        <w:spacing w:line="360" w:lineRule="auto"/>
        <w:rPr>
          <w:rFonts w:hAnsi="宋体" w:cs="宋体"/>
          <w:highlight w:val="none"/>
          <w:u w:val="single"/>
        </w:rPr>
      </w:pPr>
      <w:r>
        <w:rPr>
          <w:rFonts w:hint="eastAsia" w:hAnsi="宋体" w:cs="宋体"/>
          <w:highlight w:val="none"/>
        </w:rPr>
        <w:t>成立时间：</w:t>
      </w:r>
      <w:r>
        <w:rPr>
          <w:rFonts w:hint="eastAsia" w:hAnsi="宋体" w:cs="宋体"/>
          <w:highlight w:val="none"/>
          <w:u w:val="single"/>
          <w:lang w:val="en-US" w:eastAsia="zh-CN"/>
        </w:rPr>
        <w:t xml:space="preserve">                   </w:t>
      </w:r>
      <w:r>
        <w:rPr>
          <w:rFonts w:hint="eastAsia" w:hAnsi="宋体" w:cs="宋体"/>
          <w:highlight w:val="none"/>
          <w:u w:val="none"/>
        </w:rPr>
        <w:t>年</w:t>
      </w:r>
      <w:r>
        <w:rPr>
          <w:rFonts w:hint="eastAsia" w:hAnsi="宋体" w:cs="宋体"/>
          <w:highlight w:val="none"/>
          <w:u w:val="single"/>
          <w:lang w:val="en-US" w:eastAsia="zh-CN"/>
        </w:rPr>
        <w:t xml:space="preserve">                </w:t>
      </w:r>
      <w:r>
        <w:rPr>
          <w:rFonts w:hint="eastAsia" w:hAnsi="宋体" w:cs="宋体"/>
          <w:highlight w:val="none"/>
          <w:u w:val="none"/>
        </w:rPr>
        <w:t>月</w:t>
      </w:r>
      <w:r>
        <w:rPr>
          <w:rFonts w:hint="eastAsia" w:hAnsi="宋体" w:cs="宋体"/>
          <w:highlight w:val="none"/>
          <w:u w:val="single"/>
          <w:lang w:val="en-US" w:eastAsia="zh-CN"/>
        </w:rPr>
        <w:t xml:space="preserve">                 </w:t>
      </w:r>
      <w:r>
        <w:rPr>
          <w:rFonts w:hint="eastAsia" w:hAnsi="宋体" w:cs="宋体"/>
          <w:highlight w:val="none"/>
          <w:u w:val="none"/>
        </w:rPr>
        <w:t>日</w:t>
      </w:r>
    </w:p>
    <w:p>
      <w:pPr>
        <w:spacing w:line="360" w:lineRule="auto"/>
        <w:rPr>
          <w:rFonts w:hAnsi="宋体" w:cs="宋体"/>
          <w:highlight w:val="none"/>
        </w:rPr>
      </w:pPr>
      <w:r>
        <w:rPr>
          <w:rFonts w:hint="eastAsia" w:hAnsi="宋体" w:cs="宋体"/>
          <w:highlight w:val="none"/>
        </w:rPr>
        <w:t>经营期限：</w:t>
      </w:r>
      <w:r>
        <w:rPr>
          <w:rFonts w:hint="eastAsia" w:hAnsi="宋体" w:cs="宋体"/>
          <w:highlight w:val="none"/>
          <w:u w:val="single"/>
          <w:lang w:val="en-US" w:eastAsia="zh-CN"/>
        </w:rPr>
        <w:t xml:space="preserve">                                                          </w:t>
      </w:r>
    </w:p>
    <w:p>
      <w:pPr>
        <w:spacing w:line="360" w:lineRule="auto"/>
        <w:rPr>
          <w:rFonts w:hAnsi="宋体" w:cs="宋体"/>
          <w:highlight w:val="none"/>
        </w:rPr>
      </w:pPr>
      <w:r>
        <w:rPr>
          <w:rFonts w:hint="eastAsia" w:hAnsi="宋体" w:cs="宋体"/>
          <w:highlight w:val="none"/>
        </w:rPr>
        <w:t>姓    名：</w:t>
      </w:r>
      <w:r>
        <w:rPr>
          <w:rFonts w:hint="eastAsia" w:hAnsi="宋体" w:cs="宋体"/>
          <w:highlight w:val="none"/>
          <w:u w:val="single"/>
          <w:lang w:val="en-US" w:eastAsia="zh-CN"/>
        </w:rPr>
        <w:t xml:space="preserve">                    </w:t>
      </w:r>
      <w:r>
        <w:rPr>
          <w:rFonts w:hint="eastAsia" w:hAnsi="宋体" w:cs="宋体"/>
          <w:highlight w:val="none"/>
          <w:lang w:val="en-US" w:eastAsia="zh-CN"/>
        </w:rPr>
        <w:t xml:space="preserve"> </w:t>
      </w:r>
      <w:r>
        <w:rPr>
          <w:rFonts w:hint="eastAsia" w:hAnsi="宋体" w:cs="宋体"/>
          <w:highlight w:val="none"/>
        </w:rPr>
        <w:t>性        别：</w:t>
      </w:r>
      <w:r>
        <w:rPr>
          <w:rFonts w:hint="eastAsia" w:hAnsi="宋体" w:cs="宋体"/>
          <w:highlight w:val="none"/>
          <w:u w:val="single"/>
          <w:lang w:val="en-US" w:eastAsia="zh-CN"/>
        </w:rPr>
        <w:t xml:space="preserve">                       </w:t>
      </w:r>
    </w:p>
    <w:p>
      <w:pPr>
        <w:spacing w:line="360" w:lineRule="auto"/>
        <w:rPr>
          <w:rFonts w:hAnsi="宋体" w:cs="宋体"/>
          <w:highlight w:val="none"/>
          <w:u w:val="single"/>
        </w:rPr>
      </w:pPr>
      <w:r>
        <w:rPr>
          <w:rFonts w:hint="eastAsia" w:hAnsi="宋体" w:cs="宋体"/>
          <w:highlight w:val="none"/>
        </w:rPr>
        <w:t>年    龄：</w:t>
      </w:r>
      <w:r>
        <w:rPr>
          <w:rFonts w:hint="eastAsia" w:hAnsi="宋体" w:cs="宋体"/>
          <w:highlight w:val="none"/>
          <w:u w:val="single"/>
          <w:lang w:val="en-US" w:eastAsia="zh-CN"/>
        </w:rPr>
        <w:t xml:space="preserve">                    </w:t>
      </w:r>
      <w:r>
        <w:rPr>
          <w:rFonts w:hint="eastAsia" w:hAnsi="宋体" w:cs="宋体"/>
          <w:highlight w:val="none"/>
          <w:lang w:val="en-US" w:eastAsia="zh-CN"/>
        </w:rPr>
        <w:t xml:space="preserve"> </w:t>
      </w:r>
      <w:r>
        <w:rPr>
          <w:rFonts w:hint="eastAsia" w:hAnsi="宋体" w:cs="宋体"/>
          <w:highlight w:val="none"/>
        </w:rPr>
        <w:t>职        务：</w:t>
      </w:r>
      <w:r>
        <w:rPr>
          <w:rFonts w:hint="eastAsia" w:hAnsi="宋体" w:cs="宋体"/>
          <w:highlight w:val="none"/>
          <w:u w:val="single"/>
          <w:lang w:val="en-US" w:eastAsia="zh-CN"/>
        </w:rPr>
        <w:t xml:space="preserve">                       </w:t>
      </w:r>
    </w:p>
    <w:p>
      <w:pPr>
        <w:spacing w:line="360" w:lineRule="auto"/>
        <w:rPr>
          <w:highlight w:val="none"/>
        </w:rPr>
      </w:pPr>
      <w:r>
        <w:rPr>
          <w:rFonts w:hint="eastAsia" w:ascii="Times New Roman"/>
          <w:szCs w:val="24"/>
          <w:highlight w:val="none"/>
        </w:rPr>
        <w:t>联系电话：</w:t>
      </w:r>
      <w:r>
        <w:rPr>
          <w:rFonts w:hint="eastAsia" w:ascii="Times New Roman"/>
          <w:szCs w:val="24"/>
          <w:highlight w:val="none"/>
          <w:u w:val="single"/>
          <w:lang w:val="en-US" w:eastAsia="zh-CN"/>
        </w:rPr>
        <w:t xml:space="preserve">                    </w:t>
      </w:r>
      <w:r>
        <w:rPr>
          <w:rFonts w:hint="eastAsia" w:ascii="Times New Roman"/>
          <w:szCs w:val="24"/>
          <w:highlight w:val="none"/>
          <w:lang w:val="en-US" w:eastAsia="zh-CN"/>
        </w:rPr>
        <w:t xml:space="preserve"> </w:t>
      </w:r>
      <w:r>
        <w:rPr>
          <w:rFonts w:hint="eastAsia" w:ascii="Times New Roman"/>
          <w:szCs w:val="24"/>
          <w:highlight w:val="none"/>
        </w:rPr>
        <w:t>手 机  号 码：</w:t>
      </w:r>
      <w:r>
        <w:rPr>
          <w:rFonts w:hint="eastAsia" w:hAnsi="宋体" w:cs="宋体"/>
          <w:highlight w:val="none"/>
          <w:u w:val="single"/>
          <w:lang w:val="en-US" w:eastAsia="zh-CN"/>
        </w:rPr>
        <w:t xml:space="preserve">                       </w:t>
      </w:r>
    </w:p>
    <w:p>
      <w:pPr>
        <w:spacing w:line="360" w:lineRule="auto"/>
        <w:rPr>
          <w:rFonts w:hAnsi="宋体" w:cs="宋体"/>
          <w:highlight w:val="none"/>
        </w:rPr>
      </w:pPr>
      <w:r>
        <w:rPr>
          <w:rFonts w:hint="eastAsia" w:hAnsi="宋体" w:cs="宋体"/>
          <w:highlight w:val="none"/>
        </w:rPr>
        <w:t>系</w:t>
      </w:r>
      <w:r>
        <w:rPr>
          <w:rFonts w:hint="eastAsia" w:hAnsi="宋体" w:cs="宋体"/>
          <w:highlight w:val="none"/>
          <w:u w:val="single"/>
          <w:lang w:val="en-US" w:eastAsia="zh-CN"/>
        </w:rPr>
        <w:t xml:space="preserve">                             </w:t>
      </w:r>
      <w:r>
        <w:rPr>
          <w:rFonts w:hint="eastAsia" w:hAnsi="宋体" w:cs="宋体"/>
          <w:highlight w:val="none"/>
          <w:u w:val="none"/>
        </w:rPr>
        <w:t>（投标人名称）</w:t>
      </w:r>
      <w:r>
        <w:rPr>
          <w:rFonts w:hint="eastAsia" w:hAnsi="宋体" w:cs="宋体"/>
          <w:highlight w:val="none"/>
        </w:rPr>
        <w:t>的法定代表人。</w:t>
      </w:r>
    </w:p>
    <w:p>
      <w:pPr>
        <w:spacing w:line="360" w:lineRule="auto"/>
        <w:rPr>
          <w:rFonts w:hAnsi="宋体" w:cs="宋体"/>
          <w:highlight w:val="none"/>
        </w:rPr>
      </w:pPr>
      <w:r>
        <w:rPr>
          <w:rFonts w:hint="eastAsia" w:hAnsi="宋体" w:cs="宋体"/>
          <w:highlight w:val="none"/>
        </w:rPr>
        <w:t>特此证明。</w:t>
      </w:r>
    </w:p>
    <w:p>
      <w:pPr>
        <w:spacing w:line="360" w:lineRule="auto"/>
        <w:rPr>
          <w:rFonts w:hAnsi="宋体" w:cs="宋体"/>
          <w:highlight w:val="none"/>
        </w:rPr>
      </w:pPr>
      <w:r>
        <w:rPr>
          <w:rFonts w:hint="eastAsia" w:hAnsi="宋体" w:cs="宋体"/>
          <w:highlight w:val="none"/>
        </w:rPr>
        <w:t>附：法定代表人身份证正反面扫描件</w:t>
      </w:r>
    </w:p>
    <w:p>
      <w:pPr>
        <w:spacing w:line="360" w:lineRule="auto"/>
        <w:rPr>
          <w:rFonts w:hAnsi="宋体" w:cs="宋体"/>
          <w:highlight w:val="none"/>
        </w:rPr>
      </w:pPr>
    </w:p>
    <w:p>
      <w:pPr>
        <w:spacing w:line="360" w:lineRule="auto"/>
        <w:rPr>
          <w:rFonts w:hAnsi="宋体" w:cs="宋体"/>
          <w:highlight w:val="none"/>
        </w:rPr>
      </w:pPr>
    </w:p>
    <w:p>
      <w:pPr>
        <w:adjustRightInd w:val="0"/>
        <w:snapToGrid w:val="0"/>
        <w:spacing w:line="360" w:lineRule="auto"/>
        <w:ind w:left="5040" w:leftChars="500" w:hanging="3840" w:hangingChars="800"/>
        <w:jc w:val="right"/>
        <w:rPr>
          <w:rFonts w:hint="eastAsia" w:ascii="Times New Roman"/>
          <w:bCs/>
          <w:szCs w:val="24"/>
          <w:highlight w:val="none"/>
          <w:u w:val="none"/>
        </w:rPr>
      </w:pPr>
      <w:r>
        <w:rPr>
          <w:rFonts w:hint="eastAsia" w:ascii="Times New Roman"/>
          <w:bCs/>
          <w:spacing w:val="120"/>
          <w:kern w:val="0"/>
          <w:szCs w:val="24"/>
          <w:highlight w:val="none"/>
          <w:fitText w:val="1200" w:id="1084178010"/>
        </w:rPr>
        <w:t>投标</w:t>
      </w:r>
      <w:r>
        <w:rPr>
          <w:rFonts w:hint="eastAsia" w:ascii="Times New Roman"/>
          <w:bCs/>
          <w:spacing w:val="0"/>
          <w:kern w:val="0"/>
          <w:szCs w:val="24"/>
          <w:highlight w:val="none"/>
          <w:fitText w:val="1200" w:id="1084178010"/>
        </w:rPr>
        <w:t>人</w:t>
      </w:r>
      <w:r>
        <w:rPr>
          <w:rFonts w:hint="eastAsia" w:ascii="Times New Roman"/>
          <w:bCs/>
          <w:szCs w:val="24"/>
          <w:highlight w:val="none"/>
        </w:rPr>
        <w:t>：</w:t>
      </w:r>
      <w:r>
        <w:rPr>
          <w:rFonts w:hint="eastAsia" w:ascii="Times New Roman"/>
          <w:bCs/>
          <w:szCs w:val="24"/>
          <w:highlight w:val="none"/>
          <w:u w:val="single"/>
          <w:lang w:val="en-US" w:eastAsia="zh-CN"/>
        </w:rPr>
        <w:t xml:space="preserve">                  </w:t>
      </w:r>
      <w:r>
        <w:rPr>
          <w:rFonts w:hint="eastAsia" w:ascii="Times New Roman"/>
          <w:bCs/>
          <w:szCs w:val="24"/>
          <w:highlight w:val="none"/>
          <w:u w:val="none"/>
        </w:rPr>
        <w:t>（盖单位章）</w:t>
      </w:r>
    </w:p>
    <w:p>
      <w:pPr>
        <w:adjustRightInd w:val="0"/>
        <w:snapToGrid w:val="0"/>
        <w:spacing w:line="360" w:lineRule="auto"/>
        <w:ind w:left="8880" w:leftChars="500" w:hanging="7680" w:hangingChars="800"/>
        <w:jc w:val="right"/>
        <w:rPr>
          <w:rFonts w:ascii="Times New Roman" w:eastAsia="黑体"/>
          <w:szCs w:val="24"/>
          <w:highlight w:val="none"/>
        </w:rPr>
      </w:pPr>
      <w:r>
        <w:rPr>
          <w:rFonts w:hint="eastAsia" w:ascii="Times New Roman"/>
          <w:bCs/>
          <w:spacing w:val="360"/>
          <w:kern w:val="0"/>
          <w:szCs w:val="24"/>
          <w:highlight w:val="none"/>
          <w:fitText w:val="1200" w:id="1440298670"/>
        </w:rPr>
        <w:t>日</w:t>
      </w:r>
      <w:r>
        <w:rPr>
          <w:rFonts w:hint="eastAsia" w:ascii="Times New Roman"/>
          <w:bCs/>
          <w:spacing w:val="0"/>
          <w:kern w:val="0"/>
          <w:szCs w:val="24"/>
          <w:highlight w:val="none"/>
          <w:fitText w:val="1200" w:id="1440298670"/>
        </w:rPr>
        <w:t>期</w:t>
      </w:r>
      <w:r>
        <w:rPr>
          <w:rFonts w:hint="eastAsia" w:ascii="Times New Roman"/>
          <w:szCs w:val="24"/>
          <w:highlight w:val="none"/>
        </w:rPr>
        <w:t>：</w:t>
      </w:r>
      <w:r>
        <w:rPr>
          <w:rFonts w:hint="eastAsia" w:ascii="Times New Roman"/>
          <w:szCs w:val="24"/>
          <w:highlight w:val="none"/>
          <w:lang w:val="en-US" w:eastAsia="zh-CN"/>
        </w:rPr>
        <w:t xml:space="preserve">  </w:t>
      </w:r>
      <w:r>
        <w:rPr>
          <w:rFonts w:hint="eastAsia" w:ascii="Times New Roman"/>
          <w:szCs w:val="24"/>
          <w:highlight w:val="none"/>
          <w:u w:val="single"/>
          <w:lang w:val="en-US" w:eastAsia="zh-CN"/>
        </w:rPr>
        <w:t xml:space="preserve">        </w:t>
      </w:r>
      <w:r>
        <w:rPr>
          <w:rFonts w:hint="eastAsia" w:ascii="Times New Roman"/>
          <w:szCs w:val="24"/>
          <w:highlight w:val="none"/>
          <w:u w:val="none"/>
        </w:rPr>
        <w:t>年</w:t>
      </w:r>
      <w:r>
        <w:rPr>
          <w:rFonts w:hint="eastAsia" w:ascii="Times New Roman"/>
          <w:szCs w:val="24"/>
          <w:highlight w:val="none"/>
          <w:u w:val="single"/>
          <w:lang w:val="en-US" w:eastAsia="zh-CN"/>
        </w:rPr>
        <w:t xml:space="preserve">       </w:t>
      </w:r>
      <w:r>
        <w:rPr>
          <w:rFonts w:hint="eastAsia" w:ascii="Times New Roman"/>
          <w:szCs w:val="24"/>
          <w:highlight w:val="none"/>
          <w:u w:val="none"/>
        </w:rPr>
        <w:t>月</w:t>
      </w:r>
      <w:r>
        <w:rPr>
          <w:rFonts w:hint="eastAsia" w:ascii="Times New Roman"/>
          <w:szCs w:val="24"/>
          <w:highlight w:val="none"/>
          <w:u w:val="single"/>
          <w:lang w:val="en-US" w:eastAsia="zh-CN"/>
        </w:rPr>
        <w:t xml:space="preserve">       </w:t>
      </w:r>
      <w:r>
        <w:rPr>
          <w:rFonts w:hint="eastAsia" w:ascii="Times New Roman"/>
          <w:szCs w:val="24"/>
          <w:highlight w:val="none"/>
          <w:u w:val="none"/>
        </w:rPr>
        <w:t>日</w:t>
      </w:r>
    </w:p>
    <w:p>
      <w:pPr>
        <w:spacing w:beforeLines="20" w:afterLines="20" w:line="540" w:lineRule="exact"/>
        <w:ind w:firstLine="3840" w:firstLineChars="1600"/>
        <w:rPr>
          <w:szCs w:val="22"/>
          <w:highlight w:val="none"/>
        </w:rPr>
      </w:pPr>
    </w:p>
    <w:p>
      <w:pPr>
        <w:spacing w:beforeLines="20" w:afterLines="20" w:line="540" w:lineRule="exact"/>
        <w:rPr>
          <w:bCs/>
          <w:szCs w:val="22"/>
          <w:highlight w:val="none"/>
        </w:rPr>
      </w:pPr>
    </w:p>
    <w:p>
      <w:pPr>
        <w:spacing w:beforeLines="20" w:afterLines="20" w:line="540" w:lineRule="exact"/>
        <w:rPr>
          <w:bCs/>
          <w:szCs w:val="22"/>
          <w:highlight w:val="none"/>
        </w:rPr>
      </w:pPr>
    </w:p>
    <w:p>
      <w:pPr>
        <w:spacing w:beforeLines="20" w:afterLines="20" w:line="540" w:lineRule="exact"/>
        <w:rPr>
          <w:bCs/>
          <w:szCs w:val="22"/>
          <w:highlight w:val="none"/>
        </w:rPr>
      </w:pPr>
    </w:p>
    <w:bookmarkEnd w:id="962"/>
    <w:p>
      <w:pPr>
        <w:jc w:val="center"/>
        <w:outlineLvl w:val="3"/>
        <w:rPr>
          <w:sz w:val="32"/>
          <w:szCs w:val="32"/>
          <w:highlight w:val="none"/>
        </w:rPr>
      </w:pPr>
      <w:bookmarkStart w:id="966" w:name="_Toc535241084"/>
      <w:bookmarkStart w:id="967" w:name="_Toc535241130"/>
      <w:bookmarkStart w:id="968" w:name="_Toc535241227"/>
      <w:bookmarkStart w:id="969" w:name="_Toc224103498"/>
      <w:bookmarkStart w:id="970" w:name="_Toc224103497"/>
      <w:r>
        <w:rPr>
          <w:sz w:val="32"/>
          <w:szCs w:val="32"/>
          <w:highlight w:val="none"/>
        </w:rPr>
        <w:br w:type="page"/>
      </w:r>
      <w:r>
        <w:rPr>
          <w:rFonts w:hint="eastAsia" w:eastAsia="黑体"/>
          <w:bCs/>
          <w:highlight w:val="none"/>
        </w:rPr>
        <w:t>授权委托书</w:t>
      </w:r>
      <w:bookmarkEnd w:id="966"/>
      <w:bookmarkEnd w:id="967"/>
      <w:bookmarkEnd w:id="968"/>
    </w:p>
    <w:p>
      <w:pPr>
        <w:rPr>
          <w:highlight w:val="none"/>
        </w:rPr>
      </w:pPr>
    </w:p>
    <w:bookmarkEnd w:id="969"/>
    <w:bookmarkEnd w:id="970"/>
    <w:p>
      <w:pPr>
        <w:snapToGrid w:val="0"/>
        <w:spacing w:line="360" w:lineRule="auto"/>
        <w:ind w:firstLine="480" w:firstLineChars="200"/>
        <w:jc w:val="left"/>
        <w:rPr>
          <w:rFonts w:hint="eastAsia" w:ascii="宋体" w:hAnsi="宋体" w:cs="宋体"/>
          <w:color w:val="auto"/>
          <w:sz w:val="24"/>
          <w:highlight w:val="none"/>
        </w:rPr>
      </w:pPr>
      <w:bookmarkStart w:id="971" w:name="_Toc535241228"/>
      <w:bookmarkStart w:id="972" w:name="_Toc460227109"/>
      <w:bookmarkStart w:id="973" w:name="_Toc460660224"/>
      <w:bookmarkStart w:id="974" w:name="_Toc224103499"/>
      <w:bookmarkStart w:id="975" w:name="_Toc421917002"/>
      <w:bookmarkStart w:id="976" w:name="_Toc535241131"/>
      <w:bookmarkStart w:id="977" w:name="_Toc390411622"/>
      <w:bookmarkStart w:id="978" w:name="_Toc535241085"/>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（姓名）为我方代理人。代理人根据授权，以我方名义签署、澄清、说明、补正、递交、撤回、修改</w:t>
      </w:r>
      <w:r>
        <w:rPr>
          <w:rFonts w:hint="eastAsia" w:hAnsi="宋体"/>
          <w:color w:val="auto"/>
          <w:sz w:val="24"/>
          <w:highlight w:val="none"/>
          <w:u w:val="single"/>
        </w:rPr>
        <w:t>（招标项目名称）</w:t>
      </w: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标段</w:t>
      </w:r>
      <w:r>
        <w:rPr>
          <w:rFonts w:hint="eastAsia" w:ascii="宋体" w:hAnsi="宋体" w:cs="宋体"/>
          <w:color w:val="auto"/>
          <w:sz w:val="24"/>
          <w:highlight w:val="none"/>
        </w:rPr>
        <w:t>投标文件、签订合同和处理有关事宜，其法律后果由我方承担。</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委托期限：</w:t>
      </w:r>
      <w:r>
        <w:rPr>
          <w:rFonts w:hint="eastAsia" w:ascii="Times New Roman"/>
          <w:color w:val="auto"/>
          <w:sz w:val="24"/>
          <w:szCs w:val="24"/>
          <w:highlight w:val="none"/>
          <w:u w:val="single"/>
        </w:rPr>
        <w:t>自本委托书签署之日起至投标有效期期满</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代理人无转委托权。</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附：法定代表人身份证明</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代理人身份证</w:t>
      </w:r>
      <w:r>
        <w:rPr>
          <w:rFonts w:hint="eastAsia" w:ascii="宋体" w:hAnsi="宋体" w:cs="宋体"/>
          <w:color w:val="auto"/>
          <w:sz w:val="24"/>
          <w:highlight w:val="none"/>
          <w:lang w:val="en-US" w:eastAsia="zh-CN"/>
        </w:rPr>
        <w:t>正反面</w:t>
      </w:r>
      <w:r>
        <w:rPr>
          <w:rFonts w:hint="eastAsia" w:ascii="宋体" w:hAnsi="宋体" w:cs="宋体"/>
          <w:color w:val="auto"/>
          <w:sz w:val="24"/>
          <w:highlight w:val="none"/>
        </w:rPr>
        <w:t>扫描件</w:t>
      </w:r>
    </w:p>
    <w:p>
      <w:pPr>
        <w:adjustRightInd w:val="0"/>
        <w:snapToGrid w:val="0"/>
        <w:spacing w:line="360" w:lineRule="auto"/>
        <w:jc w:val="right"/>
        <w:rPr>
          <w:rFonts w:hint="eastAsia" w:ascii="Times New Roman"/>
          <w:bCs/>
          <w:color w:val="auto"/>
          <w:sz w:val="24"/>
          <w:szCs w:val="24"/>
          <w:highlight w:val="none"/>
          <w:u w:val="single"/>
        </w:rPr>
      </w:pPr>
      <w:r>
        <w:rPr>
          <w:rFonts w:hint="eastAsia" w:ascii="Times New Roman"/>
          <w:bCs/>
          <w:color w:val="auto"/>
          <w:spacing w:val="120"/>
          <w:kern w:val="0"/>
          <w:sz w:val="24"/>
          <w:szCs w:val="24"/>
          <w:highlight w:val="none"/>
          <w:fitText w:val="1200" w:id="368118684"/>
        </w:rPr>
        <w:t>投标</w:t>
      </w:r>
      <w:r>
        <w:rPr>
          <w:rFonts w:hint="eastAsia" w:ascii="Times New Roman"/>
          <w:bCs/>
          <w:color w:val="auto"/>
          <w:spacing w:val="0"/>
          <w:kern w:val="0"/>
          <w:sz w:val="24"/>
          <w:szCs w:val="24"/>
          <w:highlight w:val="none"/>
          <w:fitText w:val="1200" w:id="368118684"/>
        </w:rPr>
        <w:t>人</w:t>
      </w:r>
      <w:r>
        <w:rPr>
          <w:rFonts w:hint="eastAsia" w:ascii="Times New Roman"/>
          <w:bCs/>
          <w:color w:val="auto"/>
          <w:sz w:val="24"/>
          <w:szCs w:val="24"/>
          <w:highlight w:val="none"/>
        </w:rPr>
        <w:t>：</w:t>
      </w:r>
      <w:r>
        <w:rPr>
          <w:rFonts w:hint="eastAsia" w:ascii="Times New Roman"/>
          <w:bCs/>
          <w:color w:val="auto"/>
          <w:sz w:val="24"/>
          <w:szCs w:val="24"/>
          <w:highlight w:val="none"/>
          <w:u w:val="single"/>
        </w:rPr>
        <w:t xml:space="preserve">            </w:t>
      </w:r>
      <w:r>
        <w:rPr>
          <w:rFonts w:hint="eastAsia" w:ascii="Times New Roman"/>
          <w:bCs/>
          <w:color w:val="auto"/>
          <w:sz w:val="24"/>
          <w:szCs w:val="24"/>
          <w:highlight w:val="none"/>
        </w:rPr>
        <w:t>（盖单位章）</w:t>
      </w:r>
    </w:p>
    <w:p>
      <w:pPr>
        <w:adjustRightInd w:val="0"/>
        <w:snapToGrid w:val="0"/>
        <w:spacing w:line="360" w:lineRule="auto"/>
        <w:jc w:val="right"/>
        <w:rPr>
          <w:rFonts w:hint="eastAsia" w:ascii="Times New Roman"/>
          <w:color w:val="auto"/>
          <w:sz w:val="24"/>
          <w:szCs w:val="24"/>
          <w:highlight w:val="none"/>
          <w:u w:val="single"/>
        </w:rPr>
      </w:pPr>
      <w:r>
        <w:rPr>
          <w:rFonts w:hint="eastAsia" w:ascii="Times New Roman"/>
          <w:color w:val="auto"/>
          <w:spacing w:val="0"/>
          <w:kern w:val="0"/>
          <w:sz w:val="24"/>
          <w:szCs w:val="24"/>
          <w:highlight w:val="none"/>
          <w:fitText w:val="1200" w:id="1662793766"/>
        </w:rPr>
        <w:t>法定代表人</w:t>
      </w:r>
      <w:r>
        <w:rPr>
          <w:rFonts w:hint="eastAsia" w:ascii="Times New Roman"/>
          <w:color w:val="auto"/>
          <w:sz w:val="24"/>
          <w:szCs w:val="24"/>
          <w:highlight w:val="none"/>
        </w:rPr>
        <w:t>：</w:t>
      </w:r>
      <w:r>
        <w:rPr>
          <w:rFonts w:hint="eastAsia" w:ascii="Times New Roman"/>
          <w:bCs/>
          <w:color w:val="auto"/>
          <w:sz w:val="24"/>
          <w:szCs w:val="24"/>
          <w:highlight w:val="none"/>
          <w:u w:val="single"/>
        </w:rPr>
        <w:t xml:space="preserve">          </w:t>
      </w:r>
      <w:r>
        <w:rPr>
          <w:rFonts w:hint="eastAsia" w:ascii="Times New Roman"/>
          <w:color w:val="auto"/>
          <w:sz w:val="24"/>
          <w:szCs w:val="24"/>
          <w:highlight w:val="none"/>
        </w:rPr>
        <w:t>（签字或盖章）</w:t>
      </w:r>
    </w:p>
    <w:p>
      <w:pPr>
        <w:adjustRightInd w:val="0"/>
        <w:snapToGrid w:val="0"/>
        <w:spacing w:line="360" w:lineRule="auto"/>
        <w:jc w:val="right"/>
        <w:rPr>
          <w:rFonts w:hint="eastAsia" w:ascii="Times New Roman" w:eastAsia="黑体"/>
          <w:color w:val="auto"/>
          <w:sz w:val="24"/>
          <w:szCs w:val="24"/>
          <w:highlight w:val="none"/>
        </w:rPr>
      </w:pPr>
      <w:r>
        <w:rPr>
          <w:rFonts w:hint="eastAsia" w:ascii="Times New Roman"/>
          <w:bCs/>
          <w:color w:val="auto"/>
          <w:spacing w:val="360"/>
          <w:kern w:val="0"/>
          <w:sz w:val="24"/>
          <w:szCs w:val="24"/>
          <w:highlight w:val="none"/>
          <w:fitText w:val="1200" w:id="689794539"/>
        </w:rPr>
        <w:t>日</w:t>
      </w:r>
      <w:r>
        <w:rPr>
          <w:rFonts w:hint="eastAsia" w:ascii="Times New Roman"/>
          <w:bCs/>
          <w:color w:val="auto"/>
          <w:spacing w:val="0"/>
          <w:kern w:val="0"/>
          <w:sz w:val="24"/>
          <w:szCs w:val="24"/>
          <w:highlight w:val="none"/>
          <w:fitText w:val="1200" w:id="689794539"/>
        </w:rPr>
        <w:t>期</w:t>
      </w:r>
      <w:r>
        <w:rPr>
          <w:rFonts w:hint="eastAsia" w:ascii="Times New Roman"/>
          <w:color w:val="auto"/>
          <w:sz w:val="24"/>
          <w:szCs w:val="24"/>
          <w:highlight w:val="none"/>
        </w:rPr>
        <w:t>：</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年</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月</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日</w:t>
      </w:r>
    </w:p>
    <w:p>
      <w:pPr>
        <w:autoSpaceDE w:val="0"/>
        <w:autoSpaceDN w:val="0"/>
        <w:adjustRightInd w:val="0"/>
        <w:snapToGrid w:val="0"/>
        <w:spacing w:line="360" w:lineRule="auto"/>
        <w:jc w:val="left"/>
        <w:rPr>
          <w:rFonts w:hint="eastAsia" w:ascii="宋体" w:hAnsi="宋体" w:cs="宋体"/>
          <w:color w:val="auto"/>
          <w:kern w:val="0"/>
          <w:sz w:val="24"/>
          <w:highlight w:val="none"/>
        </w:rPr>
      </w:pPr>
    </w:p>
    <w:p>
      <w:pPr>
        <w:tabs>
          <w:tab w:val="left" w:pos="5760"/>
        </w:tabs>
        <w:autoSpaceDE w:val="0"/>
        <w:autoSpaceDN w:val="0"/>
        <w:adjustRightInd w:val="0"/>
        <w:spacing w:line="360" w:lineRule="auto"/>
        <w:ind w:right="11"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注：</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法定代表人参加投标活动并签署文件的不需要授权委托书，只需提供法定代表人身份证明；</w:t>
      </w:r>
    </w:p>
    <w:p>
      <w:pPr>
        <w:spacing w:line="360" w:lineRule="auto"/>
        <w:ind w:firstLine="480" w:firstLineChars="200"/>
        <w:rPr>
          <w:rFonts w:hAnsi="宋体" w:cs="宋体"/>
          <w:bCs/>
          <w:highlight w:val="none"/>
        </w:rPr>
      </w:pPr>
      <w:r>
        <w:rPr>
          <w:rFonts w:hint="eastAsia" w:ascii="宋体" w:hAnsi="宋体" w:cs="宋体"/>
          <w:bCs/>
          <w:color w:val="auto"/>
          <w:sz w:val="24"/>
          <w:highlight w:val="none"/>
        </w:rPr>
        <w:t>非法定代表人参加投标活动及签署文件的还须提供授权委托书</w:t>
      </w:r>
      <w:r>
        <w:rPr>
          <w:rFonts w:hint="eastAsia" w:ascii="宋体" w:hAnsi="宋体" w:cs="宋体"/>
          <w:bCs/>
          <w:color w:val="auto"/>
          <w:sz w:val="24"/>
          <w:highlight w:val="none"/>
          <w:lang w:eastAsia="zh-CN"/>
        </w:rPr>
        <w:t>。</w:t>
      </w:r>
    </w:p>
    <w:p>
      <w:pPr>
        <w:pStyle w:val="2"/>
        <w:jc w:val="center"/>
        <w:rPr>
          <w:highlight w:val="none"/>
        </w:rPr>
      </w:pPr>
      <w:r>
        <w:rPr>
          <w:rFonts w:ascii="宋体" w:hAnsi="宋体" w:eastAsia="宋体" w:cs="宋体"/>
          <w:highlight w:val="none"/>
        </w:rPr>
        <w:br w:type="page"/>
      </w:r>
      <w:r>
        <w:rPr>
          <w:rFonts w:hint="eastAsia"/>
          <w:highlight w:val="none"/>
        </w:rPr>
        <w:t>三、联合体协议书</w:t>
      </w:r>
      <w:bookmarkEnd w:id="971"/>
      <w:bookmarkEnd w:id="972"/>
      <w:bookmarkEnd w:id="973"/>
      <w:bookmarkEnd w:id="974"/>
      <w:bookmarkEnd w:id="975"/>
      <w:bookmarkEnd w:id="976"/>
      <w:bookmarkEnd w:id="977"/>
      <w:bookmarkEnd w:id="978"/>
      <w:r>
        <w:rPr>
          <w:rFonts w:hint="eastAsia"/>
          <w:highlight w:val="none"/>
        </w:rPr>
        <w:t>（如有）</w:t>
      </w:r>
    </w:p>
    <w:p>
      <w:pPr>
        <w:spacing w:line="360" w:lineRule="auto"/>
        <w:rPr>
          <w:rFonts w:hint="default" w:hAnsi="宋体" w:eastAsia="宋体" w:cs="宋体"/>
          <w:highlight w:val="none"/>
          <w:u w:val="single"/>
          <w:lang w:val="en-US" w:eastAsia="zh-CN"/>
        </w:rPr>
      </w:pPr>
      <w:bookmarkStart w:id="979" w:name="_Toc460227110"/>
      <w:bookmarkStart w:id="980" w:name="_Toc460660225"/>
      <w:r>
        <w:rPr>
          <w:rFonts w:hint="eastAsia" w:hAnsi="宋体" w:cs="宋体"/>
          <w:highlight w:val="none"/>
        </w:rPr>
        <w:t>牵头人（成员一）名称：</w:t>
      </w:r>
      <w:r>
        <w:rPr>
          <w:rFonts w:hint="eastAsia" w:hAnsi="宋体" w:cs="宋体"/>
          <w:highlight w:val="none"/>
          <w:u w:val="single"/>
          <w:lang w:val="en-US" w:eastAsia="zh-CN"/>
        </w:rPr>
        <w:t xml:space="preserve">                           </w:t>
      </w:r>
    </w:p>
    <w:p>
      <w:pPr>
        <w:spacing w:line="360" w:lineRule="auto"/>
        <w:rPr>
          <w:rFonts w:hAnsi="宋体" w:cs="宋体"/>
          <w:highlight w:val="none"/>
        </w:rPr>
      </w:pPr>
      <w:r>
        <w:rPr>
          <w:rFonts w:hint="eastAsia" w:hAnsi="宋体" w:cs="宋体"/>
          <w:highlight w:val="none"/>
        </w:rPr>
        <w:t>法定代表人：</w:t>
      </w:r>
      <w:r>
        <w:rPr>
          <w:rFonts w:hint="eastAsia" w:hAnsi="宋体" w:cs="宋体"/>
          <w:highlight w:val="none"/>
          <w:u w:val="single"/>
          <w:lang w:val="en-US" w:eastAsia="zh-CN"/>
        </w:rPr>
        <w:t xml:space="preserve">                           </w:t>
      </w:r>
    </w:p>
    <w:p>
      <w:pPr>
        <w:spacing w:line="360" w:lineRule="auto"/>
        <w:rPr>
          <w:rFonts w:hAnsi="宋体" w:cs="宋体"/>
          <w:highlight w:val="none"/>
        </w:rPr>
      </w:pPr>
      <w:r>
        <w:rPr>
          <w:rFonts w:hint="eastAsia" w:hAnsi="宋体" w:cs="宋体"/>
          <w:highlight w:val="none"/>
        </w:rPr>
        <w:t>法定住所：</w:t>
      </w:r>
      <w:r>
        <w:rPr>
          <w:rFonts w:hint="eastAsia" w:hAnsi="宋体" w:cs="宋体"/>
          <w:highlight w:val="none"/>
          <w:u w:val="single"/>
          <w:lang w:val="en-US" w:eastAsia="zh-CN"/>
        </w:rPr>
        <w:t xml:space="preserve">                           </w:t>
      </w:r>
    </w:p>
    <w:p>
      <w:pPr>
        <w:spacing w:line="360" w:lineRule="auto"/>
        <w:rPr>
          <w:rFonts w:hAnsi="宋体" w:cs="宋体"/>
          <w:highlight w:val="none"/>
        </w:rPr>
      </w:pPr>
      <w:r>
        <w:rPr>
          <w:rFonts w:hint="eastAsia" w:hAnsi="宋体" w:cs="宋体"/>
          <w:highlight w:val="none"/>
        </w:rPr>
        <w:t>成员二名称：</w:t>
      </w:r>
      <w:r>
        <w:rPr>
          <w:rFonts w:hint="eastAsia" w:hAnsi="宋体" w:cs="宋体"/>
          <w:highlight w:val="none"/>
          <w:u w:val="single"/>
          <w:lang w:val="en-US" w:eastAsia="zh-CN"/>
        </w:rPr>
        <w:t xml:space="preserve">                           </w:t>
      </w:r>
    </w:p>
    <w:p>
      <w:pPr>
        <w:spacing w:line="360" w:lineRule="auto"/>
        <w:rPr>
          <w:rFonts w:hAnsi="宋体" w:cs="宋体"/>
          <w:highlight w:val="none"/>
        </w:rPr>
      </w:pPr>
      <w:r>
        <w:rPr>
          <w:rFonts w:hint="eastAsia" w:hAnsi="宋体" w:cs="宋体"/>
          <w:highlight w:val="none"/>
        </w:rPr>
        <w:t>法定代表人：</w:t>
      </w:r>
      <w:r>
        <w:rPr>
          <w:rFonts w:hint="eastAsia" w:hAnsi="宋体" w:cs="宋体"/>
          <w:highlight w:val="none"/>
          <w:u w:val="single"/>
          <w:lang w:val="en-US" w:eastAsia="zh-CN"/>
        </w:rPr>
        <w:t xml:space="preserve">                           </w:t>
      </w:r>
    </w:p>
    <w:p>
      <w:pPr>
        <w:spacing w:line="360" w:lineRule="auto"/>
        <w:rPr>
          <w:rFonts w:hAnsi="宋体" w:cs="宋体"/>
          <w:highlight w:val="none"/>
          <w:u w:val="single"/>
        </w:rPr>
      </w:pPr>
      <w:r>
        <w:rPr>
          <w:rFonts w:hint="eastAsia" w:hAnsi="宋体" w:cs="宋体"/>
          <w:highlight w:val="none"/>
        </w:rPr>
        <w:t>法定住所：</w:t>
      </w:r>
      <w:r>
        <w:rPr>
          <w:rFonts w:hint="eastAsia" w:hAnsi="宋体" w:cs="宋体"/>
          <w:highlight w:val="none"/>
          <w:u w:val="single"/>
          <w:lang w:val="en-US" w:eastAsia="zh-CN"/>
        </w:rPr>
        <w:t xml:space="preserve">                           </w:t>
      </w:r>
    </w:p>
    <w:p>
      <w:pPr>
        <w:topLinePunct/>
        <w:spacing w:line="360" w:lineRule="auto"/>
        <w:ind w:firstLine="480" w:firstLineChars="200"/>
        <w:rPr>
          <w:rFonts w:hint="eastAsia" w:ascii="宋体" w:hAnsi="宋体" w:cs="宋体"/>
          <w:color w:val="auto"/>
          <w:sz w:val="24"/>
          <w:szCs w:val="24"/>
          <w:highlight w:val="none"/>
        </w:rPr>
      </w:pPr>
      <w:r>
        <w:rPr>
          <w:rFonts w:hint="eastAsia" w:ascii="Times New Roman"/>
          <w:color w:val="auto"/>
          <w:sz w:val="24"/>
          <w:szCs w:val="24"/>
          <w:highlight w:val="none"/>
        </w:rPr>
        <w:t>鉴于上述各成员单位经过友好协商，自愿组成</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（联合体名称）联合体，共同参加</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（招标人名称）（以下简称招标人）</w:t>
      </w:r>
      <w:r>
        <w:rPr>
          <w:rFonts w:hint="eastAsia" w:ascii="Times New Roman"/>
          <w:color w:val="auto"/>
          <w:sz w:val="24"/>
          <w:szCs w:val="24"/>
          <w:highlight w:val="none"/>
          <w:u w:val="single"/>
        </w:rPr>
        <w:t>（招标项目名称）</w:t>
      </w:r>
      <w:r>
        <w:rPr>
          <w:rFonts w:hint="eastAsia" w:ascii="Times New Roman"/>
          <w:color w:val="auto"/>
          <w:sz w:val="24"/>
          <w:szCs w:val="24"/>
          <w:highlight w:val="none"/>
        </w:rPr>
        <w:t xml:space="preserve"> </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标段（以下简称本</w:t>
      </w:r>
      <w:r>
        <w:rPr>
          <w:rFonts w:hint="eastAsia" w:ascii="Times New Roman"/>
          <w:color w:val="auto"/>
          <w:sz w:val="24"/>
          <w:szCs w:val="24"/>
          <w:highlight w:val="none"/>
          <w:lang w:eastAsia="zh-CN"/>
        </w:rPr>
        <w:t>项目</w:t>
      </w:r>
      <w:r>
        <w:rPr>
          <w:rFonts w:hint="eastAsia" w:ascii="Times New Roman"/>
          <w:color w:val="auto"/>
          <w:sz w:val="24"/>
          <w:szCs w:val="24"/>
          <w:highlight w:val="none"/>
        </w:rPr>
        <w:t>）的投标并争取赢得本</w:t>
      </w:r>
      <w:r>
        <w:rPr>
          <w:rFonts w:hint="eastAsia" w:ascii="Times New Roman"/>
          <w:color w:val="auto"/>
          <w:sz w:val="24"/>
          <w:szCs w:val="24"/>
          <w:highlight w:val="none"/>
          <w:lang w:eastAsia="zh-CN"/>
        </w:rPr>
        <w:t>项目</w:t>
      </w:r>
      <w:r>
        <w:rPr>
          <w:rFonts w:hint="eastAsia" w:ascii="Times New Roman"/>
          <w:color w:val="auto"/>
          <w:sz w:val="24"/>
          <w:szCs w:val="24"/>
          <w:highlight w:val="none"/>
        </w:rPr>
        <w:t>合同（以下简称合同）。现就联合体投标事宜订立如下协议：</w:t>
      </w:r>
    </w:p>
    <w:p>
      <w:pPr>
        <w:topLinePunct/>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（某成员单位名称）为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（联合体名称）牵头人。</w:t>
      </w:r>
    </w:p>
    <w:p>
      <w:pPr>
        <w:spacing w:line="360" w:lineRule="auto"/>
        <w:ind w:firstLine="480" w:firstLineChars="200"/>
        <w:rPr>
          <w:rFonts w:ascii="Times New Roman"/>
          <w:szCs w:val="24"/>
          <w:highlight w:val="none"/>
        </w:rPr>
      </w:pPr>
      <w:r>
        <w:rPr>
          <w:rFonts w:hint="eastAsia" w:ascii="Times New Roman"/>
          <w:szCs w:val="24"/>
          <w:highlight w:val="none"/>
        </w:rPr>
        <w:t>2.在本项目投标阶段，联合体牵头人合法代表联合体各成员负责本工程投标文件编制活动，代表联合体提交和接收相关的资料、信息及指示，并处理与投标和中标有关的一切事务</w:t>
      </w:r>
      <w:r>
        <w:rPr>
          <w:rFonts w:hint="eastAsia" w:hAnsi="宋体"/>
          <w:szCs w:val="21"/>
          <w:highlight w:val="none"/>
          <w:u w:val="single"/>
        </w:rPr>
        <w:t>（联合体牵头单位针对招标文件所作出的响应，视同联合体所有成员的共同响应）</w:t>
      </w:r>
      <w:r>
        <w:rPr>
          <w:rFonts w:hint="eastAsia" w:ascii="Times New Roman"/>
          <w:szCs w:val="24"/>
          <w:highlight w:val="none"/>
        </w:rPr>
        <w:t>；联合体中标后，联合体牵头人负责合同订立和合同实施阶段的主办、组织和协调工作。</w:t>
      </w:r>
    </w:p>
    <w:p>
      <w:pPr>
        <w:spacing w:line="360" w:lineRule="auto"/>
        <w:ind w:firstLine="480" w:firstLineChars="200"/>
        <w:rPr>
          <w:rFonts w:ascii="Times New Roman"/>
          <w:szCs w:val="24"/>
          <w:highlight w:val="none"/>
        </w:rPr>
      </w:pPr>
      <w:r>
        <w:rPr>
          <w:rFonts w:hint="eastAsia" w:ascii="Times New Roman"/>
          <w:szCs w:val="24"/>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topLinePunct/>
        <w:spacing w:line="360" w:lineRule="auto"/>
        <w:ind w:firstLine="480" w:firstLineChars="200"/>
        <w:rPr>
          <w:rFonts w:hAnsi="宋体" w:cs="宋体"/>
          <w:highlight w:val="none"/>
        </w:rPr>
      </w:pPr>
      <w:r>
        <w:rPr>
          <w:rFonts w:hint="eastAsia" w:hAnsi="宋体" w:cs="宋体"/>
          <w:highlight w:val="none"/>
        </w:rPr>
        <w:t>4.联合体各成员单位内部的职责分工如下：</w:t>
      </w:r>
    </w:p>
    <w:p>
      <w:pPr>
        <w:tabs>
          <w:tab w:val="left" w:pos="6300"/>
          <w:tab w:val="left" w:pos="8295"/>
        </w:tabs>
        <w:autoSpaceDE w:val="0"/>
        <w:autoSpaceDN w:val="0"/>
        <w:adjustRightInd w:val="0"/>
        <w:snapToGrid w:val="0"/>
        <w:spacing w:line="360" w:lineRule="auto"/>
        <w:ind w:left="840" w:leftChars="200" w:hanging="360" w:hangingChars="150"/>
        <w:jc w:val="left"/>
        <w:rPr>
          <w:rFonts w:hAnsi="宋体" w:cs="宋体"/>
          <w:snapToGrid w:val="0"/>
          <w:highlight w:val="none"/>
        </w:rPr>
      </w:pPr>
      <w:r>
        <w:rPr>
          <w:rFonts w:hint="eastAsia" w:hAnsi="宋体" w:cs="宋体"/>
          <w:highlight w:val="none"/>
        </w:rPr>
        <w:t>牵头人（成员一）</w:t>
      </w:r>
      <w:r>
        <w:rPr>
          <w:rFonts w:hint="eastAsia" w:hAnsi="宋体" w:cs="宋体"/>
          <w:snapToGrid w:val="0"/>
          <w:highlight w:val="none"/>
        </w:rPr>
        <w:t>名称：</w:t>
      </w:r>
      <w:r>
        <w:rPr>
          <w:rFonts w:hint="eastAsia" w:hAnsi="宋体" w:cs="宋体"/>
          <w:snapToGrid w:val="0"/>
          <w:highlight w:val="none"/>
          <w:u w:val="single"/>
          <w:lang w:val="en-US" w:eastAsia="zh-CN"/>
        </w:rPr>
        <w:t xml:space="preserve">             </w:t>
      </w:r>
      <w:r>
        <w:rPr>
          <w:rFonts w:hint="eastAsia" w:hAnsi="宋体" w:cs="宋体"/>
          <w:snapToGrid w:val="0"/>
          <w:highlight w:val="none"/>
          <w:lang w:val="en-US" w:eastAsia="zh-CN"/>
        </w:rPr>
        <w:t xml:space="preserve"> </w:t>
      </w:r>
      <w:r>
        <w:rPr>
          <w:rFonts w:hint="eastAsia" w:hAnsi="宋体" w:cs="宋体"/>
          <w:snapToGrid w:val="0"/>
          <w:highlight w:val="none"/>
        </w:rPr>
        <w:t>，承担</w:t>
      </w:r>
      <w:r>
        <w:rPr>
          <w:rFonts w:hint="eastAsia" w:hAnsi="宋体" w:cs="宋体"/>
          <w:snapToGrid w:val="0"/>
          <w:highlight w:val="none"/>
          <w:u w:val="single"/>
          <w:lang w:val="en-US" w:eastAsia="zh-CN"/>
        </w:rPr>
        <w:t xml:space="preserve">                    </w:t>
      </w:r>
      <w:r>
        <w:rPr>
          <w:rFonts w:hint="eastAsia" w:hAnsi="宋体" w:cs="宋体"/>
          <w:snapToGrid w:val="0"/>
          <w:highlight w:val="none"/>
        </w:rPr>
        <w:t>；</w:t>
      </w:r>
    </w:p>
    <w:p>
      <w:pPr>
        <w:spacing w:line="360" w:lineRule="auto"/>
        <w:ind w:firstLine="480" w:firstLineChars="200"/>
        <w:rPr>
          <w:rFonts w:hAnsi="宋体" w:cs="宋体"/>
          <w:snapToGrid w:val="0"/>
          <w:highlight w:val="none"/>
        </w:rPr>
      </w:pPr>
      <w:r>
        <w:rPr>
          <w:rFonts w:hint="eastAsia" w:hAnsi="宋体" w:cs="宋体"/>
          <w:snapToGrid w:val="0"/>
          <w:highlight w:val="none"/>
        </w:rPr>
        <w:t>成员二名称：</w:t>
      </w:r>
      <w:r>
        <w:rPr>
          <w:rFonts w:hint="eastAsia" w:hAnsi="宋体" w:cs="宋体"/>
          <w:snapToGrid w:val="0"/>
          <w:highlight w:val="none"/>
          <w:u w:val="single"/>
          <w:lang w:val="en-US" w:eastAsia="zh-CN"/>
        </w:rPr>
        <w:t xml:space="preserve">             </w:t>
      </w:r>
      <w:r>
        <w:rPr>
          <w:rFonts w:hint="eastAsia" w:hAnsi="宋体" w:cs="宋体"/>
          <w:snapToGrid w:val="0"/>
          <w:highlight w:val="none"/>
        </w:rPr>
        <w:t xml:space="preserve"> ，承担</w:t>
      </w:r>
      <w:r>
        <w:rPr>
          <w:rFonts w:hint="eastAsia" w:hAnsi="宋体" w:cs="宋体"/>
          <w:snapToGrid w:val="0"/>
          <w:highlight w:val="none"/>
          <w:u w:val="single"/>
          <w:lang w:val="en-US" w:eastAsia="zh-CN"/>
        </w:rPr>
        <w:t xml:space="preserve">             </w:t>
      </w:r>
      <w:r>
        <w:rPr>
          <w:rFonts w:hint="eastAsia" w:hAnsi="宋体" w:cs="宋体"/>
          <w:snapToGrid w:val="0"/>
          <w:highlight w:val="none"/>
        </w:rPr>
        <w:t>；</w:t>
      </w:r>
    </w:p>
    <w:p>
      <w:pPr>
        <w:spacing w:line="360" w:lineRule="auto"/>
        <w:ind w:firstLine="480" w:firstLineChars="200"/>
        <w:rPr>
          <w:rFonts w:hAnsi="宋体" w:cs="宋体"/>
          <w:highlight w:val="none"/>
        </w:rPr>
      </w:pPr>
      <w:r>
        <w:rPr>
          <w:rFonts w:hint="eastAsia" w:hAnsi="宋体" w:cs="宋体"/>
          <w:snapToGrid w:val="0"/>
          <w:highlight w:val="none"/>
        </w:rPr>
        <w:t>……。</w:t>
      </w:r>
    </w:p>
    <w:p>
      <w:pPr>
        <w:topLinePunct/>
        <w:spacing w:line="360" w:lineRule="auto"/>
        <w:ind w:firstLine="480" w:firstLineChars="200"/>
        <w:rPr>
          <w:rFonts w:hAnsi="宋体" w:cs="宋体"/>
          <w:highlight w:val="none"/>
        </w:rPr>
      </w:pPr>
      <w:r>
        <w:rPr>
          <w:rFonts w:hint="eastAsia" w:hAnsi="宋体" w:cs="宋体"/>
          <w:highlight w:val="none"/>
        </w:rPr>
        <w:t>5.投标工作和联合体在中标后工程实施过程中的有关费用按照各自承担的工作量分摊。</w:t>
      </w:r>
    </w:p>
    <w:p>
      <w:pPr>
        <w:topLinePunct/>
        <w:spacing w:line="360" w:lineRule="auto"/>
        <w:ind w:firstLine="480" w:firstLineChars="200"/>
        <w:rPr>
          <w:rFonts w:hAnsi="宋体" w:cs="宋体"/>
          <w:highlight w:val="none"/>
        </w:rPr>
      </w:pPr>
      <w:r>
        <w:rPr>
          <w:rFonts w:hint="eastAsia" w:hAnsi="宋体" w:cs="宋体"/>
          <w:highlight w:val="none"/>
        </w:rPr>
        <w:t>6.联合体中标后，本联合体协议是合同的附件，对联合体各成员单位有合同约束力。</w:t>
      </w:r>
    </w:p>
    <w:p>
      <w:pPr>
        <w:topLinePunct/>
        <w:spacing w:line="360" w:lineRule="auto"/>
        <w:ind w:firstLine="480" w:firstLineChars="200"/>
        <w:rPr>
          <w:rFonts w:hAnsi="宋体" w:cs="宋体"/>
          <w:highlight w:val="none"/>
        </w:rPr>
      </w:pPr>
      <w:r>
        <w:rPr>
          <w:rFonts w:hint="eastAsia" w:hAnsi="宋体" w:cs="宋体"/>
          <w:highlight w:val="none"/>
        </w:rPr>
        <w:t>7.本协议书自签署之日起生效，联合体未中标或者合同履行完毕后自动失效。</w:t>
      </w:r>
    </w:p>
    <w:p>
      <w:pPr>
        <w:topLinePunct/>
        <w:spacing w:line="360" w:lineRule="auto"/>
        <w:ind w:firstLine="480" w:firstLineChars="200"/>
        <w:rPr>
          <w:rFonts w:hAnsi="宋体" w:cs="宋体"/>
          <w:highlight w:val="none"/>
        </w:rPr>
      </w:pPr>
      <w:r>
        <w:rPr>
          <w:rFonts w:hint="eastAsia" w:hAnsi="宋体" w:cs="宋体"/>
          <w:highlight w:val="none"/>
        </w:rPr>
        <w:t>8.本协议书一式份，联合体成员和招标人各执一份。</w:t>
      </w:r>
    </w:p>
    <w:p>
      <w:pPr>
        <w:topLinePunct/>
        <w:spacing w:line="360" w:lineRule="auto"/>
        <w:ind w:firstLine="480" w:firstLineChars="200"/>
        <w:rPr>
          <w:rFonts w:hAnsi="宋体" w:cs="宋体"/>
          <w:highlight w:val="none"/>
        </w:rPr>
      </w:pPr>
    </w:p>
    <w:p>
      <w:pPr>
        <w:spacing w:line="360" w:lineRule="auto"/>
        <w:rPr>
          <w:rFonts w:hAnsi="宋体" w:cs="宋体"/>
          <w:highlight w:val="none"/>
        </w:rPr>
      </w:pPr>
    </w:p>
    <w:p>
      <w:pPr>
        <w:spacing w:line="360" w:lineRule="auto"/>
        <w:ind w:firstLine="2040" w:firstLineChars="850"/>
        <w:rPr>
          <w:rFonts w:hint="eastAsia" w:ascii="Times New Roman"/>
          <w:color w:val="auto"/>
          <w:sz w:val="24"/>
          <w:szCs w:val="24"/>
          <w:highlight w:val="none"/>
        </w:rPr>
      </w:pPr>
      <w:r>
        <w:rPr>
          <w:rFonts w:hint="eastAsia" w:ascii="Times New Roman"/>
          <w:color w:val="auto"/>
          <w:sz w:val="24"/>
          <w:szCs w:val="24"/>
          <w:highlight w:val="none"/>
        </w:rPr>
        <w:t>牵头人（成员一）名称：</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（盖单位章）</w:t>
      </w:r>
    </w:p>
    <w:p>
      <w:pPr>
        <w:spacing w:line="360" w:lineRule="auto"/>
        <w:ind w:firstLine="2040" w:firstLineChars="850"/>
        <w:rPr>
          <w:rFonts w:hint="eastAsia" w:ascii="Times New Roman"/>
          <w:color w:val="auto"/>
          <w:sz w:val="24"/>
          <w:szCs w:val="24"/>
          <w:highlight w:val="none"/>
        </w:rPr>
      </w:pPr>
      <w:r>
        <w:rPr>
          <w:rFonts w:hint="eastAsia" w:ascii="Times New Roman"/>
          <w:color w:val="auto"/>
          <w:sz w:val="24"/>
          <w:szCs w:val="24"/>
          <w:highlight w:val="none"/>
        </w:rPr>
        <w:t>法定代表人：</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（签字或盖章）</w:t>
      </w:r>
    </w:p>
    <w:p>
      <w:pPr>
        <w:spacing w:line="360" w:lineRule="auto"/>
        <w:ind w:firstLine="2040" w:firstLineChars="850"/>
        <w:rPr>
          <w:rFonts w:hint="eastAsia" w:ascii="Times New Roman"/>
          <w:color w:val="auto"/>
          <w:sz w:val="24"/>
          <w:szCs w:val="24"/>
          <w:highlight w:val="none"/>
        </w:rPr>
      </w:pPr>
    </w:p>
    <w:p>
      <w:pPr>
        <w:spacing w:line="360" w:lineRule="auto"/>
        <w:ind w:firstLine="2040" w:firstLineChars="850"/>
        <w:rPr>
          <w:rFonts w:hint="eastAsia" w:ascii="Times New Roman"/>
          <w:color w:val="auto"/>
          <w:sz w:val="24"/>
          <w:szCs w:val="24"/>
          <w:highlight w:val="none"/>
        </w:rPr>
      </w:pPr>
      <w:r>
        <w:rPr>
          <w:rFonts w:hint="eastAsia" w:ascii="Times New Roman"/>
          <w:color w:val="auto"/>
          <w:sz w:val="24"/>
          <w:szCs w:val="24"/>
          <w:highlight w:val="none"/>
        </w:rPr>
        <w:t>成员二名称：</w:t>
      </w:r>
      <w:r>
        <w:rPr>
          <w:rFonts w:hint="eastAsia" w:ascii="Times New Roman"/>
          <w:color w:val="auto"/>
          <w:sz w:val="24"/>
          <w:szCs w:val="24"/>
          <w:highlight w:val="none"/>
          <w:u w:val="single"/>
        </w:rPr>
        <w:t xml:space="preserve">                   </w:t>
      </w:r>
      <w:r>
        <w:rPr>
          <w:rFonts w:hint="eastAsia" w:ascii="Times New Roman"/>
          <w:color w:val="auto"/>
          <w:sz w:val="24"/>
          <w:szCs w:val="24"/>
          <w:highlight w:val="none"/>
          <w:u w:val="single"/>
          <w:lang w:val="en-US" w:eastAsia="zh-CN"/>
        </w:rPr>
        <w:t xml:space="preserve"> </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（盖单位章）</w:t>
      </w:r>
    </w:p>
    <w:p>
      <w:pPr>
        <w:spacing w:line="360" w:lineRule="auto"/>
        <w:ind w:firstLine="2040" w:firstLineChars="850"/>
        <w:rPr>
          <w:rFonts w:hint="eastAsia" w:ascii="Times New Roman"/>
          <w:color w:val="auto"/>
          <w:sz w:val="24"/>
          <w:szCs w:val="24"/>
          <w:highlight w:val="none"/>
        </w:rPr>
      </w:pPr>
      <w:r>
        <w:rPr>
          <w:rFonts w:hint="eastAsia" w:ascii="Times New Roman"/>
          <w:color w:val="auto"/>
          <w:sz w:val="24"/>
          <w:szCs w:val="24"/>
          <w:highlight w:val="none"/>
        </w:rPr>
        <w:t>法定代表人：</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（签字或盖章）</w:t>
      </w:r>
    </w:p>
    <w:p>
      <w:pPr>
        <w:spacing w:line="360" w:lineRule="auto"/>
        <w:ind w:firstLine="2400" w:firstLineChars="1000"/>
        <w:rPr>
          <w:rFonts w:hint="eastAsia" w:ascii="Times New Roman"/>
          <w:color w:val="auto"/>
          <w:sz w:val="24"/>
          <w:szCs w:val="24"/>
          <w:highlight w:val="none"/>
        </w:rPr>
      </w:pPr>
      <w:r>
        <w:rPr>
          <w:rFonts w:hint="eastAsia" w:ascii="Times New Roman"/>
          <w:color w:val="auto"/>
          <w:sz w:val="24"/>
          <w:szCs w:val="24"/>
          <w:highlight w:val="none"/>
        </w:rPr>
        <w:t>……</w:t>
      </w:r>
    </w:p>
    <w:p>
      <w:pPr>
        <w:wordWrap w:val="0"/>
        <w:spacing w:line="360" w:lineRule="auto"/>
        <w:jc w:val="right"/>
        <w:rPr>
          <w:szCs w:val="21"/>
          <w:highlight w:val="none"/>
        </w:rPr>
      </w:pPr>
      <w:r>
        <w:rPr>
          <w:rFonts w:hint="eastAsia" w:ascii="Times New Roman"/>
          <w:color w:val="auto"/>
          <w:sz w:val="24"/>
          <w:szCs w:val="24"/>
          <w:highlight w:val="none"/>
          <w:u w:val="single"/>
        </w:rPr>
        <w:t xml:space="preserve">    </w:t>
      </w:r>
      <w:r>
        <w:rPr>
          <w:rFonts w:hint="eastAsia" w:ascii="Times New Roman"/>
          <w:color w:val="auto"/>
          <w:sz w:val="24"/>
          <w:szCs w:val="24"/>
          <w:highlight w:val="none"/>
        </w:rPr>
        <w:t>年</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月</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日</w:t>
      </w:r>
    </w:p>
    <w:p>
      <w:pPr>
        <w:jc w:val="center"/>
        <w:rPr>
          <w:szCs w:val="21"/>
          <w:highlight w:val="none"/>
        </w:rPr>
      </w:pPr>
    </w:p>
    <w:p>
      <w:pPr>
        <w:pStyle w:val="2"/>
        <w:jc w:val="center"/>
        <w:rPr>
          <w:rFonts w:ascii="Times New Roman" w:hAnsi="Times New Roman"/>
          <w:highlight w:val="none"/>
        </w:rPr>
      </w:pPr>
      <w:r>
        <w:rPr>
          <w:rFonts w:ascii="Times New Roman" w:hAnsi="Times New Roman"/>
          <w:szCs w:val="22"/>
          <w:highlight w:val="none"/>
        </w:rPr>
        <w:br w:type="page"/>
      </w:r>
      <w:bookmarkStart w:id="981" w:name="_Toc460660229"/>
      <w:bookmarkStart w:id="982" w:name="_Toc460227114"/>
      <w:bookmarkStart w:id="983" w:name="_Toc535241086"/>
      <w:bookmarkStart w:id="984" w:name="_Toc535241229"/>
      <w:bookmarkStart w:id="985" w:name="_Toc535241132"/>
      <w:r>
        <w:rPr>
          <w:rFonts w:hint="eastAsia" w:ascii="Times New Roman" w:hAnsi="Times New Roman"/>
          <w:highlight w:val="none"/>
        </w:rPr>
        <w:t>四、投标保证金</w:t>
      </w:r>
      <w:bookmarkEnd w:id="981"/>
      <w:bookmarkEnd w:id="982"/>
    </w:p>
    <w:p>
      <w:pPr>
        <w:tabs>
          <w:tab w:val="left" w:pos="8422"/>
          <w:tab w:val="left" w:pos="9622"/>
        </w:tabs>
        <w:spacing w:line="360" w:lineRule="auto"/>
        <w:ind w:firstLine="480" w:firstLineChars="200"/>
        <w:jc w:val="left"/>
        <w:rPr>
          <w:rFonts w:hint="eastAsia" w:ascii="Times New Roman" w:hAnsi="Times New Roman"/>
          <w:bCs/>
          <w:kern w:val="0"/>
          <w:sz w:val="24"/>
          <w:szCs w:val="20"/>
          <w:highlight w:val="none"/>
        </w:rPr>
      </w:pPr>
      <w:r>
        <w:rPr>
          <w:rFonts w:hint="eastAsia" w:ascii="Times New Roman" w:hAnsi="Times New Roman"/>
          <w:bCs/>
          <w:kern w:val="0"/>
          <w:sz w:val="24"/>
          <w:szCs w:val="20"/>
          <w:highlight w:val="none"/>
        </w:rPr>
        <w:t>如采用现金（银行转账、银行电汇）的，系统自动抓取投标保证金提交信息，投标人应在投标文件中提供基本存款账户证明扫描件（如基本存款账户开户许可证或基本存款账户信息）。</w:t>
      </w:r>
    </w:p>
    <w:p>
      <w:pPr>
        <w:tabs>
          <w:tab w:val="left" w:pos="8422"/>
          <w:tab w:val="left" w:pos="9622"/>
        </w:tabs>
        <w:spacing w:line="360" w:lineRule="auto"/>
        <w:ind w:firstLine="480" w:firstLineChars="200"/>
        <w:jc w:val="left"/>
        <w:rPr>
          <w:rFonts w:hint="eastAsia" w:ascii="Times New Roman" w:hAnsi="Times New Roman"/>
          <w:bCs/>
          <w:kern w:val="0"/>
          <w:sz w:val="24"/>
          <w:szCs w:val="20"/>
          <w:highlight w:val="none"/>
        </w:rPr>
      </w:pPr>
      <w:r>
        <w:rPr>
          <w:rFonts w:hint="eastAsia" w:ascii="Times New Roman" w:hAnsi="Times New Roman"/>
          <w:bCs/>
          <w:kern w:val="0"/>
          <w:sz w:val="24"/>
          <w:szCs w:val="20"/>
          <w:highlight w:val="none"/>
        </w:rPr>
        <w:t>如采用纸质银行保函的，投标人应在投标文件中提供基本存款账户证明（如基本存款账户开户许可证或基本存款账户信息）、银行保函扫描件。银行保函格式见“投标保函示范文本”。</w:t>
      </w:r>
    </w:p>
    <w:p>
      <w:pPr>
        <w:tabs>
          <w:tab w:val="left" w:pos="8422"/>
          <w:tab w:val="left" w:pos="9622"/>
        </w:tabs>
        <w:spacing w:line="360" w:lineRule="auto"/>
        <w:ind w:firstLine="480" w:firstLineChars="200"/>
        <w:jc w:val="left"/>
        <w:rPr>
          <w:rFonts w:hint="eastAsia" w:ascii="Times New Roman" w:hAnsi="Times New Roman"/>
          <w:bCs/>
          <w:kern w:val="0"/>
          <w:sz w:val="24"/>
          <w:szCs w:val="20"/>
          <w:highlight w:val="none"/>
        </w:rPr>
      </w:pPr>
      <w:r>
        <w:rPr>
          <w:rFonts w:hint="eastAsia" w:ascii="Times New Roman" w:hAnsi="Times New Roman"/>
          <w:bCs/>
          <w:kern w:val="0"/>
          <w:sz w:val="24"/>
          <w:szCs w:val="20"/>
          <w:highlight w:val="none"/>
        </w:rPr>
        <w:t>如采用纸质担保机构担保的，投标人须将本单位针对该项目（标段）从基本账户汇出保函费用的凭证（须载有所投项目标段编号或项目名称、投标人基本账户信息、收取该费用的保函出具单位名称及其账户信息）扫描件、基本存款账户信息（或基本账户开户许可证）扫描件、保函扫描件、融资担保机构的融资担保业务经营许可证扫描件编入投标文件中。担保机构担保格式见“投标保函示范文本”。</w:t>
      </w:r>
    </w:p>
    <w:p>
      <w:pPr>
        <w:tabs>
          <w:tab w:val="left" w:pos="8422"/>
          <w:tab w:val="left" w:pos="9622"/>
        </w:tabs>
        <w:spacing w:line="360" w:lineRule="auto"/>
        <w:ind w:firstLine="480" w:firstLineChars="200"/>
        <w:jc w:val="left"/>
        <w:rPr>
          <w:rFonts w:hint="eastAsia" w:ascii="Times New Roman" w:hAnsi="Times New Roman"/>
          <w:bCs/>
          <w:kern w:val="0"/>
          <w:sz w:val="24"/>
          <w:szCs w:val="20"/>
          <w:highlight w:val="none"/>
        </w:rPr>
      </w:pPr>
      <w:r>
        <w:rPr>
          <w:rFonts w:hint="eastAsia" w:ascii="Times New Roman" w:hAnsi="Times New Roman"/>
          <w:bCs/>
          <w:kern w:val="0"/>
          <w:sz w:val="24"/>
          <w:szCs w:val="20"/>
          <w:highlight w:val="none"/>
        </w:rPr>
        <w:t>如采用纸质保证保险的，投标人须将本单位针对该项目（标段）从基本账户汇出保证保险费用的凭证（须载有所投项目标段编号或项目名称、投标人基本账户信息、收取该费用的保证保险出具单位名称及其账户信息）扫描件、基本存款账户信息（或基本账户开户许可证）扫描件、保证保险扫描件编入投标文件中。保证保险格式见“投标保函示范文本”。</w:t>
      </w:r>
    </w:p>
    <w:p>
      <w:pPr>
        <w:tabs>
          <w:tab w:val="left" w:pos="8422"/>
          <w:tab w:val="left" w:pos="9622"/>
        </w:tabs>
        <w:spacing w:line="360" w:lineRule="auto"/>
        <w:ind w:firstLine="480" w:firstLineChars="200"/>
        <w:jc w:val="left"/>
        <w:rPr>
          <w:rFonts w:hAnsi="宋体" w:cs="宋体"/>
          <w:bCs/>
          <w:szCs w:val="24"/>
          <w:highlight w:val="none"/>
        </w:rPr>
      </w:pPr>
      <w:r>
        <w:rPr>
          <w:rFonts w:hint="eastAsia" w:ascii="Times New Roman" w:hAnsi="Times New Roman"/>
          <w:bCs/>
          <w:kern w:val="0"/>
          <w:sz w:val="24"/>
          <w:szCs w:val="20"/>
          <w:highlight w:val="none"/>
        </w:rPr>
        <w:t>如采用电子保函的，系统自动抓取电子保函信息，投标文件无需提供相关证明材料。</w:t>
      </w:r>
    </w:p>
    <w:p>
      <w:pPr>
        <w:spacing w:beforeLines="100" w:afterLines="100"/>
        <w:jc w:val="center"/>
        <w:outlineLvl w:val="3"/>
        <w:rPr>
          <w:rFonts w:ascii="黑体" w:hAnsi="黑体" w:eastAsia="黑体" w:cs="黑体"/>
          <w:bCs/>
          <w:szCs w:val="24"/>
          <w:highlight w:val="none"/>
        </w:rPr>
      </w:pPr>
      <w:bookmarkStart w:id="986" w:name="_Toc3980"/>
      <w:bookmarkStart w:id="987" w:name="_Toc12410"/>
      <w:bookmarkStart w:id="988" w:name="_Toc8851"/>
      <w:bookmarkStart w:id="989" w:name="_Toc1718"/>
      <w:bookmarkStart w:id="990" w:name="_Toc17295"/>
      <w:bookmarkStart w:id="991" w:name="_Toc10421"/>
      <w:r>
        <w:rPr>
          <w:rFonts w:hint="eastAsia" w:ascii="黑体" w:hAnsi="黑体" w:eastAsia="黑体" w:cs="黑体"/>
          <w:bCs/>
          <w:szCs w:val="24"/>
          <w:highlight w:val="none"/>
        </w:rPr>
        <w:t>（一）投标保函示范文本</w:t>
      </w:r>
      <w:bookmarkEnd w:id="986"/>
      <w:bookmarkEnd w:id="987"/>
      <w:bookmarkEnd w:id="988"/>
      <w:bookmarkEnd w:id="989"/>
      <w:bookmarkEnd w:id="990"/>
      <w:bookmarkEnd w:id="991"/>
    </w:p>
    <w:p>
      <w:pPr>
        <w:tabs>
          <w:tab w:val="left" w:pos="8422"/>
          <w:tab w:val="left" w:pos="9622"/>
        </w:tabs>
        <w:spacing w:line="360" w:lineRule="auto"/>
        <w:ind w:right="120" w:rightChars="50"/>
        <w:jc w:val="center"/>
        <w:rPr>
          <w:rFonts w:hAnsi="宋体" w:cs="宋体"/>
          <w:szCs w:val="24"/>
          <w:highlight w:val="none"/>
        </w:rPr>
      </w:pPr>
      <w:bookmarkStart w:id="992" w:name="_Toc12727"/>
      <w:bookmarkStart w:id="993" w:name="_Toc1245"/>
      <w:r>
        <w:rPr>
          <w:rFonts w:hint="eastAsia" w:hAnsi="宋体" w:cs="宋体"/>
          <w:szCs w:val="24"/>
          <w:highlight w:val="none"/>
        </w:rPr>
        <w:t xml:space="preserve">                                                编号：</w:t>
      </w:r>
      <w:bookmarkEnd w:id="992"/>
      <w:bookmarkEnd w:id="993"/>
    </w:p>
    <w:p>
      <w:pPr>
        <w:tabs>
          <w:tab w:val="left" w:pos="8422"/>
          <w:tab w:val="left" w:pos="9622"/>
        </w:tabs>
        <w:spacing w:line="360" w:lineRule="auto"/>
        <w:ind w:right="120" w:rightChars="50"/>
        <w:jc w:val="left"/>
        <w:rPr>
          <w:rFonts w:hAnsi="宋体" w:cs="宋体"/>
          <w:szCs w:val="24"/>
          <w:highlight w:val="none"/>
        </w:rPr>
      </w:pP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致：</w:t>
      </w:r>
      <w:r>
        <w:rPr>
          <w:rFonts w:hint="eastAsia" w:hAnsi="宋体" w:cs="宋体"/>
          <w:szCs w:val="24"/>
          <w:highlight w:val="none"/>
          <w:u w:val="single"/>
        </w:rPr>
        <w:t>受益人（招标人）名称</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开立人获得通知，</w:t>
      </w:r>
      <w:r>
        <w:rPr>
          <w:rFonts w:hint="eastAsia" w:hAnsi="宋体" w:cs="宋体"/>
          <w:szCs w:val="24"/>
          <w:highlight w:val="none"/>
          <w:u w:val="single"/>
          <w:lang w:val="en-US" w:eastAsia="zh-CN"/>
        </w:rPr>
        <w:t xml:space="preserve">     </w:t>
      </w:r>
      <w:r>
        <w:rPr>
          <w:rFonts w:hint="eastAsia" w:hAnsi="宋体" w:cs="宋体"/>
          <w:szCs w:val="24"/>
          <w:highlight w:val="none"/>
          <w:u w:val="none"/>
        </w:rPr>
        <w:t>（投标人）</w:t>
      </w:r>
      <w:r>
        <w:rPr>
          <w:rFonts w:hint="eastAsia" w:hAnsi="宋体" w:cs="宋体"/>
          <w:szCs w:val="24"/>
          <w:highlight w:val="none"/>
        </w:rPr>
        <w:t>于</w:t>
      </w:r>
      <w:r>
        <w:rPr>
          <w:rFonts w:hint="eastAsia" w:hAnsi="宋体" w:cs="宋体"/>
          <w:szCs w:val="24"/>
          <w:highlight w:val="none"/>
          <w:lang w:val="en-US" w:eastAsia="zh-CN"/>
        </w:rPr>
        <w:t xml:space="preserve"> </w:t>
      </w:r>
      <w:r>
        <w:rPr>
          <w:rFonts w:hint="eastAsia" w:hAnsi="宋体" w:cs="宋体"/>
          <w:szCs w:val="24"/>
          <w:highlight w:val="none"/>
          <w:u w:val="single"/>
          <w:lang w:val="en-US" w:eastAsia="zh-CN"/>
        </w:rPr>
        <w:t xml:space="preserve">   </w:t>
      </w:r>
      <w:r>
        <w:rPr>
          <w:rFonts w:hint="eastAsia" w:hAnsi="宋体" w:cs="宋体"/>
          <w:szCs w:val="24"/>
          <w:highlight w:val="none"/>
          <w:u w:val="none"/>
        </w:rPr>
        <w:t>年</w:t>
      </w:r>
      <w:r>
        <w:rPr>
          <w:rFonts w:hint="eastAsia" w:hAnsi="宋体" w:cs="宋体"/>
          <w:szCs w:val="24"/>
          <w:highlight w:val="none"/>
          <w:u w:val="single"/>
          <w:lang w:val="en-US" w:eastAsia="zh-CN"/>
        </w:rPr>
        <w:t xml:space="preserve">   </w:t>
      </w:r>
      <w:r>
        <w:rPr>
          <w:rFonts w:hint="eastAsia" w:hAnsi="宋体" w:cs="宋体"/>
          <w:szCs w:val="24"/>
          <w:highlight w:val="none"/>
          <w:u w:val="none"/>
        </w:rPr>
        <w:t>月</w:t>
      </w:r>
      <w:r>
        <w:rPr>
          <w:rFonts w:hint="eastAsia" w:hAnsi="宋体" w:cs="宋体"/>
          <w:szCs w:val="24"/>
          <w:highlight w:val="none"/>
          <w:u w:val="single"/>
          <w:lang w:val="en-US" w:eastAsia="zh-CN"/>
        </w:rPr>
        <w:t xml:space="preserve">   </w:t>
      </w:r>
      <w:r>
        <w:rPr>
          <w:rFonts w:hint="eastAsia" w:hAnsi="宋体" w:cs="宋体"/>
          <w:szCs w:val="24"/>
          <w:highlight w:val="none"/>
          <w:u w:val="none"/>
        </w:rPr>
        <w:t>日</w:t>
      </w:r>
      <w:r>
        <w:rPr>
          <w:rFonts w:hint="eastAsia" w:hAnsi="宋体" w:cs="宋体"/>
          <w:szCs w:val="24"/>
          <w:highlight w:val="none"/>
        </w:rPr>
        <w:t>参加编号为</w:t>
      </w:r>
      <w:r>
        <w:rPr>
          <w:rFonts w:hint="eastAsia" w:hAnsi="宋体" w:cs="宋体"/>
          <w:szCs w:val="24"/>
          <w:highlight w:val="none"/>
          <w:u w:val="single"/>
          <w:lang w:val="en-US" w:eastAsia="zh-CN"/>
        </w:rPr>
        <w:t xml:space="preserve">   </w:t>
      </w:r>
      <w:r>
        <w:rPr>
          <w:rFonts w:hint="eastAsia" w:hAnsi="宋体" w:cs="宋体"/>
          <w:szCs w:val="24"/>
          <w:highlight w:val="none"/>
          <w:u w:val="none"/>
        </w:rPr>
        <w:t>（标段编号）</w:t>
      </w:r>
      <w:r>
        <w:rPr>
          <w:rFonts w:hint="eastAsia" w:hAnsi="宋体" w:cs="宋体"/>
          <w:szCs w:val="24"/>
          <w:highlight w:val="none"/>
        </w:rPr>
        <w:t>的</w:t>
      </w:r>
      <w:r>
        <w:rPr>
          <w:rFonts w:hint="eastAsia" w:hAnsi="宋体" w:cs="宋体"/>
          <w:szCs w:val="24"/>
          <w:highlight w:val="none"/>
          <w:u w:val="single"/>
          <w:lang w:val="en-US" w:eastAsia="zh-CN"/>
        </w:rPr>
        <w:t xml:space="preserve">       </w:t>
      </w:r>
      <w:r>
        <w:rPr>
          <w:rFonts w:hint="eastAsia" w:hAnsi="宋体" w:cs="宋体"/>
          <w:szCs w:val="24"/>
          <w:highlight w:val="none"/>
          <w:u w:val="none"/>
        </w:rPr>
        <w:t>（标段名称）</w:t>
      </w:r>
      <w:r>
        <w:rPr>
          <w:rFonts w:hint="eastAsia" w:hAnsi="宋体" w:cs="宋体"/>
          <w:szCs w:val="24"/>
          <w:highlight w:val="none"/>
        </w:rPr>
        <w:t>投标（即“基础交易”）。</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一、开立人理解根据招标条件，投标人必须提交一份投标保函（以下简称“本保函”），以担保投标人诚信履行其在上述基础交易中承担的投标人义务。鉴此，应申请人要求，开立人在此同意向受益人出具此投标保函，本保函担保金额为人民币</w:t>
      </w:r>
      <w:r>
        <w:rPr>
          <w:rFonts w:hint="eastAsia" w:hAnsi="宋体" w:cs="宋体"/>
          <w:szCs w:val="24"/>
          <w:highlight w:val="none"/>
          <w:u w:val="single"/>
        </w:rPr>
        <w:t>（大写）</w:t>
      </w:r>
      <w:r>
        <w:rPr>
          <w:rFonts w:hint="eastAsia" w:hAnsi="宋体" w:cs="宋体"/>
          <w:szCs w:val="24"/>
          <w:highlight w:val="none"/>
          <w:u w:val="single"/>
          <w:lang w:val="en-US" w:eastAsia="zh-CN"/>
        </w:rPr>
        <w:t xml:space="preserve">             </w:t>
      </w:r>
      <w:r>
        <w:rPr>
          <w:rFonts w:hint="eastAsia" w:hAnsi="宋体" w:cs="宋体"/>
          <w:szCs w:val="24"/>
          <w:highlight w:val="none"/>
        </w:rPr>
        <w:t>元（</w:t>
      </w:r>
      <w:r>
        <w:rPr>
          <w:rFonts w:hint="eastAsia" w:hAnsi="宋体" w:cs="宋体"/>
          <w:szCs w:val="24"/>
          <w:highlight w:val="none"/>
          <w:u w:val="single"/>
        </w:rPr>
        <w:t>¥</w:t>
      </w:r>
      <w:r>
        <w:rPr>
          <w:rFonts w:hint="eastAsia" w:hAnsi="宋体" w:cs="宋体"/>
          <w:szCs w:val="24"/>
          <w:highlight w:val="none"/>
          <w:u w:val="single"/>
          <w:lang w:val="en-US" w:eastAsia="zh-CN"/>
        </w:rPr>
        <w:t xml:space="preserve">            </w:t>
      </w:r>
      <w:r>
        <w:rPr>
          <w:rFonts w:hint="eastAsia" w:hAnsi="宋体" w:cs="宋体"/>
          <w:szCs w:val="24"/>
          <w:highlight w:val="none"/>
        </w:rPr>
        <w:t>）。</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二、开立人在投标人发生以下情形时承担保证担保责任：</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（1）投标人在投标有效期内撤销投标文件；</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（2）投标人在中标后无正当理由不与招标人订立合同；</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（3）投标人在签订合同时向招标人提出附加条件；</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（4）投标人不按照招标文件要求提交履约保证金；</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（5）发生招标文件明确规定可以不予退还投标保证金的其他情形。</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三、本保函为不可撤销、不可转让的见索即付独立保函。本保函有效期自开立之日起至投标有效期届满之日止。</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四、开立人承诺，在收到受益人发来的书面付款通知后的七日内无条件支付，前述书面付款通知即为付款要求之单据，且应满足以下要求：</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（1）付款通知到达的日期在本保函的有效期内；</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（2）载明要求支付的金额；</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（3）载明申请人违反招投标文件规定的义务内容和具体条款；</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（4）声明不存在招标文件规定或我国法律规定免除申请人或我方支付责任的情形；</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（5）书面付款通知应在本保函有效期内到达的地址是：</w:t>
      </w:r>
      <w:r>
        <w:rPr>
          <w:rFonts w:hint="eastAsia" w:hAnsi="宋体" w:cs="宋体"/>
          <w:szCs w:val="24"/>
          <w:highlight w:val="none"/>
          <w:u w:val="single"/>
          <w:lang w:val="en-US" w:eastAsia="zh-CN"/>
        </w:rPr>
        <w:t xml:space="preserve">                </w:t>
      </w:r>
      <w:r>
        <w:rPr>
          <w:rFonts w:hint="eastAsia" w:hAnsi="宋体" w:cs="宋体"/>
          <w:szCs w:val="24"/>
          <w:highlight w:val="none"/>
        </w:rPr>
        <w:t>。</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受益人发出的书面付款通知应由其法定代表人（负责人）或授权代理人签字并加盖公章。</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 xml:space="preserve">五、本保函项下的权利不得转让，不得设定担保。受益人未经开立人书面同意转让本保函或其项下任何权利，对开立人不发生法律效力。 </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六、本保函项下的基础交易不成立、不生效、无效、被撤销、被解除，不影响本保函的独立有效。</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 xml:space="preserve">七、本保函项下的义务和责任均在保函有效期到期后自动消灭。 </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 xml:space="preserve">八、本保函适用的法律为中华人民共和国法律，因本保函产生的纠纷案件，由受益人所在地人民法院管辖。 </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 xml:space="preserve">九、本保函自我方法定代表人或授权代表签字并加盖公章之日起生效。 </w:t>
      </w:r>
    </w:p>
    <w:p>
      <w:pPr>
        <w:tabs>
          <w:tab w:val="left" w:pos="8422"/>
          <w:tab w:val="left" w:pos="9622"/>
        </w:tabs>
        <w:spacing w:line="360" w:lineRule="auto"/>
        <w:ind w:right="120" w:rightChars="50"/>
        <w:jc w:val="left"/>
        <w:rPr>
          <w:rFonts w:hAnsi="宋体" w:cs="宋体"/>
          <w:szCs w:val="24"/>
          <w:highlight w:val="none"/>
        </w:rPr>
      </w:pPr>
    </w:p>
    <w:p>
      <w:pPr>
        <w:tabs>
          <w:tab w:val="left" w:pos="8422"/>
          <w:tab w:val="left" w:pos="9622"/>
        </w:tabs>
        <w:spacing w:line="360" w:lineRule="auto"/>
        <w:ind w:right="120"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开立人：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pPr>
        <w:tabs>
          <w:tab w:val="left" w:pos="8422"/>
          <w:tab w:val="left" w:pos="9622"/>
        </w:tabs>
        <w:spacing w:line="360" w:lineRule="auto"/>
        <w:ind w:right="120"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tabs>
          <w:tab w:val="left" w:pos="8422"/>
          <w:tab w:val="left" w:pos="9622"/>
        </w:tabs>
        <w:spacing w:line="360" w:lineRule="auto"/>
        <w:ind w:right="120" w:rightChars="5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tabs>
          <w:tab w:val="left" w:pos="8422"/>
          <w:tab w:val="left" w:pos="9622"/>
        </w:tabs>
        <w:spacing w:line="360" w:lineRule="auto"/>
        <w:ind w:right="120"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pPr>
        <w:tabs>
          <w:tab w:val="left" w:pos="8422"/>
          <w:tab w:val="left" w:pos="9622"/>
        </w:tabs>
        <w:spacing w:line="360" w:lineRule="auto"/>
        <w:ind w:right="120"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pPr>
        <w:tabs>
          <w:tab w:val="left" w:pos="8422"/>
          <w:tab w:val="left" w:pos="9622"/>
        </w:tabs>
        <w:spacing w:line="360" w:lineRule="auto"/>
        <w:ind w:right="120"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pPr>
        <w:tabs>
          <w:tab w:val="left" w:pos="8422"/>
          <w:tab w:val="left" w:pos="9622"/>
        </w:tabs>
        <w:spacing w:line="360" w:lineRule="auto"/>
        <w:ind w:right="120"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tabs>
          <w:tab w:val="left" w:pos="8422"/>
          <w:tab w:val="left" w:pos="9622"/>
        </w:tabs>
        <w:spacing w:line="360" w:lineRule="auto"/>
        <w:ind w:right="120" w:rightChars="50"/>
        <w:jc w:val="left"/>
        <w:rPr>
          <w:rFonts w:hAnsi="宋体" w:cs="宋体"/>
          <w:szCs w:val="24"/>
          <w:highlight w:val="none"/>
        </w:rPr>
      </w:pPr>
    </w:p>
    <w:p>
      <w:pPr>
        <w:tabs>
          <w:tab w:val="left" w:pos="8422"/>
          <w:tab w:val="left" w:pos="9622"/>
        </w:tabs>
        <w:spacing w:line="360" w:lineRule="auto"/>
        <w:ind w:right="120" w:rightChars="50"/>
        <w:jc w:val="left"/>
        <w:rPr>
          <w:rFonts w:hAnsi="宋体" w:cs="宋体"/>
          <w:szCs w:val="24"/>
          <w:highlight w:val="none"/>
        </w:rPr>
      </w:pPr>
    </w:p>
    <w:p>
      <w:pPr>
        <w:adjustRightInd w:val="0"/>
        <w:snapToGrid w:val="0"/>
        <w:spacing w:line="360" w:lineRule="auto"/>
        <w:ind w:firstLine="480" w:firstLineChars="200"/>
        <w:jc w:val="left"/>
        <w:rPr>
          <w:rFonts w:hAnsi="宋体" w:cs="宋体"/>
          <w:bCs/>
          <w:snapToGrid w:val="0"/>
          <w:szCs w:val="24"/>
          <w:highlight w:val="none"/>
        </w:rPr>
      </w:pPr>
      <w:r>
        <w:rPr>
          <w:rFonts w:hint="eastAsia" w:hAnsi="宋体" w:cs="宋体"/>
          <w:bCs/>
          <w:snapToGrid w:val="0"/>
          <w:szCs w:val="24"/>
          <w:highlight w:val="none"/>
        </w:rPr>
        <w:t>注：</w:t>
      </w:r>
    </w:p>
    <w:p>
      <w:pPr>
        <w:adjustRightInd w:val="0"/>
        <w:snapToGrid w:val="0"/>
        <w:spacing w:line="360" w:lineRule="auto"/>
        <w:ind w:firstLine="480" w:firstLineChars="200"/>
        <w:jc w:val="left"/>
        <w:rPr>
          <w:rFonts w:hAnsi="宋体" w:cs="宋体"/>
          <w:bCs/>
          <w:snapToGrid w:val="0"/>
          <w:szCs w:val="24"/>
          <w:highlight w:val="none"/>
        </w:rPr>
      </w:pPr>
      <w:r>
        <w:rPr>
          <w:rFonts w:hint="eastAsia" w:hAnsi="宋体" w:cs="宋体"/>
          <w:bCs/>
          <w:snapToGrid w:val="0"/>
          <w:szCs w:val="24"/>
          <w:highlight w:val="none"/>
        </w:rPr>
        <w:t>1.允许投标人实际开具的银行保函或担保机构或保证保险机构出具的担保的格式与本文件提供的格式有所不同，但不得更改本文件提供的银行保函或担保格式中的实质性内容。</w:t>
      </w:r>
    </w:p>
    <w:p>
      <w:pPr>
        <w:adjustRightInd w:val="0"/>
        <w:snapToGrid w:val="0"/>
        <w:spacing w:line="360" w:lineRule="auto"/>
        <w:ind w:firstLine="480" w:firstLineChars="200"/>
        <w:jc w:val="left"/>
        <w:rPr>
          <w:rFonts w:hAnsi="宋体" w:cs="宋体"/>
          <w:bCs/>
          <w:snapToGrid w:val="0"/>
          <w:szCs w:val="24"/>
          <w:highlight w:val="none"/>
        </w:rPr>
      </w:pPr>
      <w:r>
        <w:rPr>
          <w:rFonts w:hint="eastAsia" w:hAnsi="宋体" w:cs="宋体"/>
          <w:bCs/>
          <w:snapToGrid w:val="0"/>
          <w:szCs w:val="24"/>
          <w:highlight w:val="none"/>
        </w:rPr>
        <w:t>2.投标人开具的银行保函（或担保机构担保或保证保险）必须具有明确有效的查询途径（网址链接及查询方式）。</w:t>
      </w:r>
    </w:p>
    <w:p>
      <w:pPr>
        <w:spacing w:line="560" w:lineRule="exact"/>
        <w:ind w:firstLine="422"/>
        <w:jc w:val="center"/>
        <w:rPr>
          <w:rFonts w:ascii="Times New Roman" w:eastAsia="方正小标宋简体"/>
          <w:sz w:val="44"/>
          <w:szCs w:val="44"/>
          <w:highlight w:val="none"/>
        </w:rPr>
      </w:pPr>
      <w:r>
        <w:rPr>
          <w:rFonts w:hint="eastAsia" w:hAnsi="宋体" w:cs="宋体"/>
          <w:bCs/>
          <w:snapToGrid w:val="0"/>
          <w:szCs w:val="24"/>
          <w:highlight w:val="none"/>
        </w:rPr>
        <w:br w:type="page"/>
      </w:r>
      <w:r>
        <w:rPr>
          <w:rFonts w:hint="eastAsia" w:hAnsi="宋体"/>
          <w:bCs/>
          <w:kern w:val="2"/>
          <w:sz w:val="32"/>
          <w:szCs w:val="32"/>
          <w:highlight w:val="none"/>
        </w:rPr>
        <w:t>（二）</w:t>
      </w:r>
      <w:r>
        <w:rPr>
          <w:rFonts w:hAnsi="宋体"/>
          <w:bCs/>
          <w:kern w:val="2"/>
          <w:sz w:val="32"/>
          <w:szCs w:val="32"/>
          <w:highlight w:val="none"/>
        </w:rPr>
        <w:t>投标人免缴投标保证金信用承诺函</w:t>
      </w:r>
    </w:p>
    <w:p>
      <w:pPr>
        <w:widowControl/>
        <w:spacing w:line="560" w:lineRule="exact"/>
        <w:jc w:val="center"/>
        <w:rPr>
          <w:rFonts w:ascii="Times New Roman" w:eastAsia="仿宋_GB2312"/>
          <w:sz w:val="24"/>
          <w:szCs w:val="24"/>
          <w:highlight w:val="none"/>
        </w:rPr>
      </w:pPr>
    </w:p>
    <w:p>
      <w:pPr>
        <w:spacing w:line="560" w:lineRule="exact"/>
        <w:rPr>
          <w:rFonts w:hAnsi="宋体"/>
          <w:kern w:val="2"/>
          <w:sz w:val="24"/>
          <w:szCs w:val="24"/>
          <w:highlight w:val="none"/>
        </w:rPr>
      </w:pPr>
      <w:r>
        <w:rPr>
          <w:rFonts w:hAnsi="宋体"/>
          <w:bCs/>
          <w:kern w:val="2"/>
          <w:sz w:val="24"/>
          <w:szCs w:val="24"/>
          <w:highlight w:val="none"/>
        </w:rPr>
        <w:t>致：</w:t>
      </w:r>
      <w:r>
        <w:rPr>
          <w:rFonts w:hAnsi="宋体"/>
          <w:bCs/>
          <w:kern w:val="2"/>
          <w:sz w:val="24"/>
          <w:szCs w:val="24"/>
          <w:highlight w:val="none"/>
          <w:u w:val="single"/>
        </w:rPr>
        <w:t>(招标人名称)</w:t>
      </w:r>
    </w:p>
    <w:p>
      <w:pPr>
        <w:spacing w:line="560" w:lineRule="exact"/>
        <w:ind w:firstLine="420"/>
        <w:rPr>
          <w:rFonts w:hAnsi="宋体"/>
          <w:kern w:val="2"/>
          <w:sz w:val="24"/>
          <w:szCs w:val="24"/>
          <w:highlight w:val="none"/>
        </w:rPr>
      </w:pPr>
      <w:r>
        <w:rPr>
          <w:rFonts w:hAnsi="宋体"/>
          <w:kern w:val="2"/>
          <w:sz w:val="24"/>
          <w:szCs w:val="24"/>
          <w:highlight w:val="none"/>
        </w:rPr>
        <w:t>按照招标文件的规定，我单位郑重承诺如下：</w:t>
      </w:r>
    </w:p>
    <w:p>
      <w:pPr>
        <w:spacing w:line="560" w:lineRule="exact"/>
        <w:ind w:firstLine="420"/>
        <w:rPr>
          <w:rFonts w:hAnsi="宋体"/>
          <w:kern w:val="2"/>
          <w:sz w:val="24"/>
          <w:szCs w:val="24"/>
          <w:highlight w:val="none"/>
        </w:rPr>
      </w:pPr>
      <w:r>
        <w:rPr>
          <w:rFonts w:hAnsi="宋体"/>
          <w:kern w:val="2"/>
          <w:sz w:val="24"/>
          <w:szCs w:val="24"/>
          <w:highlight w:val="none"/>
        </w:rPr>
        <w:t>我单位将严格遵守《中华人民共和国招标投标法》等法律、法规</w:t>
      </w:r>
      <w:r>
        <w:rPr>
          <w:rFonts w:hint="eastAsia" w:hAnsi="宋体"/>
          <w:kern w:val="2"/>
          <w:sz w:val="24"/>
          <w:szCs w:val="24"/>
          <w:highlight w:val="none"/>
        </w:rPr>
        <w:t>和招标文件约定条款</w:t>
      </w:r>
      <w:r>
        <w:rPr>
          <w:rFonts w:hAnsi="宋体"/>
          <w:kern w:val="2"/>
          <w:sz w:val="24"/>
          <w:szCs w:val="24"/>
          <w:highlight w:val="none"/>
        </w:rPr>
        <w:t>。如果存在招标文件约定的投标保证金不予退还的情形，将于收到招标人书面通知7日内将招标文件约定的投标保证金足额缴纳至招标人指定账户。</w:t>
      </w:r>
    </w:p>
    <w:p>
      <w:pPr>
        <w:spacing w:line="560" w:lineRule="exact"/>
        <w:ind w:firstLine="420"/>
        <w:rPr>
          <w:rFonts w:hAnsi="宋体"/>
          <w:kern w:val="2"/>
          <w:sz w:val="24"/>
          <w:szCs w:val="24"/>
          <w:highlight w:val="none"/>
        </w:rPr>
      </w:pPr>
      <w:r>
        <w:rPr>
          <w:rFonts w:hAnsi="宋体"/>
          <w:kern w:val="2"/>
          <w:sz w:val="24"/>
          <w:szCs w:val="24"/>
          <w:highlight w:val="none"/>
        </w:rPr>
        <w:t>我单位对上述承诺的真实性负责。如有虚假，我单位愿意承担弄虚作假法律责任。</w:t>
      </w:r>
    </w:p>
    <w:p>
      <w:pPr>
        <w:tabs>
          <w:tab w:val="left" w:pos="8422"/>
          <w:tab w:val="left" w:pos="9622"/>
        </w:tabs>
        <w:spacing w:line="560" w:lineRule="exact"/>
        <w:rPr>
          <w:rFonts w:hAnsi="宋体"/>
          <w:kern w:val="2"/>
          <w:sz w:val="24"/>
          <w:szCs w:val="24"/>
          <w:highlight w:val="none"/>
        </w:rPr>
      </w:pPr>
    </w:p>
    <w:p>
      <w:pPr>
        <w:tabs>
          <w:tab w:val="left" w:pos="8422"/>
          <w:tab w:val="left" w:pos="9622"/>
        </w:tabs>
        <w:spacing w:line="360" w:lineRule="auto"/>
        <w:ind w:right="120" w:rightChars="50"/>
        <w:jc w:val="left"/>
        <w:rPr>
          <w:rFonts w:hAnsi="宋体" w:cs="宋体"/>
          <w:kern w:val="2"/>
          <w:sz w:val="24"/>
          <w:szCs w:val="24"/>
          <w:highlight w:val="none"/>
        </w:rPr>
      </w:pPr>
    </w:p>
    <w:p>
      <w:pPr>
        <w:adjustRightInd w:val="0"/>
        <w:snapToGrid w:val="0"/>
        <w:spacing w:line="360" w:lineRule="auto"/>
        <w:ind w:right="210"/>
        <w:jc w:val="right"/>
        <w:rPr>
          <w:rFonts w:hint="eastAsia" w:hAnsi="宋体" w:cs="仿宋_GB2312"/>
          <w:bCs/>
          <w:kern w:val="2"/>
          <w:sz w:val="24"/>
          <w:szCs w:val="24"/>
          <w:highlight w:val="none"/>
          <w:u w:val="none"/>
        </w:rPr>
      </w:pPr>
      <w:r>
        <w:rPr>
          <w:rFonts w:hint="eastAsia" w:hAnsi="宋体" w:cs="仿宋_GB2312"/>
          <w:bCs/>
          <w:spacing w:val="120"/>
          <w:kern w:val="0"/>
          <w:sz w:val="24"/>
          <w:szCs w:val="24"/>
          <w:highlight w:val="none"/>
          <w:fitText w:val="1200" w:id="-1218188030"/>
        </w:rPr>
        <w:t>投标</w:t>
      </w:r>
      <w:r>
        <w:rPr>
          <w:rFonts w:hint="eastAsia" w:hAnsi="宋体" w:cs="仿宋_GB2312"/>
          <w:bCs/>
          <w:spacing w:val="0"/>
          <w:kern w:val="0"/>
          <w:sz w:val="24"/>
          <w:szCs w:val="24"/>
          <w:highlight w:val="none"/>
          <w:fitText w:val="1200" w:id="-1218188030"/>
        </w:rPr>
        <w:t>人</w:t>
      </w:r>
      <w:r>
        <w:rPr>
          <w:rFonts w:hint="eastAsia" w:hAnsi="宋体" w:cs="仿宋_GB2312"/>
          <w:bCs/>
          <w:kern w:val="2"/>
          <w:sz w:val="24"/>
          <w:szCs w:val="24"/>
          <w:highlight w:val="none"/>
        </w:rPr>
        <w:t>：</w:t>
      </w:r>
      <w:r>
        <w:rPr>
          <w:rFonts w:hint="eastAsia" w:hAnsi="宋体" w:cs="仿宋_GB2312"/>
          <w:bCs/>
          <w:kern w:val="2"/>
          <w:sz w:val="24"/>
          <w:szCs w:val="24"/>
          <w:highlight w:val="none"/>
          <w:u w:val="single"/>
          <w:lang w:val="en-US" w:eastAsia="zh-CN"/>
        </w:rPr>
        <w:t xml:space="preserve">                  </w:t>
      </w:r>
      <w:r>
        <w:rPr>
          <w:rFonts w:hint="eastAsia" w:hAnsi="宋体" w:cs="仿宋_GB2312"/>
          <w:bCs/>
          <w:kern w:val="2"/>
          <w:sz w:val="24"/>
          <w:szCs w:val="24"/>
          <w:highlight w:val="none"/>
          <w:u w:val="none"/>
        </w:rPr>
        <w:t>（盖单位章）</w:t>
      </w:r>
    </w:p>
    <w:p>
      <w:pPr>
        <w:adjustRightInd w:val="0"/>
        <w:snapToGrid w:val="0"/>
        <w:spacing w:line="360" w:lineRule="auto"/>
        <w:ind w:right="210"/>
        <w:jc w:val="center"/>
        <w:rPr>
          <w:rFonts w:hAnsi="宋体" w:cs="宋体"/>
          <w:bCs/>
          <w:snapToGrid w:val="0"/>
          <w:sz w:val="24"/>
          <w:szCs w:val="24"/>
          <w:highlight w:val="none"/>
        </w:rPr>
      </w:pPr>
      <w:r>
        <w:rPr>
          <w:rFonts w:hint="eastAsia" w:hAnsi="宋体" w:cs="仿宋_GB2312"/>
          <w:bCs/>
          <w:kern w:val="0"/>
          <w:sz w:val="24"/>
          <w:szCs w:val="24"/>
          <w:highlight w:val="none"/>
          <w:lang w:val="en-US" w:eastAsia="zh-CN"/>
        </w:rPr>
        <w:t xml:space="preserve">                      </w:t>
      </w:r>
      <w:r>
        <w:rPr>
          <w:rFonts w:hint="eastAsia" w:hAnsi="宋体" w:cs="仿宋_GB2312"/>
          <w:bCs/>
          <w:spacing w:val="360"/>
          <w:kern w:val="0"/>
          <w:sz w:val="24"/>
          <w:szCs w:val="24"/>
          <w:highlight w:val="none"/>
          <w:fitText w:val="1200" w:id="-1218188029"/>
        </w:rPr>
        <w:t>日</w:t>
      </w:r>
      <w:r>
        <w:rPr>
          <w:rFonts w:hint="eastAsia" w:hAnsi="宋体" w:cs="仿宋_GB2312"/>
          <w:bCs/>
          <w:spacing w:val="0"/>
          <w:kern w:val="0"/>
          <w:sz w:val="24"/>
          <w:szCs w:val="24"/>
          <w:highlight w:val="none"/>
          <w:fitText w:val="1200" w:id="-1218188029"/>
        </w:rPr>
        <w:t>期</w:t>
      </w:r>
      <w:r>
        <w:rPr>
          <w:rFonts w:hint="eastAsia" w:hAnsi="宋体" w:cs="仿宋_GB2312"/>
          <w:kern w:val="2"/>
          <w:sz w:val="24"/>
          <w:szCs w:val="24"/>
          <w:highlight w:val="none"/>
        </w:rPr>
        <w:t>：</w:t>
      </w:r>
      <w:r>
        <w:rPr>
          <w:rFonts w:hint="eastAsia" w:hAnsi="宋体" w:cs="仿宋_GB2312"/>
          <w:kern w:val="2"/>
          <w:sz w:val="24"/>
          <w:szCs w:val="24"/>
          <w:highlight w:val="none"/>
          <w:u w:val="single"/>
        </w:rPr>
        <w:t xml:space="preserve">  </w:t>
      </w:r>
      <w:r>
        <w:rPr>
          <w:rFonts w:hint="eastAsia" w:hAnsi="宋体" w:cs="仿宋_GB2312"/>
          <w:kern w:val="2"/>
          <w:sz w:val="24"/>
          <w:szCs w:val="24"/>
          <w:highlight w:val="none"/>
          <w:u w:val="single"/>
          <w:lang w:val="en-US" w:eastAsia="zh-CN"/>
        </w:rPr>
        <w:t xml:space="preserve">     </w:t>
      </w:r>
      <w:r>
        <w:rPr>
          <w:rFonts w:hint="eastAsia" w:hAnsi="宋体" w:cs="仿宋_GB2312"/>
          <w:kern w:val="2"/>
          <w:sz w:val="24"/>
          <w:szCs w:val="24"/>
          <w:highlight w:val="none"/>
          <w:u w:val="none"/>
        </w:rPr>
        <w:t>年</w:t>
      </w:r>
      <w:r>
        <w:rPr>
          <w:rFonts w:hint="eastAsia" w:hAnsi="宋体" w:cs="仿宋_GB2312"/>
          <w:kern w:val="2"/>
          <w:sz w:val="24"/>
          <w:szCs w:val="24"/>
          <w:highlight w:val="none"/>
          <w:u w:val="single"/>
          <w:lang w:val="en-US" w:eastAsia="zh-CN"/>
        </w:rPr>
        <w:t xml:space="preserve">     </w:t>
      </w:r>
      <w:r>
        <w:rPr>
          <w:rFonts w:hint="eastAsia" w:hAnsi="宋体" w:cs="仿宋_GB2312"/>
          <w:kern w:val="2"/>
          <w:sz w:val="24"/>
          <w:szCs w:val="24"/>
          <w:highlight w:val="none"/>
          <w:u w:val="single"/>
        </w:rPr>
        <w:t xml:space="preserve">  </w:t>
      </w:r>
      <w:r>
        <w:rPr>
          <w:rFonts w:hint="eastAsia" w:hAnsi="宋体" w:cs="仿宋_GB2312"/>
          <w:kern w:val="2"/>
          <w:sz w:val="24"/>
          <w:szCs w:val="24"/>
          <w:highlight w:val="none"/>
          <w:u w:val="none"/>
        </w:rPr>
        <w:t>月</w:t>
      </w:r>
      <w:r>
        <w:rPr>
          <w:rFonts w:hint="eastAsia" w:hAnsi="宋体" w:cs="仿宋_GB2312"/>
          <w:kern w:val="2"/>
          <w:sz w:val="24"/>
          <w:szCs w:val="24"/>
          <w:highlight w:val="none"/>
          <w:u w:val="single"/>
        </w:rPr>
        <w:t xml:space="preserve"> </w:t>
      </w:r>
      <w:r>
        <w:rPr>
          <w:rFonts w:hint="eastAsia" w:hAnsi="宋体" w:cs="仿宋_GB2312"/>
          <w:kern w:val="2"/>
          <w:sz w:val="24"/>
          <w:szCs w:val="24"/>
          <w:highlight w:val="none"/>
          <w:u w:val="single"/>
          <w:lang w:val="en-US" w:eastAsia="zh-CN"/>
        </w:rPr>
        <w:t xml:space="preserve">     </w:t>
      </w:r>
      <w:r>
        <w:rPr>
          <w:rFonts w:hint="eastAsia" w:hAnsi="宋体" w:cs="仿宋_GB2312"/>
          <w:kern w:val="2"/>
          <w:sz w:val="24"/>
          <w:szCs w:val="24"/>
          <w:highlight w:val="none"/>
          <w:u w:val="single"/>
        </w:rPr>
        <w:t xml:space="preserve"> </w:t>
      </w:r>
      <w:r>
        <w:rPr>
          <w:rFonts w:hint="eastAsia" w:hAnsi="宋体" w:cs="仿宋_GB2312"/>
          <w:kern w:val="2"/>
          <w:sz w:val="24"/>
          <w:szCs w:val="24"/>
          <w:highlight w:val="none"/>
          <w:u w:val="none"/>
        </w:rPr>
        <w:t>日</w:t>
      </w:r>
    </w:p>
    <w:p>
      <w:pPr>
        <w:pStyle w:val="2"/>
        <w:jc w:val="center"/>
        <w:rPr>
          <w:rFonts w:ascii="Times New Roman" w:hAnsi="Times New Roman"/>
          <w:snapToGrid w:val="0"/>
          <w:highlight w:val="none"/>
        </w:rPr>
      </w:pPr>
      <w:r>
        <w:rPr>
          <w:rFonts w:ascii="Times New Roman" w:hAnsi="Times New Roman"/>
          <w:snapToGrid w:val="0"/>
          <w:highlight w:val="none"/>
        </w:rPr>
        <w:br w:type="page"/>
      </w:r>
      <w:r>
        <w:rPr>
          <w:rFonts w:hint="eastAsia" w:ascii="Times New Roman" w:hAnsi="Times New Roman"/>
          <w:highlight w:val="none"/>
        </w:rPr>
        <w:t>五、商务条款偏差表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545"/>
        <w:gridCol w:w="1276"/>
        <w:gridCol w:w="1559"/>
        <w:gridCol w:w="141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序号</w:t>
            </w:r>
          </w:p>
        </w:tc>
        <w:tc>
          <w:tcPr>
            <w:tcW w:w="2821" w:type="dxa"/>
            <w:gridSpan w:val="2"/>
            <w:vAlign w:val="center"/>
          </w:tcPr>
          <w:p>
            <w:pPr>
              <w:widowControl/>
              <w:snapToGrid w:val="0"/>
              <w:spacing w:line="360" w:lineRule="auto"/>
              <w:jc w:val="center"/>
              <w:rPr>
                <w:rFonts w:hAnsi="宋体" w:cs="宋体"/>
                <w:highlight w:val="none"/>
              </w:rPr>
            </w:pPr>
            <w:r>
              <w:rPr>
                <w:rFonts w:hint="eastAsia" w:hAnsi="宋体" w:cs="宋体"/>
                <w:highlight w:val="none"/>
              </w:rPr>
              <w:t>招标文件要求</w:t>
            </w:r>
          </w:p>
        </w:tc>
        <w:tc>
          <w:tcPr>
            <w:tcW w:w="2977" w:type="dxa"/>
            <w:gridSpan w:val="2"/>
            <w:vAlign w:val="center"/>
          </w:tcPr>
          <w:p>
            <w:pPr>
              <w:widowControl/>
              <w:snapToGrid w:val="0"/>
              <w:spacing w:line="360" w:lineRule="auto"/>
              <w:jc w:val="center"/>
              <w:rPr>
                <w:rFonts w:hAnsi="宋体" w:cs="宋体"/>
                <w:highlight w:val="none"/>
              </w:rPr>
            </w:pPr>
            <w:r>
              <w:rPr>
                <w:rFonts w:hint="eastAsia" w:hAnsi="宋体" w:cs="宋体"/>
                <w:highlight w:val="none"/>
              </w:rPr>
              <w:t>投标文件响应</w:t>
            </w:r>
          </w:p>
        </w:tc>
        <w:tc>
          <w:tcPr>
            <w:tcW w:w="1506"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925" w:type="dxa"/>
            <w:vMerge w:val="continue"/>
            <w:vAlign w:val="center"/>
          </w:tcPr>
          <w:p>
            <w:pPr>
              <w:widowControl/>
              <w:snapToGrid w:val="0"/>
              <w:spacing w:line="360" w:lineRule="auto"/>
              <w:jc w:val="center"/>
              <w:rPr>
                <w:rFonts w:hAnsi="宋体" w:cs="宋体"/>
                <w:highlight w:val="none"/>
              </w:rPr>
            </w:pPr>
          </w:p>
        </w:tc>
        <w:tc>
          <w:tcPr>
            <w:tcW w:w="1545" w:type="dxa"/>
            <w:vAlign w:val="center"/>
          </w:tcPr>
          <w:p>
            <w:pPr>
              <w:widowControl/>
              <w:snapToGrid w:val="0"/>
              <w:spacing w:line="360" w:lineRule="auto"/>
              <w:jc w:val="center"/>
              <w:rPr>
                <w:rFonts w:hAnsi="宋体" w:cs="宋体"/>
                <w:highlight w:val="none"/>
              </w:rPr>
            </w:pPr>
            <w:r>
              <w:rPr>
                <w:rFonts w:hint="eastAsia" w:hAnsi="宋体" w:cs="宋体"/>
                <w:highlight w:val="none"/>
              </w:rPr>
              <w:t>章节及条款号</w:t>
            </w:r>
          </w:p>
        </w:tc>
        <w:tc>
          <w:tcPr>
            <w:tcW w:w="1276" w:type="dxa"/>
            <w:vAlign w:val="center"/>
          </w:tcPr>
          <w:p>
            <w:pPr>
              <w:widowControl/>
              <w:snapToGrid w:val="0"/>
              <w:spacing w:line="360" w:lineRule="auto"/>
              <w:jc w:val="center"/>
              <w:rPr>
                <w:rFonts w:hAnsi="宋体" w:cs="宋体"/>
                <w:highlight w:val="none"/>
              </w:rPr>
            </w:pPr>
            <w:r>
              <w:rPr>
                <w:rFonts w:hint="eastAsia" w:hAnsi="宋体" w:cs="宋体"/>
                <w:highlight w:val="none"/>
              </w:rPr>
              <w:t>具体要求</w:t>
            </w:r>
          </w:p>
        </w:tc>
        <w:tc>
          <w:tcPr>
            <w:tcW w:w="1559" w:type="dxa"/>
            <w:vAlign w:val="center"/>
          </w:tcPr>
          <w:p>
            <w:pPr>
              <w:widowControl/>
              <w:snapToGrid w:val="0"/>
              <w:spacing w:line="360" w:lineRule="auto"/>
              <w:jc w:val="center"/>
              <w:rPr>
                <w:rFonts w:hAnsi="宋体" w:cs="宋体"/>
                <w:highlight w:val="none"/>
              </w:rPr>
            </w:pPr>
            <w:r>
              <w:rPr>
                <w:rFonts w:hint="eastAsia" w:hAnsi="宋体" w:cs="宋体"/>
                <w:highlight w:val="none"/>
              </w:rPr>
              <w:t>章节及条款号</w:t>
            </w:r>
          </w:p>
        </w:tc>
        <w:tc>
          <w:tcPr>
            <w:tcW w:w="1418" w:type="dxa"/>
            <w:vAlign w:val="center"/>
          </w:tcPr>
          <w:p>
            <w:pPr>
              <w:widowControl/>
              <w:snapToGrid w:val="0"/>
              <w:spacing w:line="360" w:lineRule="auto"/>
              <w:jc w:val="center"/>
              <w:rPr>
                <w:rFonts w:hAnsi="宋体" w:cs="宋体"/>
                <w:highlight w:val="none"/>
              </w:rPr>
            </w:pPr>
            <w:r>
              <w:rPr>
                <w:rFonts w:hint="eastAsia" w:hAnsi="宋体" w:cs="宋体"/>
                <w:highlight w:val="none"/>
              </w:rPr>
              <w:t>具体内容</w:t>
            </w:r>
          </w:p>
        </w:tc>
        <w:tc>
          <w:tcPr>
            <w:tcW w:w="1506" w:type="dxa"/>
            <w:vMerge w:val="continue"/>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1</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2</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3</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4</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bl>
    <w:p>
      <w:pPr>
        <w:spacing w:line="360" w:lineRule="auto"/>
        <w:rPr>
          <w:rFonts w:hAnsi="宋体" w:cs="宋体"/>
          <w:highlight w:val="none"/>
        </w:rPr>
      </w:pPr>
    </w:p>
    <w:p>
      <w:pPr>
        <w:spacing w:line="360" w:lineRule="auto"/>
        <w:rPr>
          <w:rFonts w:hAnsi="宋体" w:cs="宋体"/>
          <w:highlight w:val="none"/>
        </w:rPr>
      </w:pPr>
      <w:r>
        <w:rPr>
          <w:rFonts w:hint="eastAsia" w:hAnsi="宋体" w:cs="宋体"/>
          <w:highlight w:val="none"/>
        </w:rPr>
        <w:t>注：投标人对付款方式、交货及安装周期、交货及安装地点、质量保证期、投标有效期及其他商务条款未完全响应的，应当填写上表。</w:t>
      </w:r>
    </w:p>
    <w:p>
      <w:pPr>
        <w:spacing w:line="360" w:lineRule="auto"/>
        <w:rPr>
          <w:rFonts w:hAnsi="宋体" w:cs="宋体"/>
          <w:highlight w:val="none"/>
        </w:rPr>
      </w:pPr>
      <w:r>
        <w:rPr>
          <w:rFonts w:hint="eastAsia" w:hAnsi="宋体" w:cs="宋体"/>
          <w:highlight w:val="none"/>
        </w:rPr>
        <w:t>投标人保证：除商务条款偏差表列出的偏差外，投标人响应招标文件的全部要求。</w:t>
      </w:r>
    </w:p>
    <w:p>
      <w:pPr>
        <w:spacing w:line="360" w:lineRule="auto"/>
        <w:rPr>
          <w:rFonts w:hAnsi="宋体" w:cs="宋体"/>
          <w:highlight w:val="none"/>
        </w:rPr>
      </w:pPr>
    </w:p>
    <w:p>
      <w:pPr>
        <w:pStyle w:val="2"/>
        <w:spacing w:beforeLines="100" w:afterLines="100" w:line="240" w:lineRule="auto"/>
        <w:jc w:val="center"/>
        <w:rPr>
          <w:rFonts w:ascii="Times New Roman" w:hAnsi="Times New Roman"/>
          <w:bCs w:val="0"/>
          <w:sz w:val="32"/>
          <w:szCs w:val="32"/>
          <w:highlight w:val="none"/>
        </w:rPr>
      </w:pPr>
      <w:r>
        <w:rPr>
          <w:rFonts w:hint="eastAsia" w:ascii="Times New Roman" w:hAnsi="Times New Roman"/>
          <w:bCs w:val="0"/>
          <w:sz w:val="32"/>
          <w:szCs w:val="32"/>
          <w:highlight w:val="none"/>
        </w:rPr>
        <w:br w:type="page"/>
      </w:r>
      <w:r>
        <w:rPr>
          <w:rFonts w:hint="eastAsia" w:cs="黑体"/>
          <w:highlight w:val="none"/>
        </w:rPr>
        <w:t>六、资格审查资料</w:t>
      </w:r>
    </w:p>
    <w:p>
      <w:pPr>
        <w:pStyle w:val="5"/>
        <w:spacing w:before="0" w:after="0"/>
        <w:jc w:val="center"/>
        <w:rPr>
          <w:rFonts w:ascii="黑体" w:hAnsi="黑体" w:cs="黑体"/>
          <w:szCs w:val="24"/>
          <w:highlight w:val="none"/>
        </w:rPr>
      </w:pPr>
      <w:r>
        <w:rPr>
          <w:rFonts w:hint="eastAsia" w:ascii="黑体" w:hAnsi="黑体" w:cs="黑体"/>
          <w:szCs w:val="24"/>
          <w:highlight w:val="none"/>
        </w:rPr>
        <w:t>（一）投标人基本情况表</w:t>
      </w:r>
      <w:bookmarkEnd w:id="979"/>
      <w:bookmarkEnd w:id="980"/>
      <w:bookmarkEnd w:id="983"/>
      <w:bookmarkEnd w:id="984"/>
      <w:bookmarkEnd w:id="985"/>
    </w:p>
    <w:tbl>
      <w:tblPr>
        <w:tblStyle w:val="52"/>
        <w:tblW w:w="8931"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409"/>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投标人名称</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注册资金</w:t>
            </w:r>
          </w:p>
        </w:tc>
        <w:tc>
          <w:tcPr>
            <w:tcW w:w="3354"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成立时间</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注册地址</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邮政编码</w:t>
            </w:r>
          </w:p>
        </w:tc>
        <w:tc>
          <w:tcPr>
            <w:tcW w:w="3354"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员工总数</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174"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联系方式</w:t>
            </w:r>
          </w:p>
        </w:tc>
        <w:tc>
          <w:tcPr>
            <w:tcW w:w="94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联系人</w:t>
            </w:r>
          </w:p>
        </w:tc>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网址</w:t>
            </w:r>
          </w:p>
        </w:tc>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传真</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法定代表人</w:t>
            </w:r>
          </w:p>
          <w:p>
            <w:pPr>
              <w:topLinePunct/>
              <w:spacing w:line="360" w:lineRule="auto"/>
              <w:jc w:val="center"/>
              <w:rPr>
                <w:rFonts w:hAnsi="宋体" w:cs="宋体"/>
                <w:highlight w:val="none"/>
              </w:rPr>
            </w:pPr>
            <w:r>
              <w:rPr>
                <w:rFonts w:hint="eastAsia" w:hAnsi="宋体" w:cs="宋体"/>
                <w:highlight w:val="none"/>
              </w:rPr>
              <w:t>（单位负责人）</w:t>
            </w:r>
          </w:p>
        </w:tc>
        <w:tc>
          <w:tcPr>
            <w:tcW w:w="94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姓名</w:t>
            </w:r>
          </w:p>
        </w:tc>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投标人须知要求投标人需具有的各类资质证书</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20" w:firstLineChars="50"/>
              <w:rPr>
                <w:rFonts w:hAnsi="宋体" w:cs="宋体"/>
                <w:highlight w:val="none"/>
              </w:rPr>
            </w:pPr>
            <w:r>
              <w:rPr>
                <w:rFonts w:hint="eastAsia" w:hAnsi="宋体" w:cs="宋体"/>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基本存款账户开户银行</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20" w:firstLineChars="50"/>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基本存款账户银行账号</w:t>
            </w:r>
          </w:p>
        </w:tc>
        <w:tc>
          <w:tcPr>
            <w:tcW w:w="6757" w:type="dxa"/>
            <w:gridSpan w:val="4"/>
            <w:tcBorders>
              <w:top w:val="single" w:color="auto" w:sz="4" w:space="0"/>
              <w:left w:val="single" w:color="auto" w:sz="4" w:space="0"/>
              <w:right w:val="single" w:color="auto" w:sz="4" w:space="0"/>
            </w:tcBorders>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hAnsi="宋体" w:cs="宋体"/>
                <w:highlight w:val="none"/>
              </w:rPr>
            </w:pPr>
            <w:r>
              <w:rPr>
                <w:rFonts w:hint="eastAsia" w:ascii="Times New Roman"/>
                <w:szCs w:val="24"/>
                <w:highlight w:val="none"/>
              </w:rPr>
              <w:t>经营范围</w:t>
            </w:r>
          </w:p>
        </w:tc>
        <w:tc>
          <w:tcPr>
            <w:tcW w:w="6757" w:type="dxa"/>
            <w:gridSpan w:val="4"/>
            <w:tcBorders>
              <w:top w:val="single" w:color="auto" w:sz="4" w:space="0"/>
              <w:left w:val="single" w:color="auto" w:sz="4" w:space="0"/>
              <w:right w:val="single" w:color="auto" w:sz="4" w:space="0"/>
            </w:tcBorders>
            <w:vAlign w:val="center"/>
          </w:tcPr>
          <w:p>
            <w:pPr>
              <w:autoSpaceDE w:val="0"/>
              <w:autoSpaceDN w:val="0"/>
              <w:adjustRightInd w:val="0"/>
              <w:snapToGrid w:val="0"/>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8" w:hRule="atLeast"/>
        </w:trPr>
        <w:tc>
          <w:tcPr>
            <w:tcW w:w="2174"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Times New Roman"/>
                <w:szCs w:val="24"/>
                <w:highlight w:val="none"/>
              </w:rPr>
            </w:pPr>
            <w:r>
              <w:rPr>
                <w:rFonts w:ascii="Times New Roman"/>
                <w:szCs w:val="24"/>
                <w:highlight w:val="none"/>
              </w:rPr>
              <w:t>投标人关联</w:t>
            </w:r>
          </w:p>
          <w:p>
            <w:pPr>
              <w:autoSpaceDE w:val="0"/>
              <w:autoSpaceDN w:val="0"/>
              <w:adjustRightInd w:val="0"/>
              <w:snapToGrid w:val="0"/>
              <w:jc w:val="center"/>
              <w:rPr>
                <w:rFonts w:hAnsi="宋体" w:cs="宋体"/>
                <w:highlight w:val="none"/>
              </w:rPr>
            </w:pPr>
            <w:r>
              <w:rPr>
                <w:rFonts w:ascii="Times New Roman"/>
                <w:szCs w:val="24"/>
                <w:highlight w:val="none"/>
              </w:rPr>
              <w:t>企业情况</w:t>
            </w:r>
          </w:p>
        </w:tc>
        <w:tc>
          <w:tcPr>
            <w:tcW w:w="6757" w:type="dxa"/>
            <w:gridSpan w:val="4"/>
            <w:tcBorders>
              <w:top w:val="single" w:color="auto" w:sz="4" w:space="0"/>
              <w:left w:val="single" w:color="auto" w:sz="4" w:space="0"/>
              <w:right w:val="single" w:color="auto" w:sz="4" w:space="0"/>
            </w:tcBorders>
            <w:vAlign w:val="center"/>
          </w:tcPr>
          <w:p>
            <w:pPr>
              <w:topLinePunct/>
              <w:jc w:val="left"/>
              <w:rPr>
                <w:highlight w:val="none"/>
              </w:rPr>
            </w:pPr>
            <w:r>
              <w:rPr>
                <w:rFonts w:hint="eastAsia"/>
                <w:highlight w:val="none"/>
              </w:rPr>
              <w:t>投标人应提供关联企业情况，包括：</w:t>
            </w:r>
          </w:p>
          <w:p>
            <w:pPr>
              <w:topLinePunct/>
              <w:jc w:val="left"/>
              <w:rPr>
                <w:highlight w:val="none"/>
              </w:rPr>
            </w:pPr>
            <w:r>
              <w:rPr>
                <w:rFonts w:hint="eastAsia"/>
                <w:highlight w:val="none"/>
              </w:rPr>
              <w:t>（1）投标人投资（控股）或管理的下属企业名称、持有股权（出资额）比例；</w:t>
            </w:r>
          </w:p>
          <w:p>
            <w:pPr>
              <w:topLinePunct/>
              <w:jc w:val="left"/>
              <w:rPr>
                <w:highlight w:val="none"/>
              </w:rPr>
            </w:pPr>
            <w:r>
              <w:rPr>
                <w:rFonts w:hint="eastAsia"/>
                <w:highlight w:val="none"/>
              </w:rPr>
              <w:t>（2）与投标人单位负责人（即法定代表人）为同一人的其他单位名称；</w:t>
            </w:r>
          </w:p>
          <w:p>
            <w:pPr>
              <w:topLinePunct/>
              <w:jc w:val="left"/>
              <w:rPr>
                <w:highlight w:val="none"/>
              </w:rPr>
            </w:pPr>
            <w:r>
              <w:rPr>
                <w:rFonts w:hint="eastAsia"/>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投标货物制造商名称</w:t>
            </w:r>
          </w:p>
        </w:tc>
        <w:tc>
          <w:tcPr>
            <w:tcW w:w="6757" w:type="dxa"/>
            <w:gridSpan w:val="4"/>
            <w:tcBorders>
              <w:top w:val="single" w:color="auto" w:sz="4" w:space="0"/>
              <w:left w:val="single" w:color="auto" w:sz="4" w:space="0"/>
              <w:right w:val="single" w:color="auto" w:sz="4" w:space="0"/>
            </w:tcBorders>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投标人须知要求</w:t>
            </w:r>
          </w:p>
          <w:p>
            <w:pPr>
              <w:topLinePunct/>
              <w:spacing w:line="360" w:lineRule="auto"/>
              <w:jc w:val="center"/>
              <w:rPr>
                <w:rFonts w:hAnsi="宋体" w:cs="宋体"/>
                <w:highlight w:val="none"/>
              </w:rPr>
            </w:pPr>
            <w:r>
              <w:rPr>
                <w:rFonts w:hint="eastAsia" w:hAnsi="宋体" w:cs="宋体"/>
                <w:highlight w:val="none"/>
              </w:rPr>
              <w:t>投标货物制造商需具有的资质证书</w:t>
            </w:r>
          </w:p>
        </w:tc>
        <w:tc>
          <w:tcPr>
            <w:tcW w:w="6757" w:type="dxa"/>
            <w:gridSpan w:val="4"/>
            <w:tcBorders>
              <w:top w:val="single" w:color="auto" w:sz="4" w:space="0"/>
              <w:left w:val="single" w:color="auto" w:sz="4" w:space="0"/>
              <w:right w:val="single" w:color="auto" w:sz="4" w:space="0"/>
            </w:tcBorders>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备注</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bl>
    <w:p>
      <w:pPr>
        <w:spacing w:line="360" w:lineRule="auto"/>
        <w:rPr>
          <w:rFonts w:hAnsi="宋体" w:cs="宋体"/>
          <w:highlight w:val="none"/>
        </w:rPr>
      </w:pPr>
      <w:r>
        <w:rPr>
          <w:rFonts w:hint="eastAsia" w:hAnsi="宋体" w:cs="宋体"/>
          <w:highlight w:val="none"/>
        </w:rPr>
        <w:t>注：1.投标人应根据招标文件第二章“投标人须知”前附表附录1的要求在本表后附资质证书、营业执照等材料。接受联合体的，联合体成员分别填写。</w:t>
      </w:r>
    </w:p>
    <w:p>
      <w:pPr>
        <w:spacing w:line="360" w:lineRule="auto"/>
        <w:ind w:firstLine="480" w:firstLineChars="200"/>
        <w:rPr>
          <w:rFonts w:hAnsi="宋体" w:cs="宋体"/>
          <w:highlight w:val="none"/>
        </w:rPr>
      </w:pPr>
      <w:r>
        <w:rPr>
          <w:rFonts w:hint="eastAsia" w:hAnsi="宋体" w:cs="宋体"/>
          <w:highlight w:val="none"/>
        </w:rPr>
        <w:t>2.如果投标人须知第1.4.1项对投标货物制造商的资质提出了要求，投标人应根据投标人须知第3.5.1项的要求在本表后附相关资质证书扫描件或电子件。</w:t>
      </w:r>
    </w:p>
    <w:p>
      <w:pPr>
        <w:pStyle w:val="5"/>
        <w:spacing w:before="0" w:after="0"/>
        <w:ind w:firstLine="0" w:firstLineChars="0"/>
        <w:jc w:val="center"/>
        <w:rPr>
          <w:rFonts w:ascii="宋体" w:hAnsi="宋体" w:eastAsia="宋体" w:cs="宋体"/>
          <w:highlight w:val="none"/>
        </w:rPr>
      </w:pPr>
      <w:r>
        <w:rPr>
          <w:rFonts w:hint="eastAsia" w:ascii="宋体" w:hAnsi="宋体" w:eastAsia="宋体" w:cs="宋体"/>
          <w:highlight w:val="none"/>
        </w:rPr>
        <w:br w:type="page"/>
      </w:r>
      <w:bookmarkStart w:id="994" w:name="_Toc535241087"/>
      <w:bookmarkStart w:id="995" w:name="_Toc535241133"/>
      <w:bookmarkStart w:id="996" w:name="_Toc535241230"/>
      <w:r>
        <w:rPr>
          <w:rFonts w:hint="eastAsia" w:ascii="黑体" w:hAnsi="黑体" w:cs="黑体"/>
          <w:szCs w:val="24"/>
          <w:highlight w:val="none"/>
        </w:rPr>
        <w:t>（二）近年财务状况（如要求）</w:t>
      </w:r>
    </w:p>
    <w:p>
      <w:pPr>
        <w:pStyle w:val="5"/>
        <w:numPr>
          <w:ilvl w:val="0"/>
          <w:numId w:val="6"/>
        </w:numPr>
        <w:spacing w:before="0" w:after="0"/>
        <w:jc w:val="center"/>
        <w:rPr>
          <w:rFonts w:ascii="黑体" w:hAnsi="黑体" w:cs="黑体"/>
          <w:szCs w:val="24"/>
          <w:highlight w:val="none"/>
        </w:rPr>
      </w:pPr>
      <w:r>
        <w:rPr>
          <w:rFonts w:hint="eastAsia" w:ascii="宋体" w:hAnsi="宋体" w:eastAsia="宋体" w:cs="宋体"/>
          <w:highlight w:val="none"/>
        </w:rPr>
        <w:br w:type="page"/>
      </w:r>
      <w:bookmarkEnd w:id="994"/>
      <w:bookmarkEnd w:id="995"/>
      <w:bookmarkEnd w:id="996"/>
      <w:r>
        <w:rPr>
          <w:rFonts w:hint="eastAsia" w:ascii="黑体" w:hAnsi="黑体" w:cs="黑体"/>
          <w:szCs w:val="24"/>
          <w:highlight w:val="none"/>
        </w:rPr>
        <w:t>投标人业绩情况表（资格审查）</w:t>
      </w:r>
    </w:p>
    <w:tbl>
      <w:tblPr>
        <w:tblStyle w:val="5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46"/>
        <w:gridCol w:w="5907"/>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r>
              <w:rPr>
                <w:rFonts w:hint="eastAsia" w:ascii="Times New Roman"/>
                <w:szCs w:val="24"/>
                <w:highlight w:val="none"/>
              </w:rPr>
              <w:t>业绩序号</w:t>
            </w:r>
          </w:p>
        </w:tc>
        <w:tc>
          <w:tcPr>
            <w:tcW w:w="3468" w:type="pct"/>
            <w:vAlign w:val="center"/>
          </w:tcPr>
          <w:p>
            <w:pPr>
              <w:jc w:val="center"/>
              <w:rPr>
                <w:rFonts w:ascii="Times New Roman"/>
                <w:szCs w:val="24"/>
                <w:highlight w:val="none"/>
              </w:rPr>
            </w:pPr>
            <w:r>
              <w:rPr>
                <w:rFonts w:hint="eastAsia" w:ascii="Times New Roman"/>
                <w:szCs w:val="24"/>
                <w:highlight w:val="none"/>
              </w:rPr>
              <w:t>项目</w:t>
            </w:r>
            <w:r>
              <w:rPr>
                <w:rFonts w:ascii="Times New Roman"/>
                <w:szCs w:val="24"/>
                <w:highlight w:val="none"/>
              </w:rPr>
              <w:t>名称</w:t>
            </w:r>
            <w:r>
              <w:rPr>
                <w:rFonts w:hint="eastAsia" w:ascii="Times New Roman"/>
                <w:szCs w:val="24"/>
                <w:highlight w:val="none"/>
              </w:rPr>
              <w:t>（合同名称）</w:t>
            </w:r>
          </w:p>
        </w:tc>
        <w:tc>
          <w:tcPr>
            <w:tcW w:w="681" w:type="pct"/>
            <w:vAlign w:val="center"/>
          </w:tcPr>
          <w:p>
            <w:pPr>
              <w:jc w:val="center"/>
              <w:rPr>
                <w:rFonts w:ascii="Times New Roman"/>
                <w:szCs w:val="24"/>
                <w:highlight w:val="none"/>
              </w:rPr>
            </w:pPr>
            <w:r>
              <w:rPr>
                <w:rFonts w:hint="eastAsia" w:ascii="Times New Roman"/>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r>
              <w:rPr>
                <w:rFonts w:hint="eastAsia" w:ascii="Times New Roman"/>
                <w:szCs w:val="24"/>
                <w:highlight w:val="none"/>
              </w:rPr>
              <w:t>1</w:t>
            </w:r>
          </w:p>
        </w:tc>
        <w:tc>
          <w:tcPr>
            <w:tcW w:w="3468" w:type="pct"/>
            <w:vAlign w:val="center"/>
          </w:tcPr>
          <w:p>
            <w:pPr>
              <w:jc w:val="center"/>
              <w:rPr>
                <w:rFonts w:ascii="Times New Roman"/>
                <w:szCs w:val="24"/>
                <w:highlight w:val="none"/>
              </w:rPr>
            </w:pPr>
          </w:p>
        </w:tc>
        <w:tc>
          <w:tcPr>
            <w:tcW w:w="681" w:type="pct"/>
            <w:vAlign w:val="center"/>
          </w:tcPr>
          <w:p>
            <w:pPr>
              <w:jc w:val="center"/>
              <w:rPr>
                <w:rFonts w:ascii="Times New Roman"/>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r>
              <w:rPr>
                <w:rFonts w:ascii="Times New Roman"/>
                <w:szCs w:val="24"/>
                <w:highlight w:val="none"/>
              </w:rPr>
              <w:t>2</w:t>
            </w:r>
          </w:p>
        </w:tc>
        <w:tc>
          <w:tcPr>
            <w:tcW w:w="3468" w:type="pct"/>
            <w:vAlign w:val="center"/>
          </w:tcPr>
          <w:p>
            <w:pPr>
              <w:jc w:val="center"/>
              <w:rPr>
                <w:rFonts w:ascii="Times New Roman"/>
                <w:szCs w:val="24"/>
                <w:highlight w:val="none"/>
              </w:rPr>
            </w:pPr>
          </w:p>
        </w:tc>
        <w:tc>
          <w:tcPr>
            <w:tcW w:w="681" w:type="pct"/>
            <w:vAlign w:val="center"/>
          </w:tcPr>
          <w:p>
            <w:pPr>
              <w:jc w:val="center"/>
              <w:rPr>
                <w:rFonts w:ascii="Times New Roman"/>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r>
              <w:rPr>
                <w:rFonts w:hint="eastAsia" w:ascii="Times New Roman"/>
                <w:szCs w:val="24"/>
                <w:highlight w:val="none"/>
              </w:rPr>
              <w:t>……</w:t>
            </w:r>
          </w:p>
        </w:tc>
        <w:tc>
          <w:tcPr>
            <w:tcW w:w="3468" w:type="pct"/>
            <w:vAlign w:val="center"/>
          </w:tcPr>
          <w:p>
            <w:pPr>
              <w:jc w:val="center"/>
              <w:rPr>
                <w:rFonts w:ascii="Times New Roman"/>
                <w:szCs w:val="24"/>
                <w:highlight w:val="none"/>
              </w:rPr>
            </w:pPr>
          </w:p>
        </w:tc>
        <w:tc>
          <w:tcPr>
            <w:tcW w:w="681" w:type="pct"/>
            <w:vAlign w:val="center"/>
          </w:tcPr>
          <w:p>
            <w:pPr>
              <w:jc w:val="center"/>
              <w:rPr>
                <w:rFonts w:ascii="Times New Roman"/>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p>
        </w:tc>
        <w:tc>
          <w:tcPr>
            <w:tcW w:w="3468" w:type="pct"/>
            <w:vAlign w:val="center"/>
          </w:tcPr>
          <w:p>
            <w:pPr>
              <w:jc w:val="center"/>
              <w:rPr>
                <w:rFonts w:ascii="Times New Roman"/>
                <w:szCs w:val="24"/>
                <w:highlight w:val="none"/>
              </w:rPr>
            </w:pPr>
          </w:p>
        </w:tc>
        <w:tc>
          <w:tcPr>
            <w:tcW w:w="681" w:type="pct"/>
            <w:vAlign w:val="center"/>
          </w:tcPr>
          <w:p>
            <w:pPr>
              <w:jc w:val="center"/>
              <w:rPr>
                <w:rFonts w:ascii="Times New Roman"/>
                <w:szCs w:val="24"/>
                <w:highlight w:val="none"/>
              </w:rPr>
            </w:pPr>
          </w:p>
        </w:tc>
      </w:tr>
    </w:tbl>
    <w:p>
      <w:pPr>
        <w:spacing w:line="360" w:lineRule="auto"/>
        <w:ind w:firstLine="480" w:firstLineChars="200"/>
        <w:rPr>
          <w:szCs w:val="24"/>
          <w:highlight w:val="none"/>
        </w:rPr>
      </w:pPr>
      <w:r>
        <w:rPr>
          <w:rFonts w:hint="eastAsia"/>
          <w:szCs w:val="24"/>
          <w:highlight w:val="none"/>
        </w:rPr>
        <w:t>注：</w:t>
      </w:r>
    </w:p>
    <w:p>
      <w:pPr>
        <w:spacing w:line="360" w:lineRule="auto"/>
        <w:ind w:firstLine="480" w:firstLineChars="200"/>
        <w:rPr>
          <w:szCs w:val="24"/>
          <w:highlight w:val="none"/>
        </w:rPr>
      </w:pPr>
      <w:r>
        <w:rPr>
          <w:rFonts w:hint="eastAsia"/>
          <w:szCs w:val="24"/>
          <w:highlight w:val="none"/>
        </w:rPr>
        <w:t>1.投标人应将用于资格审查的投标人业绩在上表中列明，按照列明</w:t>
      </w:r>
      <w:r>
        <w:rPr>
          <w:szCs w:val="24"/>
          <w:highlight w:val="none"/>
        </w:rPr>
        <w:t>的</w:t>
      </w:r>
      <w:r>
        <w:rPr>
          <w:rFonts w:hint="eastAsia"/>
          <w:szCs w:val="24"/>
          <w:highlight w:val="none"/>
        </w:rPr>
        <w:t>业绩序号先后</w:t>
      </w:r>
      <w:r>
        <w:rPr>
          <w:szCs w:val="24"/>
          <w:highlight w:val="none"/>
        </w:rPr>
        <w:t>顺序</w:t>
      </w:r>
      <w:r>
        <w:rPr>
          <w:rFonts w:hint="eastAsia"/>
          <w:szCs w:val="24"/>
          <w:highlight w:val="none"/>
        </w:rPr>
        <w:t>依次填写“投标人</w:t>
      </w:r>
      <w:r>
        <w:rPr>
          <w:szCs w:val="24"/>
          <w:highlight w:val="none"/>
        </w:rPr>
        <w:t>业绩</w:t>
      </w:r>
      <w:r>
        <w:rPr>
          <w:rFonts w:hint="eastAsia"/>
          <w:szCs w:val="24"/>
          <w:highlight w:val="none"/>
        </w:rPr>
        <w:t>信息</w:t>
      </w:r>
      <w:r>
        <w:rPr>
          <w:szCs w:val="24"/>
          <w:highlight w:val="none"/>
        </w:rPr>
        <w:t>表</w:t>
      </w:r>
      <w:r>
        <w:rPr>
          <w:rFonts w:hint="eastAsia"/>
          <w:szCs w:val="24"/>
          <w:highlight w:val="none"/>
        </w:rPr>
        <w:t>（资格</w:t>
      </w:r>
      <w:r>
        <w:rPr>
          <w:szCs w:val="24"/>
          <w:highlight w:val="none"/>
        </w:rPr>
        <w:t>审查</w:t>
      </w:r>
      <w:r>
        <w:rPr>
          <w:rFonts w:hint="eastAsia"/>
          <w:szCs w:val="24"/>
          <w:highlight w:val="none"/>
        </w:rPr>
        <w:t>）”，并附相应业绩证明材料。</w:t>
      </w:r>
    </w:p>
    <w:p>
      <w:pPr>
        <w:spacing w:line="360" w:lineRule="auto"/>
        <w:ind w:firstLine="480" w:firstLineChars="200"/>
        <w:rPr>
          <w:szCs w:val="24"/>
          <w:highlight w:val="none"/>
        </w:rPr>
      </w:pPr>
      <w:r>
        <w:rPr>
          <w:rFonts w:hint="eastAsia"/>
          <w:szCs w:val="24"/>
          <w:highlight w:val="none"/>
        </w:rPr>
        <w:t>2.评标委员会应当按照上表列明的业绩序号先后顺序依次进行评审，且仅评审“附录3  资格审查条件(业绩最低要求)”规定数量的业绩，超出规定数量部分或未在上表列明的业绩均不作为资格审查投标人业绩予以评审。</w:t>
      </w:r>
    </w:p>
    <w:p>
      <w:pPr>
        <w:tabs>
          <w:tab w:val="left" w:pos="8422"/>
          <w:tab w:val="left" w:pos="9622"/>
        </w:tabs>
        <w:spacing w:line="360" w:lineRule="auto"/>
        <w:ind w:left="4800" w:leftChars="2000" w:right="120" w:rightChars="50"/>
        <w:jc w:val="left"/>
        <w:rPr>
          <w:szCs w:val="24"/>
          <w:highlight w:val="none"/>
        </w:rPr>
      </w:pPr>
    </w:p>
    <w:p>
      <w:pPr>
        <w:adjustRightInd w:val="0"/>
        <w:snapToGrid w:val="0"/>
        <w:spacing w:line="360" w:lineRule="auto"/>
        <w:jc w:val="right"/>
        <w:rPr>
          <w:rFonts w:ascii="Times New Roman"/>
          <w:bCs/>
          <w:szCs w:val="24"/>
          <w:highlight w:val="none"/>
          <w:u w:val="single"/>
        </w:rPr>
      </w:pPr>
      <w:r>
        <w:rPr>
          <w:rFonts w:hint="eastAsia" w:ascii="Times New Roman"/>
          <w:bCs/>
          <w:spacing w:val="120"/>
          <w:kern w:val="0"/>
          <w:szCs w:val="24"/>
          <w:highlight w:val="none"/>
          <w:fitText w:val="1200" w:id="1770790916"/>
        </w:rPr>
        <w:t>投标</w:t>
      </w:r>
      <w:r>
        <w:rPr>
          <w:rFonts w:hint="eastAsia" w:ascii="Times New Roman"/>
          <w:bCs/>
          <w:spacing w:val="0"/>
          <w:kern w:val="0"/>
          <w:szCs w:val="24"/>
          <w:highlight w:val="none"/>
          <w:fitText w:val="1200" w:id="1770790916"/>
        </w:rPr>
        <w:t>人</w:t>
      </w:r>
      <w:r>
        <w:rPr>
          <w:rFonts w:hint="eastAsia" w:ascii="Times New Roman"/>
          <w:bCs/>
          <w:szCs w:val="24"/>
          <w:highlight w:val="none"/>
        </w:rPr>
        <w:t>：</w:t>
      </w:r>
      <w:r>
        <w:rPr>
          <w:rFonts w:hint="eastAsia" w:ascii="Times New Roman"/>
          <w:bCs/>
          <w:szCs w:val="24"/>
          <w:highlight w:val="none"/>
          <w:u w:val="single"/>
          <w:lang w:val="en-US" w:eastAsia="zh-CN"/>
        </w:rPr>
        <w:t xml:space="preserve">                  </w:t>
      </w:r>
      <w:r>
        <w:rPr>
          <w:rFonts w:hint="eastAsia" w:ascii="Times New Roman"/>
          <w:bCs/>
          <w:szCs w:val="24"/>
          <w:highlight w:val="none"/>
          <w:u w:val="none"/>
        </w:rPr>
        <w:t>（盖单位章）</w:t>
      </w:r>
    </w:p>
    <w:p>
      <w:pPr>
        <w:adjustRightInd w:val="0"/>
        <w:snapToGrid w:val="0"/>
        <w:spacing w:line="360" w:lineRule="auto"/>
        <w:jc w:val="right"/>
        <w:rPr>
          <w:rFonts w:ascii="Times New Roman"/>
          <w:szCs w:val="24"/>
          <w:highlight w:val="none"/>
        </w:rPr>
      </w:pPr>
      <w:r>
        <w:rPr>
          <w:rFonts w:hint="eastAsia" w:ascii="Times New Roman"/>
          <w:bCs/>
          <w:spacing w:val="360"/>
          <w:kern w:val="0"/>
          <w:szCs w:val="24"/>
          <w:highlight w:val="none"/>
          <w:fitText w:val="1200" w:id="1090616522"/>
        </w:rPr>
        <w:t>日</w:t>
      </w:r>
      <w:r>
        <w:rPr>
          <w:rFonts w:hint="eastAsia" w:ascii="Times New Roman"/>
          <w:bCs/>
          <w:spacing w:val="0"/>
          <w:kern w:val="0"/>
          <w:szCs w:val="24"/>
          <w:highlight w:val="none"/>
          <w:fitText w:val="1200" w:id="1090616522"/>
        </w:rPr>
        <w:t>期</w:t>
      </w:r>
      <w:r>
        <w:rPr>
          <w:rFonts w:hint="eastAsia" w:ascii="Times New Roman"/>
          <w:szCs w:val="24"/>
          <w:highlight w:val="none"/>
        </w:rPr>
        <w:t>：</w:t>
      </w:r>
      <w:r>
        <w:rPr>
          <w:rFonts w:hint="eastAsia" w:ascii="Times New Roman"/>
          <w:szCs w:val="24"/>
          <w:highlight w:val="none"/>
          <w:u w:val="single"/>
          <w:lang w:val="en-US" w:eastAsia="zh-CN"/>
        </w:rPr>
        <w:t xml:space="preserve">        </w:t>
      </w:r>
      <w:r>
        <w:rPr>
          <w:rFonts w:hint="eastAsia" w:ascii="Times New Roman"/>
          <w:szCs w:val="24"/>
          <w:highlight w:val="none"/>
          <w:u w:val="none"/>
        </w:rPr>
        <w:t>年</w:t>
      </w:r>
      <w:r>
        <w:rPr>
          <w:rFonts w:hint="eastAsia" w:ascii="Times New Roman"/>
          <w:szCs w:val="24"/>
          <w:highlight w:val="none"/>
          <w:u w:val="single"/>
          <w:lang w:val="en-US" w:eastAsia="zh-CN"/>
        </w:rPr>
        <w:t xml:space="preserve">        </w:t>
      </w:r>
      <w:r>
        <w:rPr>
          <w:rFonts w:hint="eastAsia" w:ascii="Times New Roman"/>
          <w:szCs w:val="24"/>
          <w:highlight w:val="none"/>
          <w:u w:val="none"/>
        </w:rPr>
        <w:t>月</w:t>
      </w:r>
      <w:r>
        <w:rPr>
          <w:rFonts w:hint="eastAsia" w:ascii="Times New Roman"/>
          <w:szCs w:val="24"/>
          <w:highlight w:val="none"/>
          <w:u w:val="single"/>
          <w:lang w:val="en-US" w:eastAsia="zh-CN"/>
        </w:rPr>
        <w:t xml:space="preserve">        </w:t>
      </w:r>
      <w:r>
        <w:rPr>
          <w:rFonts w:hint="eastAsia" w:ascii="Times New Roman"/>
          <w:szCs w:val="24"/>
          <w:highlight w:val="none"/>
          <w:u w:val="none"/>
        </w:rPr>
        <w:t>日</w:t>
      </w:r>
    </w:p>
    <w:p>
      <w:pPr>
        <w:adjustRightInd w:val="0"/>
        <w:snapToGrid w:val="0"/>
        <w:spacing w:line="360" w:lineRule="auto"/>
        <w:jc w:val="center"/>
        <w:outlineLvl w:val="0"/>
        <w:rPr>
          <w:bCs/>
          <w:szCs w:val="24"/>
          <w:highlight w:val="none"/>
        </w:rPr>
      </w:pPr>
      <w:r>
        <w:rPr>
          <w:rFonts w:hint="eastAsia" w:ascii="Times New Roman"/>
          <w:szCs w:val="24"/>
          <w:highlight w:val="none"/>
        </w:rPr>
        <w:br w:type="page"/>
      </w:r>
      <w:bookmarkStart w:id="997" w:name="_Toc140069454"/>
      <w:r>
        <w:rPr>
          <w:rFonts w:hint="eastAsia"/>
          <w:bCs/>
          <w:szCs w:val="24"/>
          <w:highlight w:val="none"/>
        </w:rPr>
        <w:t>投标人业绩信息表（资格审查）</w:t>
      </w:r>
      <w:bookmarkEnd w:id="997"/>
    </w:p>
    <w:tbl>
      <w:tblPr>
        <w:tblStyle w:val="5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货物名称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规格和型号</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买方联系人及电话</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合同价格</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项目概况及履约情况</w:t>
            </w:r>
          </w:p>
        </w:tc>
        <w:tc>
          <w:tcPr>
            <w:tcW w:w="6253" w:type="dxa"/>
            <w:vAlign w:val="center"/>
          </w:tcPr>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备注</w:t>
            </w:r>
          </w:p>
        </w:tc>
        <w:tc>
          <w:tcPr>
            <w:tcW w:w="6253" w:type="dxa"/>
            <w:vAlign w:val="center"/>
          </w:tcPr>
          <w:p>
            <w:pPr>
              <w:topLinePunct/>
              <w:spacing w:line="360" w:lineRule="auto"/>
              <w:jc w:val="center"/>
              <w:rPr>
                <w:rFonts w:hAnsi="宋体" w:cs="宋体"/>
                <w:highlight w:val="none"/>
              </w:rPr>
            </w:pPr>
            <w:r>
              <w:rPr>
                <w:rFonts w:hint="eastAsia" w:ascii="Times New Roman"/>
                <w:szCs w:val="22"/>
                <w:highlight w:val="none"/>
              </w:rPr>
              <w:t>资格审查业绩</w:t>
            </w:r>
          </w:p>
        </w:tc>
      </w:tr>
    </w:tbl>
    <w:p>
      <w:pPr>
        <w:spacing w:line="360" w:lineRule="auto"/>
        <w:rPr>
          <w:rFonts w:hAnsi="宋体" w:cs="宋体"/>
          <w:highlight w:val="none"/>
        </w:rPr>
      </w:pPr>
      <w:r>
        <w:rPr>
          <w:rFonts w:hint="eastAsia" w:hAnsi="宋体" w:cs="宋体"/>
          <w:highlight w:val="none"/>
        </w:rPr>
        <w:t>注：1.投标人应根据招标文件第二章“投标人须知”前附表附录3的要求在本表后附相关证明材料。</w:t>
      </w:r>
    </w:p>
    <w:p>
      <w:pPr>
        <w:spacing w:line="360" w:lineRule="auto"/>
        <w:ind w:firstLine="480" w:firstLineChars="200"/>
        <w:rPr>
          <w:rFonts w:hAnsi="宋体" w:cs="宋体"/>
          <w:bCs/>
          <w:highlight w:val="none"/>
        </w:rPr>
      </w:pPr>
      <w:r>
        <w:rPr>
          <w:rFonts w:hint="eastAsia" w:hAnsi="宋体" w:cs="宋体"/>
          <w:highlight w:val="none"/>
        </w:rPr>
        <w:t>2.投标人为代理经销商的，投标人须知第1.4.1项要求投标人提供投标货物的业绩的，投标人应按照上表的格式提供投标货物的业绩情况并根据投标人须知第3.5.1项的要求在本表后附相关证明材料。</w:t>
      </w:r>
      <w:bookmarkStart w:id="998" w:name="_Toc460227112"/>
      <w:bookmarkStart w:id="999" w:name="_Toc390411625"/>
      <w:bookmarkStart w:id="1000" w:name="_Toc460660227"/>
      <w:bookmarkStart w:id="1001" w:name="_Toc421917005"/>
    </w:p>
    <w:bookmarkEnd w:id="998"/>
    <w:bookmarkEnd w:id="999"/>
    <w:bookmarkEnd w:id="1000"/>
    <w:bookmarkEnd w:id="1001"/>
    <w:p>
      <w:pPr>
        <w:pStyle w:val="5"/>
        <w:spacing w:before="0" w:after="0"/>
        <w:jc w:val="center"/>
        <w:rPr>
          <w:rFonts w:hint="eastAsia" w:ascii="宋体" w:hAnsi="宋体" w:eastAsia="黑体" w:cs="宋体"/>
          <w:highlight w:val="none"/>
          <w:lang w:eastAsia="zh-CN"/>
        </w:rPr>
      </w:pPr>
      <w:bookmarkStart w:id="1002" w:name="_Toc460660230"/>
      <w:bookmarkStart w:id="1003" w:name="_Toc421917009"/>
      <w:bookmarkStart w:id="1004" w:name="_Toc459832202"/>
      <w:r>
        <w:rPr>
          <w:rFonts w:hint="eastAsia" w:ascii="黑体" w:hAnsi="黑体" w:cs="黑体"/>
          <w:szCs w:val="24"/>
          <w:highlight w:val="none"/>
        </w:rPr>
        <w:br w:type="page"/>
      </w:r>
      <w:r>
        <w:rPr>
          <w:rFonts w:hint="eastAsia" w:ascii="黑体" w:hAnsi="黑体" w:cs="黑体"/>
          <w:sz w:val="24"/>
          <w:szCs w:val="32"/>
          <w:highlight w:val="none"/>
        </w:rPr>
        <w:t>（四）</w:t>
      </w:r>
      <w:bookmarkEnd w:id="1002"/>
      <w:r>
        <w:rPr>
          <w:rFonts w:hint="eastAsia" w:ascii="黑体" w:hAnsi="黑体" w:cs="黑体"/>
          <w:sz w:val="24"/>
          <w:szCs w:val="32"/>
          <w:highlight w:val="none"/>
        </w:rPr>
        <w:t>制造商授权书</w:t>
      </w:r>
      <w:r>
        <w:rPr>
          <w:rFonts w:hint="eastAsia" w:ascii="黑体" w:hAnsi="黑体" w:cs="黑体"/>
          <w:sz w:val="24"/>
          <w:szCs w:val="32"/>
          <w:highlight w:val="none"/>
          <w:lang w:eastAsia="zh-CN"/>
        </w:rPr>
        <w:t>（</w:t>
      </w:r>
      <w:r>
        <w:rPr>
          <w:rFonts w:hint="eastAsia" w:ascii="黑体" w:hAnsi="黑体" w:cs="黑体"/>
          <w:sz w:val="24"/>
          <w:szCs w:val="32"/>
          <w:highlight w:val="none"/>
          <w:lang w:val="en-US" w:eastAsia="zh-CN"/>
        </w:rPr>
        <w:t>本项目不采用</w:t>
      </w:r>
      <w:r>
        <w:rPr>
          <w:rFonts w:hint="eastAsia" w:ascii="黑体" w:hAnsi="黑体" w:cs="黑体"/>
          <w:sz w:val="24"/>
          <w:szCs w:val="32"/>
          <w:highlight w:val="none"/>
          <w:lang w:eastAsia="zh-CN"/>
        </w:rPr>
        <w:t>）</w:t>
      </w:r>
    </w:p>
    <w:bookmarkEnd w:id="1003"/>
    <w:bookmarkEnd w:id="1004"/>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（招标人名称）</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我单位</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（制造商名称）是按</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（国家／地区名称）法律成立的一家制造商，主要营业地点设在</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（制造商地址）。兹授权按</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（国家／地区名称）的法律正式成立的，主要营业地点设在</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（投标人的单位地址）的</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（投标人名称）以我单位制造的</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r>
        <w:rPr>
          <w:rFonts w:hint="eastAsia" w:ascii="宋体" w:hAnsi="宋体" w:cs="宋体"/>
          <w:color w:val="auto"/>
          <w:sz w:val="24"/>
          <w:highlight w:val="none"/>
          <w:lang w:val="en-US" w:eastAsia="zh-CN"/>
        </w:rPr>
        <w:t>货物</w:t>
      </w:r>
      <w:r>
        <w:rPr>
          <w:rFonts w:hint="eastAsia" w:ascii="宋体" w:hAnsi="宋体" w:cs="宋体"/>
          <w:bCs/>
          <w:color w:val="auto"/>
          <w:sz w:val="24"/>
          <w:highlight w:val="none"/>
        </w:rPr>
        <w:t>名称）进行</w:t>
      </w:r>
      <w:r>
        <w:rPr>
          <w:rFonts w:hint="eastAsia" w:hAnsi="宋体"/>
          <w:color w:val="auto"/>
          <w:sz w:val="24"/>
          <w:highlight w:val="none"/>
          <w:u w:val="single"/>
        </w:rPr>
        <w:t>（招标项目名称）</w:t>
      </w: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标段</w:t>
      </w:r>
      <w:r>
        <w:rPr>
          <w:rFonts w:hint="eastAsia" w:ascii="宋体" w:hAnsi="宋体" w:cs="宋体"/>
          <w:bCs/>
          <w:color w:val="auto"/>
          <w:sz w:val="24"/>
          <w:highlight w:val="none"/>
        </w:rPr>
        <w:t>投标活动。我单位同意按照中标合同供货，并对产品质量承担责任。</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授权期限：</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pPr>
        <w:spacing w:line="360" w:lineRule="auto"/>
        <w:ind w:firstLine="480" w:firstLineChars="200"/>
        <w:rPr>
          <w:rFonts w:hint="eastAsia" w:ascii="宋体" w:hAnsi="宋体" w:cs="宋体"/>
          <w:bCs/>
          <w:color w:val="auto"/>
          <w:sz w:val="24"/>
          <w:highlight w:val="none"/>
        </w:rPr>
      </w:pPr>
    </w:p>
    <w:p>
      <w:pPr>
        <w:spacing w:line="360" w:lineRule="auto"/>
        <w:ind w:firstLine="480" w:firstLineChars="200"/>
        <w:rPr>
          <w:rFonts w:hint="eastAsia" w:ascii="宋体" w:hAnsi="宋体" w:cs="宋体"/>
          <w:bCs/>
          <w:color w:val="auto"/>
          <w:sz w:val="24"/>
          <w:highlight w:val="none"/>
        </w:rPr>
      </w:pPr>
    </w:p>
    <w:p>
      <w:pPr>
        <w:spacing w:line="360" w:lineRule="auto"/>
        <w:ind w:firstLine="2880" w:firstLineChars="1200"/>
        <w:rPr>
          <w:rFonts w:hint="eastAsia" w:ascii="宋体" w:hAnsi="宋体" w:cs="宋体"/>
          <w:bCs/>
          <w:color w:val="auto"/>
          <w:sz w:val="24"/>
          <w:highlight w:val="none"/>
        </w:rPr>
      </w:pPr>
      <w:r>
        <w:rPr>
          <w:rFonts w:hint="eastAsia" w:ascii="宋体" w:hAnsi="宋体" w:cs="宋体"/>
          <w:bCs/>
          <w:color w:val="auto"/>
          <w:sz w:val="24"/>
          <w:highlight w:val="none"/>
        </w:rPr>
        <w:t>投标人名称：</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（盖单位章）  </w:t>
      </w:r>
    </w:p>
    <w:p>
      <w:pPr>
        <w:spacing w:line="360" w:lineRule="auto"/>
        <w:ind w:firstLine="2880" w:firstLineChars="1200"/>
        <w:rPr>
          <w:rFonts w:hint="eastAsia" w:ascii="宋体" w:hAnsi="宋体" w:cs="宋体"/>
          <w:bCs/>
          <w:color w:val="auto"/>
          <w:sz w:val="24"/>
          <w:highlight w:val="none"/>
        </w:rPr>
      </w:pPr>
      <w:r>
        <w:rPr>
          <w:rFonts w:hint="eastAsia" w:ascii="宋体" w:hAnsi="宋体" w:cs="宋体"/>
          <w:bCs/>
          <w:color w:val="auto"/>
          <w:sz w:val="24"/>
          <w:highlight w:val="none"/>
        </w:rPr>
        <w:t>制造商名称：</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（盖单位章）</w:t>
      </w:r>
    </w:p>
    <w:p>
      <w:pPr>
        <w:spacing w:line="360" w:lineRule="auto"/>
        <w:ind w:firstLine="480" w:firstLineChars="200"/>
        <w:rPr>
          <w:rFonts w:hAnsi="宋体" w:cs="宋体"/>
          <w:bCs/>
          <w:highlight w:val="none"/>
        </w:rPr>
      </w:pPr>
    </w:p>
    <w:p>
      <w:pPr>
        <w:pStyle w:val="5"/>
        <w:spacing w:before="0" w:after="0"/>
        <w:jc w:val="center"/>
        <w:rPr>
          <w:rFonts w:ascii="宋体" w:hAnsi="宋体" w:eastAsia="宋体" w:cs="宋体"/>
          <w:highlight w:val="none"/>
        </w:rPr>
      </w:pPr>
      <w:bookmarkStart w:id="1005" w:name="_Toc22953"/>
      <w:bookmarkStart w:id="1006" w:name="_Toc14916"/>
      <w:bookmarkStart w:id="1007" w:name="_Toc14214"/>
      <w:bookmarkStart w:id="1008" w:name="_Toc20521"/>
      <w:bookmarkStart w:id="1009" w:name="_Toc4344"/>
      <w:bookmarkStart w:id="1010" w:name="_Toc7277"/>
      <w:bookmarkStart w:id="1011" w:name="_Toc13177"/>
      <w:bookmarkStart w:id="1012" w:name="_Toc23419"/>
      <w:r>
        <w:rPr>
          <w:rFonts w:hint="eastAsia" w:ascii="黑体" w:hAnsi="黑体" w:cs="黑体"/>
          <w:highlight w:val="none"/>
        </w:rPr>
        <w:br w:type="page"/>
      </w:r>
      <w:r>
        <w:rPr>
          <w:rFonts w:hint="eastAsia" w:ascii="黑体" w:hAnsi="黑体" w:cs="黑体"/>
          <w:szCs w:val="24"/>
          <w:highlight w:val="none"/>
        </w:rPr>
        <w:t>（五）拟委任的项目负责人简历</w:t>
      </w:r>
      <w:r>
        <w:rPr>
          <w:rStyle w:val="67"/>
          <w:rFonts w:hint="eastAsia" w:ascii="黑体" w:hAnsi="黑体" w:cs="黑体"/>
          <w:szCs w:val="24"/>
          <w:highlight w:val="none"/>
        </w:rPr>
        <w:footnoteReference w:id="1"/>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1349"/>
        <w:gridCol w:w="984"/>
        <w:gridCol w:w="213"/>
        <w:gridCol w:w="1368"/>
        <w:gridCol w:w="1177"/>
        <w:gridCol w:w="363"/>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spacing w:line="360" w:lineRule="auto"/>
              <w:jc w:val="center"/>
              <w:rPr>
                <w:rFonts w:hAnsi="宋体" w:cs="宋体"/>
                <w:highlight w:val="none"/>
              </w:rPr>
            </w:pPr>
            <w:r>
              <w:rPr>
                <w:rFonts w:hint="eastAsia" w:hAnsi="宋体" w:cs="宋体"/>
                <w:highlight w:val="none"/>
              </w:rPr>
              <w:t>姓  名</w:t>
            </w:r>
          </w:p>
        </w:tc>
        <w:tc>
          <w:tcPr>
            <w:tcW w:w="792" w:type="pct"/>
            <w:vAlign w:val="center"/>
          </w:tcPr>
          <w:p>
            <w:pPr>
              <w:spacing w:line="360" w:lineRule="auto"/>
              <w:jc w:val="center"/>
              <w:rPr>
                <w:rFonts w:hAnsi="宋体" w:cs="宋体"/>
                <w:highlight w:val="none"/>
              </w:rPr>
            </w:pPr>
          </w:p>
        </w:tc>
        <w:tc>
          <w:tcPr>
            <w:tcW w:w="703" w:type="pct"/>
            <w:gridSpan w:val="2"/>
            <w:vAlign w:val="center"/>
          </w:tcPr>
          <w:p>
            <w:pPr>
              <w:spacing w:line="360" w:lineRule="auto"/>
              <w:jc w:val="center"/>
              <w:rPr>
                <w:rFonts w:hAnsi="宋体" w:cs="宋体"/>
                <w:highlight w:val="none"/>
              </w:rPr>
            </w:pPr>
            <w:r>
              <w:rPr>
                <w:rFonts w:hint="eastAsia" w:hAnsi="宋体" w:cs="宋体"/>
                <w:highlight w:val="none"/>
              </w:rPr>
              <w:t>年 龄</w:t>
            </w:r>
          </w:p>
        </w:tc>
        <w:tc>
          <w:tcPr>
            <w:tcW w:w="803" w:type="pct"/>
            <w:vAlign w:val="center"/>
          </w:tcPr>
          <w:p>
            <w:pPr>
              <w:spacing w:line="360" w:lineRule="auto"/>
              <w:jc w:val="center"/>
              <w:rPr>
                <w:rFonts w:hAnsi="宋体" w:cs="宋体"/>
                <w:highlight w:val="none"/>
              </w:rPr>
            </w:pPr>
          </w:p>
        </w:tc>
        <w:tc>
          <w:tcPr>
            <w:tcW w:w="904" w:type="pct"/>
            <w:gridSpan w:val="2"/>
            <w:vAlign w:val="center"/>
          </w:tcPr>
          <w:p>
            <w:pPr>
              <w:spacing w:line="360" w:lineRule="auto"/>
              <w:jc w:val="center"/>
              <w:rPr>
                <w:rFonts w:hAnsi="宋体" w:cs="宋体"/>
                <w:highlight w:val="none"/>
              </w:rPr>
            </w:pPr>
            <w:r>
              <w:rPr>
                <w:rFonts w:hint="eastAsia" w:hAnsi="宋体" w:cs="宋体"/>
                <w:highlight w:val="none"/>
              </w:rPr>
              <w:t>学 历</w:t>
            </w:r>
          </w:p>
        </w:tc>
        <w:tc>
          <w:tcPr>
            <w:tcW w:w="1096" w:type="pct"/>
            <w:vAlign w:val="center"/>
          </w:tcPr>
          <w:p>
            <w:pPr>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spacing w:line="360" w:lineRule="auto"/>
              <w:jc w:val="center"/>
              <w:rPr>
                <w:rFonts w:hAnsi="宋体" w:cs="宋体"/>
                <w:highlight w:val="none"/>
              </w:rPr>
            </w:pPr>
            <w:r>
              <w:rPr>
                <w:rFonts w:hint="eastAsia" w:hAnsi="宋体" w:cs="宋体"/>
                <w:highlight w:val="none"/>
              </w:rPr>
              <w:t>职  称</w:t>
            </w:r>
          </w:p>
        </w:tc>
        <w:tc>
          <w:tcPr>
            <w:tcW w:w="792" w:type="pct"/>
            <w:vAlign w:val="center"/>
          </w:tcPr>
          <w:p>
            <w:pPr>
              <w:spacing w:line="360" w:lineRule="auto"/>
              <w:jc w:val="center"/>
              <w:rPr>
                <w:rFonts w:hAnsi="宋体" w:cs="宋体"/>
                <w:highlight w:val="none"/>
              </w:rPr>
            </w:pPr>
          </w:p>
        </w:tc>
        <w:tc>
          <w:tcPr>
            <w:tcW w:w="703" w:type="pct"/>
            <w:gridSpan w:val="2"/>
            <w:vAlign w:val="center"/>
          </w:tcPr>
          <w:p>
            <w:pPr>
              <w:spacing w:line="360" w:lineRule="auto"/>
              <w:jc w:val="center"/>
              <w:rPr>
                <w:rFonts w:hAnsi="宋体" w:cs="宋体"/>
                <w:highlight w:val="none"/>
              </w:rPr>
            </w:pPr>
            <w:r>
              <w:rPr>
                <w:rFonts w:hint="eastAsia" w:hAnsi="宋体" w:cs="宋体"/>
                <w:highlight w:val="none"/>
              </w:rPr>
              <w:t>单位</w:t>
            </w:r>
          </w:p>
          <w:p>
            <w:pPr>
              <w:spacing w:line="360" w:lineRule="auto"/>
              <w:jc w:val="center"/>
              <w:rPr>
                <w:rFonts w:hAnsi="宋体" w:cs="宋体"/>
                <w:highlight w:val="none"/>
              </w:rPr>
            </w:pPr>
            <w:r>
              <w:rPr>
                <w:rFonts w:hint="eastAsia" w:hAnsi="宋体" w:cs="宋体"/>
                <w:highlight w:val="none"/>
              </w:rPr>
              <w:t>职务</w:t>
            </w:r>
          </w:p>
        </w:tc>
        <w:tc>
          <w:tcPr>
            <w:tcW w:w="803" w:type="pct"/>
            <w:vAlign w:val="center"/>
          </w:tcPr>
          <w:p>
            <w:pPr>
              <w:spacing w:line="360" w:lineRule="auto"/>
              <w:jc w:val="center"/>
              <w:rPr>
                <w:rFonts w:hAnsi="宋体" w:cs="宋体"/>
                <w:highlight w:val="none"/>
              </w:rPr>
            </w:pPr>
          </w:p>
        </w:tc>
        <w:tc>
          <w:tcPr>
            <w:tcW w:w="904" w:type="pct"/>
            <w:gridSpan w:val="2"/>
            <w:vAlign w:val="center"/>
          </w:tcPr>
          <w:p>
            <w:pPr>
              <w:spacing w:line="360" w:lineRule="auto"/>
              <w:jc w:val="center"/>
              <w:rPr>
                <w:rFonts w:hAnsi="宋体" w:cs="宋体"/>
                <w:highlight w:val="none"/>
              </w:rPr>
            </w:pPr>
            <w:r>
              <w:rPr>
                <w:rFonts w:hint="eastAsia" w:hAnsi="宋体" w:cs="宋体"/>
                <w:highlight w:val="none"/>
              </w:rPr>
              <w:t>拟在本标段</w:t>
            </w:r>
          </w:p>
          <w:p>
            <w:pPr>
              <w:spacing w:line="360" w:lineRule="auto"/>
              <w:jc w:val="center"/>
              <w:rPr>
                <w:rFonts w:hAnsi="宋体" w:cs="宋体"/>
                <w:highlight w:val="none"/>
              </w:rPr>
            </w:pPr>
            <w:r>
              <w:rPr>
                <w:rFonts w:hint="eastAsia" w:hAnsi="宋体" w:cs="宋体"/>
                <w:highlight w:val="none"/>
              </w:rPr>
              <w:t>项目担任职务</w:t>
            </w:r>
          </w:p>
        </w:tc>
        <w:tc>
          <w:tcPr>
            <w:tcW w:w="1096" w:type="pct"/>
            <w:vAlign w:val="center"/>
          </w:tcPr>
          <w:p>
            <w:pPr>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spacing w:line="360" w:lineRule="auto"/>
              <w:jc w:val="center"/>
              <w:rPr>
                <w:rFonts w:hAnsi="宋体" w:cs="宋体"/>
                <w:highlight w:val="none"/>
              </w:rPr>
            </w:pPr>
            <w:r>
              <w:rPr>
                <w:rFonts w:hint="eastAsia" w:hAnsi="宋体" w:cs="宋体"/>
                <w:highlight w:val="none"/>
              </w:rPr>
              <w:t>执业资格</w:t>
            </w:r>
          </w:p>
        </w:tc>
        <w:tc>
          <w:tcPr>
            <w:tcW w:w="792" w:type="pct"/>
            <w:vAlign w:val="center"/>
          </w:tcPr>
          <w:p>
            <w:pPr>
              <w:spacing w:line="360" w:lineRule="auto"/>
              <w:rPr>
                <w:rFonts w:hAnsi="宋体" w:cs="宋体"/>
                <w:highlight w:val="none"/>
              </w:rPr>
            </w:pPr>
          </w:p>
        </w:tc>
        <w:tc>
          <w:tcPr>
            <w:tcW w:w="703" w:type="pct"/>
            <w:gridSpan w:val="2"/>
            <w:vAlign w:val="center"/>
          </w:tcPr>
          <w:p>
            <w:pPr>
              <w:spacing w:line="360" w:lineRule="auto"/>
              <w:jc w:val="center"/>
              <w:rPr>
                <w:rFonts w:hAnsi="宋体" w:cs="宋体"/>
                <w:highlight w:val="none"/>
              </w:rPr>
            </w:pPr>
            <w:r>
              <w:rPr>
                <w:rFonts w:hint="eastAsia" w:hAnsi="宋体" w:cs="宋体"/>
                <w:highlight w:val="none"/>
              </w:rPr>
              <w:t>资格证</w:t>
            </w:r>
          </w:p>
          <w:p>
            <w:pPr>
              <w:spacing w:line="360" w:lineRule="auto"/>
              <w:jc w:val="center"/>
              <w:rPr>
                <w:rFonts w:hAnsi="宋体" w:cs="宋体"/>
                <w:highlight w:val="none"/>
              </w:rPr>
            </w:pPr>
            <w:r>
              <w:rPr>
                <w:rFonts w:hint="eastAsia" w:hAnsi="宋体" w:cs="宋体"/>
                <w:highlight w:val="none"/>
              </w:rPr>
              <w:t>书编号</w:t>
            </w:r>
          </w:p>
        </w:tc>
        <w:tc>
          <w:tcPr>
            <w:tcW w:w="2803" w:type="pct"/>
            <w:gridSpan w:val="4"/>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spacing w:line="360" w:lineRule="auto"/>
              <w:jc w:val="center"/>
              <w:rPr>
                <w:rFonts w:hAnsi="宋体" w:cs="宋体"/>
                <w:highlight w:val="none"/>
              </w:rPr>
            </w:pPr>
            <w:r>
              <w:rPr>
                <w:rFonts w:hint="eastAsia" w:hAnsi="宋体" w:cs="宋体"/>
                <w:highlight w:val="none"/>
              </w:rPr>
              <w:t>毕业学校</w:t>
            </w:r>
          </w:p>
        </w:tc>
        <w:tc>
          <w:tcPr>
            <w:tcW w:w="4298" w:type="pct"/>
            <w:gridSpan w:val="7"/>
            <w:vAlign w:val="center"/>
          </w:tcPr>
          <w:p>
            <w:pPr>
              <w:spacing w:line="360" w:lineRule="auto"/>
              <w:rPr>
                <w:rFonts w:hAnsi="宋体" w:cs="宋体"/>
                <w:highlight w:val="none"/>
                <w:u w:val="single"/>
              </w:rPr>
            </w:pPr>
            <w:r>
              <w:rPr>
                <w:rFonts w:hint="eastAsia" w:hAnsi="宋体" w:cs="宋体"/>
                <w:highlight w:val="none"/>
              </w:rPr>
              <w:t>年月毕业于学校专业，学制年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8"/>
            <w:vAlign w:val="center"/>
          </w:tcPr>
          <w:p>
            <w:pPr>
              <w:spacing w:line="360" w:lineRule="auto"/>
              <w:jc w:val="center"/>
              <w:rPr>
                <w:rFonts w:hAnsi="宋体" w:cs="宋体"/>
                <w:highlight w:val="none"/>
              </w:rPr>
            </w:pPr>
            <w:r>
              <w:rPr>
                <w:rFonts w:hint="eastAsia" w:hAnsi="宋体" w:cs="宋体"/>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jc w:val="center"/>
              <w:rPr>
                <w:rFonts w:hAnsi="宋体" w:cs="宋体"/>
                <w:highlight w:val="none"/>
              </w:rPr>
            </w:pPr>
            <w:r>
              <w:rPr>
                <w:rFonts w:hint="eastAsia" w:hAnsi="宋体" w:cs="宋体"/>
                <w:highlight w:val="none"/>
              </w:rPr>
              <w:t>时间</w:t>
            </w:r>
          </w:p>
        </w:tc>
        <w:tc>
          <w:tcPr>
            <w:tcW w:w="1370" w:type="pct"/>
            <w:gridSpan w:val="2"/>
            <w:vAlign w:val="center"/>
          </w:tcPr>
          <w:p>
            <w:pPr>
              <w:spacing w:line="360" w:lineRule="auto"/>
              <w:jc w:val="center"/>
              <w:rPr>
                <w:rFonts w:hAnsi="宋体" w:cs="宋体"/>
                <w:highlight w:val="none"/>
              </w:rPr>
            </w:pPr>
            <w:r>
              <w:rPr>
                <w:rFonts w:hint="eastAsia" w:hAnsi="宋体" w:cs="宋体"/>
                <w:highlight w:val="none"/>
              </w:rPr>
              <w:t>参加过的项目名称</w:t>
            </w:r>
          </w:p>
        </w:tc>
        <w:tc>
          <w:tcPr>
            <w:tcW w:w="917" w:type="pct"/>
            <w:gridSpan w:val="2"/>
            <w:vAlign w:val="center"/>
          </w:tcPr>
          <w:p>
            <w:pPr>
              <w:spacing w:line="360" w:lineRule="auto"/>
              <w:jc w:val="center"/>
              <w:rPr>
                <w:rFonts w:hAnsi="宋体" w:cs="宋体"/>
                <w:highlight w:val="none"/>
              </w:rPr>
            </w:pPr>
            <w:r>
              <w:rPr>
                <w:rFonts w:hint="eastAsia" w:hAnsi="宋体" w:cs="宋体"/>
                <w:highlight w:val="none"/>
              </w:rPr>
              <w:t>签约合同价金额（万元）</w:t>
            </w:r>
          </w:p>
        </w:tc>
        <w:tc>
          <w:tcPr>
            <w:tcW w:w="691" w:type="pct"/>
            <w:vAlign w:val="center"/>
          </w:tcPr>
          <w:p>
            <w:pPr>
              <w:spacing w:line="360" w:lineRule="auto"/>
              <w:jc w:val="center"/>
              <w:rPr>
                <w:rFonts w:hAnsi="宋体" w:cs="宋体"/>
                <w:highlight w:val="none"/>
              </w:rPr>
            </w:pPr>
            <w:r>
              <w:rPr>
                <w:rFonts w:hint="eastAsia" w:hAnsi="宋体" w:cs="宋体"/>
                <w:highlight w:val="none"/>
              </w:rPr>
              <w:t>担任职务</w:t>
            </w:r>
          </w:p>
        </w:tc>
        <w:tc>
          <w:tcPr>
            <w:tcW w:w="1309" w:type="pct"/>
            <w:gridSpan w:val="2"/>
            <w:vAlign w:val="center"/>
          </w:tcPr>
          <w:p>
            <w:pPr>
              <w:spacing w:line="360" w:lineRule="auto"/>
              <w:jc w:val="center"/>
              <w:rPr>
                <w:rFonts w:hAnsi="宋体" w:cs="宋体"/>
                <w:highlight w:val="none"/>
              </w:rPr>
            </w:pPr>
            <w:r>
              <w:rPr>
                <w:rFonts w:hint="eastAsia" w:hAnsi="宋体" w:cs="宋体"/>
                <w:highlight w:val="none"/>
              </w:rPr>
              <w:t>买方及联系电话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tcPr>
          <w:p>
            <w:pPr>
              <w:spacing w:line="360" w:lineRule="auto"/>
              <w:rPr>
                <w:rFonts w:hAnsi="宋体" w:cs="宋体"/>
                <w:highlight w:val="none"/>
              </w:rPr>
            </w:pPr>
          </w:p>
        </w:tc>
        <w:tc>
          <w:tcPr>
            <w:tcW w:w="1370" w:type="pct"/>
            <w:gridSpan w:val="2"/>
          </w:tcPr>
          <w:p>
            <w:pPr>
              <w:spacing w:line="360" w:lineRule="auto"/>
              <w:rPr>
                <w:rFonts w:hAnsi="宋体" w:cs="宋体"/>
                <w:highlight w:val="none"/>
              </w:rPr>
            </w:pPr>
          </w:p>
        </w:tc>
        <w:tc>
          <w:tcPr>
            <w:tcW w:w="917" w:type="pct"/>
            <w:gridSpan w:val="2"/>
          </w:tcPr>
          <w:p>
            <w:pPr>
              <w:spacing w:line="360" w:lineRule="auto"/>
              <w:rPr>
                <w:rFonts w:hAnsi="宋体" w:cs="宋体"/>
                <w:highlight w:val="none"/>
              </w:rPr>
            </w:pPr>
          </w:p>
        </w:tc>
        <w:tc>
          <w:tcPr>
            <w:tcW w:w="691" w:type="pct"/>
          </w:tcPr>
          <w:p>
            <w:pPr>
              <w:spacing w:line="360" w:lineRule="auto"/>
              <w:rPr>
                <w:rFonts w:hAnsi="宋体" w:cs="宋体"/>
                <w:highlight w:val="none"/>
              </w:rPr>
            </w:pPr>
          </w:p>
        </w:tc>
        <w:tc>
          <w:tcPr>
            <w:tcW w:w="1309" w:type="pct"/>
            <w:gridSpan w:val="2"/>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tcPr>
          <w:p>
            <w:pPr>
              <w:spacing w:line="360" w:lineRule="auto"/>
              <w:rPr>
                <w:rFonts w:hAnsi="宋体" w:cs="宋体"/>
                <w:highlight w:val="none"/>
              </w:rPr>
            </w:pPr>
          </w:p>
        </w:tc>
        <w:tc>
          <w:tcPr>
            <w:tcW w:w="1370" w:type="pct"/>
            <w:gridSpan w:val="2"/>
          </w:tcPr>
          <w:p>
            <w:pPr>
              <w:pStyle w:val="34"/>
              <w:spacing w:before="0" w:after="0" w:line="360" w:lineRule="auto"/>
              <w:rPr>
                <w:rFonts w:ascii="宋体" w:hAnsi="宋体" w:cs="宋体"/>
                <w:b w:val="0"/>
                <w:sz w:val="24"/>
                <w:szCs w:val="24"/>
                <w:highlight w:val="none"/>
              </w:rPr>
            </w:pPr>
          </w:p>
        </w:tc>
        <w:tc>
          <w:tcPr>
            <w:tcW w:w="917" w:type="pct"/>
            <w:gridSpan w:val="2"/>
          </w:tcPr>
          <w:p>
            <w:pPr>
              <w:pStyle w:val="34"/>
              <w:spacing w:before="0" w:after="0" w:line="360" w:lineRule="auto"/>
              <w:rPr>
                <w:rFonts w:ascii="宋体" w:hAnsi="宋体" w:cs="宋体"/>
                <w:b w:val="0"/>
                <w:sz w:val="24"/>
                <w:szCs w:val="24"/>
                <w:highlight w:val="none"/>
              </w:rPr>
            </w:pPr>
          </w:p>
        </w:tc>
        <w:tc>
          <w:tcPr>
            <w:tcW w:w="691" w:type="pct"/>
          </w:tcPr>
          <w:p>
            <w:pPr>
              <w:pStyle w:val="34"/>
              <w:spacing w:before="0" w:after="0" w:line="360" w:lineRule="auto"/>
              <w:rPr>
                <w:rFonts w:ascii="宋体" w:hAnsi="宋体" w:cs="宋体"/>
                <w:b w:val="0"/>
                <w:sz w:val="24"/>
                <w:szCs w:val="24"/>
                <w:highlight w:val="none"/>
              </w:rPr>
            </w:pPr>
          </w:p>
        </w:tc>
        <w:tc>
          <w:tcPr>
            <w:tcW w:w="1309" w:type="pct"/>
            <w:gridSpan w:val="2"/>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tcPr>
          <w:p>
            <w:pPr>
              <w:spacing w:line="360" w:lineRule="auto"/>
              <w:rPr>
                <w:rFonts w:hAnsi="宋体" w:cs="宋体"/>
                <w:highlight w:val="none"/>
              </w:rPr>
            </w:pPr>
          </w:p>
        </w:tc>
        <w:tc>
          <w:tcPr>
            <w:tcW w:w="1370" w:type="pct"/>
            <w:gridSpan w:val="2"/>
          </w:tcPr>
          <w:p>
            <w:pPr>
              <w:spacing w:line="360" w:lineRule="auto"/>
              <w:rPr>
                <w:rFonts w:hAnsi="宋体" w:cs="宋体"/>
                <w:highlight w:val="none"/>
              </w:rPr>
            </w:pPr>
          </w:p>
        </w:tc>
        <w:tc>
          <w:tcPr>
            <w:tcW w:w="917" w:type="pct"/>
            <w:gridSpan w:val="2"/>
          </w:tcPr>
          <w:p>
            <w:pPr>
              <w:spacing w:line="360" w:lineRule="auto"/>
              <w:rPr>
                <w:rFonts w:hAnsi="宋体" w:cs="宋体"/>
                <w:highlight w:val="none"/>
              </w:rPr>
            </w:pPr>
          </w:p>
        </w:tc>
        <w:tc>
          <w:tcPr>
            <w:tcW w:w="691" w:type="pct"/>
          </w:tcPr>
          <w:p>
            <w:pPr>
              <w:spacing w:line="360" w:lineRule="auto"/>
              <w:rPr>
                <w:rFonts w:hAnsi="宋体" w:cs="宋体"/>
                <w:highlight w:val="none"/>
              </w:rPr>
            </w:pPr>
          </w:p>
        </w:tc>
        <w:tc>
          <w:tcPr>
            <w:tcW w:w="1309" w:type="pct"/>
            <w:gridSpan w:val="2"/>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p>
        </w:tc>
        <w:tc>
          <w:tcPr>
            <w:tcW w:w="1370" w:type="pct"/>
            <w:gridSpan w:val="2"/>
            <w:vAlign w:val="center"/>
          </w:tcPr>
          <w:p>
            <w:pPr>
              <w:spacing w:line="360" w:lineRule="auto"/>
              <w:rPr>
                <w:rFonts w:hAnsi="宋体" w:cs="宋体"/>
                <w:highlight w:val="none"/>
              </w:rPr>
            </w:pPr>
          </w:p>
        </w:tc>
        <w:tc>
          <w:tcPr>
            <w:tcW w:w="917" w:type="pct"/>
            <w:gridSpan w:val="2"/>
            <w:vAlign w:val="center"/>
          </w:tcPr>
          <w:p>
            <w:pPr>
              <w:spacing w:line="360" w:lineRule="auto"/>
              <w:rPr>
                <w:rFonts w:hAnsi="宋体" w:cs="宋体"/>
                <w:highlight w:val="none"/>
              </w:rPr>
            </w:pPr>
          </w:p>
        </w:tc>
        <w:tc>
          <w:tcPr>
            <w:tcW w:w="691" w:type="pct"/>
            <w:vAlign w:val="center"/>
          </w:tcPr>
          <w:p>
            <w:pPr>
              <w:spacing w:line="360" w:lineRule="auto"/>
              <w:rPr>
                <w:rFonts w:hAnsi="宋体" w:cs="宋体"/>
                <w:highlight w:val="none"/>
              </w:rPr>
            </w:pPr>
          </w:p>
        </w:tc>
        <w:tc>
          <w:tcPr>
            <w:tcW w:w="1309" w:type="pct"/>
            <w:gridSpan w:val="2"/>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p>
        </w:tc>
        <w:tc>
          <w:tcPr>
            <w:tcW w:w="1370" w:type="pct"/>
            <w:gridSpan w:val="2"/>
            <w:vAlign w:val="center"/>
          </w:tcPr>
          <w:p>
            <w:pPr>
              <w:spacing w:line="360" w:lineRule="auto"/>
              <w:rPr>
                <w:rFonts w:hAnsi="宋体" w:cs="宋体"/>
                <w:highlight w:val="none"/>
              </w:rPr>
            </w:pPr>
          </w:p>
        </w:tc>
        <w:tc>
          <w:tcPr>
            <w:tcW w:w="917" w:type="pct"/>
            <w:gridSpan w:val="2"/>
            <w:vAlign w:val="center"/>
          </w:tcPr>
          <w:p>
            <w:pPr>
              <w:spacing w:line="360" w:lineRule="auto"/>
              <w:rPr>
                <w:rFonts w:hAnsi="宋体" w:cs="宋体"/>
                <w:highlight w:val="none"/>
              </w:rPr>
            </w:pPr>
          </w:p>
        </w:tc>
        <w:tc>
          <w:tcPr>
            <w:tcW w:w="691" w:type="pct"/>
            <w:vAlign w:val="center"/>
          </w:tcPr>
          <w:p>
            <w:pPr>
              <w:spacing w:line="360" w:lineRule="auto"/>
              <w:rPr>
                <w:rFonts w:hAnsi="宋体" w:cs="宋体"/>
                <w:highlight w:val="none"/>
              </w:rPr>
            </w:pPr>
          </w:p>
        </w:tc>
        <w:tc>
          <w:tcPr>
            <w:tcW w:w="1309" w:type="pct"/>
            <w:gridSpan w:val="2"/>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p>
        </w:tc>
        <w:tc>
          <w:tcPr>
            <w:tcW w:w="1370" w:type="pct"/>
            <w:gridSpan w:val="2"/>
            <w:vAlign w:val="center"/>
          </w:tcPr>
          <w:p>
            <w:pPr>
              <w:spacing w:line="360" w:lineRule="auto"/>
              <w:rPr>
                <w:rFonts w:hAnsi="宋体" w:cs="宋体"/>
                <w:highlight w:val="none"/>
              </w:rPr>
            </w:pPr>
          </w:p>
        </w:tc>
        <w:tc>
          <w:tcPr>
            <w:tcW w:w="917" w:type="pct"/>
            <w:gridSpan w:val="2"/>
            <w:vAlign w:val="center"/>
          </w:tcPr>
          <w:p>
            <w:pPr>
              <w:spacing w:line="360" w:lineRule="auto"/>
              <w:rPr>
                <w:rFonts w:hAnsi="宋体" w:cs="宋体"/>
                <w:highlight w:val="none"/>
              </w:rPr>
            </w:pPr>
          </w:p>
        </w:tc>
        <w:tc>
          <w:tcPr>
            <w:tcW w:w="691" w:type="pct"/>
            <w:vAlign w:val="center"/>
          </w:tcPr>
          <w:p>
            <w:pPr>
              <w:spacing w:line="360" w:lineRule="auto"/>
              <w:rPr>
                <w:rFonts w:hAnsi="宋体" w:cs="宋体"/>
                <w:highlight w:val="none"/>
              </w:rPr>
            </w:pPr>
          </w:p>
        </w:tc>
        <w:tc>
          <w:tcPr>
            <w:tcW w:w="1309" w:type="pct"/>
            <w:gridSpan w:val="2"/>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p>
        </w:tc>
        <w:tc>
          <w:tcPr>
            <w:tcW w:w="1370" w:type="pct"/>
            <w:gridSpan w:val="2"/>
            <w:vAlign w:val="center"/>
          </w:tcPr>
          <w:p>
            <w:pPr>
              <w:spacing w:line="360" w:lineRule="auto"/>
              <w:rPr>
                <w:rFonts w:hAnsi="宋体" w:cs="宋体"/>
                <w:highlight w:val="none"/>
              </w:rPr>
            </w:pPr>
          </w:p>
        </w:tc>
        <w:tc>
          <w:tcPr>
            <w:tcW w:w="917" w:type="pct"/>
            <w:gridSpan w:val="2"/>
            <w:tcBorders>
              <w:right w:val="single" w:color="auto" w:sz="8" w:space="0"/>
            </w:tcBorders>
            <w:vAlign w:val="center"/>
          </w:tcPr>
          <w:p>
            <w:pPr>
              <w:spacing w:line="360" w:lineRule="auto"/>
              <w:rPr>
                <w:rFonts w:hAnsi="宋体" w:cs="宋体"/>
                <w:highlight w:val="none"/>
              </w:rPr>
            </w:pPr>
          </w:p>
        </w:tc>
        <w:tc>
          <w:tcPr>
            <w:tcW w:w="691" w:type="pct"/>
            <w:tcBorders>
              <w:left w:val="single" w:color="auto" w:sz="8" w:space="0"/>
            </w:tcBorders>
            <w:vAlign w:val="center"/>
          </w:tcPr>
          <w:p>
            <w:pPr>
              <w:spacing w:line="360" w:lineRule="auto"/>
              <w:rPr>
                <w:rFonts w:hAnsi="宋体" w:cs="宋体"/>
                <w:highlight w:val="none"/>
              </w:rPr>
            </w:pPr>
          </w:p>
        </w:tc>
        <w:tc>
          <w:tcPr>
            <w:tcW w:w="1309" w:type="pct"/>
            <w:gridSpan w:val="2"/>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r>
              <w:rPr>
                <w:rFonts w:hint="eastAsia" w:hAnsi="宋体" w:cs="宋体"/>
                <w:highlight w:val="none"/>
              </w:rPr>
              <w:t>获奖情况</w:t>
            </w:r>
          </w:p>
        </w:tc>
        <w:tc>
          <w:tcPr>
            <w:tcW w:w="4287" w:type="pct"/>
            <w:gridSpan w:val="7"/>
            <w:vAlign w:val="center"/>
          </w:tcPr>
          <w:p>
            <w:pPr>
              <w:spacing w:line="360" w:lineRule="auto"/>
              <w:rPr>
                <w:rFonts w:hAnsi="宋体" w:cs="宋体"/>
                <w:highlight w:val="none"/>
              </w:rPr>
            </w:pPr>
          </w:p>
        </w:tc>
      </w:tr>
    </w:tbl>
    <w:p>
      <w:pPr>
        <w:tabs>
          <w:tab w:val="left" w:pos="2580"/>
          <w:tab w:val="left" w:pos="5940"/>
        </w:tabs>
        <w:autoSpaceDE w:val="0"/>
        <w:autoSpaceDN w:val="0"/>
        <w:adjustRightInd w:val="0"/>
        <w:snapToGrid w:val="0"/>
        <w:spacing w:line="360" w:lineRule="auto"/>
        <w:jc w:val="left"/>
        <w:rPr>
          <w:rFonts w:hAnsi="宋体" w:cs="宋体"/>
          <w:spacing w:val="-6"/>
          <w:highlight w:val="none"/>
        </w:rPr>
      </w:pPr>
      <w:r>
        <w:rPr>
          <w:rFonts w:hint="eastAsia" w:hAnsi="宋体" w:cs="宋体"/>
          <w:spacing w:val="-6"/>
          <w:highlight w:val="none"/>
        </w:rPr>
        <w:t>注：1. 本表应填写项目负责人相关情况。</w:t>
      </w:r>
    </w:p>
    <w:p>
      <w:pPr>
        <w:tabs>
          <w:tab w:val="left" w:pos="2580"/>
          <w:tab w:val="left" w:pos="5940"/>
        </w:tabs>
        <w:autoSpaceDE w:val="0"/>
        <w:autoSpaceDN w:val="0"/>
        <w:adjustRightInd w:val="0"/>
        <w:snapToGrid w:val="0"/>
        <w:spacing w:line="360" w:lineRule="auto"/>
        <w:jc w:val="left"/>
        <w:rPr>
          <w:rFonts w:hAnsi="宋体" w:cs="宋体"/>
          <w:spacing w:val="-6"/>
          <w:highlight w:val="none"/>
        </w:rPr>
      </w:pPr>
      <w:r>
        <w:rPr>
          <w:rFonts w:hint="eastAsia" w:hAnsi="宋体" w:cs="宋体"/>
          <w:spacing w:val="-6"/>
          <w:highlight w:val="none"/>
        </w:rPr>
        <w:t xml:space="preserve">    2. 投标人应根据招标文件的要求在本表后附相关证明材料。</w:t>
      </w:r>
    </w:p>
    <w:p>
      <w:pPr>
        <w:pStyle w:val="5"/>
        <w:spacing w:before="0" w:after="0"/>
        <w:jc w:val="center"/>
        <w:rPr>
          <w:rFonts w:ascii="黑体" w:hAnsi="黑体" w:cs="黑体"/>
          <w:szCs w:val="24"/>
          <w:highlight w:val="none"/>
        </w:rPr>
      </w:pPr>
      <w:r>
        <w:rPr>
          <w:highlight w:val="none"/>
        </w:rPr>
        <w:br w:type="page"/>
      </w:r>
      <w:r>
        <w:rPr>
          <w:rFonts w:hint="eastAsia" w:ascii="黑体" w:hAnsi="黑体" w:cs="黑体"/>
          <w:szCs w:val="24"/>
          <w:highlight w:val="none"/>
        </w:rPr>
        <w:t>（六）项目负责人业绩情况表（资格审查）</w:t>
      </w:r>
    </w:p>
    <w:tbl>
      <w:tblPr>
        <w:tblStyle w:val="5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1"/>
        <w:gridCol w:w="4983"/>
        <w:gridCol w:w="2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vAlign w:val="center"/>
          </w:tcPr>
          <w:p>
            <w:pPr>
              <w:jc w:val="center"/>
              <w:rPr>
                <w:rFonts w:hAnsi="宋体" w:cs="宋体"/>
                <w:szCs w:val="24"/>
                <w:highlight w:val="none"/>
              </w:rPr>
            </w:pPr>
            <w:r>
              <w:rPr>
                <w:rFonts w:hint="eastAsia" w:hAnsi="宋体" w:cs="宋体"/>
                <w:szCs w:val="24"/>
                <w:highlight w:val="none"/>
              </w:rPr>
              <w:t>业绩序号</w:t>
            </w:r>
          </w:p>
        </w:tc>
        <w:tc>
          <w:tcPr>
            <w:tcW w:w="2926" w:type="pct"/>
            <w:vAlign w:val="center"/>
          </w:tcPr>
          <w:p>
            <w:pPr>
              <w:jc w:val="center"/>
              <w:rPr>
                <w:rFonts w:hAnsi="宋体" w:cs="宋体"/>
                <w:szCs w:val="24"/>
                <w:highlight w:val="none"/>
              </w:rPr>
            </w:pPr>
            <w:r>
              <w:rPr>
                <w:rFonts w:hint="eastAsia" w:hAnsi="宋体" w:cs="宋体"/>
                <w:szCs w:val="24"/>
                <w:highlight w:val="none"/>
              </w:rPr>
              <w:t>项目名称（合同名称）</w:t>
            </w:r>
          </w:p>
        </w:tc>
        <w:tc>
          <w:tcPr>
            <w:tcW w:w="1250" w:type="pct"/>
            <w:vAlign w:val="center"/>
          </w:tcPr>
          <w:p>
            <w:pPr>
              <w:jc w:val="center"/>
              <w:rPr>
                <w:rFonts w:hAnsi="宋体" w:cs="宋体"/>
                <w:szCs w:val="24"/>
                <w:highlight w:val="none"/>
              </w:rPr>
            </w:pPr>
            <w:r>
              <w:rPr>
                <w:rFonts w:hint="eastAsia" w:hAnsi="宋体" w:cs="宋体"/>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vAlign w:val="center"/>
          </w:tcPr>
          <w:p>
            <w:pPr>
              <w:jc w:val="center"/>
              <w:rPr>
                <w:rFonts w:hAnsi="宋体" w:cs="宋体"/>
                <w:szCs w:val="24"/>
                <w:highlight w:val="none"/>
              </w:rPr>
            </w:pPr>
            <w:r>
              <w:rPr>
                <w:rFonts w:hint="eastAsia" w:hAnsi="宋体" w:cs="宋体"/>
                <w:szCs w:val="24"/>
                <w:highlight w:val="none"/>
              </w:rPr>
              <w:t>1</w:t>
            </w:r>
          </w:p>
        </w:tc>
        <w:tc>
          <w:tcPr>
            <w:tcW w:w="2926" w:type="pct"/>
            <w:vAlign w:val="center"/>
          </w:tcPr>
          <w:p>
            <w:pPr>
              <w:jc w:val="center"/>
              <w:rPr>
                <w:rFonts w:hAnsi="宋体" w:cs="宋体"/>
                <w:szCs w:val="24"/>
                <w:highlight w:val="none"/>
              </w:rPr>
            </w:pPr>
          </w:p>
        </w:tc>
        <w:tc>
          <w:tcPr>
            <w:tcW w:w="1250" w:type="pct"/>
            <w:vAlign w:val="center"/>
          </w:tcPr>
          <w:p>
            <w:pPr>
              <w:jc w:val="center"/>
              <w:rPr>
                <w:rFonts w:hAnsi="宋体" w:cs="宋体"/>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vAlign w:val="center"/>
          </w:tcPr>
          <w:p>
            <w:pPr>
              <w:jc w:val="center"/>
              <w:rPr>
                <w:rFonts w:hAnsi="宋体" w:cs="宋体"/>
                <w:szCs w:val="24"/>
                <w:highlight w:val="none"/>
              </w:rPr>
            </w:pPr>
            <w:r>
              <w:rPr>
                <w:rFonts w:hint="eastAsia" w:hAnsi="宋体" w:cs="宋体"/>
                <w:szCs w:val="24"/>
                <w:highlight w:val="none"/>
              </w:rPr>
              <w:t>2</w:t>
            </w:r>
          </w:p>
        </w:tc>
        <w:tc>
          <w:tcPr>
            <w:tcW w:w="2926" w:type="pct"/>
            <w:vAlign w:val="center"/>
          </w:tcPr>
          <w:p>
            <w:pPr>
              <w:jc w:val="center"/>
              <w:rPr>
                <w:rFonts w:hAnsi="宋体" w:cs="宋体"/>
                <w:szCs w:val="24"/>
                <w:highlight w:val="none"/>
              </w:rPr>
            </w:pPr>
          </w:p>
        </w:tc>
        <w:tc>
          <w:tcPr>
            <w:tcW w:w="1250" w:type="pct"/>
            <w:vAlign w:val="center"/>
          </w:tcPr>
          <w:p>
            <w:pPr>
              <w:jc w:val="center"/>
              <w:rPr>
                <w:rFonts w:hAnsi="宋体" w:cs="宋体"/>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vAlign w:val="center"/>
          </w:tcPr>
          <w:p>
            <w:pPr>
              <w:jc w:val="center"/>
              <w:rPr>
                <w:rFonts w:hAnsi="宋体" w:cs="宋体"/>
                <w:szCs w:val="24"/>
                <w:highlight w:val="none"/>
              </w:rPr>
            </w:pPr>
            <w:r>
              <w:rPr>
                <w:rFonts w:hint="eastAsia" w:hAnsi="宋体" w:cs="宋体"/>
                <w:szCs w:val="24"/>
                <w:highlight w:val="none"/>
              </w:rPr>
              <w:t>……</w:t>
            </w:r>
          </w:p>
        </w:tc>
        <w:tc>
          <w:tcPr>
            <w:tcW w:w="2926" w:type="pct"/>
            <w:vAlign w:val="center"/>
          </w:tcPr>
          <w:p>
            <w:pPr>
              <w:jc w:val="center"/>
              <w:rPr>
                <w:rFonts w:hAnsi="宋体" w:cs="宋体"/>
                <w:szCs w:val="24"/>
                <w:highlight w:val="none"/>
              </w:rPr>
            </w:pPr>
          </w:p>
        </w:tc>
        <w:tc>
          <w:tcPr>
            <w:tcW w:w="1250" w:type="pct"/>
            <w:vAlign w:val="center"/>
          </w:tcPr>
          <w:p>
            <w:pPr>
              <w:jc w:val="center"/>
              <w:rPr>
                <w:rFonts w:hAnsi="宋体" w:cs="宋体"/>
                <w:szCs w:val="24"/>
                <w:highlight w:val="none"/>
              </w:rPr>
            </w:pPr>
          </w:p>
        </w:tc>
      </w:tr>
    </w:tbl>
    <w:p>
      <w:pPr>
        <w:spacing w:line="360" w:lineRule="auto"/>
        <w:ind w:firstLine="480" w:firstLineChars="200"/>
        <w:rPr>
          <w:rFonts w:hAnsi="宋体" w:cs="宋体"/>
          <w:szCs w:val="24"/>
          <w:highlight w:val="none"/>
        </w:rPr>
      </w:pPr>
      <w:r>
        <w:rPr>
          <w:rFonts w:hint="eastAsia" w:hAnsi="宋体" w:cs="宋体"/>
          <w:szCs w:val="24"/>
          <w:highlight w:val="none"/>
        </w:rPr>
        <w:t>注：</w:t>
      </w:r>
    </w:p>
    <w:p>
      <w:pPr>
        <w:spacing w:line="360" w:lineRule="auto"/>
        <w:ind w:firstLine="480" w:firstLineChars="200"/>
        <w:rPr>
          <w:rFonts w:hAnsi="宋体" w:cs="宋体"/>
          <w:szCs w:val="24"/>
          <w:highlight w:val="none"/>
        </w:rPr>
      </w:pPr>
      <w:r>
        <w:rPr>
          <w:rFonts w:hint="eastAsia" w:hAnsi="宋体" w:cs="宋体"/>
          <w:szCs w:val="24"/>
          <w:highlight w:val="none"/>
        </w:rPr>
        <w:t>1.投标人应将用于资格审查的</w:t>
      </w:r>
      <w:r>
        <w:rPr>
          <w:rFonts w:hint="eastAsia" w:ascii="Times New Roman"/>
          <w:highlight w:val="none"/>
        </w:rPr>
        <w:t>项目负责人</w:t>
      </w:r>
      <w:r>
        <w:rPr>
          <w:rFonts w:hint="eastAsia" w:hAnsi="宋体" w:cs="宋体"/>
          <w:szCs w:val="24"/>
          <w:highlight w:val="none"/>
        </w:rPr>
        <w:t>业绩在上表中列明，按照列明的业绩序号先后顺序依次填写“项目负责人业绩信息表（资格审查）”，并附相应业绩证明材料。</w:t>
      </w:r>
    </w:p>
    <w:p>
      <w:pPr>
        <w:spacing w:line="360" w:lineRule="auto"/>
        <w:ind w:firstLine="480" w:firstLineChars="200"/>
        <w:rPr>
          <w:rFonts w:hAnsi="宋体" w:cs="宋体"/>
          <w:szCs w:val="24"/>
          <w:highlight w:val="none"/>
        </w:rPr>
      </w:pPr>
      <w:r>
        <w:rPr>
          <w:rFonts w:hint="eastAsia" w:hAnsi="宋体" w:cs="宋体"/>
          <w:szCs w:val="24"/>
          <w:highlight w:val="none"/>
        </w:rPr>
        <w:t>2.</w:t>
      </w:r>
      <w:r>
        <w:rPr>
          <w:rFonts w:hint="eastAsia"/>
          <w:szCs w:val="24"/>
          <w:highlight w:val="none"/>
        </w:rPr>
        <w:t>评标委员会应当按照上表列明的业绩序号先后顺序依次进行评审，且仅评审“附录5  资格审查条件（项目负责人最低要求）”规定数量的业绩，超出规定数量部分或未在上表列明的业绩均不作为资格审查项目负责人业绩予以评审。</w:t>
      </w:r>
    </w:p>
    <w:p>
      <w:pPr>
        <w:tabs>
          <w:tab w:val="left" w:pos="8422"/>
          <w:tab w:val="left" w:pos="9622"/>
        </w:tabs>
        <w:spacing w:line="360" w:lineRule="auto"/>
        <w:ind w:left="4800" w:leftChars="2000" w:right="120" w:rightChars="50"/>
        <w:jc w:val="left"/>
        <w:rPr>
          <w:rFonts w:hAnsi="宋体" w:cs="宋体"/>
          <w:szCs w:val="24"/>
          <w:highlight w:val="none"/>
        </w:rPr>
      </w:pPr>
    </w:p>
    <w:p>
      <w:pPr>
        <w:adjustRightInd w:val="0"/>
        <w:snapToGrid w:val="0"/>
        <w:spacing w:line="360" w:lineRule="auto"/>
        <w:jc w:val="right"/>
        <w:rPr>
          <w:rFonts w:hAnsi="宋体" w:cs="宋体"/>
          <w:bCs/>
          <w:szCs w:val="24"/>
          <w:highlight w:val="none"/>
          <w:u w:val="single"/>
        </w:rPr>
      </w:pPr>
      <w:r>
        <w:rPr>
          <w:rFonts w:hint="eastAsia" w:hAnsi="宋体" w:cs="宋体"/>
          <w:bCs/>
          <w:spacing w:val="120"/>
          <w:kern w:val="0"/>
          <w:szCs w:val="24"/>
          <w:highlight w:val="none"/>
          <w:fitText w:val="1200" w:id="503068454"/>
        </w:rPr>
        <w:t>投标</w:t>
      </w:r>
      <w:r>
        <w:rPr>
          <w:rFonts w:hint="eastAsia" w:hAnsi="宋体" w:cs="宋体"/>
          <w:bCs/>
          <w:spacing w:val="0"/>
          <w:kern w:val="0"/>
          <w:szCs w:val="24"/>
          <w:highlight w:val="none"/>
          <w:fitText w:val="1200" w:id="503068454"/>
        </w:rPr>
        <w:t>人</w:t>
      </w:r>
      <w:r>
        <w:rPr>
          <w:rFonts w:hint="eastAsia" w:hAnsi="宋体" w:cs="宋体"/>
          <w:bCs/>
          <w:szCs w:val="24"/>
          <w:highlight w:val="none"/>
        </w:rPr>
        <w:t>：</w:t>
      </w:r>
      <w:r>
        <w:rPr>
          <w:rFonts w:hint="eastAsia" w:hAnsi="宋体" w:cs="宋体"/>
          <w:bCs/>
          <w:szCs w:val="24"/>
          <w:highlight w:val="none"/>
          <w:u w:val="single"/>
          <w:lang w:val="en-US" w:eastAsia="zh-CN"/>
        </w:rPr>
        <w:t xml:space="preserve">            </w:t>
      </w:r>
      <w:r>
        <w:rPr>
          <w:rFonts w:hint="eastAsia" w:hAnsi="宋体" w:cs="宋体"/>
          <w:bCs/>
          <w:szCs w:val="24"/>
          <w:highlight w:val="none"/>
        </w:rPr>
        <w:t>（盖单位章）</w:t>
      </w:r>
    </w:p>
    <w:p>
      <w:pPr>
        <w:adjustRightInd w:val="0"/>
        <w:snapToGrid w:val="0"/>
        <w:spacing w:line="360" w:lineRule="auto"/>
        <w:jc w:val="right"/>
        <w:rPr>
          <w:rFonts w:hAnsi="宋体" w:cs="宋体"/>
          <w:szCs w:val="24"/>
          <w:highlight w:val="none"/>
        </w:rPr>
      </w:pPr>
      <w:r>
        <w:rPr>
          <w:rFonts w:hint="eastAsia" w:hAnsi="宋体" w:cs="宋体"/>
          <w:bCs/>
          <w:spacing w:val="360"/>
          <w:kern w:val="0"/>
          <w:szCs w:val="24"/>
          <w:highlight w:val="none"/>
          <w:fitText w:val="1200" w:id="910505911"/>
        </w:rPr>
        <w:t>日</w:t>
      </w:r>
      <w:r>
        <w:rPr>
          <w:rFonts w:hint="eastAsia" w:hAnsi="宋体" w:cs="宋体"/>
          <w:bCs/>
          <w:spacing w:val="0"/>
          <w:kern w:val="0"/>
          <w:szCs w:val="24"/>
          <w:highlight w:val="none"/>
          <w:fitText w:val="1200" w:id="910505911"/>
        </w:rPr>
        <w:t>期</w:t>
      </w:r>
      <w:r>
        <w:rPr>
          <w:rFonts w:hint="eastAsia" w:hAnsi="宋体" w:cs="宋体"/>
          <w:szCs w:val="24"/>
          <w:highlight w:val="none"/>
        </w:rPr>
        <w:t>：</w:t>
      </w:r>
      <w:r>
        <w:rPr>
          <w:rFonts w:hint="eastAsia" w:hAnsi="宋体" w:cs="宋体"/>
          <w:szCs w:val="24"/>
          <w:highlight w:val="none"/>
          <w:u w:val="single"/>
          <w:lang w:val="en-US" w:eastAsia="zh-CN"/>
        </w:rPr>
        <w:t xml:space="preserve">      </w:t>
      </w:r>
      <w:r>
        <w:rPr>
          <w:rFonts w:hint="eastAsia" w:hAnsi="宋体" w:cs="宋体"/>
          <w:szCs w:val="24"/>
          <w:highlight w:val="none"/>
          <w:u w:val="none"/>
        </w:rPr>
        <w:t>年</w:t>
      </w:r>
      <w:r>
        <w:rPr>
          <w:rFonts w:hint="eastAsia" w:hAnsi="宋体" w:cs="宋体"/>
          <w:szCs w:val="24"/>
          <w:highlight w:val="none"/>
          <w:u w:val="single"/>
          <w:lang w:val="en-US" w:eastAsia="zh-CN"/>
        </w:rPr>
        <w:t xml:space="preserve">      </w:t>
      </w:r>
      <w:r>
        <w:rPr>
          <w:rFonts w:hint="eastAsia" w:hAnsi="宋体" w:cs="宋体"/>
          <w:szCs w:val="24"/>
          <w:highlight w:val="none"/>
        </w:rPr>
        <w:t>月</w:t>
      </w:r>
      <w:r>
        <w:rPr>
          <w:rFonts w:hint="eastAsia" w:hAnsi="宋体" w:cs="宋体"/>
          <w:szCs w:val="24"/>
          <w:highlight w:val="none"/>
          <w:u w:val="single"/>
          <w:lang w:val="en-US" w:eastAsia="zh-CN"/>
        </w:rPr>
        <w:t xml:space="preserve">      </w:t>
      </w:r>
      <w:r>
        <w:rPr>
          <w:rFonts w:hint="eastAsia" w:hAnsi="宋体" w:cs="宋体"/>
          <w:szCs w:val="24"/>
          <w:highlight w:val="none"/>
        </w:rPr>
        <w:t>日</w:t>
      </w:r>
    </w:p>
    <w:p>
      <w:pPr>
        <w:rPr>
          <w:rFonts w:ascii="黑体" w:hAnsi="黑体" w:cs="黑体"/>
          <w:szCs w:val="24"/>
          <w:highlight w:val="none"/>
        </w:rPr>
      </w:pPr>
    </w:p>
    <w:p>
      <w:pPr>
        <w:jc w:val="center"/>
        <w:outlineLvl w:val="0"/>
        <w:rPr>
          <w:szCs w:val="24"/>
          <w:highlight w:val="none"/>
        </w:rPr>
      </w:pPr>
      <w:r>
        <w:rPr>
          <w:rFonts w:hint="eastAsia" w:hAnsi="宋体" w:cs="宋体"/>
          <w:szCs w:val="24"/>
          <w:highlight w:val="none"/>
        </w:rPr>
        <w:br w:type="page"/>
      </w:r>
      <w:bookmarkStart w:id="1013" w:name="_Toc140069455"/>
      <w:r>
        <w:rPr>
          <w:rFonts w:hint="eastAsia" w:hAnsi="宋体" w:cs="宋体"/>
          <w:szCs w:val="24"/>
          <w:highlight w:val="none"/>
        </w:rPr>
        <w:t>项目负责人业绩信息表（资格审查）</w:t>
      </w:r>
      <w:bookmarkEnd w:id="1013"/>
    </w:p>
    <w:tbl>
      <w:tblPr>
        <w:tblStyle w:val="5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货物名称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规格和型号</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买方联系人及电话</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合同价格</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合同项目负责人</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项目概况及履约情况</w:t>
            </w:r>
          </w:p>
        </w:tc>
        <w:tc>
          <w:tcPr>
            <w:tcW w:w="6253" w:type="dxa"/>
            <w:vAlign w:val="center"/>
          </w:tcPr>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备注</w:t>
            </w:r>
          </w:p>
        </w:tc>
        <w:tc>
          <w:tcPr>
            <w:tcW w:w="6253" w:type="dxa"/>
            <w:vAlign w:val="center"/>
          </w:tcPr>
          <w:p>
            <w:pPr>
              <w:topLinePunct/>
              <w:spacing w:line="360" w:lineRule="auto"/>
              <w:jc w:val="center"/>
              <w:rPr>
                <w:rFonts w:hAnsi="宋体" w:cs="宋体"/>
                <w:highlight w:val="none"/>
              </w:rPr>
            </w:pPr>
            <w:r>
              <w:rPr>
                <w:rFonts w:hint="eastAsia" w:ascii="Times New Roman"/>
                <w:szCs w:val="24"/>
                <w:highlight w:val="none"/>
              </w:rPr>
              <w:t>资格审查用业绩</w:t>
            </w:r>
          </w:p>
        </w:tc>
      </w:tr>
    </w:tbl>
    <w:p>
      <w:pPr>
        <w:spacing w:line="360" w:lineRule="auto"/>
        <w:rPr>
          <w:rFonts w:hAnsi="宋体" w:cs="宋体"/>
          <w:highlight w:val="none"/>
        </w:rPr>
      </w:pPr>
      <w:r>
        <w:rPr>
          <w:rFonts w:hint="eastAsia" w:hAnsi="宋体" w:cs="宋体"/>
          <w:highlight w:val="none"/>
        </w:rPr>
        <w:t>注：投标人应根据招标文件第二章“投标人须知”前附表附录5的要求在本表后附相关证明材料。</w:t>
      </w:r>
    </w:p>
    <w:p>
      <w:pPr>
        <w:spacing w:line="360" w:lineRule="auto"/>
        <w:rPr>
          <w:rFonts w:hAnsi="宋体" w:cs="宋体"/>
          <w:highlight w:val="none"/>
        </w:rPr>
      </w:pPr>
    </w:p>
    <w:p>
      <w:pPr>
        <w:spacing w:line="360" w:lineRule="auto"/>
        <w:jc w:val="center"/>
        <w:outlineLvl w:val="0"/>
        <w:rPr>
          <w:rFonts w:ascii="黑体" w:hAnsi="黑体" w:eastAsia="黑体" w:cs="黑体"/>
          <w:bCs/>
          <w:highlight w:val="none"/>
        </w:rPr>
      </w:pPr>
      <w:r>
        <w:rPr>
          <w:rFonts w:hint="eastAsia" w:hAnsi="宋体" w:cs="宋体"/>
          <w:spacing w:val="-6"/>
          <w:highlight w:val="none"/>
        </w:rPr>
        <w:br w:type="page"/>
      </w:r>
      <w:bookmarkStart w:id="1014" w:name="_Toc140069456"/>
      <w:r>
        <w:rPr>
          <w:rFonts w:hint="eastAsia" w:ascii="黑体" w:hAnsi="黑体" w:eastAsia="黑体" w:cs="黑体"/>
          <w:bCs/>
          <w:highlight w:val="none"/>
        </w:rPr>
        <w:t>（七）投标人信誉情况</w:t>
      </w:r>
      <w:bookmarkEnd w:id="1005"/>
      <w:bookmarkEnd w:id="1006"/>
      <w:bookmarkEnd w:id="1007"/>
      <w:bookmarkEnd w:id="1008"/>
      <w:bookmarkEnd w:id="1009"/>
      <w:bookmarkEnd w:id="1010"/>
      <w:bookmarkEnd w:id="1011"/>
      <w:bookmarkEnd w:id="1012"/>
      <w:bookmarkEnd w:id="1014"/>
    </w:p>
    <w:p>
      <w:pPr>
        <w:jc w:val="center"/>
        <w:rPr>
          <w:rFonts w:ascii="Times New Roman"/>
          <w:bCs/>
          <w:snapToGrid w:val="0"/>
          <w:szCs w:val="24"/>
          <w:highlight w:val="none"/>
        </w:rPr>
      </w:pPr>
      <w:bookmarkStart w:id="1015" w:name="_Toc12379"/>
      <w:bookmarkStart w:id="1016" w:name="_Toc1027"/>
      <w:bookmarkStart w:id="1017" w:name="_Toc24185"/>
      <w:bookmarkStart w:id="1018" w:name="_Toc32304"/>
      <w:bookmarkStart w:id="1019" w:name="_Toc17949"/>
      <w:r>
        <w:rPr>
          <w:rFonts w:hint="eastAsia" w:ascii="Times New Roman"/>
          <w:bCs/>
          <w:snapToGrid w:val="0"/>
          <w:szCs w:val="24"/>
          <w:highlight w:val="none"/>
        </w:rPr>
        <w:t>投标人无需提供证明材料，由评标委员会通过电子服务系统查询。</w:t>
      </w:r>
    </w:p>
    <w:p>
      <w:pPr>
        <w:jc w:val="center"/>
        <w:outlineLvl w:val="0"/>
        <w:rPr>
          <w:rFonts w:ascii="黑体" w:hAnsi="黑体" w:eastAsia="黑体"/>
          <w:szCs w:val="24"/>
          <w:highlight w:val="none"/>
        </w:rPr>
      </w:pPr>
      <w:r>
        <w:rPr>
          <w:rFonts w:hint="eastAsia" w:ascii="黑体" w:hAnsi="黑体" w:eastAsia="黑体"/>
          <w:szCs w:val="24"/>
          <w:highlight w:val="none"/>
        </w:rPr>
        <w:br w:type="page"/>
      </w:r>
      <w:bookmarkStart w:id="1020" w:name="_Toc140069457"/>
      <w:bookmarkStart w:id="1021" w:name="_Toc24647"/>
      <w:r>
        <w:rPr>
          <w:rFonts w:hint="eastAsia" w:ascii="黑体" w:hAnsi="黑体" w:eastAsia="黑体"/>
          <w:szCs w:val="24"/>
          <w:highlight w:val="none"/>
        </w:rPr>
        <w:t>七、</w:t>
      </w:r>
      <w:bookmarkEnd w:id="1015"/>
      <w:bookmarkEnd w:id="1016"/>
      <w:bookmarkEnd w:id="1017"/>
      <w:bookmarkEnd w:id="1018"/>
      <w:bookmarkEnd w:id="1019"/>
      <w:r>
        <w:rPr>
          <w:rFonts w:hint="eastAsia" w:ascii="黑体" w:hAnsi="黑体" w:eastAsia="黑体"/>
          <w:szCs w:val="24"/>
          <w:highlight w:val="none"/>
        </w:rPr>
        <w:t>商务文件详细评审资料</w:t>
      </w:r>
      <w:bookmarkEnd w:id="1020"/>
      <w:bookmarkEnd w:id="1021"/>
    </w:p>
    <w:p>
      <w:pPr>
        <w:autoSpaceDE w:val="0"/>
        <w:autoSpaceDN w:val="0"/>
        <w:adjustRightInd w:val="0"/>
        <w:snapToGrid w:val="0"/>
        <w:spacing w:line="360" w:lineRule="auto"/>
        <w:jc w:val="left"/>
        <w:rPr>
          <w:rFonts w:ascii="Times New Roman"/>
          <w:snapToGrid w:val="0"/>
          <w:szCs w:val="24"/>
          <w:highlight w:val="none"/>
        </w:rPr>
      </w:pPr>
    </w:p>
    <w:p>
      <w:pPr>
        <w:spacing w:beforeLines="50" w:afterLines="50" w:line="360" w:lineRule="auto"/>
        <w:jc w:val="left"/>
        <w:rPr>
          <w:bCs/>
          <w:szCs w:val="24"/>
          <w:highlight w:val="none"/>
        </w:rPr>
      </w:pPr>
      <w:r>
        <w:rPr>
          <w:rFonts w:hint="eastAsia" w:ascii="Times New Roman"/>
          <w:szCs w:val="24"/>
          <w:highlight w:val="none"/>
        </w:rPr>
        <w:t>投标人对照商务文件详细评审条件，自行提供其他相关资料（如有）</w:t>
      </w:r>
    </w:p>
    <w:p>
      <w:pPr>
        <w:spacing w:beforeLines="50" w:afterLines="50" w:line="360" w:lineRule="auto"/>
        <w:jc w:val="center"/>
        <w:outlineLvl w:val="3"/>
        <w:rPr>
          <w:bCs/>
          <w:szCs w:val="24"/>
          <w:highlight w:val="none"/>
        </w:rPr>
      </w:pPr>
      <w:bookmarkStart w:id="1022" w:name="_Toc15813"/>
      <w:bookmarkStart w:id="1023" w:name="_Toc20940"/>
      <w:bookmarkStart w:id="1024" w:name="_Toc28511"/>
      <w:bookmarkStart w:id="1025" w:name="_Toc30750"/>
      <w:bookmarkStart w:id="1026" w:name="_Toc13031"/>
      <w:bookmarkStart w:id="1027" w:name="_Toc17174"/>
      <w:r>
        <w:rPr>
          <w:rFonts w:hint="eastAsia"/>
          <w:bCs/>
          <w:szCs w:val="24"/>
          <w:highlight w:val="none"/>
        </w:rPr>
        <w:t>（一）</w:t>
      </w:r>
      <w:bookmarkEnd w:id="1022"/>
      <w:bookmarkEnd w:id="1023"/>
      <w:bookmarkEnd w:id="1024"/>
      <w:bookmarkEnd w:id="1025"/>
      <w:bookmarkEnd w:id="1026"/>
      <w:r>
        <w:rPr>
          <w:rFonts w:hint="eastAsia"/>
          <w:bCs/>
          <w:szCs w:val="24"/>
          <w:highlight w:val="none"/>
        </w:rPr>
        <w:t>投标人业绩情况表（详细评审）</w:t>
      </w:r>
      <w:bookmarkEnd w:id="1027"/>
    </w:p>
    <w:tbl>
      <w:tblPr>
        <w:tblStyle w:val="5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7"/>
        <w:gridCol w:w="5155"/>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32" w:type="pct"/>
            <w:vAlign w:val="center"/>
          </w:tcPr>
          <w:p>
            <w:pPr>
              <w:jc w:val="center"/>
              <w:rPr>
                <w:rFonts w:ascii="Times New Roman"/>
                <w:highlight w:val="none"/>
              </w:rPr>
            </w:pPr>
            <w:r>
              <w:rPr>
                <w:rFonts w:hint="eastAsia" w:ascii="Times New Roman"/>
                <w:highlight w:val="none"/>
              </w:rPr>
              <w:t>业绩序号</w:t>
            </w:r>
          </w:p>
        </w:tc>
        <w:tc>
          <w:tcPr>
            <w:tcW w:w="3027" w:type="pct"/>
            <w:vAlign w:val="center"/>
          </w:tcPr>
          <w:p>
            <w:pPr>
              <w:jc w:val="center"/>
              <w:rPr>
                <w:rFonts w:ascii="Times New Roman"/>
                <w:highlight w:val="none"/>
              </w:rPr>
            </w:pPr>
            <w:r>
              <w:rPr>
                <w:rFonts w:hint="eastAsia" w:ascii="Times New Roman"/>
                <w:highlight w:val="none"/>
              </w:rPr>
              <w:t>项目</w:t>
            </w:r>
            <w:r>
              <w:rPr>
                <w:rFonts w:ascii="Times New Roman"/>
                <w:highlight w:val="none"/>
              </w:rPr>
              <w:t>名称</w:t>
            </w:r>
            <w:r>
              <w:rPr>
                <w:rFonts w:hint="eastAsia" w:ascii="Times New Roman"/>
                <w:highlight w:val="none"/>
              </w:rPr>
              <w:t>（合同名称）</w:t>
            </w:r>
          </w:p>
        </w:tc>
        <w:tc>
          <w:tcPr>
            <w:tcW w:w="1040" w:type="pct"/>
            <w:vAlign w:val="center"/>
          </w:tcPr>
          <w:p>
            <w:pPr>
              <w:jc w:val="center"/>
              <w:rPr>
                <w:rFonts w:ascii="Times New Roman"/>
                <w:highlight w:val="none"/>
              </w:rPr>
            </w:pPr>
            <w:r>
              <w:rPr>
                <w:rFonts w:hint="eastAsia" w:ascii="Times New Roman"/>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32" w:type="pct"/>
            <w:vAlign w:val="center"/>
          </w:tcPr>
          <w:p>
            <w:pPr>
              <w:jc w:val="center"/>
              <w:rPr>
                <w:rFonts w:ascii="Times New Roman"/>
                <w:highlight w:val="none"/>
              </w:rPr>
            </w:pPr>
            <w:r>
              <w:rPr>
                <w:rFonts w:hint="eastAsia" w:ascii="Times New Roman"/>
                <w:highlight w:val="none"/>
              </w:rPr>
              <w:t>1</w:t>
            </w:r>
          </w:p>
        </w:tc>
        <w:tc>
          <w:tcPr>
            <w:tcW w:w="3027" w:type="pct"/>
            <w:vAlign w:val="center"/>
          </w:tcPr>
          <w:p>
            <w:pPr>
              <w:jc w:val="center"/>
              <w:rPr>
                <w:rFonts w:ascii="Times New Roman"/>
                <w:highlight w:val="none"/>
              </w:rPr>
            </w:pPr>
          </w:p>
        </w:tc>
        <w:tc>
          <w:tcPr>
            <w:tcW w:w="1040" w:type="pct"/>
            <w:vAlign w:val="center"/>
          </w:tcPr>
          <w:p>
            <w:pPr>
              <w:jc w:val="center"/>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vAlign w:val="center"/>
          </w:tcPr>
          <w:p>
            <w:pPr>
              <w:jc w:val="center"/>
              <w:rPr>
                <w:rFonts w:ascii="Times New Roman"/>
                <w:highlight w:val="none"/>
              </w:rPr>
            </w:pPr>
            <w:r>
              <w:rPr>
                <w:rFonts w:hint="eastAsia" w:ascii="Times New Roman"/>
                <w:highlight w:val="none"/>
              </w:rPr>
              <w:t>2</w:t>
            </w:r>
          </w:p>
        </w:tc>
        <w:tc>
          <w:tcPr>
            <w:tcW w:w="3027" w:type="pct"/>
            <w:vAlign w:val="center"/>
          </w:tcPr>
          <w:p>
            <w:pPr>
              <w:jc w:val="center"/>
              <w:rPr>
                <w:rFonts w:ascii="Times New Roman"/>
                <w:highlight w:val="none"/>
              </w:rPr>
            </w:pPr>
          </w:p>
        </w:tc>
        <w:tc>
          <w:tcPr>
            <w:tcW w:w="1040" w:type="pct"/>
            <w:vAlign w:val="center"/>
          </w:tcPr>
          <w:p>
            <w:pPr>
              <w:jc w:val="center"/>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32" w:type="pct"/>
            <w:vAlign w:val="center"/>
          </w:tcPr>
          <w:p>
            <w:pPr>
              <w:jc w:val="center"/>
              <w:rPr>
                <w:rFonts w:ascii="Times New Roman"/>
                <w:highlight w:val="none"/>
              </w:rPr>
            </w:pPr>
            <w:r>
              <w:rPr>
                <w:rFonts w:hint="eastAsia" w:ascii="Times New Roman"/>
                <w:highlight w:val="none"/>
              </w:rPr>
              <w:t>……</w:t>
            </w:r>
          </w:p>
        </w:tc>
        <w:tc>
          <w:tcPr>
            <w:tcW w:w="3027" w:type="pct"/>
            <w:vAlign w:val="center"/>
          </w:tcPr>
          <w:p>
            <w:pPr>
              <w:jc w:val="center"/>
              <w:rPr>
                <w:rFonts w:ascii="Times New Roman"/>
                <w:highlight w:val="none"/>
              </w:rPr>
            </w:pPr>
          </w:p>
        </w:tc>
        <w:tc>
          <w:tcPr>
            <w:tcW w:w="1040" w:type="pct"/>
            <w:vAlign w:val="center"/>
          </w:tcPr>
          <w:p>
            <w:pPr>
              <w:jc w:val="center"/>
              <w:rPr>
                <w:rFonts w:ascii="Times New Roman"/>
                <w:highlight w:val="none"/>
              </w:rPr>
            </w:pPr>
          </w:p>
        </w:tc>
      </w:tr>
    </w:tbl>
    <w:p>
      <w:pPr>
        <w:spacing w:line="360" w:lineRule="auto"/>
        <w:ind w:firstLine="480" w:firstLineChars="200"/>
        <w:rPr>
          <w:highlight w:val="none"/>
        </w:rPr>
      </w:pPr>
      <w:r>
        <w:rPr>
          <w:rFonts w:hint="eastAsia"/>
          <w:highlight w:val="none"/>
        </w:rPr>
        <w:t>注：</w:t>
      </w:r>
    </w:p>
    <w:p>
      <w:pPr>
        <w:spacing w:line="360" w:lineRule="auto"/>
        <w:ind w:firstLine="480" w:firstLineChars="200"/>
        <w:rPr>
          <w:highlight w:val="none"/>
        </w:rPr>
      </w:pPr>
      <w:r>
        <w:rPr>
          <w:rFonts w:hint="eastAsia"/>
          <w:highlight w:val="none"/>
        </w:rPr>
        <w:t>1.投标人应将用于商务文件详细评审的投标人业绩在上表中列明，按照列明</w:t>
      </w:r>
      <w:r>
        <w:rPr>
          <w:highlight w:val="none"/>
        </w:rPr>
        <w:t>的</w:t>
      </w:r>
      <w:r>
        <w:rPr>
          <w:rFonts w:hint="eastAsia"/>
          <w:highlight w:val="none"/>
        </w:rPr>
        <w:t>业绩序号先后</w:t>
      </w:r>
      <w:r>
        <w:rPr>
          <w:highlight w:val="none"/>
        </w:rPr>
        <w:t>顺序</w:t>
      </w:r>
      <w:r>
        <w:rPr>
          <w:rFonts w:hint="eastAsia"/>
          <w:highlight w:val="none"/>
        </w:rPr>
        <w:t>依次填写“投标人</w:t>
      </w:r>
      <w:r>
        <w:rPr>
          <w:highlight w:val="none"/>
        </w:rPr>
        <w:t>业绩</w:t>
      </w:r>
      <w:r>
        <w:rPr>
          <w:rFonts w:hint="eastAsia"/>
          <w:highlight w:val="none"/>
        </w:rPr>
        <w:t>信息</w:t>
      </w:r>
      <w:r>
        <w:rPr>
          <w:highlight w:val="none"/>
        </w:rPr>
        <w:t>表</w:t>
      </w:r>
      <w:r>
        <w:rPr>
          <w:rFonts w:hint="eastAsia"/>
          <w:highlight w:val="none"/>
        </w:rPr>
        <w:t>（详细评审）”，并附相应业绩证明材料。</w:t>
      </w:r>
    </w:p>
    <w:p>
      <w:pPr>
        <w:spacing w:line="360" w:lineRule="auto"/>
        <w:ind w:firstLine="480" w:firstLineChars="200"/>
        <w:rPr>
          <w:highlight w:val="none"/>
        </w:rPr>
      </w:pPr>
      <w:r>
        <w:rPr>
          <w:rFonts w:hint="eastAsia"/>
          <w:highlight w:val="none"/>
        </w:rPr>
        <w:t>2.评标</w:t>
      </w:r>
      <w:r>
        <w:rPr>
          <w:highlight w:val="none"/>
        </w:rPr>
        <w:t>委员会应当按照上表</w:t>
      </w:r>
      <w:r>
        <w:rPr>
          <w:rFonts w:hint="eastAsia"/>
          <w:highlight w:val="none"/>
        </w:rPr>
        <w:t>列明</w:t>
      </w:r>
      <w:r>
        <w:rPr>
          <w:highlight w:val="none"/>
        </w:rPr>
        <w:t>的</w:t>
      </w:r>
      <w:r>
        <w:rPr>
          <w:rFonts w:hint="eastAsia"/>
          <w:highlight w:val="none"/>
        </w:rPr>
        <w:t>业绩序号先后</w:t>
      </w:r>
      <w:r>
        <w:rPr>
          <w:highlight w:val="none"/>
        </w:rPr>
        <w:t>顺序</w:t>
      </w:r>
      <w:r>
        <w:rPr>
          <w:rFonts w:hint="eastAsia"/>
          <w:highlight w:val="none"/>
        </w:rPr>
        <w:t>依次</w:t>
      </w:r>
      <w:r>
        <w:rPr>
          <w:highlight w:val="none"/>
        </w:rPr>
        <w:t>进行评审，</w:t>
      </w:r>
      <w:r>
        <w:rPr>
          <w:rFonts w:hint="eastAsia"/>
          <w:highlight w:val="none"/>
        </w:rPr>
        <w:t>且仅评审评审标准规定数量的业绩，超出规定数量部分或未在上表列明的业绩均不作为</w:t>
      </w:r>
      <w:r>
        <w:rPr>
          <w:rFonts w:hint="eastAsia" w:ascii="Times New Roman"/>
          <w:highlight w:val="none"/>
        </w:rPr>
        <w:t>商务文件详细评审投标人业绩</w:t>
      </w:r>
      <w:r>
        <w:rPr>
          <w:rFonts w:hint="eastAsia"/>
          <w:highlight w:val="none"/>
        </w:rPr>
        <w:t>予以评审。</w:t>
      </w:r>
    </w:p>
    <w:p>
      <w:pPr>
        <w:tabs>
          <w:tab w:val="left" w:pos="8422"/>
          <w:tab w:val="left" w:pos="9622"/>
        </w:tabs>
        <w:spacing w:line="360" w:lineRule="auto"/>
        <w:ind w:left="4800" w:leftChars="2000" w:right="120" w:rightChars="50"/>
        <w:jc w:val="left"/>
        <w:rPr>
          <w:highlight w:val="none"/>
        </w:rPr>
      </w:pPr>
    </w:p>
    <w:p>
      <w:pPr>
        <w:adjustRightInd w:val="0"/>
        <w:snapToGrid w:val="0"/>
        <w:spacing w:line="360" w:lineRule="auto"/>
        <w:jc w:val="right"/>
        <w:rPr>
          <w:rFonts w:hAnsi="宋体" w:cs="宋体"/>
          <w:bCs/>
          <w:szCs w:val="24"/>
          <w:highlight w:val="none"/>
          <w:u w:val="single"/>
        </w:rPr>
      </w:pPr>
      <w:r>
        <w:rPr>
          <w:rFonts w:hint="eastAsia" w:hAnsi="宋体" w:cs="宋体"/>
          <w:bCs/>
          <w:spacing w:val="120"/>
          <w:kern w:val="0"/>
          <w:szCs w:val="24"/>
          <w:highlight w:val="none"/>
          <w:fitText w:val="1200" w:id="863327819"/>
        </w:rPr>
        <w:t>投标</w:t>
      </w:r>
      <w:r>
        <w:rPr>
          <w:rFonts w:hint="eastAsia" w:hAnsi="宋体" w:cs="宋体"/>
          <w:bCs/>
          <w:spacing w:val="0"/>
          <w:kern w:val="0"/>
          <w:szCs w:val="24"/>
          <w:highlight w:val="none"/>
          <w:fitText w:val="1200" w:id="863327819"/>
        </w:rPr>
        <w:t>人</w:t>
      </w:r>
      <w:r>
        <w:rPr>
          <w:rFonts w:hint="eastAsia" w:hAnsi="宋体" w:cs="宋体"/>
          <w:bCs/>
          <w:szCs w:val="24"/>
          <w:highlight w:val="none"/>
        </w:rPr>
        <w:t>：</w:t>
      </w:r>
      <w:r>
        <w:rPr>
          <w:rFonts w:hint="eastAsia" w:hAnsi="宋体" w:cs="宋体"/>
          <w:bCs/>
          <w:szCs w:val="24"/>
          <w:highlight w:val="none"/>
          <w:u w:val="single"/>
          <w:lang w:val="en-US" w:eastAsia="zh-CN"/>
        </w:rPr>
        <w:t xml:space="preserve">            </w:t>
      </w:r>
      <w:r>
        <w:rPr>
          <w:rFonts w:hint="eastAsia" w:hAnsi="宋体" w:cs="宋体"/>
          <w:bCs/>
          <w:szCs w:val="24"/>
          <w:highlight w:val="none"/>
        </w:rPr>
        <w:t>（盖单位章）</w:t>
      </w:r>
    </w:p>
    <w:p>
      <w:pPr>
        <w:adjustRightInd w:val="0"/>
        <w:snapToGrid w:val="0"/>
        <w:spacing w:line="360" w:lineRule="auto"/>
        <w:jc w:val="right"/>
        <w:rPr>
          <w:rFonts w:hAnsi="宋体" w:cs="宋体"/>
          <w:szCs w:val="24"/>
          <w:highlight w:val="none"/>
        </w:rPr>
      </w:pPr>
      <w:r>
        <w:rPr>
          <w:rFonts w:hint="eastAsia" w:hAnsi="宋体" w:cs="宋体"/>
          <w:bCs/>
          <w:spacing w:val="360"/>
          <w:kern w:val="0"/>
          <w:szCs w:val="24"/>
          <w:highlight w:val="none"/>
          <w:fitText w:val="1200" w:id="410723403"/>
        </w:rPr>
        <w:t>日</w:t>
      </w:r>
      <w:r>
        <w:rPr>
          <w:rFonts w:hint="eastAsia" w:hAnsi="宋体" w:cs="宋体"/>
          <w:bCs/>
          <w:spacing w:val="0"/>
          <w:kern w:val="0"/>
          <w:szCs w:val="24"/>
          <w:highlight w:val="none"/>
          <w:fitText w:val="1200" w:id="410723403"/>
        </w:rPr>
        <w:t>期</w:t>
      </w:r>
      <w:r>
        <w:rPr>
          <w:rFonts w:hint="eastAsia" w:hAnsi="宋体" w:cs="宋体"/>
          <w:szCs w:val="24"/>
          <w:highlight w:val="none"/>
        </w:rPr>
        <w:t>：</w:t>
      </w:r>
      <w:r>
        <w:rPr>
          <w:rFonts w:hint="eastAsia" w:hAnsi="宋体" w:cs="宋体"/>
          <w:szCs w:val="24"/>
          <w:highlight w:val="none"/>
          <w:u w:val="single"/>
          <w:lang w:val="en-US" w:eastAsia="zh-CN"/>
        </w:rPr>
        <w:t xml:space="preserve">      </w:t>
      </w:r>
      <w:r>
        <w:rPr>
          <w:rFonts w:hint="eastAsia" w:hAnsi="宋体" w:cs="宋体"/>
          <w:szCs w:val="24"/>
          <w:highlight w:val="none"/>
          <w:u w:val="none"/>
        </w:rPr>
        <w:t>年</w:t>
      </w:r>
      <w:r>
        <w:rPr>
          <w:rFonts w:hint="eastAsia" w:hAnsi="宋体" w:cs="宋体"/>
          <w:szCs w:val="24"/>
          <w:highlight w:val="none"/>
          <w:u w:val="single"/>
          <w:lang w:val="en-US" w:eastAsia="zh-CN"/>
        </w:rPr>
        <w:t xml:space="preserve">      </w:t>
      </w:r>
      <w:r>
        <w:rPr>
          <w:rFonts w:hint="eastAsia" w:hAnsi="宋体" w:cs="宋体"/>
          <w:szCs w:val="24"/>
          <w:highlight w:val="none"/>
        </w:rPr>
        <w:t>月</w:t>
      </w:r>
      <w:r>
        <w:rPr>
          <w:rFonts w:hint="eastAsia" w:hAnsi="宋体" w:cs="宋体"/>
          <w:szCs w:val="24"/>
          <w:highlight w:val="none"/>
          <w:u w:val="single"/>
          <w:lang w:val="en-US" w:eastAsia="zh-CN"/>
        </w:rPr>
        <w:t xml:space="preserve">      </w:t>
      </w:r>
      <w:r>
        <w:rPr>
          <w:rFonts w:hint="eastAsia" w:hAnsi="宋体" w:cs="宋体"/>
          <w:szCs w:val="24"/>
          <w:highlight w:val="none"/>
        </w:rPr>
        <w:t>日</w:t>
      </w:r>
    </w:p>
    <w:p>
      <w:pPr>
        <w:jc w:val="center"/>
        <w:rPr>
          <w:rFonts w:ascii="黑体" w:hAnsi="黑体" w:eastAsia="黑体"/>
          <w:bCs/>
          <w:szCs w:val="24"/>
          <w:highlight w:val="none"/>
        </w:rPr>
      </w:pPr>
    </w:p>
    <w:p>
      <w:pPr>
        <w:spacing w:beforeLines="50" w:afterLines="50" w:line="360" w:lineRule="auto"/>
        <w:jc w:val="center"/>
        <w:rPr>
          <w:bCs/>
          <w:szCs w:val="24"/>
          <w:highlight w:val="none"/>
        </w:rPr>
      </w:pPr>
    </w:p>
    <w:p>
      <w:pPr>
        <w:spacing w:beforeLines="50" w:afterLines="50" w:line="360" w:lineRule="auto"/>
        <w:jc w:val="center"/>
        <w:outlineLvl w:val="0"/>
        <w:rPr>
          <w:bCs/>
          <w:szCs w:val="24"/>
          <w:highlight w:val="none"/>
        </w:rPr>
      </w:pPr>
      <w:r>
        <w:rPr>
          <w:rFonts w:hint="eastAsia"/>
          <w:bCs/>
          <w:szCs w:val="24"/>
          <w:highlight w:val="none"/>
        </w:rPr>
        <w:br w:type="page"/>
      </w:r>
      <w:bookmarkStart w:id="1028" w:name="_Toc140069458"/>
      <w:bookmarkStart w:id="1029" w:name="_Toc20943"/>
      <w:r>
        <w:rPr>
          <w:rFonts w:hint="eastAsia"/>
          <w:bCs/>
          <w:szCs w:val="24"/>
          <w:highlight w:val="none"/>
        </w:rPr>
        <w:t>投标人业绩信息表（详细评审）</w:t>
      </w:r>
      <w:bookmarkEnd w:id="1028"/>
      <w:bookmarkEnd w:id="1029"/>
    </w:p>
    <w:tbl>
      <w:tblPr>
        <w:tblStyle w:val="52"/>
        <w:tblW w:w="5019"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6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货物名称</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规格和型号</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项目名称</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买方名称</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买方联系人及电话</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合同价格</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项目概况及履约情况</w:t>
            </w:r>
          </w:p>
        </w:tc>
        <w:tc>
          <w:tcPr>
            <w:tcW w:w="6274" w:type="dxa"/>
            <w:vAlign w:val="center"/>
          </w:tcPr>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备注</w:t>
            </w:r>
          </w:p>
        </w:tc>
        <w:tc>
          <w:tcPr>
            <w:tcW w:w="6274" w:type="dxa"/>
            <w:vAlign w:val="center"/>
          </w:tcPr>
          <w:p>
            <w:pPr>
              <w:topLinePunct/>
              <w:spacing w:line="360" w:lineRule="auto"/>
              <w:jc w:val="center"/>
              <w:rPr>
                <w:rFonts w:hAnsi="宋体" w:cs="宋体"/>
                <w:highlight w:val="none"/>
              </w:rPr>
            </w:pPr>
            <w:r>
              <w:rPr>
                <w:rFonts w:hint="eastAsia" w:ascii="Times New Roman"/>
                <w:szCs w:val="24"/>
                <w:highlight w:val="none"/>
              </w:rPr>
              <w:t>商务文件详细评审业绩</w:t>
            </w:r>
          </w:p>
        </w:tc>
      </w:tr>
    </w:tbl>
    <w:p>
      <w:pPr>
        <w:autoSpaceDE w:val="0"/>
        <w:autoSpaceDN w:val="0"/>
        <w:adjustRightInd w:val="0"/>
        <w:spacing w:line="300" w:lineRule="exact"/>
        <w:jc w:val="left"/>
        <w:rPr>
          <w:rFonts w:ascii="Times New Roman" w:cs="宋体"/>
          <w:szCs w:val="24"/>
          <w:highlight w:val="none"/>
        </w:rPr>
      </w:pPr>
      <w:r>
        <w:rPr>
          <w:rFonts w:hint="eastAsia" w:ascii="Times New Roman" w:cs="宋体"/>
          <w:szCs w:val="24"/>
          <w:highlight w:val="none"/>
        </w:rPr>
        <w:t>注：投标人应根据招标文件要求在本表后附相关证明材料。</w:t>
      </w:r>
    </w:p>
    <w:p>
      <w:pPr>
        <w:spacing w:line="440" w:lineRule="exact"/>
        <w:ind w:firstLine="2467" w:firstLineChars="1028"/>
        <w:rPr>
          <w:rFonts w:ascii="Times New Roman"/>
          <w:szCs w:val="24"/>
          <w:highlight w:val="none"/>
        </w:rPr>
      </w:pPr>
    </w:p>
    <w:p>
      <w:pPr>
        <w:spacing w:beforeLines="50" w:afterLines="50" w:line="360" w:lineRule="auto"/>
        <w:jc w:val="center"/>
        <w:outlineLvl w:val="0"/>
        <w:rPr>
          <w:bCs/>
          <w:szCs w:val="24"/>
          <w:highlight w:val="none"/>
        </w:rPr>
      </w:pPr>
      <w:r>
        <w:rPr>
          <w:rFonts w:hint="eastAsia" w:ascii="Times New Roman"/>
          <w:bCs/>
          <w:szCs w:val="24"/>
          <w:highlight w:val="none"/>
        </w:rPr>
        <w:br w:type="page"/>
      </w:r>
      <w:bookmarkStart w:id="1030" w:name="_Toc2852"/>
      <w:bookmarkStart w:id="1031" w:name="_Toc140069459"/>
      <w:r>
        <w:rPr>
          <w:rFonts w:hint="eastAsia" w:ascii="Times New Roman"/>
          <w:bCs/>
          <w:szCs w:val="24"/>
          <w:highlight w:val="none"/>
        </w:rPr>
        <w:t>（二）</w:t>
      </w:r>
      <w:bookmarkEnd w:id="1030"/>
      <w:bookmarkStart w:id="1032" w:name="_Toc7173"/>
      <w:r>
        <w:rPr>
          <w:rFonts w:hint="eastAsia"/>
          <w:bCs/>
          <w:szCs w:val="24"/>
          <w:highlight w:val="none"/>
        </w:rPr>
        <w:t>项目负责人业绩情况表（详细评审）</w:t>
      </w:r>
      <w:bookmarkEnd w:id="1031"/>
    </w:p>
    <w:tbl>
      <w:tblPr>
        <w:tblStyle w:val="5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3"/>
        <w:gridCol w:w="5627"/>
        <w:gridCol w:w="1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vAlign w:val="center"/>
          </w:tcPr>
          <w:p>
            <w:pPr>
              <w:jc w:val="center"/>
              <w:rPr>
                <w:rFonts w:ascii="Times New Roman"/>
                <w:highlight w:val="none"/>
              </w:rPr>
            </w:pPr>
            <w:r>
              <w:rPr>
                <w:rFonts w:hint="eastAsia" w:ascii="Times New Roman"/>
                <w:highlight w:val="none"/>
              </w:rPr>
              <w:t>业绩序号</w:t>
            </w:r>
          </w:p>
        </w:tc>
        <w:tc>
          <w:tcPr>
            <w:tcW w:w="3304" w:type="pct"/>
            <w:vAlign w:val="center"/>
          </w:tcPr>
          <w:p>
            <w:pPr>
              <w:jc w:val="center"/>
              <w:rPr>
                <w:rFonts w:ascii="Times New Roman"/>
                <w:highlight w:val="none"/>
              </w:rPr>
            </w:pPr>
            <w:r>
              <w:rPr>
                <w:rFonts w:hint="eastAsia" w:ascii="Times New Roman"/>
                <w:highlight w:val="none"/>
              </w:rPr>
              <w:t>项目</w:t>
            </w:r>
            <w:r>
              <w:rPr>
                <w:rFonts w:ascii="Times New Roman"/>
                <w:highlight w:val="none"/>
              </w:rPr>
              <w:t>名称</w:t>
            </w:r>
            <w:r>
              <w:rPr>
                <w:rFonts w:hint="eastAsia" w:ascii="Times New Roman"/>
                <w:highlight w:val="none"/>
              </w:rPr>
              <w:t>（合同名称）</w:t>
            </w:r>
          </w:p>
        </w:tc>
        <w:tc>
          <w:tcPr>
            <w:tcW w:w="777" w:type="pct"/>
            <w:vAlign w:val="center"/>
          </w:tcPr>
          <w:p>
            <w:pPr>
              <w:jc w:val="center"/>
              <w:rPr>
                <w:rFonts w:ascii="Times New Roman"/>
                <w:highlight w:val="none"/>
              </w:rPr>
            </w:pPr>
            <w:r>
              <w:rPr>
                <w:rFonts w:hint="eastAsia" w:ascii="Times New Roman"/>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vAlign w:val="center"/>
          </w:tcPr>
          <w:p>
            <w:pPr>
              <w:jc w:val="center"/>
              <w:rPr>
                <w:rFonts w:ascii="Times New Roman"/>
                <w:highlight w:val="none"/>
              </w:rPr>
            </w:pPr>
            <w:r>
              <w:rPr>
                <w:rFonts w:hint="eastAsia" w:ascii="Times New Roman"/>
                <w:highlight w:val="none"/>
              </w:rPr>
              <w:t>1</w:t>
            </w:r>
          </w:p>
        </w:tc>
        <w:tc>
          <w:tcPr>
            <w:tcW w:w="3304" w:type="pct"/>
            <w:vAlign w:val="center"/>
          </w:tcPr>
          <w:p>
            <w:pPr>
              <w:jc w:val="center"/>
              <w:rPr>
                <w:rFonts w:ascii="Times New Roman"/>
                <w:highlight w:val="none"/>
              </w:rPr>
            </w:pPr>
          </w:p>
        </w:tc>
        <w:tc>
          <w:tcPr>
            <w:tcW w:w="777" w:type="pct"/>
            <w:vAlign w:val="center"/>
          </w:tcPr>
          <w:p>
            <w:pPr>
              <w:jc w:val="center"/>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vAlign w:val="center"/>
          </w:tcPr>
          <w:p>
            <w:pPr>
              <w:jc w:val="center"/>
              <w:rPr>
                <w:rFonts w:ascii="Times New Roman"/>
                <w:highlight w:val="none"/>
              </w:rPr>
            </w:pPr>
            <w:r>
              <w:rPr>
                <w:rFonts w:ascii="Times New Roman"/>
                <w:highlight w:val="none"/>
              </w:rPr>
              <w:t>2</w:t>
            </w:r>
          </w:p>
        </w:tc>
        <w:tc>
          <w:tcPr>
            <w:tcW w:w="3304" w:type="pct"/>
            <w:vAlign w:val="center"/>
          </w:tcPr>
          <w:p>
            <w:pPr>
              <w:jc w:val="center"/>
              <w:rPr>
                <w:rFonts w:ascii="Times New Roman"/>
                <w:highlight w:val="none"/>
              </w:rPr>
            </w:pPr>
          </w:p>
        </w:tc>
        <w:tc>
          <w:tcPr>
            <w:tcW w:w="777" w:type="pct"/>
            <w:vAlign w:val="center"/>
          </w:tcPr>
          <w:p>
            <w:pPr>
              <w:jc w:val="center"/>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vAlign w:val="center"/>
          </w:tcPr>
          <w:p>
            <w:pPr>
              <w:jc w:val="center"/>
              <w:rPr>
                <w:rFonts w:ascii="Times New Roman"/>
                <w:highlight w:val="none"/>
              </w:rPr>
            </w:pPr>
            <w:r>
              <w:rPr>
                <w:rFonts w:hint="eastAsia" w:ascii="Times New Roman"/>
                <w:highlight w:val="none"/>
              </w:rPr>
              <w:t>……</w:t>
            </w:r>
          </w:p>
        </w:tc>
        <w:tc>
          <w:tcPr>
            <w:tcW w:w="3304" w:type="pct"/>
            <w:vAlign w:val="center"/>
          </w:tcPr>
          <w:p>
            <w:pPr>
              <w:jc w:val="center"/>
              <w:rPr>
                <w:rFonts w:ascii="Times New Roman"/>
                <w:highlight w:val="none"/>
              </w:rPr>
            </w:pPr>
          </w:p>
        </w:tc>
        <w:tc>
          <w:tcPr>
            <w:tcW w:w="777" w:type="pct"/>
            <w:vAlign w:val="center"/>
          </w:tcPr>
          <w:p>
            <w:pPr>
              <w:jc w:val="center"/>
              <w:rPr>
                <w:rFonts w:ascii="Times New Roman"/>
                <w:highlight w:val="none"/>
              </w:rPr>
            </w:pPr>
          </w:p>
        </w:tc>
      </w:tr>
    </w:tbl>
    <w:p>
      <w:pPr>
        <w:spacing w:line="360" w:lineRule="auto"/>
        <w:ind w:firstLine="480" w:firstLineChars="200"/>
        <w:rPr>
          <w:highlight w:val="none"/>
        </w:rPr>
      </w:pPr>
      <w:r>
        <w:rPr>
          <w:rFonts w:hint="eastAsia"/>
          <w:highlight w:val="none"/>
        </w:rPr>
        <w:t>注：</w:t>
      </w:r>
    </w:p>
    <w:p>
      <w:pPr>
        <w:spacing w:line="360" w:lineRule="auto"/>
        <w:ind w:firstLine="480" w:firstLineChars="200"/>
        <w:rPr>
          <w:highlight w:val="none"/>
        </w:rPr>
      </w:pPr>
      <w:r>
        <w:rPr>
          <w:rFonts w:hint="eastAsia"/>
          <w:highlight w:val="none"/>
        </w:rPr>
        <w:t>1.投标人应将用于商务文件详细评审的项目负责人业绩在上表中列明，按照列明</w:t>
      </w:r>
      <w:r>
        <w:rPr>
          <w:highlight w:val="none"/>
        </w:rPr>
        <w:t>的</w:t>
      </w:r>
      <w:r>
        <w:rPr>
          <w:rFonts w:hint="eastAsia"/>
          <w:highlight w:val="none"/>
        </w:rPr>
        <w:t>业绩序号先后</w:t>
      </w:r>
      <w:r>
        <w:rPr>
          <w:highlight w:val="none"/>
        </w:rPr>
        <w:t>顺序</w:t>
      </w:r>
      <w:r>
        <w:rPr>
          <w:rFonts w:hint="eastAsia"/>
          <w:highlight w:val="none"/>
        </w:rPr>
        <w:t>依次填写“项目负责人</w:t>
      </w:r>
      <w:r>
        <w:rPr>
          <w:highlight w:val="none"/>
        </w:rPr>
        <w:t>业绩</w:t>
      </w:r>
      <w:r>
        <w:rPr>
          <w:rFonts w:hint="eastAsia"/>
          <w:highlight w:val="none"/>
        </w:rPr>
        <w:t>信息</w:t>
      </w:r>
      <w:r>
        <w:rPr>
          <w:highlight w:val="none"/>
        </w:rPr>
        <w:t>表</w:t>
      </w:r>
      <w:r>
        <w:rPr>
          <w:rFonts w:hint="eastAsia"/>
          <w:highlight w:val="none"/>
        </w:rPr>
        <w:t>（详细评审）”，并附相应业绩证明材料。</w:t>
      </w:r>
    </w:p>
    <w:p>
      <w:pPr>
        <w:spacing w:line="360" w:lineRule="auto"/>
        <w:ind w:firstLine="480" w:firstLineChars="200"/>
        <w:rPr>
          <w:highlight w:val="none"/>
        </w:rPr>
      </w:pPr>
      <w:r>
        <w:rPr>
          <w:rFonts w:hint="eastAsia"/>
          <w:highlight w:val="none"/>
        </w:rPr>
        <w:t>2.评标</w:t>
      </w:r>
      <w:r>
        <w:rPr>
          <w:highlight w:val="none"/>
        </w:rPr>
        <w:t>委员会应当按照上表</w:t>
      </w:r>
      <w:r>
        <w:rPr>
          <w:rFonts w:hint="eastAsia"/>
          <w:highlight w:val="none"/>
        </w:rPr>
        <w:t>列明</w:t>
      </w:r>
      <w:r>
        <w:rPr>
          <w:highlight w:val="none"/>
        </w:rPr>
        <w:t>的</w:t>
      </w:r>
      <w:r>
        <w:rPr>
          <w:rFonts w:hint="eastAsia"/>
          <w:highlight w:val="none"/>
        </w:rPr>
        <w:t>业绩序号先后</w:t>
      </w:r>
      <w:r>
        <w:rPr>
          <w:highlight w:val="none"/>
        </w:rPr>
        <w:t>顺序</w:t>
      </w:r>
      <w:r>
        <w:rPr>
          <w:rFonts w:hint="eastAsia"/>
          <w:highlight w:val="none"/>
        </w:rPr>
        <w:t>依次</w:t>
      </w:r>
      <w:r>
        <w:rPr>
          <w:highlight w:val="none"/>
        </w:rPr>
        <w:t>进行评审，</w:t>
      </w:r>
      <w:r>
        <w:rPr>
          <w:rFonts w:hint="eastAsia"/>
          <w:highlight w:val="none"/>
        </w:rPr>
        <w:t>且仅评审评审标准规定数量的业绩，超出规定数量部分或未在上表列明的业绩均不作为</w:t>
      </w:r>
      <w:r>
        <w:rPr>
          <w:rFonts w:hint="eastAsia" w:ascii="Times New Roman"/>
          <w:highlight w:val="none"/>
        </w:rPr>
        <w:t>商务文件详细评审项目负责人业绩</w:t>
      </w:r>
      <w:r>
        <w:rPr>
          <w:rFonts w:hint="eastAsia"/>
          <w:highlight w:val="none"/>
        </w:rPr>
        <w:t>予以评审。</w:t>
      </w:r>
    </w:p>
    <w:p>
      <w:pPr>
        <w:tabs>
          <w:tab w:val="left" w:pos="8422"/>
          <w:tab w:val="left" w:pos="9622"/>
        </w:tabs>
        <w:spacing w:line="360" w:lineRule="auto"/>
        <w:ind w:left="4800" w:leftChars="2000" w:right="120" w:rightChars="50"/>
        <w:jc w:val="left"/>
        <w:rPr>
          <w:highlight w:val="none"/>
        </w:rPr>
      </w:pPr>
    </w:p>
    <w:p>
      <w:pPr>
        <w:adjustRightInd w:val="0"/>
        <w:snapToGrid w:val="0"/>
        <w:spacing w:line="360" w:lineRule="auto"/>
        <w:jc w:val="right"/>
        <w:rPr>
          <w:rFonts w:hAnsi="宋体" w:cs="宋体"/>
          <w:bCs/>
          <w:szCs w:val="24"/>
          <w:highlight w:val="none"/>
          <w:u w:val="single"/>
        </w:rPr>
      </w:pPr>
      <w:r>
        <w:rPr>
          <w:rFonts w:hint="eastAsia" w:hAnsi="宋体" w:cs="宋体"/>
          <w:bCs/>
          <w:spacing w:val="120"/>
          <w:kern w:val="0"/>
          <w:szCs w:val="24"/>
          <w:highlight w:val="none"/>
          <w:fitText w:val="1200" w:id="148585789"/>
        </w:rPr>
        <w:t>投标</w:t>
      </w:r>
      <w:r>
        <w:rPr>
          <w:rFonts w:hint="eastAsia" w:hAnsi="宋体" w:cs="宋体"/>
          <w:bCs/>
          <w:spacing w:val="0"/>
          <w:kern w:val="0"/>
          <w:szCs w:val="24"/>
          <w:highlight w:val="none"/>
          <w:fitText w:val="1200" w:id="148585789"/>
        </w:rPr>
        <w:t>人</w:t>
      </w:r>
      <w:r>
        <w:rPr>
          <w:rFonts w:hint="eastAsia" w:hAnsi="宋体" w:cs="宋体"/>
          <w:bCs/>
          <w:szCs w:val="24"/>
          <w:highlight w:val="none"/>
        </w:rPr>
        <w:t>：</w:t>
      </w:r>
      <w:r>
        <w:rPr>
          <w:rFonts w:hint="eastAsia" w:hAnsi="宋体" w:cs="宋体"/>
          <w:bCs/>
          <w:szCs w:val="24"/>
          <w:highlight w:val="none"/>
          <w:u w:val="single"/>
          <w:lang w:val="en-US" w:eastAsia="zh-CN"/>
        </w:rPr>
        <w:t xml:space="preserve">            </w:t>
      </w:r>
      <w:r>
        <w:rPr>
          <w:rFonts w:hint="eastAsia" w:hAnsi="宋体" w:cs="宋体"/>
          <w:bCs/>
          <w:szCs w:val="24"/>
          <w:highlight w:val="none"/>
        </w:rPr>
        <w:t>（盖单位章）</w:t>
      </w:r>
    </w:p>
    <w:p>
      <w:pPr>
        <w:adjustRightInd w:val="0"/>
        <w:snapToGrid w:val="0"/>
        <w:spacing w:line="360" w:lineRule="auto"/>
        <w:jc w:val="right"/>
        <w:rPr>
          <w:rFonts w:hAnsi="宋体" w:cs="宋体"/>
          <w:szCs w:val="24"/>
          <w:highlight w:val="none"/>
        </w:rPr>
      </w:pPr>
      <w:r>
        <w:rPr>
          <w:rFonts w:hint="eastAsia" w:hAnsi="宋体" w:cs="宋体"/>
          <w:bCs/>
          <w:spacing w:val="360"/>
          <w:kern w:val="0"/>
          <w:szCs w:val="24"/>
          <w:highlight w:val="none"/>
          <w:fitText w:val="1200" w:id="593562235"/>
        </w:rPr>
        <w:t>日</w:t>
      </w:r>
      <w:r>
        <w:rPr>
          <w:rFonts w:hint="eastAsia" w:hAnsi="宋体" w:cs="宋体"/>
          <w:bCs/>
          <w:spacing w:val="0"/>
          <w:kern w:val="0"/>
          <w:szCs w:val="24"/>
          <w:highlight w:val="none"/>
          <w:fitText w:val="1200" w:id="593562235"/>
        </w:rPr>
        <w:t>期</w:t>
      </w:r>
      <w:r>
        <w:rPr>
          <w:rFonts w:hint="eastAsia" w:hAnsi="宋体" w:cs="宋体"/>
          <w:szCs w:val="24"/>
          <w:highlight w:val="none"/>
        </w:rPr>
        <w:t>：</w:t>
      </w:r>
      <w:r>
        <w:rPr>
          <w:rFonts w:hint="eastAsia" w:hAnsi="宋体" w:cs="宋体"/>
          <w:szCs w:val="24"/>
          <w:highlight w:val="none"/>
          <w:u w:val="single"/>
          <w:lang w:val="en-US" w:eastAsia="zh-CN"/>
        </w:rPr>
        <w:t xml:space="preserve">      </w:t>
      </w:r>
      <w:r>
        <w:rPr>
          <w:rFonts w:hint="eastAsia" w:hAnsi="宋体" w:cs="宋体"/>
          <w:szCs w:val="24"/>
          <w:highlight w:val="none"/>
          <w:u w:val="none"/>
        </w:rPr>
        <w:t>年</w:t>
      </w:r>
      <w:r>
        <w:rPr>
          <w:rFonts w:hint="eastAsia" w:hAnsi="宋体" w:cs="宋体"/>
          <w:szCs w:val="24"/>
          <w:highlight w:val="none"/>
          <w:u w:val="single"/>
          <w:lang w:val="en-US" w:eastAsia="zh-CN"/>
        </w:rPr>
        <w:t xml:space="preserve">      </w:t>
      </w:r>
      <w:r>
        <w:rPr>
          <w:rFonts w:hint="eastAsia" w:hAnsi="宋体" w:cs="宋体"/>
          <w:szCs w:val="24"/>
          <w:highlight w:val="none"/>
        </w:rPr>
        <w:t>月</w:t>
      </w:r>
      <w:r>
        <w:rPr>
          <w:rFonts w:hint="eastAsia" w:hAnsi="宋体" w:cs="宋体"/>
          <w:szCs w:val="24"/>
          <w:highlight w:val="none"/>
          <w:u w:val="single"/>
          <w:lang w:val="en-US" w:eastAsia="zh-CN"/>
        </w:rPr>
        <w:t xml:space="preserve">      </w:t>
      </w:r>
      <w:r>
        <w:rPr>
          <w:rFonts w:hint="eastAsia" w:hAnsi="宋体" w:cs="宋体"/>
          <w:szCs w:val="24"/>
          <w:highlight w:val="none"/>
        </w:rPr>
        <w:t>日</w:t>
      </w:r>
    </w:p>
    <w:p>
      <w:pPr>
        <w:jc w:val="center"/>
        <w:rPr>
          <w:bCs/>
          <w:szCs w:val="24"/>
          <w:highlight w:val="none"/>
        </w:rPr>
      </w:pPr>
    </w:p>
    <w:p>
      <w:pPr>
        <w:spacing w:beforeLines="50" w:afterLines="50" w:line="360" w:lineRule="auto"/>
        <w:jc w:val="center"/>
        <w:outlineLvl w:val="0"/>
        <w:rPr>
          <w:rFonts w:ascii="Times New Roman"/>
          <w:bCs/>
          <w:szCs w:val="24"/>
          <w:highlight w:val="none"/>
        </w:rPr>
      </w:pPr>
      <w:r>
        <w:rPr>
          <w:rFonts w:hint="eastAsia" w:ascii="Times New Roman"/>
          <w:bCs/>
          <w:szCs w:val="24"/>
          <w:highlight w:val="none"/>
        </w:rPr>
        <w:br w:type="page"/>
      </w:r>
      <w:bookmarkStart w:id="1033" w:name="_Toc140069460"/>
      <w:r>
        <w:rPr>
          <w:rFonts w:hint="eastAsia" w:ascii="Times New Roman"/>
          <w:bCs/>
          <w:szCs w:val="24"/>
          <w:highlight w:val="none"/>
        </w:rPr>
        <w:t>项目负责人业绩信息表（详细评审）</w:t>
      </w:r>
      <w:bookmarkEnd w:id="1033"/>
    </w:p>
    <w:tbl>
      <w:tblPr>
        <w:tblStyle w:val="5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货物名称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规格和型号</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买方联系人及电话</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合同价格</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合同项目负责人</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项目概况及履约情况</w:t>
            </w:r>
          </w:p>
        </w:tc>
        <w:tc>
          <w:tcPr>
            <w:tcW w:w="6253" w:type="dxa"/>
            <w:vAlign w:val="center"/>
          </w:tcPr>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备注</w:t>
            </w:r>
          </w:p>
        </w:tc>
        <w:tc>
          <w:tcPr>
            <w:tcW w:w="6253" w:type="dxa"/>
            <w:vAlign w:val="center"/>
          </w:tcPr>
          <w:p>
            <w:pPr>
              <w:topLinePunct/>
              <w:spacing w:line="360" w:lineRule="auto"/>
              <w:jc w:val="center"/>
              <w:rPr>
                <w:rFonts w:hAnsi="宋体" w:cs="宋体"/>
                <w:highlight w:val="none"/>
              </w:rPr>
            </w:pPr>
            <w:r>
              <w:rPr>
                <w:rFonts w:hint="eastAsia" w:ascii="Times New Roman"/>
                <w:szCs w:val="24"/>
                <w:highlight w:val="none"/>
              </w:rPr>
              <w:t>商务文件详细评审业绩</w:t>
            </w:r>
          </w:p>
        </w:tc>
      </w:tr>
    </w:tbl>
    <w:p>
      <w:pPr>
        <w:autoSpaceDE w:val="0"/>
        <w:autoSpaceDN w:val="0"/>
        <w:adjustRightInd w:val="0"/>
        <w:spacing w:line="300" w:lineRule="exact"/>
        <w:jc w:val="left"/>
        <w:rPr>
          <w:rFonts w:ascii="Times New Roman" w:cs="宋体"/>
          <w:szCs w:val="24"/>
          <w:highlight w:val="none"/>
        </w:rPr>
      </w:pPr>
      <w:r>
        <w:rPr>
          <w:rFonts w:hint="eastAsia" w:ascii="Times New Roman" w:cs="宋体"/>
          <w:szCs w:val="24"/>
          <w:highlight w:val="none"/>
        </w:rPr>
        <w:t>注：投标人应根据招标文件要求在本表后附相关证明材料。</w:t>
      </w:r>
    </w:p>
    <w:p>
      <w:pPr>
        <w:jc w:val="center"/>
        <w:rPr>
          <w:sz w:val="28"/>
          <w:szCs w:val="28"/>
          <w:highlight w:val="none"/>
        </w:rPr>
      </w:pPr>
    </w:p>
    <w:p>
      <w:pPr>
        <w:spacing w:beforeLines="50" w:afterLines="50" w:line="360" w:lineRule="auto"/>
        <w:jc w:val="center"/>
        <w:outlineLvl w:val="3"/>
        <w:rPr>
          <w:rFonts w:ascii="Times New Roman"/>
          <w:bCs/>
          <w:szCs w:val="24"/>
          <w:highlight w:val="none"/>
        </w:rPr>
      </w:pPr>
      <w:r>
        <w:rPr>
          <w:rFonts w:hint="eastAsia" w:ascii="Times New Roman"/>
          <w:bCs/>
          <w:szCs w:val="24"/>
          <w:highlight w:val="none"/>
        </w:rPr>
        <w:br w:type="page"/>
      </w:r>
      <w:r>
        <w:rPr>
          <w:rFonts w:hint="eastAsia" w:ascii="Times New Roman"/>
          <w:bCs/>
          <w:szCs w:val="24"/>
          <w:highlight w:val="none"/>
        </w:rPr>
        <w:t>（三）其他</w:t>
      </w:r>
      <w:bookmarkEnd w:id="1032"/>
    </w:p>
    <w:p>
      <w:pPr>
        <w:rPr>
          <w:highlight w:val="none"/>
        </w:rPr>
      </w:pPr>
      <w:r>
        <w:rPr>
          <w:rFonts w:ascii="Times New Roman"/>
          <w:szCs w:val="22"/>
          <w:highlight w:val="none"/>
        </w:rPr>
        <w:br w:type="page"/>
      </w:r>
      <w:bookmarkStart w:id="1034" w:name="_Toc390411629"/>
      <w:bookmarkStart w:id="1035" w:name="_Toc460227118"/>
      <w:bookmarkStart w:id="1036" w:name="_Toc460660233"/>
      <w:bookmarkStart w:id="1037" w:name="_Toc421917010"/>
    </w:p>
    <w:p>
      <w:pPr>
        <w:pStyle w:val="2"/>
        <w:jc w:val="center"/>
        <w:rPr>
          <w:bCs w:val="0"/>
          <w:highlight w:val="none"/>
        </w:rPr>
      </w:pPr>
      <w:bookmarkStart w:id="1038" w:name="_Toc13623"/>
      <w:bookmarkStart w:id="1039" w:name="_Toc117001997"/>
      <w:bookmarkStart w:id="1040" w:name="_Toc1866"/>
      <w:r>
        <w:rPr>
          <w:rFonts w:hint="eastAsia"/>
          <w:bCs w:val="0"/>
          <w:highlight w:val="none"/>
        </w:rPr>
        <w:t>八、诚信投标承诺书</w:t>
      </w:r>
      <w:bookmarkEnd w:id="1038"/>
      <w:bookmarkEnd w:id="1039"/>
      <w:bookmarkEnd w:id="1040"/>
    </w:p>
    <w:p>
      <w:pPr>
        <w:spacing w:line="360" w:lineRule="auto"/>
        <w:rPr>
          <w:rFonts w:ascii="Times New Roman" w:cs="宋体"/>
          <w:szCs w:val="24"/>
          <w:highlight w:val="none"/>
        </w:rPr>
      </w:pPr>
      <w:r>
        <w:rPr>
          <w:rFonts w:hint="eastAsia" w:ascii="Times New Roman" w:cs="宋体"/>
          <w:bCs/>
          <w:szCs w:val="24"/>
          <w:highlight w:val="none"/>
          <w:u w:val="single"/>
        </w:rPr>
        <w:t>致：（招标人）</w:t>
      </w:r>
    </w:p>
    <w:p>
      <w:pPr>
        <w:spacing w:beforeLines="100" w:line="360" w:lineRule="auto"/>
        <w:rPr>
          <w:rFonts w:ascii="Times New Roman" w:cs="宋体"/>
          <w:szCs w:val="24"/>
          <w:highlight w:val="none"/>
        </w:rPr>
      </w:pPr>
      <w:r>
        <w:rPr>
          <w:rFonts w:hint="eastAsia" w:ascii="Times New Roman" w:cs="宋体"/>
          <w:szCs w:val="24"/>
          <w:highlight w:val="none"/>
        </w:rPr>
        <w:t>我公司郑重承诺：</w:t>
      </w:r>
    </w:p>
    <w:p>
      <w:pPr>
        <w:spacing w:beforeLines="100" w:line="360" w:lineRule="auto"/>
        <w:ind w:firstLine="480" w:firstLineChars="200"/>
        <w:rPr>
          <w:rFonts w:ascii="Times New Roman" w:cs="宋体"/>
          <w:szCs w:val="24"/>
          <w:highlight w:val="none"/>
        </w:rPr>
      </w:pPr>
      <w:r>
        <w:rPr>
          <w:rFonts w:hint="eastAsia" w:ascii="Times New Roman" w:cs="宋体"/>
          <w:szCs w:val="24"/>
          <w:highlight w:val="none"/>
        </w:rPr>
        <w:t>1.遵循公开、公正和诚实信用的原则自愿参加</w:t>
      </w:r>
      <w:r>
        <w:rPr>
          <w:rFonts w:hint="eastAsia" w:ascii="Times New Roman" w:cs="宋体"/>
          <w:color w:val="auto"/>
          <w:sz w:val="24"/>
          <w:szCs w:val="24"/>
          <w:highlight w:val="none"/>
          <w:u w:val="single"/>
        </w:rPr>
        <w:t>（招标项目名称）</w:t>
      </w:r>
      <w:r>
        <w:rPr>
          <w:rFonts w:hint="eastAsia" w:ascii="Times New Roman" w:cs="宋体"/>
          <w:color w:val="auto"/>
          <w:sz w:val="24"/>
          <w:szCs w:val="24"/>
          <w:highlight w:val="none"/>
        </w:rPr>
        <w:t xml:space="preserve"> </w:t>
      </w:r>
      <w:r>
        <w:rPr>
          <w:rFonts w:hint="eastAsia" w:ascii="Times New Roman" w:cs="宋体"/>
          <w:color w:val="auto"/>
          <w:sz w:val="24"/>
          <w:szCs w:val="24"/>
          <w:highlight w:val="none"/>
          <w:u w:val="single"/>
        </w:rPr>
        <w:t xml:space="preserve">      </w:t>
      </w:r>
      <w:r>
        <w:rPr>
          <w:rFonts w:hint="eastAsia" w:ascii="Times New Roman" w:cs="宋体"/>
          <w:color w:val="auto"/>
          <w:sz w:val="24"/>
          <w:szCs w:val="24"/>
          <w:highlight w:val="none"/>
          <w:u w:val="none"/>
        </w:rPr>
        <w:t>标</w:t>
      </w:r>
      <w:r>
        <w:rPr>
          <w:rFonts w:hint="eastAsia" w:ascii="Times New Roman" w:cs="宋体"/>
          <w:szCs w:val="24"/>
          <w:highlight w:val="none"/>
        </w:rPr>
        <w:t>段的投标。</w:t>
      </w:r>
    </w:p>
    <w:p>
      <w:pPr>
        <w:spacing w:line="360" w:lineRule="auto"/>
        <w:ind w:firstLine="480" w:firstLineChars="200"/>
        <w:rPr>
          <w:rFonts w:ascii="Times New Roman" w:cs="宋体"/>
          <w:szCs w:val="24"/>
          <w:highlight w:val="none"/>
        </w:rPr>
      </w:pPr>
      <w:r>
        <w:rPr>
          <w:rFonts w:hint="eastAsia" w:ascii="Times New Roman" w:cs="宋体"/>
          <w:szCs w:val="24"/>
          <w:highlight w:val="none"/>
        </w:rPr>
        <w:t>2.本次投标提供的资质证书、业绩及奖项等一切材料均真实、有效、合法。否则，我公司愿意接受招标人、公共资源交易监督管理部门作出的相关处理、处罚。</w:t>
      </w:r>
    </w:p>
    <w:p>
      <w:pPr>
        <w:spacing w:line="360" w:lineRule="auto"/>
        <w:ind w:firstLine="480" w:firstLineChars="200"/>
        <w:rPr>
          <w:rFonts w:ascii="Times New Roman" w:cs="宋体"/>
          <w:szCs w:val="24"/>
          <w:highlight w:val="none"/>
        </w:rPr>
      </w:pPr>
      <w:r>
        <w:rPr>
          <w:rFonts w:hint="eastAsia" w:ascii="Times New Roman" w:cs="宋体"/>
          <w:szCs w:val="24"/>
          <w:highlight w:val="none"/>
        </w:rPr>
        <w:t>3.本次投标为我公司自行投标，未出借、转让资质证书，未让他人挂靠投标。</w:t>
      </w:r>
    </w:p>
    <w:p>
      <w:pPr>
        <w:spacing w:line="360" w:lineRule="auto"/>
        <w:ind w:firstLine="480" w:firstLineChars="200"/>
        <w:rPr>
          <w:rFonts w:ascii="Times New Roman" w:cs="宋体"/>
          <w:szCs w:val="24"/>
          <w:highlight w:val="none"/>
        </w:rPr>
      </w:pPr>
      <w:r>
        <w:rPr>
          <w:rFonts w:hint="eastAsia" w:ascii="Times New Roman" w:cs="宋体"/>
          <w:szCs w:val="24"/>
          <w:highlight w:val="none"/>
        </w:rPr>
        <w:t>4.未与其他投标人相互串通投标报价，未排挤其他投标人的公平竞争、损害招标人的合法权益。</w:t>
      </w:r>
    </w:p>
    <w:p>
      <w:pPr>
        <w:spacing w:line="360" w:lineRule="auto"/>
        <w:ind w:firstLine="480" w:firstLineChars="200"/>
        <w:rPr>
          <w:rFonts w:ascii="Times New Roman" w:cs="宋体"/>
          <w:szCs w:val="24"/>
          <w:highlight w:val="none"/>
        </w:rPr>
      </w:pPr>
      <w:r>
        <w:rPr>
          <w:rFonts w:hint="eastAsia" w:ascii="Times New Roman" w:cs="宋体"/>
          <w:szCs w:val="24"/>
          <w:highlight w:val="none"/>
        </w:rPr>
        <w:t>5.未与招标人、招标代理机构或其他投标人串通投标，损害国家利益、社会公共利益或者他人的合法权益。</w:t>
      </w:r>
    </w:p>
    <w:p>
      <w:pPr>
        <w:spacing w:line="360" w:lineRule="auto"/>
        <w:ind w:firstLine="480" w:firstLineChars="200"/>
        <w:rPr>
          <w:rFonts w:ascii="Times New Roman" w:cs="宋体"/>
          <w:szCs w:val="24"/>
          <w:highlight w:val="none"/>
        </w:rPr>
      </w:pPr>
      <w:r>
        <w:rPr>
          <w:rFonts w:hint="eastAsia" w:ascii="Times New Roman" w:cs="宋体"/>
          <w:szCs w:val="24"/>
          <w:highlight w:val="none"/>
        </w:rPr>
        <w:t>6.中标后按照合同约定履行义务，完成中标项目；不向他人转让中标项目，不将中标项目肢解后分别向他人转让；不违法分包。</w:t>
      </w:r>
    </w:p>
    <w:p>
      <w:pPr>
        <w:spacing w:line="360" w:lineRule="auto"/>
        <w:ind w:firstLine="480" w:firstLineChars="200"/>
        <w:rPr>
          <w:rFonts w:ascii="Times New Roman" w:cs="宋体"/>
          <w:szCs w:val="24"/>
          <w:highlight w:val="none"/>
        </w:rPr>
      </w:pPr>
      <w:r>
        <w:rPr>
          <w:rFonts w:hint="eastAsia" w:ascii="Times New Roman" w:cs="宋体"/>
          <w:szCs w:val="24"/>
          <w:highlight w:val="none"/>
        </w:rPr>
        <w:t>7.如提出异议（投诉），对提供的异议（投诉）材料的真实性负责，不恶意异议（投诉）；不捏造事实、提供虚假材料或者以非法手段取得证明材料进行异议（投诉），影响交易活动正常进行；否则，我公司愿意接受公共资源交易监督管理部门作出的相关处理、处罚。</w:t>
      </w:r>
    </w:p>
    <w:p>
      <w:pPr>
        <w:spacing w:line="360" w:lineRule="auto"/>
        <w:ind w:firstLine="480" w:firstLineChars="200"/>
        <w:rPr>
          <w:rFonts w:ascii="Times New Roman" w:cs="宋体"/>
          <w:szCs w:val="24"/>
          <w:highlight w:val="none"/>
        </w:rPr>
      </w:pPr>
      <w:r>
        <w:rPr>
          <w:rFonts w:hint="eastAsia" w:ascii="Times New Roman" w:cs="宋体"/>
          <w:szCs w:val="24"/>
          <w:highlight w:val="none"/>
        </w:rPr>
        <w:t>8.本次投标不存在第二章“投标人须知”第1.4.3项、第1.4.4项规定的任何一种情形。</w:t>
      </w:r>
    </w:p>
    <w:p>
      <w:pPr>
        <w:spacing w:line="360" w:lineRule="auto"/>
        <w:ind w:firstLine="480" w:firstLineChars="200"/>
        <w:rPr>
          <w:rFonts w:hint="eastAsia" w:ascii="Times New Roman" w:cs="宋体"/>
          <w:color w:val="auto"/>
          <w:sz w:val="24"/>
          <w:szCs w:val="24"/>
          <w:highlight w:val="none"/>
          <w:u w:val="single"/>
        </w:rPr>
      </w:pPr>
      <w:r>
        <w:rPr>
          <w:rFonts w:hint="eastAsia" w:ascii="Times New Roman" w:cs="宋体"/>
          <w:color w:val="auto"/>
          <w:sz w:val="24"/>
          <w:szCs w:val="24"/>
          <w:highlight w:val="none"/>
        </w:rPr>
        <w:t>9.</w:t>
      </w:r>
      <w:r>
        <w:rPr>
          <w:rFonts w:hint="eastAsia" w:ascii="Times New Roman" w:cs="宋体"/>
          <w:color w:val="auto"/>
          <w:sz w:val="24"/>
          <w:szCs w:val="24"/>
          <w:highlight w:val="none"/>
          <w:u w:val="single"/>
        </w:rPr>
        <w:t xml:space="preserve">                    </w:t>
      </w:r>
      <w:r>
        <w:rPr>
          <w:rFonts w:ascii="Times New Roman"/>
          <w:snapToGrid w:val="0"/>
          <w:color w:val="auto"/>
          <w:sz w:val="24"/>
          <w:szCs w:val="24"/>
          <w:highlight w:val="none"/>
        </w:rPr>
        <w:t>（其他补充</w:t>
      </w:r>
      <w:r>
        <w:rPr>
          <w:rFonts w:hint="eastAsia" w:ascii="Times New Roman"/>
          <w:snapToGrid w:val="0"/>
          <w:color w:val="auto"/>
          <w:sz w:val="24"/>
          <w:szCs w:val="24"/>
          <w:highlight w:val="none"/>
        </w:rPr>
        <w:t>承诺</w:t>
      </w:r>
      <w:r>
        <w:rPr>
          <w:rFonts w:ascii="Times New Roman"/>
          <w:snapToGrid w:val="0"/>
          <w:color w:val="auto"/>
          <w:sz w:val="24"/>
          <w:szCs w:val="24"/>
          <w:highlight w:val="none"/>
        </w:rPr>
        <w:t>）</w:t>
      </w:r>
      <w:r>
        <w:rPr>
          <w:rFonts w:hint="eastAsia" w:ascii="Times New Roman"/>
          <w:snapToGrid w:val="0"/>
          <w:color w:val="auto"/>
          <w:sz w:val="24"/>
          <w:szCs w:val="24"/>
          <w:highlight w:val="none"/>
        </w:rPr>
        <w:t>。</w:t>
      </w:r>
    </w:p>
    <w:p>
      <w:pPr>
        <w:spacing w:line="360" w:lineRule="auto"/>
        <w:ind w:firstLine="480" w:firstLineChars="200"/>
        <w:rPr>
          <w:rFonts w:hint="eastAsia" w:ascii="Times New Roman" w:cs="宋体"/>
          <w:color w:val="auto"/>
          <w:sz w:val="24"/>
          <w:szCs w:val="24"/>
          <w:highlight w:val="none"/>
        </w:rPr>
      </w:pPr>
    </w:p>
    <w:p>
      <w:pPr>
        <w:spacing w:line="360" w:lineRule="auto"/>
        <w:ind w:firstLine="480" w:firstLineChars="200"/>
        <w:rPr>
          <w:rFonts w:hint="eastAsia" w:ascii="Times New Roman" w:cs="宋体"/>
          <w:color w:val="auto"/>
          <w:sz w:val="24"/>
          <w:szCs w:val="24"/>
          <w:highlight w:val="none"/>
        </w:rPr>
      </w:pPr>
    </w:p>
    <w:p>
      <w:pPr>
        <w:adjustRightInd w:val="0"/>
        <w:snapToGrid w:val="0"/>
        <w:spacing w:line="360" w:lineRule="auto"/>
        <w:jc w:val="right"/>
        <w:rPr>
          <w:rFonts w:hint="eastAsia" w:ascii="Times New Roman"/>
          <w:bCs/>
          <w:color w:val="auto"/>
          <w:sz w:val="24"/>
          <w:szCs w:val="24"/>
          <w:highlight w:val="none"/>
        </w:rPr>
      </w:pPr>
      <w:r>
        <w:rPr>
          <w:rFonts w:hint="eastAsia" w:ascii="Times New Roman"/>
          <w:bCs/>
          <w:color w:val="auto"/>
          <w:spacing w:val="120"/>
          <w:kern w:val="0"/>
          <w:sz w:val="24"/>
          <w:szCs w:val="24"/>
          <w:highlight w:val="none"/>
          <w:fitText w:val="1200" w:id="1280857755"/>
        </w:rPr>
        <w:t>投标</w:t>
      </w:r>
      <w:r>
        <w:rPr>
          <w:rFonts w:hint="eastAsia" w:ascii="Times New Roman"/>
          <w:bCs/>
          <w:color w:val="auto"/>
          <w:spacing w:val="0"/>
          <w:kern w:val="0"/>
          <w:sz w:val="24"/>
          <w:szCs w:val="24"/>
          <w:highlight w:val="none"/>
          <w:fitText w:val="1200" w:id="1280857755"/>
        </w:rPr>
        <w:t>人</w:t>
      </w:r>
      <w:r>
        <w:rPr>
          <w:rFonts w:hint="eastAsia" w:ascii="Times New Roman"/>
          <w:bCs/>
          <w:color w:val="auto"/>
          <w:sz w:val="24"/>
          <w:szCs w:val="24"/>
          <w:highlight w:val="none"/>
        </w:rPr>
        <w:t>：</w:t>
      </w:r>
      <w:r>
        <w:rPr>
          <w:rFonts w:hint="eastAsia" w:ascii="Times New Roman"/>
          <w:bCs/>
          <w:color w:val="auto"/>
          <w:sz w:val="24"/>
          <w:szCs w:val="24"/>
          <w:highlight w:val="none"/>
          <w:u w:val="single"/>
        </w:rPr>
        <w:t xml:space="preserve">            </w:t>
      </w:r>
      <w:r>
        <w:rPr>
          <w:rFonts w:hint="eastAsia" w:ascii="Times New Roman"/>
          <w:bCs/>
          <w:color w:val="auto"/>
          <w:sz w:val="24"/>
          <w:szCs w:val="24"/>
          <w:highlight w:val="none"/>
        </w:rPr>
        <w:t>（盖单位章）</w:t>
      </w:r>
    </w:p>
    <w:p>
      <w:pPr>
        <w:adjustRightInd w:val="0"/>
        <w:snapToGrid w:val="0"/>
        <w:spacing w:line="360" w:lineRule="auto"/>
        <w:jc w:val="right"/>
        <w:rPr>
          <w:rFonts w:hint="eastAsia"/>
          <w:color w:val="auto"/>
          <w:highlight w:val="none"/>
        </w:rPr>
      </w:pPr>
      <w:r>
        <w:rPr>
          <w:rFonts w:hint="eastAsia" w:ascii="Times New Roman"/>
          <w:color w:val="auto"/>
          <w:spacing w:val="0"/>
          <w:kern w:val="0"/>
          <w:szCs w:val="21"/>
          <w:highlight w:val="none"/>
          <w:fitText w:val="1200" w:id="24393647"/>
        </w:rPr>
        <w:t>法定代表人</w:t>
      </w:r>
      <w:r>
        <w:rPr>
          <w:rFonts w:hint="eastAsia" w:ascii="Times New Roman"/>
          <w:color w:val="auto"/>
          <w:szCs w:val="21"/>
          <w:highlight w:val="none"/>
        </w:rPr>
        <w:t>：</w:t>
      </w:r>
      <w:r>
        <w:rPr>
          <w:rFonts w:hint="eastAsia" w:ascii="Times New Roman"/>
          <w:bCs/>
          <w:color w:val="auto"/>
          <w:szCs w:val="21"/>
          <w:highlight w:val="none"/>
          <w:u w:val="single"/>
        </w:rPr>
        <w:t xml:space="preserve">          </w:t>
      </w:r>
      <w:r>
        <w:rPr>
          <w:rFonts w:hint="eastAsia" w:ascii="Times New Roman"/>
          <w:color w:val="auto"/>
          <w:szCs w:val="21"/>
          <w:highlight w:val="none"/>
        </w:rPr>
        <w:t>（签字或盖章）</w:t>
      </w:r>
    </w:p>
    <w:p>
      <w:pPr>
        <w:adjustRightInd w:val="0"/>
        <w:snapToGrid w:val="0"/>
        <w:spacing w:line="360" w:lineRule="auto"/>
        <w:jc w:val="right"/>
        <w:rPr>
          <w:rFonts w:hint="eastAsia" w:ascii="Times New Roman" w:eastAsia="黑体"/>
          <w:color w:val="auto"/>
          <w:sz w:val="24"/>
          <w:szCs w:val="24"/>
          <w:highlight w:val="none"/>
        </w:rPr>
      </w:pPr>
      <w:r>
        <w:rPr>
          <w:rFonts w:hint="eastAsia" w:ascii="Times New Roman"/>
          <w:bCs/>
          <w:color w:val="auto"/>
          <w:spacing w:val="360"/>
          <w:kern w:val="0"/>
          <w:sz w:val="24"/>
          <w:szCs w:val="24"/>
          <w:highlight w:val="none"/>
          <w:fitText w:val="1200" w:id="1329425535"/>
        </w:rPr>
        <w:t>日</w:t>
      </w:r>
      <w:r>
        <w:rPr>
          <w:rFonts w:hint="eastAsia" w:ascii="Times New Roman"/>
          <w:bCs/>
          <w:color w:val="auto"/>
          <w:spacing w:val="0"/>
          <w:kern w:val="0"/>
          <w:sz w:val="24"/>
          <w:szCs w:val="24"/>
          <w:highlight w:val="none"/>
          <w:fitText w:val="1200" w:id="1329425535"/>
        </w:rPr>
        <w:t>期</w:t>
      </w:r>
      <w:r>
        <w:rPr>
          <w:rFonts w:hint="eastAsia" w:ascii="Times New Roman"/>
          <w:color w:val="auto"/>
          <w:sz w:val="24"/>
          <w:szCs w:val="24"/>
          <w:highlight w:val="none"/>
        </w:rPr>
        <w:t>：</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年</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月</w:t>
      </w:r>
      <w:r>
        <w:rPr>
          <w:rFonts w:hint="eastAsia" w:ascii="Times New Roman"/>
          <w:color w:val="auto"/>
          <w:sz w:val="24"/>
          <w:szCs w:val="24"/>
          <w:highlight w:val="none"/>
          <w:u w:val="single"/>
        </w:rPr>
        <w:t xml:space="preserve">      </w:t>
      </w:r>
      <w:r>
        <w:rPr>
          <w:rFonts w:hint="eastAsia" w:ascii="Times New Roman"/>
          <w:color w:val="auto"/>
          <w:sz w:val="24"/>
          <w:szCs w:val="24"/>
          <w:highlight w:val="none"/>
        </w:rPr>
        <w:t>日</w:t>
      </w:r>
    </w:p>
    <w:p>
      <w:pPr>
        <w:rPr>
          <w:sz w:val="28"/>
          <w:szCs w:val="28"/>
          <w:highlight w:val="none"/>
        </w:rPr>
      </w:pPr>
    </w:p>
    <w:p>
      <w:pPr>
        <w:ind w:firstLine="480"/>
        <w:jc w:val="center"/>
        <w:rPr>
          <w:rFonts w:ascii="Times New Roman"/>
          <w:kern w:val="2"/>
          <w:sz w:val="21"/>
          <w:highlight w:val="none"/>
        </w:rPr>
      </w:pPr>
      <w:r>
        <w:rPr>
          <w:rFonts w:hint="eastAsia" w:ascii="Times New Roman"/>
          <w:sz w:val="28"/>
          <w:szCs w:val="28"/>
          <w:highlight w:val="none"/>
        </w:rPr>
        <w:br w:type="page"/>
      </w:r>
      <w:bookmarkStart w:id="1041" w:name="_Toc14879"/>
    </w:p>
    <w:p>
      <w:pPr>
        <w:jc w:val="center"/>
        <w:rPr>
          <w:sz w:val="28"/>
          <w:szCs w:val="28"/>
          <w:highlight w:val="none"/>
        </w:rPr>
      </w:pPr>
      <w:r>
        <w:rPr>
          <w:rFonts w:hint="eastAsia" w:ascii="黑体" w:hAnsi="黑体" w:eastAsia="黑体"/>
          <w:highlight w:val="none"/>
        </w:rPr>
        <w:t>十、其他</w:t>
      </w:r>
      <w:bookmarkEnd w:id="1034"/>
      <w:bookmarkEnd w:id="1035"/>
      <w:bookmarkEnd w:id="1036"/>
      <w:bookmarkEnd w:id="1037"/>
      <w:r>
        <w:rPr>
          <w:rFonts w:hint="eastAsia" w:ascii="黑体" w:hAnsi="黑体" w:eastAsia="黑体"/>
          <w:highlight w:val="none"/>
        </w:rPr>
        <w:t>材料</w:t>
      </w:r>
      <w:bookmarkEnd w:id="1041"/>
    </w:p>
    <w:p>
      <w:pPr>
        <w:tabs>
          <w:tab w:val="left" w:pos="2580"/>
          <w:tab w:val="left" w:pos="5940"/>
        </w:tabs>
        <w:autoSpaceDE w:val="0"/>
        <w:autoSpaceDN w:val="0"/>
        <w:adjustRightInd w:val="0"/>
        <w:snapToGrid w:val="0"/>
        <w:spacing w:line="400" w:lineRule="exact"/>
        <w:ind w:firstLine="456" w:firstLineChars="200"/>
        <w:rPr>
          <w:rFonts w:ascii="Times New Roman"/>
          <w:spacing w:val="-6"/>
          <w:szCs w:val="21"/>
          <w:highlight w:val="none"/>
        </w:rPr>
      </w:pPr>
      <w:r>
        <w:rPr>
          <w:rFonts w:hint="eastAsia" w:ascii="Times New Roman"/>
          <w:spacing w:val="-6"/>
          <w:szCs w:val="24"/>
          <w:highlight w:val="none"/>
        </w:rPr>
        <w:t>投标人根据自身情况可以自行增加相关内容，如无，本节可以不附</w:t>
      </w:r>
      <w:r>
        <w:rPr>
          <w:rFonts w:hint="eastAsia" w:ascii="Times New Roman"/>
          <w:spacing w:val="-6"/>
          <w:szCs w:val="21"/>
          <w:highlight w:val="none"/>
        </w:rPr>
        <w:t>。</w:t>
      </w:r>
    </w:p>
    <w:p>
      <w:pPr>
        <w:spacing w:line="360" w:lineRule="auto"/>
        <w:ind w:firstLine="480" w:firstLineChars="200"/>
        <w:jc w:val="left"/>
        <w:rPr>
          <w:rFonts w:ascii="Times New Roman"/>
          <w:szCs w:val="22"/>
          <w:highlight w:val="none"/>
        </w:rPr>
      </w:pPr>
    </w:p>
    <w:p>
      <w:pPr>
        <w:spacing w:before="480" w:beforeLines="200" w:line="360" w:lineRule="auto"/>
        <w:jc w:val="center"/>
        <w:outlineLvl w:val="0"/>
        <w:rPr>
          <w:rFonts w:hint="eastAsia" w:ascii="Times New Roman"/>
          <w:b/>
          <w:bCs/>
          <w:color w:val="auto"/>
          <w:sz w:val="44"/>
          <w:szCs w:val="44"/>
          <w:highlight w:val="none"/>
        </w:rPr>
      </w:pPr>
      <w:r>
        <w:rPr>
          <w:rFonts w:hint="eastAsia" w:ascii="Times New Roman"/>
          <w:highlight w:val="none"/>
        </w:rPr>
        <w:br w:type="page"/>
      </w:r>
      <w:bookmarkStart w:id="1042" w:name="_Toc0"/>
      <w:bookmarkStart w:id="1043" w:name="_Toc30110"/>
      <w:bookmarkStart w:id="1044" w:name="_Toc14552"/>
      <w:bookmarkStart w:id="1045" w:name="_Toc9691"/>
      <w:bookmarkStart w:id="1046" w:name="_Toc584"/>
      <w:bookmarkStart w:id="1047" w:name="_Toc15622"/>
      <w:bookmarkStart w:id="1048" w:name="_Toc17482"/>
      <w:r>
        <w:rPr>
          <w:rFonts w:hint="eastAsia" w:ascii="Times New Roman"/>
          <w:b/>
          <w:color w:val="auto"/>
          <w:sz w:val="44"/>
          <w:szCs w:val="44"/>
          <w:highlight w:val="none"/>
          <w:u w:val="single"/>
        </w:rPr>
        <w:t>（招标项目名称）</w:t>
      </w:r>
      <w:r>
        <w:rPr>
          <w:rFonts w:hint="eastAsia" w:ascii="Times New Roman"/>
          <w:color w:val="auto"/>
          <w:sz w:val="44"/>
          <w:szCs w:val="44"/>
          <w:highlight w:val="none"/>
        </w:rPr>
        <w:t xml:space="preserve"> </w:t>
      </w:r>
      <w:r>
        <w:rPr>
          <w:rFonts w:hint="eastAsia" w:ascii="Times New Roman"/>
          <w:bCs/>
          <w:color w:val="auto"/>
          <w:sz w:val="44"/>
          <w:szCs w:val="44"/>
          <w:highlight w:val="none"/>
          <w:u w:val="single"/>
        </w:rPr>
        <w:t xml:space="preserve">      </w:t>
      </w:r>
      <w:r>
        <w:rPr>
          <w:rFonts w:hint="eastAsia" w:ascii="Times New Roman"/>
          <w:b/>
          <w:color w:val="auto"/>
          <w:sz w:val="44"/>
          <w:szCs w:val="44"/>
          <w:highlight w:val="none"/>
        </w:rPr>
        <w:t>标段招标</w:t>
      </w:r>
      <w:bookmarkEnd w:id="1042"/>
      <w:bookmarkEnd w:id="1043"/>
      <w:bookmarkEnd w:id="1044"/>
      <w:bookmarkEnd w:id="1045"/>
      <w:bookmarkEnd w:id="1046"/>
      <w:bookmarkEnd w:id="1047"/>
      <w:bookmarkEnd w:id="1048"/>
    </w:p>
    <w:p>
      <w:pPr>
        <w:pStyle w:val="4"/>
        <w:spacing w:before="1200" w:beforeLines="500" w:after="240" w:afterLines="100" w:line="240" w:lineRule="auto"/>
        <w:jc w:val="center"/>
        <w:rPr>
          <w:rFonts w:hint="eastAsia" w:ascii="Times New Roman" w:hAnsi="Times New Roman" w:eastAsia="黑体"/>
          <w:b w:val="0"/>
          <w:color w:val="auto"/>
          <w:sz w:val="44"/>
          <w:szCs w:val="44"/>
          <w:highlight w:val="none"/>
        </w:rPr>
      </w:pPr>
      <w:bookmarkStart w:id="1049" w:name="_Toc29888"/>
      <w:bookmarkStart w:id="1050" w:name="_Toc23592"/>
      <w:r>
        <w:rPr>
          <w:rFonts w:hint="eastAsia" w:ascii="Times New Roman" w:hAnsi="Times New Roman" w:eastAsia="黑体"/>
          <w:b w:val="0"/>
          <w:color w:val="auto"/>
          <w:sz w:val="44"/>
          <w:szCs w:val="44"/>
          <w:highlight w:val="none"/>
        </w:rPr>
        <w:t>投标文件</w:t>
      </w:r>
      <w:bookmarkEnd w:id="1049"/>
    </w:p>
    <w:p>
      <w:pPr>
        <w:pStyle w:val="4"/>
        <w:jc w:val="center"/>
        <w:rPr>
          <w:rFonts w:hint="eastAsia" w:ascii="Times New Roman" w:hAnsi="Times New Roman" w:eastAsia="黑体"/>
          <w:b w:val="0"/>
          <w:bCs w:val="0"/>
          <w:color w:val="auto"/>
          <w:sz w:val="36"/>
          <w:szCs w:val="22"/>
          <w:highlight w:val="none"/>
        </w:rPr>
      </w:pPr>
      <w:bookmarkStart w:id="1051" w:name="_Toc8247"/>
      <w:r>
        <w:rPr>
          <w:rFonts w:hint="eastAsia" w:ascii="Times New Roman" w:hAnsi="Times New Roman" w:eastAsia="黑体"/>
          <w:b w:val="0"/>
          <w:bCs w:val="0"/>
          <w:color w:val="auto"/>
          <w:sz w:val="36"/>
          <w:szCs w:val="22"/>
          <w:highlight w:val="none"/>
        </w:rPr>
        <w:t>（技术文件）</w:t>
      </w:r>
      <w:bookmarkEnd w:id="1050"/>
      <w:bookmarkEnd w:id="1051"/>
    </w:p>
    <w:p>
      <w:pPr>
        <w:spacing w:before="7200" w:beforeLines="3000" w:line="480" w:lineRule="auto"/>
        <w:jc w:val="center"/>
        <w:outlineLvl w:val="9"/>
        <w:rPr>
          <w:rFonts w:hint="eastAsia" w:ascii="Times New Roman" w:eastAsia="黑体"/>
          <w:color w:val="auto"/>
          <w:sz w:val="28"/>
          <w:szCs w:val="28"/>
          <w:highlight w:val="none"/>
        </w:rPr>
      </w:pPr>
      <w:bookmarkStart w:id="1052" w:name="_Toc14549"/>
      <w:bookmarkStart w:id="1053" w:name="_Toc7858"/>
      <w:bookmarkStart w:id="1054" w:name="_Toc18372"/>
      <w:bookmarkStart w:id="1055" w:name="_Toc15620"/>
      <w:bookmarkStart w:id="1056" w:name="_Toc2070"/>
      <w:r>
        <w:rPr>
          <w:rFonts w:hint="eastAsia" w:ascii="Times New Roman" w:eastAsia="黑体"/>
          <w:color w:val="auto"/>
          <w:sz w:val="28"/>
          <w:szCs w:val="28"/>
          <w:highlight w:val="none"/>
        </w:rPr>
        <w:t>投标人：</w:t>
      </w:r>
      <w:r>
        <w:rPr>
          <w:rFonts w:hint="eastAsia" w:ascii="Times New Roman" w:eastAsia="黑体"/>
          <w:color w:val="auto"/>
          <w:sz w:val="28"/>
          <w:szCs w:val="28"/>
          <w:highlight w:val="none"/>
          <w:u w:val="single"/>
        </w:rPr>
        <w:t xml:space="preserve">                               </w:t>
      </w:r>
      <w:r>
        <w:rPr>
          <w:rFonts w:hint="eastAsia" w:ascii="Times New Roman" w:eastAsia="黑体"/>
          <w:color w:val="auto"/>
          <w:sz w:val="28"/>
          <w:szCs w:val="28"/>
          <w:highlight w:val="none"/>
        </w:rPr>
        <w:t>（盖单位章）</w:t>
      </w:r>
      <w:bookmarkEnd w:id="1052"/>
      <w:bookmarkEnd w:id="1053"/>
      <w:bookmarkEnd w:id="1054"/>
      <w:bookmarkEnd w:id="1055"/>
      <w:bookmarkEnd w:id="1056"/>
    </w:p>
    <w:p>
      <w:pPr>
        <w:tabs>
          <w:tab w:val="left" w:pos="3280"/>
          <w:tab w:val="left" w:pos="4680"/>
          <w:tab w:val="left" w:pos="6080"/>
        </w:tabs>
        <w:autoSpaceDE w:val="0"/>
        <w:autoSpaceDN w:val="0"/>
        <w:adjustRightInd w:val="0"/>
        <w:snapToGrid w:val="0"/>
        <w:spacing w:line="480" w:lineRule="auto"/>
        <w:jc w:val="center"/>
        <w:rPr>
          <w:rFonts w:ascii="Times New Roman"/>
          <w:bCs/>
          <w:w w:val="99"/>
          <w:sz w:val="28"/>
          <w:szCs w:val="22"/>
          <w:highlight w:val="none"/>
        </w:rPr>
      </w:pPr>
      <w:r>
        <w:rPr>
          <w:rFonts w:hint="eastAsia" w:ascii="Times New Roman" w:eastAsia="黑体"/>
          <w:color w:val="auto"/>
          <w:sz w:val="28"/>
          <w:szCs w:val="28"/>
          <w:highlight w:val="none"/>
          <w:u w:val="single"/>
        </w:rPr>
        <w:t xml:space="preserve">    </w:t>
      </w:r>
      <w:bookmarkStart w:id="1057" w:name="_Toc31763"/>
      <w:bookmarkStart w:id="1058" w:name="_Toc518"/>
      <w:bookmarkStart w:id="1059" w:name="_Toc18115"/>
      <w:bookmarkStart w:id="1060" w:name="_Toc16137"/>
      <w:bookmarkStart w:id="1061" w:name="_Toc23773"/>
      <w:r>
        <w:rPr>
          <w:rFonts w:hint="eastAsia" w:ascii="Times New Roman" w:eastAsia="黑体"/>
          <w:color w:val="auto"/>
          <w:sz w:val="28"/>
          <w:szCs w:val="28"/>
          <w:highlight w:val="none"/>
        </w:rPr>
        <w:t>年</w:t>
      </w:r>
      <w:r>
        <w:rPr>
          <w:rFonts w:hint="eastAsia" w:ascii="Times New Roman" w:eastAsia="黑体"/>
          <w:color w:val="auto"/>
          <w:sz w:val="28"/>
          <w:szCs w:val="28"/>
          <w:highlight w:val="none"/>
          <w:u w:val="single"/>
        </w:rPr>
        <w:t xml:space="preserve">   </w:t>
      </w:r>
      <w:r>
        <w:rPr>
          <w:rFonts w:hint="eastAsia" w:ascii="Times New Roman" w:eastAsia="黑体"/>
          <w:color w:val="auto"/>
          <w:sz w:val="28"/>
          <w:szCs w:val="28"/>
          <w:highlight w:val="none"/>
        </w:rPr>
        <w:t>月</w:t>
      </w:r>
      <w:r>
        <w:rPr>
          <w:rFonts w:hint="eastAsia" w:ascii="Times New Roman" w:eastAsia="黑体"/>
          <w:color w:val="auto"/>
          <w:sz w:val="28"/>
          <w:szCs w:val="28"/>
          <w:highlight w:val="none"/>
          <w:u w:val="single"/>
        </w:rPr>
        <w:t xml:space="preserve">   </w:t>
      </w:r>
      <w:r>
        <w:rPr>
          <w:rFonts w:hint="eastAsia" w:ascii="Times New Roman" w:eastAsia="黑体"/>
          <w:color w:val="auto"/>
          <w:sz w:val="28"/>
          <w:szCs w:val="28"/>
          <w:highlight w:val="none"/>
        </w:rPr>
        <w:t>日</w:t>
      </w:r>
      <w:bookmarkEnd w:id="1057"/>
      <w:bookmarkEnd w:id="1058"/>
      <w:bookmarkEnd w:id="1059"/>
      <w:bookmarkEnd w:id="1060"/>
      <w:bookmarkEnd w:id="1061"/>
    </w:p>
    <w:p>
      <w:pPr>
        <w:spacing w:beforeLines="100" w:afterLines="100"/>
        <w:ind w:firstLine="640" w:firstLineChars="200"/>
        <w:jc w:val="center"/>
        <w:rPr>
          <w:rFonts w:ascii="Times New Roman"/>
          <w:sz w:val="28"/>
          <w:szCs w:val="21"/>
          <w:highlight w:val="none"/>
        </w:rPr>
      </w:pPr>
      <w:bookmarkStart w:id="1062" w:name="_Toc535241146"/>
      <w:bookmarkStart w:id="1063" w:name="_Toc390411637"/>
      <w:bookmarkStart w:id="1064" w:name="_Toc460227143"/>
      <w:bookmarkStart w:id="1065" w:name="_Toc224103503"/>
      <w:bookmarkStart w:id="1066" w:name="_Toc421917018"/>
      <w:bookmarkStart w:id="1067" w:name="_Toc460660258"/>
      <w:r>
        <w:rPr>
          <w:rFonts w:ascii="Times New Roman"/>
          <w:sz w:val="32"/>
          <w:szCs w:val="32"/>
          <w:highlight w:val="none"/>
        </w:rPr>
        <w:br w:type="page"/>
      </w:r>
      <w:r>
        <w:rPr>
          <w:rFonts w:hint="eastAsia" w:ascii="Times New Roman"/>
          <w:sz w:val="28"/>
          <w:szCs w:val="21"/>
          <w:highlight w:val="none"/>
        </w:rPr>
        <w:t>目  录</w:t>
      </w:r>
    </w:p>
    <w:p>
      <w:pPr>
        <w:spacing w:line="360" w:lineRule="auto"/>
        <w:ind w:firstLine="480" w:firstLineChars="200"/>
        <w:rPr>
          <w:rFonts w:hAnsi="宋体" w:cs="宋体"/>
          <w:highlight w:val="none"/>
        </w:rPr>
      </w:pPr>
      <w:r>
        <w:rPr>
          <w:rFonts w:hint="eastAsia" w:hAnsi="宋体" w:cs="宋体"/>
          <w:highlight w:val="none"/>
        </w:rPr>
        <w:t>一、技术条款偏差表</w:t>
      </w:r>
    </w:p>
    <w:p>
      <w:pPr>
        <w:spacing w:line="360" w:lineRule="auto"/>
        <w:ind w:firstLine="480" w:firstLineChars="200"/>
        <w:rPr>
          <w:rFonts w:hAnsi="宋体" w:cs="宋体"/>
          <w:highlight w:val="none"/>
        </w:rPr>
      </w:pPr>
      <w:r>
        <w:rPr>
          <w:rFonts w:hint="eastAsia" w:hAnsi="宋体" w:cs="宋体"/>
          <w:highlight w:val="none"/>
        </w:rPr>
        <w:t>二、投标货物技术性能指标的详细描述</w:t>
      </w:r>
    </w:p>
    <w:p>
      <w:pPr>
        <w:spacing w:line="360" w:lineRule="auto"/>
        <w:ind w:firstLine="480" w:firstLineChars="200"/>
        <w:rPr>
          <w:rFonts w:hAnsi="宋体" w:cs="宋体"/>
          <w:highlight w:val="none"/>
        </w:rPr>
      </w:pPr>
      <w:r>
        <w:rPr>
          <w:rFonts w:hint="eastAsia" w:hAnsi="宋体" w:cs="宋体"/>
          <w:highlight w:val="none"/>
        </w:rPr>
        <w:t>三、技术服务和质保期服务计划</w:t>
      </w:r>
    </w:p>
    <w:p>
      <w:pPr>
        <w:spacing w:line="360" w:lineRule="auto"/>
        <w:ind w:firstLine="480" w:firstLineChars="200"/>
        <w:rPr>
          <w:rFonts w:hAnsi="宋体" w:cs="宋体"/>
          <w:highlight w:val="none"/>
        </w:rPr>
      </w:pPr>
      <w:r>
        <w:rPr>
          <w:rFonts w:hint="eastAsia" w:hAnsi="宋体" w:cs="宋体"/>
          <w:highlight w:val="none"/>
        </w:rPr>
        <w:t>四、技术支持资料</w:t>
      </w:r>
    </w:p>
    <w:p>
      <w:pPr>
        <w:spacing w:line="360" w:lineRule="auto"/>
        <w:ind w:firstLine="480" w:firstLineChars="200"/>
        <w:rPr>
          <w:rFonts w:hAnsi="宋体" w:cs="宋体"/>
          <w:highlight w:val="none"/>
        </w:rPr>
      </w:pPr>
      <w:r>
        <w:rPr>
          <w:rFonts w:hint="eastAsia" w:hAnsi="宋体" w:cs="宋体"/>
          <w:highlight w:val="none"/>
        </w:rPr>
        <w:t>五、技术文件详细评审资料</w:t>
      </w:r>
    </w:p>
    <w:p>
      <w:pPr>
        <w:spacing w:line="360" w:lineRule="auto"/>
        <w:ind w:firstLine="480" w:firstLineChars="200"/>
        <w:rPr>
          <w:rFonts w:hAnsi="宋体" w:cs="宋体"/>
          <w:highlight w:val="none"/>
        </w:rPr>
      </w:pPr>
      <w:r>
        <w:rPr>
          <w:rFonts w:hint="eastAsia" w:hAnsi="宋体" w:cs="宋体"/>
          <w:highlight w:val="none"/>
        </w:rPr>
        <w:t>六、其他内容</w:t>
      </w:r>
    </w:p>
    <w:p>
      <w:pPr>
        <w:pStyle w:val="2"/>
        <w:spacing w:before="0" w:after="0"/>
        <w:ind w:firstLine="480"/>
        <w:jc w:val="center"/>
        <w:rPr>
          <w:rFonts w:cs="黑体"/>
          <w:highlight w:val="none"/>
        </w:rPr>
      </w:pPr>
      <w:r>
        <w:rPr>
          <w:rFonts w:hint="eastAsia" w:cs="黑体"/>
          <w:highlight w:val="none"/>
        </w:rPr>
        <w:br w:type="page"/>
      </w:r>
      <w:r>
        <w:rPr>
          <w:rFonts w:hint="eastAsia" w:cs="黑体"/>
          <w:highlight w:val="none"/>
        </w:rPr>
        <w:t>一、技术条款偏差表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69"/>
        <w:gridCol w:w="977"/>
        <w:gridCol w:w="1150"/>
        <w:gridCol w:w="992"/>
        <w:gridCol w:w="141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序号</w:t>
            </w:r>
          </w:p>
        </w:tc>
        <w:tc>
          <w:tcPr>
            <w:tcW w:w="3796" w:type="dxa"/>
            <w:gridSpan w:val="3"/>
            <w:vAlign w:val="center"/>
          </w:tcPr>
          <w:p>
            <w:pPr>
              <w:widowControl/>
              <w:snapToGrid w:val="0"/>
              <w:spacing w:line="360" w:lineRule="auto"/>
              <w:jc w:val="center"/>
              <w:rPr>
                <w:rFonts w:hAnsi="宋体" w:cs="宋体"/>
                <w:highlight w:val="none"/>
              </w:rPr>
            </w:pPr>
            <w:r>
              <w:rPr>
                <w:rFonts w:hint="eastAsia" w:hAnsi="宋体" w:cs="宋体"/>
                <w:highlight w:val="none"/>
              </w:rPr>
              <w:t>招标文件要求</w:t>
            </w:r>
          </w:p>
        </w:tc>
        <w:tc>
          <w:tcPr>
            <w:tcW w:w="2410" w:type="dxa"/>
            <w:gridSpan w:val="2"/>
            <w:vAlign w:val="center"/>
          </w:tcPr>
          <w:p>
            <w:pPr>
              <w:widowControl/>
              <w:snapToGrid w:val="0"/>
              <w:spacing w:line="360" w:lineRule="auto"/>
              <w:jc w:val="center"/>
              <w:rPr>
                <w:rFonts w:hAnsi="宋体" w:cs="宋体"/>
                <w:highlight w:val="none"/>
              </w:rPr>
            </w:pPr>
            <w:r>
              <w:rPr>
                <w:rFonts w:hint="eastAsia" w:hAnsi="宋体" w:cs="宋体"/>
                <w:highlight w:val="none"/>
              </w:rPr>
              <w:t>投标文件响应</w:t>
            </w:r>
          </w:p>
        </w:tc>
        <w:tc>
          <w:tcPr>
            <w:tcW w:w="1506"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Align w:val="center"/>
          </w:tcPr>
          <w:p>
            <w:pPr>
              <w:widowControl/>
              <w:snapToGrid w:val="0"/>
              <w:spacing w:line="360" w:lineRule="auto"/>
              <w:jc w:val="center"/>
              <w:rPr>
                <w:rFonts w:hAnsi="宋体" w:cs="宋体"/>
                <w:highlight w:val="none"/>
              </w:rPr>
            </w:pPr>
            <w:r>
              <w:rPr>
                <w:rFonts w:hint="eastAsia" w:hAnsi="宋体" w:cs="宋体"/>
                <w:highlight w:val="none"/>
              </w:rPr>
              <w:t>供货要求</w:t>
            </w:r>
          </w:p>
        </w:tc>
        <w:tc>
          <w:tcPr>
            <w:tcW w:w="977" w:type="dxa"/>
            <w:vAlign w:val="center"/>
          </w:tcPr>
          <w:p>
            <w:pPr>
              <w:widowControl/>
              <w:snapToGrid w:val="0"/>
              <w:spacing w:line="360" w:lineRule="auto"/>
              <w:jc w:val="center"/>
              <w:rPr>
                <w:rFonts w:hAnsi="宋体" w:cs="宋体"/>
                <w:highlight w:val="none"/>
              </w:rPr>
            </w:pPr>
            <w:r>
              <w:rPr>
                <w:rFonts w:hint="eastAsia" w:hAnsi="宋体" w:cs="宋体"/>
                <w:highlight w:val="none"/>
              </w:rPr>
              <w:t>章节及条款号</w:t>
            </w:r>
          </w:p>
        </w:tc>
        <w:tc>
          <w:tcPr>
            <w:tcW w:w="1150" w:type="dxa"/>
            <w:vAlign w:val="center"/>
          </w:tcPr>
          <w:p>
            <w:pPr>
              <w:widowControl/>
              <w:snapToGrid w:val="0"/>
              <w:spacing w:line="360" w:lineRule="auto"/>
              <w:jc w:val="center"/>
              <w:rPr>
                <w:rFonts w:hAnsi="宋体" w:cs="宋体"/>
                <w:highlight w:val="none"/>
              </w:rPr>
            </w:pPr>
            <w:r>
              <w:rPr>
                <w:rFonts w:hint="eastAsia" w:hAnsi="宋体" w:cs="宋体"/>
                <w:highlight w:val="none"/>
              </w:rPr>
              <w:t>具体要求</w:t>
            </w:r>
          </w:p>
        </w:tc>
        <w:tc>
          <w:tcPr>
            <w:tcW w:w="992" w:type="dxa"/>
            <w:vAlign w:val="center"/>
          </w:tcPr>
          <w:p>
            <w:pPr>
              <w:widowControl/>
              <w:snapToGrid w:val="0"/>
              <w:spacing w:line="360" w:lineRule="auto"/>
              <w:jc w:val="center"/>
              <w:rPr>
                <w:rFonts w:hAnsi="宋体" w:cs="宋体"/>
                <w:highlight w:val="none"/>
              </w:rPr>
            </w:pPr>
            <w:r>
              <w:rPr>
                <w:rFonts w:hint="eastAsia" w:hAnsi="宋体" w:cs="宋体"/>
                <w:highlight w:val="none"/>
              </w:rPr>
              <w:t>章节及条款号</w:t>
            </w:r>
          </w:p>
        </w:tc>
        <w:tc>
          <w:tcPr>
            <w:tcW w:w="1418" w:type="dxa"/>
            <w:vAlign w:val="center"/>
          </w:tcPr>
          <w:p>
            <w:pPr>
              <w:widowControl/>
              <w:snapToGrid w:val="0"/>
              <w:spacing w:line="360" w:lineRule="auto"/>
              <w:jc w:val="center"/>
              <w:rPr>
                <w:rFonts w:hAnsi="宋体" w:cs="宋体"/>
                <w:highlight w:val="none"/>
              </w:rPr>
            </w:pPr>
            <w:r>
              <w:rPr>
                <w:rFonts w:hint="eastAsia" w:hAnsi="宋体" w:cs="宋体"/>
                <w:highlight w:val="none"/>
              </w:rPr>
              <w:t>具体内容</w:t>
            </w:r>
          </w:p>
        </w:tc>
        <w:tc>
          <w:tcPr>
            <w:tcW w:w="1506" w:type="dxa"/>
            <w:vMerge w:val="continue"/>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1</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供货范围</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2</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相关配置、功能、技术性能参数等具体要求</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2"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3</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检验考核要求</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4</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技术服务要求</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其他要求</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bl>
    <w:p>
      <w:pPr>
        <w:spacing w:line="360" w:lineRule="auto"/>
        <w:rPr>
          <w:rFonts w:hAnsi="宋体" w:cs="宋体"/>
          <w:highlight w:val="none"/>
        </w:rPr>
      </w:pPr>
    </w:p>
    <w:p>
      <w:pPr>
        <w:spacing w:line="360" w:lineRule="auto"/>
        <w:rPr>
          <w:rFonts w:hAnsi="宋体" w:cs="宋体"/>
          <w:highlight w:val="none"/>
        </w:rPr>
      </w:pPr>
      <w:r>
        <w:rPr>
          <w:rFonts w:hint="eastAsia" w:hAnsi="宋体" w:cs="宋体"/>
          <w:highlight w:val="none"/>
        </w:rPr>
        <w:t>投标人保证：除技术条款偏差表列出的偏差外，投标人响应招标文件的全部要求。</w:t>
      </w:r>
    </w:p>
    <w:p>
      <w:pPr>
        <w:rPr>
          <w:highlight w:val="none"/>
        </w:rPr>
      </w:pPr>
    </w:p>
    <w:p>
      <w:pPr>
        <w:spacing w:beforeLines="50" w:afterLines="50" w:line="360" w:lineRule="auto"/>
        <w:jc w:val="center"/>
        <w:outlineLvl w:val="2"/>
        <w:rPr>
          <w:rFonts w:ascii="Times New Roman"/>
          <w:bCs/>
          <w:szCs w:val="24"/>
          <w:highlight w:val="none"/>
        </w:rPr>
      </w:pPr>
      <w:r>
        <w:rPr>
          <w:rFonts w:ascii="Times New Roman"/>
          <w:sz w:val="32"/>
          <w:szCs w:val="32"/>
          <w:highlight w:val="none"/>
        </w:rPr>
        <w:br w:type="page"/>
      </w:r>
      <w:bookmarkEnd w:id="1062"/>
      <w:bookmarkEnd w:id="1063"/>
      <w:bookmarkEnd w:id="1064"/>
      <w:bookmarkEnd w:id="1065"/>
      <w:bookmarkEnd w:id="1066"/>
      <w:bookmarkEnd w:id="1067"/>
      <w:r>
        <w:rPr>
          <w:rFonts w:hint="eastAsia" w:ascii="黑体" w:hAnsi="黑体" w:eastAsia="黑体" w:cs="黑体"/>
          <w:szCs w:val="24"/>
          <w:highlight w:val="none"/>
        </w:rPr>
        <w:t>二、投标货物技术性能指标的详细描述</w:t>
      </w:r>
    </w:p>
    <w:p>
      <w:pPr>
        <w:jc w:val="center"/>
        <w:rPr>
          <w:sz w:val="28"/>
          <w:szCs w:val="28"/>
          <w:highlight w:val="none"/>
        </w:rPr>
      </w:pPr>
    </w:p>
    <w:p>
      <w:pPr>
        <w:pStyle w:val="2"/>
        <w:jc w:val="center"/>
        <w:rPr>
          <w:rFonts w:cs="黑体"/>
          <w:bCs w:val="0"/>
          <w:szCs w:val="22"/>
          <w:highlight w:val="none"/>
        </w:rPr>
      </w:pPr>
      <w:r>
        <w:rPr>
          <w:rFonts w:hint="eastAsia" w:ascii="Times New Roman" w:hAnsi="Times New Roman" w:eastAsia="宋体"/>
          <w:highlight w:val="none"/>
        </w:rPr>
        <w:br w:type="page"/>
      </w:r>
      <w:r>
        <w:rPr>
          <w:rFonts w:hint="eastAsia" w:cs="黑体"/>
          <w:bCs w:val="0"/>
          <w:highlight w:val="none"/>
        </w:rPr>
        <w:t>三、技术服务和质保期服务计划</w:t>
      </w:r>
    </w:p>
    <w:p>
      <w:pPr>
        <w:pStyle w:val="2"/>
        <w:jc w:val="center"/>
        <w:rPr>
          <w:highlight w:val="none"/>
        </w:rPr>
      </w:pPr>
      <w:r>
        <w:rPr>
          <w:rFonts w:hint="eastAsia" w:ascii="Times New Roman" w:hAnsi="Times New Roman"/>
          <w:highlight w:val="none"/>
        </w:rPr>
        <w:br w:type="page"/>
      </w:r>
      <w:r>
        <w:rPr>
          <w:rFonts w:hint="eastAsia" w:ascii="Times New Roman" w:hAnsi="Times New Roman"/>
          <w:highlight w:val="none"/>
        </w:rPr>
        <w:t>四、</w:t>
      </w:r>
      <w:r>
        <w:rPr>
          <w:rFonts w:hint="eastAsia" w:cs="黑体"/>
          <w:bCs w:val="0"/>
          <w:highlight w:val="none"/>
        </w:rPr>
        <w:t>技术支持资料</w:t>
      </w:r>
    </w:p>
    <w:p>
      <w:pPr>
        <w:pStyle w:val="2"/>
        <w:jc w:val="center"/>
        <w:rPr>
          <w:rFonts w:ascii="Times New Roman" w:hAnsi="Times New Roman"/>
          <w:highlight w:val="none"/>
        </w:rPr>
      </w:pPr>
      <w:r>
        <w:rPr>
          <w:szCs w:val="22"/>
          <w:highlight w:val="none"/>
        </w:rPr>
        <w:br w:type="page"/>
      </w:r>
      <w:r>
        <w:rPr>
          <w:rFonts w:hint="eastAsia" w:ascii="Times New Roman" w:hAnsi="Times New Roman"/>
          <w:highlight w:val="none"/>
        </w:rPr>
        <w:t>五、技术文件详细评审资料</w:t>
      </w:r>
    </w:p>
    <w:p>
      <w:pPr>
        <w:rPr>
          <w:highlight w:val="none"/>
        </w:rPr>
      </w:pPr>
      <w:r>
        <w:rPr>
          <w:rFonts w:hint="eastAsia" w:ascii="Times New Roman"/>
          <w:szCs w:val="24"/>
          <w:highlight w:val="none"/>
        </w:rPr>
        <w:t>投标人对照技术文件详细评审条件，自行提供其他相关资料（如有）</w:t>
      </w:r>
    </w:p>
    <w:p>
      <w:pPr>
        <w:spacing w:beforeLines="50" w:afterLines="50" w:line="360" w:lineRule="auto"/>
        <w:jc w:val="center"/>
        <w:outlineLvl w:val="3"/>
        <w:rPr>
          <w:bCs/>
          <w:szCs w:val="24"/>
          <w:highlight w:val="none"/>
        </w:rPr>
      </w:pPr>
      <w:r>
        <w:rPr>
          <w:rFonts w:hint="eastAsia"/>
          <w:bCs/>
          <w:szCs w:val="24"/>
          <w:highlight w:val="none"/>
        </w:rPr>
        <w:t>（一）供货及安装方案</w:t>
      </w:r>
    </w:p>
    <w:p>
      <w:pPr>
        <w:spacing w:beforeLines="50" w:afterLines="50" w:line="360" w:lineRule="auto"/>
        <w:jc w:val="center"/>
        <w:outlineLvl w:val="3"/>
        <w:rPr>
          <w:bCs/>
          <w:szCs w:val="24"/>
          <w:highlight w:val="none"/>
        </w:rPr>
      </w:pPr>
      <w:r>
        <w:rPr>
          <w:rFonts w:hint="eastAsia"/>
          <w:bCs/>
          <w:szCs w:val="24"/>
          <w:highlight w:val="none"/>
        </w:rPr>
        <w:br w:type="page"/>
      </w:r>
      <w:r>
        <w:rPr>
          <w:rFonts w:hint="eastAsia"/>
          <w:bCs/>
          <w:szCs w:val="24"/>
          <w:highlight w:val="none"/>
        </w:rPr>
        <w:t>（二）其他</w:t>
      </w:r>
    </w:p>
    <w:p>
      <w:pPr>
        <w:pStyle w:val="2"/>
        <w:spacing w:beforeLines="100" w:afterLines="100" w:line="240" w:lineRule="auto"/>
        <w:jc w:val="center"/>
        <w:rPr>
          <w:rFonts w:ascii="Times New Roman" w:hAnsi="Times New Roman"/>
          <w:highlight w:val="none"/>
        </w:rPr>
      </w:pPr>
      <w:r>
        <w:rPr>
          <w:rFonts w:hint="eastAsia" w:ascii="Times New Roman" w:hAnsi="Times New Roman"/>
          <w:highlight w:val="none"/>
        </w:rPr>
        <w:br w:type="page"/>
      </w:r>
      <w:r>
        <w:rPr>
          <w:rFonts w:hint="eastAsia" w:ascii="Times New Roman" w:hAnsi="Times New Roman"/>
          <w:highlight w:val="none"/>
        </w:rPr>
        <w:t>六、其他内容</w:t>
      </w:r>
    </w:p>
    <w:p>
      <w:pPr>
        <w:tabs>
          <w:tab w:val="left" w:pos="2580"/>
          <w:tab w:val="left" w:pos="5940"/>
        </w:tabs>
        <w:autoSpaceDE w:val="0"/>
        <w:autoSpaceDN w:val="0"/>
        <w:adjustRightInd w:val="0"/>
        <w:snapToGrid w:val="0"/>
        <w:spacing w:line="400" w:lineRule="exact"/>
        <w:ind w:firstLine="456" w:firstLineChars="200"/>
        <w:jc w:val="center"/>
        <w:rPr>
          <w:rFonts w:ascii="Times New Roman"/>
          <w:spacing w:val="-6"/>
          <w:szCs w:val="21"/>
          <w:highlight w:val="none"/>
        </w:rPr>
      </w:pPr>
      <w:r>
        <w:rPr>
          <w:rFonts w:hint="eastAsia" w:ascii="Times New Roman"/>
          <w:spacing w:val="-6"/>
          <w:szCs w:val="24"/>
          <w:highlight w:val="none"/>
        </w:rPr>
        <w:t>投标人根据自身情况可以自行增加相关内容，如无，本节可以不附</w:t>
      </w:r>
      <w:r>
        <w:rPr>
          <w:rFonts w:hint="eastAsia" w:ascii="Times New Roman"/>
          <w:spacing w:val="-6"/>
          <w:szCs w:val="21"/>
          <w:highlight w:val="none"/>
        </w:rPr>
        <w:t>。</w:t>
      </w:r>
    </w:p>
    <w:p>
      <w:pPr>
        <w:tabs>
          <w:tab w:val="left" w:pos="2580"/>
          <w:tab w:val="left" w:pos="5940"/>
        </w:tabs>
        <w:autoSpaceDE w:val="0"/>
        <w:autoSpaceDN w:val="0"/>
        <w:adjustRightInd w:val="0"/>
        <w:snapToGrid w:val="0"/>
        <w:spacing w:before="480" w:beforeLines="200" w:line="360" w:lineRule="auto"/>
        <w:jc w:val="center"/>
        <w:outlineLvl w:val="0"/>
        <w:rPr>
          <w:rFonts w:hint="eastAsia" w:ascii="Times New Roman"/>
          <w:b/>
          <w:bCs/>
          <w:color w:val="auto"/>
          <w:sz w:val="44"/>
          <w:szCs w:val="44"/>
          <w:highlight w:val="none"/>
        </w:rPr>
      </w:pPr>
      <w:r>
        <w:rPr>
          <w:rFonts w:hint="eastAsia" w:ascii="Times New Roman" w:eastAsia="黑体"/>
          <w:sz w:val="28"/>
          <w:szCs w:val="28"/>
          <w:highlight w:val="none"/>
          <w:u w:val="single"/>
        </w:rPr>
        <w:br w:type="page"/>
      </w:r>
      <w:r>
        <w:rPr>
          <w:rFonts w:hint="eastAsia" w:ascii="Times New Roman"/>
          <w:b/>
          <w:color w:val="auto"/>
          <w:sz w:val="44"/>
          <w:szCs w:val="44"/>
          <w:highlight w:val="none"/>
          <w:u w:val="single"/>
        </w:rPr>
        <w:t>（招标项目名称）</w:t>
      </w:r>
      <w:r>
        <w:rPr>
          <w:rFonts w:hint="eastAsia" w:ascii="Times New Roman"/>
          <w:color w:val="auto"/>
          <w:sz w:val="44"/>
          <w:szCs w:val="44"/>
          <w:highlight w:val="none"/>
        </w:rPr>
        <w:t xml:space="preserve"> </w:t>
      </w:r>
      <w:r>
        <w:rPr>
          <w:rFonts w:hint="eastAsia" w:ascii="Times New Roman"/>
          <w:bCs/>
          <w:color w:val="auto"/>
          <w:sz w:val="44"/>
          <w:szCs w:val="44"/>
          <w:highlight w:val="none"/>
          <w:u w:val="single"/>
        </w:rPr>
        <w:t xml:space="preserve">      </w:t>
      </w:r>
      <w:r>
        <w:rPr>
          <w:rFonts w:hint="eastAsia" w:ascii="Times New Roman"/>
          <w:b/>
          <w:color w:val="auto"/>
          <w:sz w:val="44"/>
          <w:szCs w:val="44"/>
          <w:highlight w:val="none"/>
        </w:rPr>
        <w:t>标段招标</w:t>
      </w:r>
    </w:p>
    <w:p>
      <w:pPr>
        <w:pStyle w:val="4"/>
        <w:spacing w:before="1200" w:beforeLines="500" w:after="240" w:afterLines="100" w:line="240" w:lineRule="auto"/>
        <w:jc w:val="center"/>
        <w:rPr>
          <w:rFonts w:hint="eastAsia" w:ascii="Times New Roman" w:hAnsi="Times New Roman" w:eastAsia="黑体"/>
          <w:b w:val="0"/>
          <w:color w:val="auto"/>
          <w:sz w:val="44"/>
          <w:szCs w:val="44"/>
          <w:highlight w:val="none"/>
        </w:rPr>
      </w:pPr>
      <w:bookmarkStart w:id="1068" w:name="_Toc20892"/>
      <w:bookmarkStart w:id="1069" w:name="_Toc7747"/>
      <w:r>
        <w:rPr>
          <w:rFonts w:hint="eastAsia" w:ascii="Times New Roman" w:hAnsi="Times New Roman" w:eastAsia="黑体"/>
          <w:b w:val="0"/>
          <w:color w:val="auto"/>
          <w:sz w:val="44"/>
          <w:szCs w:val="44"/>
          <w:highlight w:val="none"/>
        </w:rPr>
        <w:t>投标文件</w:t>
      </w:r>
      <w:bookmarkEnd w:id="1068"/>
    </w:p>
    <w:p>
      <w:pPr>
        <w:pStyle w:val="4"/>
        <w:jc w:val="center"/>
        <w:rPr>
          <w:rFonts w:hint="eastAsia" w:ascii="Times New Roman" w:hAnsi="Times New Roman" w:eastAsia="黑体"/>
          <w:b w:val="0"/>
          <w:color w:val="auto"/>
          <w:highlight w:val="none"/>
        </w:rPr>
      </w:pPr>
      <w:bookmarkStart w:id="1070" w:name="_Toc20930"/>
      <w:r>
        <w:rPr>
          <w:rFonts w:hint="eastAsia" w:ascii="Times New Roman" w:hAnsi="Times New Roman" w:eastAsia="黑体"/>
          <w:b w:val="0"/>
          <w:color w:val="auto"/>
          <w:highlight w:val="none"/>
        </w:rPr>
        <w:t>（报价文件）</w:t>
      </w:r>
      <w:bookmarkEnd w:id="1069"/>
      <w:bookmarkEnd w:id="1070"/>
    </w:p>
    <w:p>
      <w:pPr>
        <w:spacing w:before="7200" w:beforeLines="3000" w:line="480" w:lineRule="auto"/>
        <w:jc w:val="center"/>
        <w:rPr>
          <w:rFonts w:hint="eastAsia" w:ascii="Times New Roman" w:eastAsia="黑体"/>
          <w:color w:val="auto"/>
          <w:sz w:val="28"/>
          <w:szCs w:val="28"/>
          <w:highlight w:val="none"/>
        </w:rPr>
      </w:pPr>
      <w:bookmarkStart w:id="1071" w:name="_Toc19468"/>
      <w:bookmarkStart w:id="1072" w:name="_Toc28590"/>
      <w:bookmarkStart w:id="1073" w:name="_Toc9461"/>
      <w:bookmarkStart w:id="1074" w:name="_Toc11104"/>
      <w:r>
        <w:rPr>
          <w:rFonts w:hint="eastAsia" w:ascii="Times New Roman" w:eastAsia="黑体"/>
          <w:color w:val="auto"/>
          <w:sz w:val="28"/>
          <w:szCs w:val="28"/>
          <w:highlight w:val="none"/>
        </w:rPr>
        <w:t>投标人：</w:t>
      </w:r>
      <w:r>
        <w:rPr>
          <w:rFonts w:hint="eastAsia" w:ascii="Times New Roman" w:eastAsia="黑体"/>
          <w:color w:val="auto"/>
          <w:sz w:val="28"/>
          <w:szCs w:val="28"/>
          <w:highlight w:val="none"/>
          <w:u w:val="single"/>
        </w:rPr>
        <w:t xml:space="preserve">                               </w:t>
      </w:r>
      <w:r>
        <w:rPr>
          <w:rFonts w:hint="eastAsia" w:ascii="Times New Roman" w:eastAsia="黑体"/>
          <w:color w:val="auto"/>
          <w:sz w:val="28"/>
          <w:szCs w:val="28"/>
          <w:highlight w:val="none"/>
        </w:rPr>
        <w:t>（盖单位章）</w:t>
      </w:r>
      <w:bookmarkEnd w:id="1071"/>
      <w:bookmarkEnd w:id="1072"/>
      <w:bookmarkEnd w:id="1073"/>
      <w:bookmarkEnd w:id="1074"/>
    </w:p>
    <w:p>
      <w:pPr>
        <w:tabs>
          <w:tab w:val="left" w:pos="3280"/>
          <w:tab w:val="left" w:pos="4680"/>
          <w:tab w:val="left" w:pos="6080"/>
        </w:tabs>
        <w:autoSpaceDE w:val="0"/>
        <w:autoSpaceDN w:val="0"/>
        <w:adjustRightInd w:val="0"/>
        <w:snapToGrid w:val="0"/>
        <w:spacing w:line="480" w:lineRule="auto"/>
        <w:jc w:val="center"/>
        <w:rPr>
          <w:rFonts w:ascii="Times New Roman"/>
          <w:bCs/>
          <w:sz w:val="28"/>
          <w:szCs w:val="22"/>
          <w:highlight w:val="none"/>
        </w:rPr>
      </w:pPr>
      <w:r>
        <w:rPr>
          <w:rFonts w:hint="eastAsia" w:ascii="Times New Roman" w:eastAsia="黑体"/>
          <w:color w:val="auto"/>
          <w:sz w:val="28"/>
          <w:szCs w:val="28"/>
          <w:highlight w:val="none"/>
          <w:u w:val="single"/>
        </w:rPr>
        <w:t xml:space="preserve">    </w:t>
      </w:r>
      <w:bookmarkStart w:id="1075" w:name="_Toc30859"/>
      <w:bookmarkStart w:id="1076" w:name="_Toc9542"/>
      <w:bookmarkStart w:id="1077" w:name="_Toc2813"/>
      <w:bookmarkStart w:id="1078" w:name="_Toc27697"/>
      <w:r>
        <w:rPr>
          <w:rFonts w:hint="eastAsia" w:ascii="Times New Roman" w:eastAsia="黑体"/>
          <w:color w:val="auto"/>
          <w:sz w:val="28"/>
          <w:szCs w:val="28"/>
          <w:highlight w:val="none"/>
        </w:rPr>
        <w:t>年</w:t>
      </w:r>
      <w:r>
        <w:rPr>
          <w:rFonts w:hint="eastAsia" w:ascii="Times New Roman" w:eastAsia="黑体"/>
          <w:color w:val="auto"/>
          <w:sz w:val="28"/>
          <w:szCs w:val="28"/>
          <w:highlight w:val="none"/>
          <w:u w:val="single"/>
        </w:rPr>
        <w:t xml:space="preserve">   </w:t>
      </w:r>
      <w:r>
        <w:rPr>
          <w:rFonts w:hint="eastAsia" w:ascii="Times New Roman" w:eastAsia="黑体"/>
          <w:color w:val="auto"/>
          <w:sz w:val="28"/>
          <w:szCs w:val="28"/>
          <w:highlight w:val="none"/>
        </w:rPr>
        <w:t>月</w:t>
      </w:r>
      <w:r>
        <w:rPr>
          <w:rFonts w:hint="eastAsia" w:ascii="Times New Roman" w:eastAsia="黑体"/>
          <w:color w:val="auto"/>
          <w:sz w:val="28"/>
          <w:szCs w:val="28"/>
          <w:highlight w:val="none"/>
          <w:u w:val="single"/>
        </w:rPr>
        <w:t xml:space="preserve">   </w:t>
      </w:r>
      <w:r>
        <w:rPr>
          <w:rFonts w:hint="eastAsia" w:ascii="Times New Roman" w:eastAsia="黑体"/>
          <w:color w:val="auto"/>
          <w:sz w:val="28"/>
          <w:szCs w:val="28"/>
          <w:highlight w:val="none"/>
        </w:rPr>
        <w:t>日</w:t>
      </w:r>
      <w:bookmarkEnd w:id="1075"/>
      <w:bookmarkEnd w:id="1076"/>
      <w:bookmarkEnd w:id="1077"/>
      <w:bookmarkEnd w:id="1078"/>
    </w:p>
    <w:p>
      <w:pPr>
        <w:spacing w:beforeLines="100" w:afterLines="100" w:line="360" w:lineRule="auto"/>
        <w:ind w:firstLine="480" w:firstLineChars="200"/>
        <w:jc w:val="center"/>
        <w:rPr>
          <w:rFonts w:ascii="Times New Roman"/>
          <w:sz w:val="28"/>
          <w:szCs w:val="21"/>
          <w:highlight w:val="none"/>
        </w:rPr>
      </w:pPr>
      <w:bookmarkStart w:id="1079" w:name="_Toc460660235"/>
      <w:bookmarkStart w:id="1080" w:name="_Toc390411631"/>
      <w:bookmarkStart w:id="1081" w:name="_Toc460227120"/>
      <w:bookmarkStart w:id="1082" w:name="_Toc421917012"/>
      <w:r>
        <w:rPr>
          <w:rFonts w:hint="eastAsia" w:ascii="Times New Roman"/>
          <w:highlight w:val="none"/>
        </w:rPr>
        <w:br w:type="page"/>
      </w:r>
      <w:r>
        <w:rPr>
          <w:rFonts w:hint="eastAsia" w:ascii="Times New Roman"/>
          <w:sz w:val="28"/>
          <w:szCs w:val="21"/>
          <w:highlight w:val="none"/>
        </w:rPr>
        <w:t>目  录</w:t>
      </w:r>
    </w:p>
    <w:p>
      <w:pPr>
        <w:spacing w:line="360" w:lineRule="auto"/>
        <w:ind w:firstLine="480" w:firstLineChars="200"/>
        <w:rPr>
          <w:rFonts w:ascii="Times New Roman"/>
          <w:szCs w:val="21"/>
          <w:highlight w:val="none"/>
        </w:rPr>
      </w:pPr>
      <w:r>
        <w:rPr>
          <w:rFonts w:hint="eastAsia" w:ascii="Times New Roman"/>
          <w:szCs w:val="21"/>
          <w:highlight w:val="none"/>
        </w:rPr>
        <w:t>一、投标函</w:t>
      </w:r>
    </w:p>
    <w:p>
      <w:pPr>
        <w:spacing w:line="360" w:lineRule="auto"/>
        <w:ind w:firstLine="480" w:firstLineChars="200"/>
        <w:rPr>
          <w:highlight w:val="none"/>
        </w:rPr>
      </w:pPr>
      <w:r>
        <w:rPr>
          <w:rFonts w:hint="eastAsia" w:ascii="Times New Roman"/>
          <w:szCs w:val="21"/>
          <w:highlight w:val="none"/>
        </w:rPr>
        <w:t>二、</w:t>
      </w:r>
      <w:r>
        <w:rPr>
          <w:highlight w:val="none"/>
        </w:rPr>
        <w:t>分项报价表</w:t>
      </w:r>
    </w:p>
    <w:p>
      <w:pPr>
        <w:spacing w:line="360" w:lineRule="auto"/>
        <w:ind w:firstLine="480" w:firstLineChars="200"/>
        <w:rPr>
          <w:highlight w:val="none"/>
        </w:rPr>
      </w:pPr>
      <w:r>
        <w:rPr>
          <w:rFonts w:hint="eastAsia" w:ascii="Times New Roman"/>
          <w:szCs w:val="21"/>
          <w:highlight w:val="none"/>
        </w:rPr>
        <w:t>三、</w:t>
      </w:r>
      <w:r>
        <w:rPr>
          <w:rFonts w:hint="eastAsia"/>
          <w:highlight w:val="none"/>
        </w:rPr>
        <w:t>其他内容</w:t>
      </w:r>
    </w:p>
    <w:p>
      <w:pPr>
        <w:pStyle w:val="2"/>
        <w:spacing w:beforeLines="100" w:afterLines="100" w:line="240" w:lineRule="auto"/>
        <w:jc w:val="center"/>
        <w:rPr>
          <w:rFonts w:ascii="Times New Roman" w:hAnsi="Times New Roman"/>
          <w:highlight w:val="none"/>
        </w:rPr>
      </w:pPr>
      <w:bookmarkStart w:id="1083" w:name="_Toc14679"/>
      <w:bookmarkStart w:id="1084" w:name="_Toc4869"/>
      <w:bookmarkStart w:id="1085" w:name="_Toc16012"/>
      <w:bookmarkStart w:id="1086" w:name="_Toc20295"/>
      <w:r>
        <w:rPr>
          <w:rFonts w:hint="eastAsia" w:ascii="Times New Roman" w:hAnsi="Times New Roman"/>
          <w:highlight w:val="none"/>
        </w:rPr>
        <w:br w:type="page"/>
      </w:r>
      <w:bookmarkEnd w:id="1079"/>
      <w:bookmarkEnd w:id="1080"/>
      <w:bookmarkEnd w:id="1081"/>
      <w:bookmarkEnd w:id="1082"/>
      <w:bookmarkEnd w:id="1083"/>
      <w:bookmarkEnd w:id="1084"/>
      <w:bookmarkEnd w:id="1085"/>
      <w:bookmarkEnd w:id="1086"/>
      <w:r>
        <w:rPr>
          <w:rFonts w:hint="eastAsia" w:ascii="Times New Roman" w:hAnsi="Times New Roman"/>
          <w:highlight w:val="none"/>
        </w:rPr>
        <w:t>一、投标函</w:t>
      </w:r>
    </w:p>
    <w:p>
      <w:pPr>
        <w:adjustRightInd w:val="0"/>
        <w:snapToGrid w:val="0"/>
        <w:spacing w:line="360" w:lineRule="auto"/>
        <w:rPr>
          <w:rFonts w:hint="eastAsia" w:hAnsi="宋体" w:cs="宋体"/>
          <w:color w:val="auto"/>
          <w:highlight w:val="none"/>
          <w:u w:val="single"/>
        </w:rPr>
      </w:pPr>
      <w:r>
        <w:rPr>
          <w:rFonts w:hint="eastAsia" w:hAnsi="宋体" w:cs="宋体"/>
          <w:color w:val="auto"/>
          <w:highlight w:val="none"/>
          <w:u w:val="none"/>
          <w:lang w:val="en-US" w:eastAsia="zh-CN"/>
        </w:rPr>
        <w:t>致：</w:t>
      </w:r>
      <w:r>
        <w:rPr>
          <w:rFonts w:hint="eastAsia" w:hAnsi="宋体" w:cs="宋体"/>
          <w:color w:val="auto"/>
          <w:highlight w:val="none"/>
          <w:u w:val="single"/>
        </w:rPr>
        <w:t>（招标人）</w:t>
      </w:r>
    </w:p>
    <w:p>
      <w:pPr>
        <w:tabs>
          <w:tab w:val="left" w:pos="7560"/>
        </w:tabs>
        <w:adjustRightInd w:val="0"/>
        <w:snapToGrid w:val="0"/>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1. 我方已仔细研究了</w:t>
      </w:r>
      <w:r>
        <w:rPr>
          <w:rFonts w:hint="eastAsia" w:hAnsi="宋体"/>
          <w:color w:val="auto"/>
          <w:sz w:val="24"/>
          <w:highlight w:val="none"/>
          <w:u w:val="single"/>
        </w:rPr>
        <w:t>（招标项目名称）</w:t>
      </w: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标段</w:t>
      </w:r>
      <w:r>
        <w:rPr>
          <w:rFonts w:hint="eastAsia" w:ascii="宋体" w:hAnsi="宋体" w:cs="宋体"/>
          <w:color w:val="auto"/>
          <w:sz w:val="24"/>
          <w:highlight w:val="none"/>
        </w:rPr>
        <w:t>招标文件的全部内容，愿意以人民币（大写）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）的投标总报价提供招标文件要求的货物、安装及技术服务和质保售后服务等，并按合同约定履行义务。</w:t>
      </w:r>
    </w:p>
    <w:p>
      <w:pPr>
        <w:adjustRightInd w:val="0"/>
        <w:snapToGrid w:val="0"/>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2. 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3. 除非另外达成协议并生效，你方的中标通知书和本投标文件以及招标文件、招标文件澄清、修改、补充文件将成为约束双方的合同文件的组成部分。</w:t>
      </w:r>
    </w:p>
    <w:p>
      <w:pPr>
        <w:adjustRightInd w:val="0"/>
        <w:snapToGrid w:val="0"/>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4. 其他补充说明：</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（补充说明事项）</w:t>
      </w:r>
    </w:p>
    <w:p>
      <w:pPr>
        <w:adjustRightInd w:val="0"/>
        <w:snapToGrid w:val="0"/>
        <w:spacing w:line="360" w:lineRule="auto"/>
        <w:ind w:firstLine="420" w:firstLineChars="175"/>
        <w:rPr>
          <w:rFonts w:hint="eastAsia" w:ascii="宋体" w:hAnsi="宋体" w:cs="宋体"/>
          <w:bCs/>
          <w:color w:val="auto"/>
          <w:sz w:val="24"/>
          <w:highlight w:val="none"/>
        </w:rPr>
      </w:pPr>
    </w:p>
    <w:p>
      <w:pPr>
        <w:adjustRightInd w:val="0"/>
        <w:snapToGrid w:val="0"/>
        <w:spacing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rPr>
        <w:t>投 标 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（盖单位章）</w:t>
      </w:r>
    </w:p>
    <w:p>
      <w:pPr>
        <w:adjustRightInd w:val="0"/>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法定代表人（单位负责人）：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pPr>
        <w:adjustRightInd w:val="0"/>
        <w:snapToGrid w:val="0"/>
        <w:spacing w:line="360" w:lineRule="auto"/>
        <w:ind w:left="125" w:leftChars="52"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单位地址：</w:t>
      </w:r>
      <w:r>
        <w:rPr>
          <w:rFonts w:hint="eastAsia" w:ascii="宋体" w:hAnsi="宋体" w:cs="宋体"/>
          <w:color w:val="auto"/>
          <w:sz w:val="24"/>
          <w:highlight w:val="none"/>
          <w:u w:val="single"/>
        </w:rPr>
        <w:t xml:space="preserve">                                                       </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邮政编码：</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adjustRightInd w:val="0"/>
        <w:snapToGrid w:val="0"/>
        <w:spacing w:line="360" w:lineRule="auto"/>
        <w:ind w:firstLine="480" w:firstLineChars="200"/>
        <w:rPr>
          <w:rFonts w:hAnsi="宋体" w:cs="宋体"/>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adjustRightInd w:val="0"/>
        <w:snapToGrid w:val="0"/>
        <w:spacing w:beforeLines="20" w:afterLines="20" w:line="400" w:lineRule="exact"/>
        <w:rPr>
          <w:szCs w:val="22"/>
          <w:highlight w:val="none"/>
        </w:rPr>
      </w:pPr>
      <w:r>
        <w:rPr>
          <w:szCs w:val="22"/>
          <w:highlight w:val="none"/>
        </w:rPr>
        <w:br w:type="page"/>
      </w:r>
    </w:p>
    <w:p>
      <w:pPr>
        <w:pStyle w:val="2"/>
        <w:jc w:val="center"/>
        <w:rPr>
          <w:rFonts w:cs="黑体"/>
          <w:highlight w:val="none"/>
        </w:rPr>
      </w:pPr>
      <w:bookmarkStart w:id="1087" w:name="_Toc460660237"/>
      <w:bookmarkStart w:id="1088" w:name="_Toc460227122"/>
      <w:bookmarkStart w:id="1089" w:name="_Toc421917014"/>
      <w:r>
        <w:rPr>
          <w:rFonts w:hint="eastAsia" w:cs="黑体"/>
          <w:highlight w:val="none"/>
        </w:rPr>
        <w:t>二、</w:t>
      </w:r>
      <w:bookmarkEnd w:id="1087"/>
      <w:bookmarkEnd w:id="1088"/>
      <w:bookmarkEnd w:id="1089"/>
      <w:r>
        <w:rPr>
          <w:rFonts w:hint="eastAsia" w:cs="黑体"/>
          <w:highlight w:val="none"/>
        </w:rPr>
        <w:t>分项报价表</w:t>
      </w:r>
    </w:p>
    <w:p>
      <w:pPr>
        <w:spacing w:line="360" w:lineRule="auto"/>
        <w:ind w:firstLine="480" w:firstLineChars="200"/>
        <w:rPr>
          <w:rFonts w:hAnsi="宋体" w:cs="宋体"/>
          <w:highlight w:val="none"/>
        </w:rPr>
      </w:pPr>
      <w:r>
        <w:rPr>
          <w:rFonts w:hint="eastAsia" w:hAnsi="宋体" w:cs="宋体"/>
          <w:highlight w:val="none"/>
        </w:rPr>
        <w:t>1.分项报价表说明</w:t>
      </w:r>
    </w:p>
    <w:p>
      <w:pPr>
        <w:spacing w:line="360" w:lineRule="auto"/>
        <w:ind w:firstLine="480" w:firstLineChars="200"/>
        <w:rPr>
          <w:rFonts w:hAnsi="宋体" w:cs="宋体"/>
          <w:highlight w:val="none"/>
        </w:rPr>
      </w:pPr>
      <w:r>
        <w:rPr>
          <w:rFonts w:hint="eastAsia" w:hAnsi="宋体" w:cs="宋体"/>
          <w:highlight w:val="none"/>
        </w:rPr>
        <w:t>2.分项报价表</w:t>
      </w:r>
    </w:p>
    <w:p>
      <w:pPr>
        <w:rPr>
          <w:highlight w:val="none"/>
        </w:rPr>
      </w:pPr>
    </w:p>
    <w:p>
      <w:pPr>
        <w:spacing w:line="360" w:lineRule="auto"/>
        <w:jc w:val="center"/>
        <w:rPr>
          <w:rFonts w:hAnsi="宋体" w:cs="宋体"/>
          <w:highlight w:val="none"/>
        </w:rPr>
      </w:pPr>
      <w:r>
        <w:rPr>
          <w:rFonts w:hint="eastAsia" w:hAnsi="宋体" w:cs="宋体"/>
          <w:highlight w:val="none"/>
        </w:rPr>
        <w:t>表1  分项报价汇总表</w:t>
      </w:r>
    </w:p>
    <w:p>
      <w:pPr>
        <w:spacing w:line="360" w:lineRule="auto"/>
        <w:rPr>
          <w:rFonts w:hAnsi="宋体" w:cs="宋体"/>
          <w:highlight w:val="none"/>
        </w:rPr>
      </w:pPr>
      <w:r>
        <w:rPr>
          <w:rFonts w:hint="eastAsia" w:hAnsi="宋体" w:cs="宋体"/>
          <w:highlight w:val="none"/>
        </w:rPr>
        <w:t xml:space="preserve">项目名称：                                       </w:t>
      </w:r>
    </w:p>
    <w:tbl>
      <w:tblPr>
        <w:tblStyle w:val="52"/>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230"/>
        <w:gridCol w:w="4584"/>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序号</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表号</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名称</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1</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szCs w:val="24"/>
                <w:highlight w:val="none"/>
              </w:rPr>
            </w:pPr>
            <w:r>
              <w:rPr>
                <w:rFonts w:hint="eastAsia" w:hAnsi="宋体" w:cs="宋体"/>
                <w:szCs w:val="24"/>
                <w:highlight w:val="none"/>
              </w:rPr>
              <w:t>表1-1</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Cs w:val="24"/>
                <w:highlight w:val="none"/>
              </w:rPr>
            </w:pPr>
            <w:r>
              <w:rPr>
                <w:rFonts w:hint="eastAsia" w:hAnsi="宋体" w:cs="宋体"/>
                <w:szCs w:val="24"/>
                <w:highlight w:val="none"/>
              </w:rPr>
              <w:t>货物及安装（如有）报价</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2</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szCs w:val="24"/>
                <w:highlight w:val="none"/>
              </w:rPr>
            </w:pPr>
            <w:r>
              <w:rPr>
                <w:rFonts w:hint="eastAsia" w:hAnsi="宋体" w:cs="宋体"/>
                <w:szCs w:val="24"/>
                <w:highlight w:val="none"/>
              </w:rPr>
              <w:t>表1-2</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Cs w:val="24"/>
                <w:highlight w:val="none"/>
              </w:rPr>
            </w:pPr>
            <w:r>
              <w:rPr>
                <w:rFonts w:hint="eastAsia" w:hAnsi="宋体" w:cs="宋体"/>
                <w:szCs w:val="24"/>
                <w:highlight w:val="none"/>
              </w:rPr>
              <w:t>暂定金（如有）</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3</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ind w:firstLine="240" w:firstLineChars="100"/>
              <w:rPr>
                <w:rFonts w:hAnsi="宋体" w:cs="宋体"/>
                <w:szCs w:val="24"/>
                <w:highlight w:val="none"/>
              </w:rPr>
            </w:pPr>
            <w:r>
              <w:rPr>
                <w:rFonts w:hint="eastAsia" w:hAnsi="宋体" w:cs="宋体"/>
                <w:szCs w:val="24"/>
                <w:highlight w:val="none"/>
              </w:rPr>
              <w:t>表1-3</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Cs w:val="24"/>
                <w:highlight w:val="none"/>
              </w:rPr>
            </w:pPr>
            <w:r>
              <w:rPr>
                <w:rFonts w:hint="eastAsia" w:hAnsi="宋体" w:cs="宋体"/>
                <w:szCs w:val="24"/>
                <w:highlight w:val="none"/>
              </w:rPr>
              <w:t>其他（如有）</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4</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szCs w:val="21"/>
                <w:highlight w:val="none"/>
              </w:rPr>
              <w:t>……</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5</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Ansi="宋体" w:cs="宋体"/>
                <w:highlight w:val="none"/>
              </w:rPr>
              <w:t>…</w:t>
            </w:r>
            <w:r>
              <w:rPr>
                <w:rFonts w:hint="eastAsia" w:hAnsi="宋体" w:cs="宋体"/>
                <w:highlight w:val="none"/>
              </w:rPr>
              <w:t>.</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Ansi="宋体" w:cs="宋体"/>
                <w:highlight w:val="none"/>
              </w:rPr>
            </w:pPr>
            <w:r>
              <w:rPr>
                <w:rFonts w:hint="eastAsia" w:hAnsi="宋体" w:cs="宋体"/>
                <w:highlight w:val="none"/>
              </w:rPr>
              <w:t>投标总报价等于序号项之和，转入投标函中（等于投标函中的投标总报价）</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bl>
    <w:p>
      <w:pPr>
        <w:snapToGrid w:val="0"/>
        <w:spacing w:line="360" w:lineRule="auto"/>
        <w:ind w:firstLine="480" w:firstLineChars="200"/>
        <w:jc w:val="left"/>
        <w:rPr>
          <w:highlight w:val="none"/>
        </w:rPr>
      </w:pPr>
      <w:r>
        <w:rPr>
          <w:rFonts w:hint="eastAsia"/>
          <w:highlight w:val="none"/>
        </w:rPr>
        <w:t>注1：货物及安装报价包括货物、安装、调试、考核（检测）验收、培训等内容。</w:t>
      </w:r>
    </w:p>
    <w:p>
      <w:pPr>
        <w:snapToGrid w:val="0"/>
        <w:spacing w:line="360" w:lineRule="auto"/>
        <w:ind w:firstLine="480" w:firstLineChars="200"/>
        <w:jc w:val="left"/>
        <w:rPr>
          <w:highlight w:val="none"/>
        </w:rPr>
      </w:pPr>
      <w:r>
        <w:rPr>
          <w:rFonts w:hint="eastAsia"/>
          <w:highlight w:val="none"/>
        </w:rPr>
        <w:t>注2：投标报价均为含税价。</w:t>
      </w:r>
    </w:p>
    <w:p>
      <w:pPr>
        <w:spacing w:line="360" w:lineRule="auto"/>
        <w:ind w:firstLine="480" w:firstLineChars="200"/>
        <w:rPr>
          <w:rFonts w:hAnsi="宋体" w:cs="宋体"/>
          <w:highlight w:val="none"/>
        </w:rPr>
      </w:pPr>
      <w:r>
        <w:rPr>
          <w:rFonts w:hint="eastAsia"/>
          <w:highlight w:val="none"/>
        </w:rPr>
        <w:t>注3：本表供招标人参考，可根据项目情况按照设备分项、安装分项、备品备件等分项分别报价</w:t>
      </w:r>
    </w:p>
    <w:p>
      <w:pPr>
        <w:rPr>
          <w:highlight w:val="none"/>
        </w:rPr>
      </w:pPr>
      <w:r>
        <w:rPr>
          <w:highlight w:val="none"/>
        </w:rPr>
        <w:br w:type="page"/>
      </w:r>
    </w:p>
    <w:p>
      <w:pPr>
        <w:spacing w:line="360" w:lineRule="auto"/>
        <w:jc w:val="center"/>
        <w:rPr>
          <w:rFonts w:hAnsi="宋体" w:cs="宋体"/>
          <w:szCs w:val="24"/>
          <w:highlight w:val="none"/>
        </w:rPr>
      </w:pPr>
      <w:r>
        <w:rPr>
          <w:rFonts w:hint="eastAsia" w:hAnsi="宋体" w:cs="宋体"/>
          <w:szCs w:val="24"/>
          <w:highlight w:val="none"/>
        </w:rPr>
        <w:t>表1-1  货物及安装分项报价表</w:t>
      </w:r>
    </w:p>
    <w:tbl>
      <w:tblPr>
        <w:tblStyle w:val="5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943"/>
        <w:gridCol w:w="454"/>
        <w:gridCol w:w="856"/>
        <w:gridCol w:w="1328"/>
        <w:gridCol w:w="638"/>
        <w:gridCol w:w="477"/>
        <w:gridCol w:w="1123"/>
        <w:gridCol w:w="111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序号</w:t>
            </w:r>
          </w:p>
        </w:tc>
        <w:tc>
          <w:tcPr>
            <w:tcW w:w="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货物名称</w:t>
            </w:r>
          </w:p>
        </w:tc>
        <w:tc>
          <w:tcPr>
            <w:tcW w:w="2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规格</w:t>
            </w:r>
          </w:p>
        </w:tc>
        <w:tc>
          <w:tcPr>
            <w:tcW w:w="5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品牌</w:t>
            </w:r>
          </w:p>
        </w:tc>
        <w:tc>
          <w:tcPr>
            <w:tcW w:w="7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制造商/生产商</w:t>
            </w:r>
          </w:p>
        </w:tc>
        <w:tc>
          <w:tcPr>
            <w:tcW w:w="3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单位</w:t>
            </w:r>
          </w:p>
        </w:tc>
        <w:tc>
          <w:tcPr>
            <w:tcW w:w="2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数量</w:t>
            </w: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单价（元）</w:t>
            </w: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合价（元）</w:t>
            </w: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55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78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7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7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801" w:type="pct"/>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合计（转入表1）</w:t>
            </w: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注：货物及安装分项报价的汇总金额转入表1，计入本项目投标总价。</w:t>
            </w:r>
          </w:p>
        </w:tc>
      </w:tr>
    </w:tbl>
    <w:p>
      <w:pPr>
        <w:spacing w:line="360" w:lineRule="auto"/>
        <w:jc w:val="center"/>
        <w:rPr>
          <w:rFonts w:hAnsi="宋体" w:cs="宋体"/>
          <w:bCs/>
          <w:szCs w:val="24"/>
          <w:highlight w:val="none"/>
        </w:rPr>
      </w:pPr>
    </w:p>
    <w:p>
      <w:pPr>
        <w:spacing w:line="360" w:lineRule="auto"/>
        <w:jc w:val="center"/>
        <w:rPr>
          <w:rFonts w:hAnsi="宋体" w:cs="宋体"/>
          <w:bCs/>
          <w:szCs w:val="24"/>
          <w:highlight w:val="none"/>
        </w:rPr>
      </w:pPr>
      <w:r>
        <w:rPr>
          <w:rFonts w:hint="eastAsia" w:hAnsi="宋体" w:cs="宋体"/>
          <w:bCs/>
          <w:szCs w:val="24"/>
          <w:highlight w:val="none"/>
        </w:rPr>
        <w:br w:type="page"/>
      </w:r>
      <w:r>
        <w:rPr>
          <w:rFonts w:hint="eastAsia" w:hAnsi="宋体" w:cs="宋体"/>
          <w:szCs w:val="24"/>
          <w:highlight w:val="none"/>
        </w:rPr>
        <w:t>表1-2  暂定金（如有）</w:t>
      </w:r>
    </w:p>
    <w:tbl>
      <w:tblPr>
        <w:tblStyle w:val="5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944"/>
        <w:gridCol w:w="2581"/>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序号</w:t>
            </w: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项目</w:t>
            </w:r>
          </w:p>
        </w:tc>
        <w:tc>
          <w:tcPr>
            <w:tcW w:w="15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内容</w:t>
            </w: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暂定金（元）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5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5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5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750"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合计（转入表1）</w:t>
            </w: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snapToGrid w:val="0"/>
              <w:spacing w:line="360" w:lineRule="auto"/>
              <w:rPr>
                <w:rFonts w:hAnsi="宋体" w:cs="宋体"/>
                <w:bCs/>
                <w:szCs w:val="24"/>
                <w:highlight w:val="none"/>
              </w:rPr>
            </w:pPr>
            <w:r>
              <w:rPr>
                <w:rFonts w:hint="eastAsia" w:hAnsi="宋体" w:cs="宋体"/>
                <w:bCs/>
                <w:szCs w:val="24"/>
                <w:highlight w:val="none"/>
              </w:rPr>
              <w:t>注：本表中金额为招标人为本项目设定的暂定金，投标人不应对此费用金额做出任何修改，并将此费用转入表1，计入本项目投标总价。</w:t>
            </w:r>
          </w:p>
        </w:tc>
      </w:tr>
    </w:tbl>
    <w:p>
      <w:pPr>
        <w:pStyle w:val="2"/>
        <w:spacing w:beforeLines="100" w:afterLines="100" w:line="240" w:lineRule="auto"/>
        <w:jc w:val="center"/>
        <w:rPr>
          <w:rFonts w:ascii="Times New Roman" w:hAnsi="Times New Roman"/>
          <w:highlight w:val="none"/>
        </w:rPr>
      </w:pPr>
      <w:r>
        <w:rPr>
          <w:rFonts w:hint="eastAsia" w:eastAsia="宋体"/>
          <w:highlight w:val="none"/>
        </w:rPr>
        <w:br w:type="page"/>
      </w:r>
      <w:r>
        <w:rPr>
          <w:rFonts w:hint="eastAsia" w:ascii="Times New Roman" w:hAnsi="Times New Roman"/>
          <w:highlight w:val="none"/>
        </w:rPr>
        <w:t>三、其他内容</w:t>
      </w:r>
    </w:p>
    <w:p>
      <w:pPr>
        <w:tabs>
          <w:tab w:val="left" w:pos="2580"/>
          <w:tab w:val="left" w:pos="5940"/>
        </w:tabs>
        <w:autoSpaceDE w:val="0"/>
        <w:autoSpaceDN w:val="0"/>
        <w:adjustRightInd w:val="0"/>
        <w:snapToGrid w:val="0"/>
        <w:spacing w:line="400" w:lineRule="exact"/>
        <w:ind w:firstLine="456" w:firstLineChars="200"/>
        <w:jc w:val="center"/>
        <w:rPr>
          <w:rFonts w:ascii="Times New Roman"/>
          <w:spacing w:val="-6"/>
          <w:szCs w:val="21"/>
          <w:highlight w:val="none"/>
        </w:rPr>
      </w:pPr>
      <w:r>
        <w:rPr>
          <w:rFonts w:hint="eastAsia" w:ascii="Times New Roman"/>
          <w:spacing w:val="-6"/>
          <w:szCs w:val="24"/>
          <w:highlight w:val="none"/>
        </w:rPr>
        <w:t>投标人根据自身情况可以自行增加相关内容，如无，本节可以不附</w:t>
      </w:r>
      <w:r>
        <w:rPr>
          <w:rFonts w:hint="eastAsia" w:ascii="Times New Roman"/>
          <w:spacing w:val="-6"/>
          <w:szCs w:val="21"/>
          <w:highlight w:val="none"/>
        </w:rPr>
        <w:t>。</w:t>
      </w:r>
    </w:p>
    <w:p>
      <w:pPr>
        <w:spacing w:line="360" w:lineRule="auto"/>
        <w:rPr>
          <w:highlight w:val="none"/>
        </w:rPr>
      </w:pPr>
    </w:p>
    <w:sectPr>
      <w:headerReference r:id="rId4" w:type="default"/>
      <w:footerReference r:id="rId5" w:type="default"/>
      <w:footerReference r:id="rId6" w:type="even"/>
      <w:footnotePr>
        <w:numFmt w:val="decimalEnclosedCircleChinese"/>
        <w:numRestart w:val="eachPage"/>
      </w:footnotePr>
      <w:pgSz w:w="11906" w:h="16838"/>
      <w:pgMar w:top="1440" w:right="1803" w:bottom="1440" w:left="1803"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Sylfaen">
    <w:panose1 w:val="010A0502050306030303"/>
    <w:charset w:val="00"/>
    <w:family w:val="roman"/>
    <w:pitch w:val="default"/>
    <w:sig w:usb0="040006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创艺简黑体">
    <w:altName w:val="黑体"/>
    <w:panose1 w:val="00000000000000000000"/>
    <w:charset w:val="86"/>
    <w:family w:val="auto"/>
    <w:pitch w:val="default"/>
    <w:sig w:usb0="00000000" w:usb1="00000000" w:usb2="00000010" w:usb3="00000000" w:csb0="0004000A"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pict>
        <v:shape id="文本框 5" o:spid="_x0000_s1026" o:spt="202" type="#_x0000_t202" style="position:absolute;left:0pt;margin-top:0pt;height:24.05pt;width:31.6pt;mso-position-horizontal:center;mso-position-horizontal-relative:margin;z-index:251659264;mso-width-relative:page;mso-height-relative:page;" filled="f" stroked="f" coordsize="21600,21600" o:gfxdata="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nHUg1AAAAAMBAAAPAAAAAAAAAAEAIAAAACIAAABkcnMvZG93bnJldi54bWxQSwECFAAUAAAA&#10;CACHTuJAeUAh0LkBAABxAwAADgAAAAAAAAABACAAAAAjAQAAZHJzL2Uyb0RvYy54bWxQSwUGAAAA&#10;AAYABgBZAQAATgUAAAAA&#10;">
          <v:path/>
          <v:fill on="f" focussize="0,0"/>
          <v:stroke on="f" joinstyle="miter"/>
          <v:imagedata o:title=""/>
          <o:lock v:ext="edit"/>
          <v:textbox inset="0mm,0mm,0mm,0mm">
            <w:txbxContent>
              <w:p>
                <w:pPr>
                  <w:pStyle w:val="32"/>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22</w:t>
                </w:r>
                <w:r>
                  <w:rPr>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6"/>
      </w:rPr>
    </w:pPr>
    <w:r>
      <w:fldChar w:fldCharType="begin"/>
    </w:r>
    <w:r>
      <w:rPr>
        <w:rStyle w:val="56"/>
      </w:rPr>
      <w:instrText xml:space="preserve">PAGE  </w:instrText>
    </w:r>
    <w:r>
      <w:fldChar w:fldCharType="end"/>
    </w:r>
  </w:p>
  <w:p>
    <w:pPr>
      <w:pStyle w:val="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41"/>
        <w:rPr>
          <w:rFonts w:cs="楷体"/>
          <w:bCs/>
          <w:snapToGrid w:val="0"/>
          <w:color w:val="000000"/>
        </w:rPr>
      </w:pPr>
      <w:r>
        <w:rPr>
          <w:rStyle w:val="67"/>
          <w:rFonts w:cs="楷体"/>
          <w:bCs/>
          <w:snapToGrid w:val="0"/>
          <w:color w:val="000000"/>
          <w:sz w:val="21"/>
          <w:szCs w:val="21"/>
        </w:rPr>
        <w:footnoteRef/>
      </w:r>
      <w:r>
        <w:rPr>
          <w:rFonts w:hint="eastAsia" w:cs="楷体"/>
          <w:bCs/>
          <w:snapToGrid w:val="0"/>
          <w:color w:val="000000"/>
        </w:rPr>
        <w:t>本条内容可修改为：“本担保自（生效日期）之日起生效，至（失效日期）之日失效。” 如买方接受履约保函采用固定有效期，在项目专用合同条款中应增加保证卖方在履约保函失效日前向买方出具后续阶段履约保函的约束性条款，直至买方签发合同货物验收证书或验收款支付函且卖方按照合同约定缴纳质量保证金之日为止。</w:t>
      </w:r>
    </w:p>
  </w:footnote>
  <w:footnote w:id="1">
    <w:p>
      <w:pPr>
        <w:pStyle w:val="41"/>
        <w:rPr>
          <w:color w:val="000000"/>
        </w:rPr>
      </w:pPr>
      <w:r>
        <w:rPr>
          <w:rStyle w:val="67"/>
          <w:color w:val="000000"/>
        </w:rPr>
        <w:footnoteRef/>
      </w:r>
      <w:r>
        <w:rPr>
          <w:rFonts w:hint="eastAsia"/>
          <w:color w:val="000000"/>
        </w:rPr>
        <w:t>适用于招标文件要求提供“项目负责人”的情形。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rPr>
        <w:rFonts w:hint="eastAsia"/>
      </w:rPr>
      <w:t>建筑智能化项目招标示范文本（</w:t>
    </w:r>
    <w:r>
      <w:rPr>
        <w:rFonts w:hint="eastAsia"/>
        <w:lang w:val="en-US" w:eastAsia="zh-CN"/>
      </w:rPr>
      <w:t>一次平均</w:t>
    </w:r>
    <w:r>
      <w:rPr>
        <w:rFonts w:hint="eastAsia"/>
      </w:rPr>
      <w:t>202</w:t>
    </w:r>
    <w:r>
      <w:rPr>
        <w:rFonts w:hint="eastAsia"/>
        <w:lang w:val="en-US" w:eastAsia="zh-CN"/>
      </w:rPr>
      <w:t>507</w:t>
    </w:r>
    <w:r>
      <w:rPr>
        <w:rFonts w:hint="eastAsia"/>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7C9C7"/>
    <w:multiLevelType w:val="singleLevel"/>
    <w:tmpl w:val="9617C9C7"/>
    <w:lvl w:ilvl="0" w:tentative="0">
      <w:start w:val="3"/>
      <w:numFmt w:val="chineseCounting"/>
      <w:suff w:val="nothing"/>
      <w:lvlText w:val="（%1）"/>
      <w:lvlJc w:val="left"/>
      <w:rPr>
        <w:rFonts w:hint="eastAsia"/>
      </w:rPr>
    </w:lvl>
  </w:abstractNum>
  <w:abstractNum w:abstractNumId="1">
    <w:nsid w:val="D59201F4"/>
    <w:multiLevelType w:val="singleLevel"/>
    <w:tmpl w:val="D59201F4"/>
    <w:lvl w:ilvl="0" w:tentative="0">
      <w:start w:val="1"/>
      <w:numFmt w:val="decimal"/>
      <w:lvlText w:val="%1"/>
      <w:lvlJc w:val="left"/>
      <w:pPr>
        <w:tabs>
          <w:tab w:val="left" w:pos="420"/>
        </w:tabs>
        <w:ind w:left="425" w:hanging="425"/>
      </w:pPr>
      <w:rPr>
        <w:rFonts w:hint="default"/>
      </w:rPr>
    </w:lvl>
  </w:abstractNum>
  <w:abstractNum w:abstractNumId="2">
    <w:nsid w:val="0000000A"/>
    <w:multiLevelType w:val="singleLevel"/>
    <w:tmpl w:val="0000000A"/>
    <w:lvl w:ilvl="0" w:tentative="0">
      <w:start w:val="1"/>
      <w:numFmt w:val="decimal"/>
      <w:suff w:val="nothing"/>
      <w:lvlText w:val="（%1）"/>
      <w:lvlJc w:val="left"/>
      <w:pPr>
        <w:tabs>
          <w:tab w:val="left" w:pos="0"/>
        </w:tabs>
        <w:ind w:left="0" w:firstLine="0"/>
      </w:pPr>
    </w:lvl>
  </w:abstractNum>
  <w:abstractNum w:abstractNumId="3">
    <w:nsid w:val="434E7049"/>
    <w:multiLevelType w:val="singleLevel"/>
    <w:tmpl w:val="434E7049"/>
    <w:lvl w:ilvl="0" w:tentative="0">
      <w:start w:val="1"/>
      <w:numFmt w:val="decimal"/>
      <w:suff w:val="space"/>
      <w:lvlText w:val="%1."/>
      <w:lvlJc w:val="left"/>
    </w:lvl>
  </w:abstractNum>
  <w:abstractNum w:abstractNumId="4">
    <w:nsid w:val="76D617AF"/>
    <w:multiLevelType w:val="singleLevel"/>
    <w:tmpl w:val="76D617AF"/>
    <w:lvl w:ilvl="0" w:tentative="0">
      <w:start w:val="6"/>
      <w:numFmt w:val="decimal"/>
      <w:suff w:val="space"/>
      <w:lvlText w:val="%1."/>
      <w:lvlJc w:val="left"/>
    </w:lvl>
  </w:abstractNum>
  <w:abstractNum w:abstractNumId="5">
    <w:nsid w:val="7F7E5238"/>
    <w:multiLevelType w:val="multilevel"/>
    <w:tmpl w:val="7F7E5238"/>
    <w:lvl w:ilvl="0" w:tentative="0">
      <w:start w:val="1"/>
      <w:numFmt w:val="none"/>
      <w:pStyle w:val="137"/>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50"/>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42"/>
      <w:lvlText w:val="           "/>
      <w:lvlJc w:val="left"/>
      <w:pPr>
        <w:tabs>
          <w:tab w:val="left" w:pos="1440"/>
        </w:tabs>
        <w:ind w:left="1152" w:hanging="1152"/>
      </w:pPr>
      <w:rPr>
        <w:rFonts w:hint="eastAsia"/>
      </w:rPr>
    </w:lvl>
    <w:lvl w:ilvl="6" w:tentative="0">
      <w:start w:val="1"/>
      <w:numFmt w:val="decimal"/>
      <w:pStyle w:val="144"/>
      <w:lvlText w:val="%1.%2.%3.%4.%5.%6.%7"/>
      <w:lvlJc w:val="left"/>
      <w:pPr>
        <w:tabs>
          <w:tab w:val="left" w:pos="2520"/>
        </w:tabs>
        <w:ind w:left="1296" w:hanging="1296"/>
      </w:pPr>
      <w:rPr>
        <w:rFonts w:hint="eastAsia"/>
      </w:rPr>
    </w:lvl>
    <w:lvl w:ilvl="7" w:tentative="0">
      <w:start w:val="1"/>
      <w:numFmt w:val="decimal"/>
      <w:pStyle w:val="146"/>
      <w:lvlText w:val="%1.%2.%3.%4.%5.%6.%7.%8"/>
      <w:lvlJc w:val="left"/>
      <w:pPr>
        <w:tabs>
          <w:tab w:val="left" w:pos="1440"/>
        </w:tabs>
        <w:ind w:left="1440" w:hanging="1440"/>
      </w:pPr>
      <w:rPr>
        <w:rFonts w:hint="eastAsia"/>
      </w:rPr>
    </w:lvl>
    <w:lvl w:ilvl="8" w:tentative="0">
      <w:start w:val="1"/>
      <w:numFmt w:val="decimal"/>
      <w:pStyle w:val="148"/>
      <w:lvlText w:val="%1.%2.%3.%4.%5.%6.%7.%8.%9"/>
      <w:lvlJc w:val="left"/>
      <w:pPr>
        <w:tabs>
          <w:tab w:val="left" w:pos="1584"/>
        </w:tabs>
        <w:ind w:left="1584" w:hanging="1584"/>
      </w:pPr>
      <w:rPr>
        <w:rFonts w:hint="eastAsia"/>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numFmt w:val="decimalEnclosedCircleChinese"/>
    <w:numRestart w:val="eachPage"/>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VhMTIyMzUzMzNmN2Y4Y2MwYzMxMmM2YmViYmZkYmEifQ=="/>
  </w:docVars>
  <w:rsids>
    <w:rsidRoot w:val="00172A27"/>
    <w:rsid w:val="00000461"/>
    <w:rsid w:val="000018B8"/>
    <w:rsid w:val="000019D9"/>
    <w:rsid w:val="00001A78"/>
    <w:rsid w:val="00001C66"/>
    <w:rsid w:val="00002D91"/>
    <w:rsid w:val="00002F77"/>
    <w:rsid w:val="00005402"/>
    <w:rsid w:val="00005BB2"/>
    <w:rsid w:val="0000765A"/>
    <w:rsid w:val="000078B8"/>
    <w:rsid w:val="0001052A"/>
    <w:rsid w:val="000110EA"/>
    <w:rsid w:val="00012F97"/>
    <w:rsid w:val="00013020"/>
    <w:rsid w:val="00013F89"/>
    <w:rsid w:val="00014CCC"/>
    <w:rsid w:val="00020429"/>
    <w:rsid w:val="000219E9"/>
    <w:rsid w:val="00021C4F"/>
    <w:rsid w:val="0002210C"/>
    <w:rsid w:val="000223E2"/>
    <w:rsid w:val="0002308F"/>
    <w:rsid w:val="0002396A"/>
    <w:rsid w:val="00026638"/>
    <w:rsid w:val="00027183"/>
    <w:rsid w:val="000308BD"/>
    <w:rsid w:val="00031800"/>
    <w:rsid w:val="00031F4B"/>
    <w:rsid w:val="00032363"/>
    <w:rsid w:val="00033008"/>
    <w:rsid w:val="00033094"/>
    <w:rsid w:val="00033535"/>
    <w:rsid w:val="00034E70"/>
    <w:rsid w:val="00035C6F"/>
    <w:rsid w:val="00035DE8"/>
    <w:rsid w:val="0003614A"/>
    <w:rsid w:val="00036169"/>
    <w:rsid w:val="00036B4D"/>
    <w:rsid w:val="00036EA3"/>
    <w:rsid w:val="00036EE9"/>
    <w:rsid w:val="00037BBC"/>
    <w:rsid w:val="0004182B"/>
    <w:rsid w:val="00042A09"/>
    <w:rsid w:val="00043541"/>
    <w:rsid w:val="00043CDD"/>
    <w:rsid w:val="00043F3A"/>
    <w:rsid w:val="00044449"/>
    <w:rsid w:val="00045BA0"/>
    <w:rsid w:val="000465A6"/>
    <w:rsid w:val="00047377"/>
    <w:rsid w:val="00050532"/>
    <w:rsid w:val="000517F3"/>
    <w:rsid w:val="0005181A"/>
    <w:rsid w:val="000541B0"/>
    <w:rsid w:val="0005499C"/>
    <w:rsid w:val="00054AFE"/>
    <w:rsid w:val="00055257"/>
    <w:rsid w:val="00055609"/>
    <w:rsid w:val="0005586E"/>
    <w:rsid w:val="00055C35"/>
    <w:rsid w:val="00056E98"/>
    <w:rsid w:val="0005725C"/>
    <w:rsid w:val="00057D7E"/>
    <w:rsid w:val="00057E5B"/>
    <w:rsid w:val="0006024A"/>
    <w:rsid w:val="00060CF4"/>
    <w:rsid w:val="00061BA9"/>
    <w:rsid w:val="00061F0A"/>
    <w:rsid w:val="00063257"/>
    <w:rsid w:val="000634CE"/>
    <w:rsid w:val="00063765"/>
    <w:rsid w:val="000663BA"/>
    <w:rsid w:val="00066FAB"/>
    <w:rsid w:val="00071C48"/>
    <w:rsid w:val="00072109"/>
    <w:rsid w:val="000732BE"/>
    <w:rsid w:val="00073514"/>
    <w:rsid w:val="000737AC"/>
    <w:rsid w:val="00076A22"/>
    <w:rsid w:val="00076A82"/>
    <w:rsid w:val="00077D9C"/>
    <w:rsid w:val="00077F7B"/>
    <w:rsid w:val="00081A25"/>
    <w:rsid w:val="00081EEC"/>
    <w:rsid w:val="000826F5"/>
    <w:rsid w:val="000828A1"/>
    <w:rsid w:val="00082ABA"/>
    <w:rsid w:val="00082B19"/>
    <w:rsid w:val="00082DC4"/>
    <w:rsid w:val="000833B1"/>
    <w:rsid w:val="00083E91"/>
    <w:rsid w:val="0008436E"/>
    <w:rsid w:val="00084963"/>
    <w:rsid w:val="00085373"/>
    <w:rsid w:val="000853C1"/>
    <w:rsid w:val="00085527"/>
    <w:rsid w:val="00085ACD"/>
    <w:rsid w:val="00085C64"/>
    <w:rsid w:val="00085FA8"/>
    <w:rsid w:val="000868D0"/>
    <w:rsid w:val="0008690D"/>
    <w:rsid w:val="000877D7"/>
    <w:rsid w:val="000904A0"/>
    <w:rsid w:val="000906F8"/>
    <w:rsid w:val="000921A0"/>
    <w:rsid w:val="00092347"/>
    <w:rsid w:val="000925E9"/>
    <w:rsid w:val="00092C06"/>
    <w:rsid w:val="000930E4"/>
    <w:rsid w:val="000945C7"/>
    <w:rsid w:val="00094AA1"/>
    <w:rsid w:val="00095D5C"/>
    <w:rsid w:val="000976BB"/>
    <w:rsid w:val="000A10AD"/>
    <w:rsid w:val="000A14D5"/>
    <w:rsid w:val="000A2093"/>
    <w:rsid w:val="000A2484"/>
    <w:rsid w:val="000A25BD"/>
    <w:rsid w:val="000A25C9"/>
    <w:rsid w:val="000A26BA"/>
    <w:rsid w:val="000A2AE5"/>
    <w:rsid w:val="000A2CA0"/>
    <w:rsid w:val="000A2DA7"/>
    <w:rsid w:val="000A4786"/>
    <w:rsid w:val="000A4846"/>
    <w:rsid w:val="000A4F09"/>
    <w:rsid w:val="000A588E"/>
    <w:rsid w:val="000A74C4"/>
    <w:rsid w:val="000B0326"/>
    <w:rsid w:val="000B0D81"/>
    <w:rsid w:val="000B17C0"/>
    <w:rsid w:val="000B1A25"/>
    <w:rsid w:val="000B1C86"/>
    <w:rsid w:val="000B2DCA"/>
    <w:rsid w:val="000B2EA3"/>
    <w:rsid w:val="000B3B78"/>
    <w:rsid w:val="000B44CF"/>
    <w:rsid w:val="000B4502"/>
    <w:rsid w:val="000B45ED"/>
    <w:rsid w:val="000B465B"/>
    <w:rsid w:val="000C053D"/>
    <w:rsid w:val="000C2F6F"/>
    <w:rsid w:val="000C3780"/>
    <w:rsid w:val="000C3CF6"/>
    <w:rsid w:val="000C3DE3"/>
    <w:rsid w:val="000C5607"/>
    <w:rsid w:val="000C5ECD"/>
    <w:rsid w:val="000C6D46"/>
    <w:rsid w:val="000C76BC"/>
    <w:rsid w:val="000C7B55"/>
    <w:rsid w:val="000D002B"/>
    <w:rsid w:val="000D05C9"/>
    <w:rsid w:val="000D104C"/>
    <w:rsid w:val="000D106F"/>
    <w:rsid w:val="000D1617"/>
    <w:rsid w:val="000D18DA"/>
    <w:rsid w:val="000D1D83"/>
    <w:rsid w:val="000D22F8"/>
    <w:rsid w:val="000D3273"/>
    <w:rsid w:val="000D3553"/>
    <w:rsid w:val="000D410B"/>
    <w:rsid w:val="000D4534"/>
    <w:rsid w:val="000D66D7"/>
    <w:rsid w:val="000D779A"/>
    <w:rsid w:val="000E0493"/>
    <w:rsid w:val="000E15AF"/>
    <w:rsid w:val="000E2484"/>
    <w:rsid w:val="000E5ADA"/>
    <w:rsid w:val="000E60E5"/>
    <w:rsid w:val="000E6540"/>
    <w:rsid w:val="000E7186"/>
    <w:rsid w:val="000E7533"/>
    <w:rsid w:val="000E7955"/>
    <w:rsid w:val="000F0BB8"/>
    <w:rsid w:val="000F30B7"/>
    <w:rsid w:val="000F31DA"/>
    <w:rsid w:val="000F3C34"/>
    <w:rsid w:val="000F3C5E"/>
    <w:rsid w:val="000F5501"/>
    <w:rsid w:val="000F6221"/>
    <w:rsid w:val="000F7527"/>
    <w:rsid w:val="0010005B"/>
    <w:rsid w:val="00101417"/>
    <w:rsid w:val="0010293D"/>
    <w:rsid w:val="0010519E"/>
    <w:rsid w:val="0010564E"/>
    <w:rsid w:val="00105AA8"/>
    <w:rsid w:val="00106121"/>
    <w:rsid w:val="00106426"/>
    <w:rsid w:val="001070B1"/>
    <w:rsid w:val="00110C05"/>
    <w:rsid w:val="00113859"/>
    <w:rsid w:val="001142AA"/>
    <w:rsid w:val="00117156"/>
    <w:rsid w:val="0012071E"/>
    <w:rsid w:val="0012073C"/>
    <w:rsid w:val="00120D75"/>
    <w:rsid w:val="00123E04"/>
    <w:rsid w:val="00123E2A"/>
    <w:rsid w:val="00123E36"/>
    <w:rsid w:val="00125783"/>
    <w:rsid w:val="00125908"/>
    <w:rsid w:val="001259AF"/>
    <w:rsid w:val="00125AFD"/>
    <w:rsid w:val="00125C49"/>
    <w:rsid w:val="00125E15"/>
    <w:rsid w:val="0012717C"/>
    <w:rsid w:val="001276C1"/>
    <w:rsid w:val="00127B5C"/>
    <w:rsid w:val="00131332"/>
    <w:rsid w:val="001319B0"/>
    <w:rsid w:val="001319E4"/>
    <w:rsid w:val="00131CE5"/>
    <w:rsid w:val="00133192"/>
    <w:rsid w:val="00134155"/>
    <w:rsid w:val="00134802"/>
    <w:rsid w:val="00134B0A"/>
    <w:rsid w:val="001364FA"/>
    <w:rsid w:val="00137B93"/>
    <w:rsid w:val="00137F52"/>
    <w:rsid w:val="00140958"/>
    <w:rsid w:val="00140DB8"/>
    <w:rsid w:val="0014150C"/>
    <w:rsid w:val="00141FD0"/>
    <w:rsid w:val="00142D14"/>
    <w:rsid w:val="0014347A"/>
    <w:rsid w:val="00144B7C"/>
    <w:rsid w:val="0014511E"/>
    <w:rsid w:val="001454C8"/>
    <w:rsid w:val="00145939"/>
    <w:rsid w:val="00145B74"/>
    <w:rsid w:val="00145C28"/>
    <w:rsid w:val="00146130"/>
    <w:rsid w:val="00146E40"/>
    <w:rsid w:val="00147F81"/>
    <w:rsid w:val="001502F2"/>
    <w:rsid w:val="001507E0"/>
    <w:rsid w:val="00151063"/>
    <w:rsid w:val="00151530"/>
    <w:rsid w:val="0015216E"/>
    <w:rsid w:val="001521F2"/>
    <w:rsid w:val="00152511"/>
    <w:rsid w:val="0015301F"/>
    <w:rsid w:val="001535C3"/>
    <w:rsid w:val="00153752"/>
    <w:rsid w:val="00153A85"/>
    <w:rsid w:val="00153F39"/>
    <w:rsid w:val="001545E0"/>
    <w:rsid w:val="00154AD4"/>
    <w:rsid w:val="00154F1C"/>
    <w:rsid w:val="00154FF0"/>
    <w:rsid w:val="0015641C"/>
    <w:rsid w:val="00157272"/>
    <w:rsid w:val="00157426"/>
    <w:rsid w:val="0016039F"/>
    <w:rsid w:val="001603B4"/>
    <w:rsid w:val="00161E00"/>
    <w:rsid w:val="00161E33"/>
    <w:rsid w:val="00161FE5"/>
    <w:rsid w:val="00163D05"/>
    <w:rsid w:val="0016668C"/>
    <w:rsid w:val="00166692"/>
    <w:rsid w:val="00166827"/>
    <w:rsid w:val="00166AFE"/>
    <w:rsid w:val="0017051A"/>
    <w:rsid w:val="00170E20"/>
    <w:rsid w:val="001715BC"/>
    <w:rsid w:val="0017189E"/>
    <w:rsid w:val="00172519"/>
    <w:rsid w:val="00172A27"/>
    <w:rsid w:val="00172B8F"/>
    <w:rsid w:val="0017437F"/>
    <w:rsid w:val="001746A4"/>
    <w:rsid w:val="001752AB"/>
    <w:rsid w:val="001756CD"/>
    <w:rsid w:val="00175B5C"/>
    <w:rsid w:val="001762E6"/>
    <w:rsid w:val="00176B84"/>
    <w:rsid w:val="001806DF"/>
    <w:rsid w:val="00181ADF"/>
    <w:rsid w:val="001828BF"/>
    <w:rsid w:val="001832FF"/>
    <w:rsid w:val="00184243"/>
    <w:rsid w:val="001845EF"/>
    <w:rsid w:val="00184D01"/>
    <w:rsid w:val="00185265"/>
    <w:rsid w:val="00185455"/>
    <w:rsid w:val="0019007C"/>
    <w:rsid w:val="001917E0"/>
    <w:rsid w:val="001929AC"/>
    <w:rsid w:val="00192D6E"/>
    <w:rsid w:val="00194A84"/>
    <w:rsid w:val="00195166"/>
    <w:rsid w:val="00196390"/>
    <w:rsid w:val="001A007B"/>
    <w:rsid w:val="001A0938"/>
    <w:rsid w:val="001A159E"/>
    <w:rsid w:val="001A2F36"/>
    <w:rsid w:val="001A32D3"/>
    <w:rsid w:val="001A4A9A"/>
    <w:rsid w:val="001A4C65"/>
    <w:rsid w:val="001A530A"/>
    <w:rsid w:val="001A5B8E"/>
    <w:rsid w:val="001A6A10"/>
    <w:rsid w:val="001B16A2"/>
    <w:rsid w:val="001B17F5"/>
    <w:rsid w:val="001B226C"/>
    <w:rsid w:val="001B27BF"/>
    <w:rsid w:val="001B3D39"/>
    <w:rsid w:val="001B4482"/>
    <w:rsid w:val="001B54DD"/>
    <w:rsid w:val="001B713C"/>
    <w:rsid w:val="001C004F"/>
    <w:rsid w:val="001C04AE"/>
    <w:rsid w:val="001C0B8C"/>
    <w:rsid w:val="001C158F"/>
    <w:rsid w:val="001C1ADD"/>
    <w:rsid w:val="001C2800"/>
    <w:rsid w:val="001C41D9"/>
    <w:rsid w:val="001C4EC4"/>
    <w:rsid w:val="001C593A"/>
    <w:rsid w:val="001C6830"/>
    <w:rsid w:val="001C6C76"/>
    <w:rsid w:val="001C7A9C"/>
    <w:rsid w:val="001D07B4"/>
    <w:rsid w:val="001D145C"/>
    <w:rsid w:val="001D1698"/>
    <w:rsid w:val="001D1A8C"/>
    <w:rsid w:val="001D2748"/>
    <w:rsid w:val="001D31AA"/>
    <w:rsid w:val="001D3853"/>
    <w:rsid w:val="001D3B19"/>
    <w:rsid w:val="001D41D1"/>
    <w:rsid w:val="001D61C0"/>
    <w:rsid w:val="001D67E1"/>
    <w:rsid w:val="001D690E"/>
    <w:rsid w:val="001D697D"/>
    <w:rsid w:val="001D6DEC"/>
    <w:rsid w:val="001D767F"/>
    <w:rsid w:val="001D7863"/>
    <w:rsid w:val="001E04B9"/>
    <w:rsid w:val="001E2742"/>
    <w:rsid w:val="001E29CA"/>
    <w:rsid w:val="001E2BC9"/>
    <w:rsid w:val="001E593B"/>
    <w:rsid w:val="001E6137"/>
    <w:rsid w:val="001E7DEB"/>
    <w:rsid w:val="001F04FF"/>
    <w:rsid w:val="001F0867"/>
    <w:rsid w:val="001F1AA5"/>
    <w:rsid w:val="001F3770"/>
    <w:rsid w:val="001F612B"/>
    <w:rsid w:val="001F63FC"/>
    <w:rsid w:val="001F6E77"/>
    <w:rsid w:val="001F74ED"/>
    <w:rsid w:val="00200DC4"/>
    <w:rsid w:val="0020117F"/>
    <w:rsid w:val="0020178E"/>
    <w:rsid w:val="00202192"/>
    <w:rsid w:val="0020234C"/>
    <w:rsid w:val="00202F49"/>
    <w:rsid w:val="00203DF8"/>
    <w:rsid w:val="00204101"/>
    <w:rsid w:val="00204364"/>
    <w:rsid w:val="00205D3F"/>
    <w:rsid w:val="002060AE"/>
    <w:rsid w:val="00206861"/>
    <w:rsid w:val="002071BD"/>
    <w:rsid w:val="00207A3B"/>
    <w:rsid w:val="00207EE0"/>
    <w:rsid w:val="00210476"/>
    <w:rsid w:val="00211256"/>
    <w:rsid w:val="002119A5"/>
    <w:rsid w:val="00212847"/>
    <w:rsid w:val="00214202"/>
    <w:rsid w:val="0021421A"/>
    <w:rsid w:val="002153F9"/>
    <w:rsid w:val="00215627"/>
    <w:rsid w:val="00216F0A"/>
    <w:rsid w:val="0021729D"/>
    <w:rsid w:val="00221ECE"/>
    <w:rsid w:val="00221FF8"/>
    <w:rsid w:val="00222F85"/>
    <w:rsid w:val="002233F3"/>
    <w:rsid w:val="0022399F"/>
    <w:rsid w:val="00225FAA"/>
    <w:rsid w:val="00226266"/>
    <w:rsid w:val="00226C5A"/>
    <w:rsid w:val="00230CE5"/>
    <w:rsid w:val="00232726"/>
    <w:rsid w:val="002327BD"/>
    <w:rsid w:val="002330D2"/>
    <w:rsid w:val="00233675"/>
    <w:rsid w:val="00233E6E"/>
    <w:rsid w:val="00234769"/>
    <w:rsid w:val="00234FFF"/>
    <w:rsid w:val="0023511D"/>
    <w:rsid w:val="00235666"/>
    <w:rsid w:val="00235883"/>
    <w:rsid w:val="00235A5E"/>
    <w:rsid w:val="00235DF7"/>
    <w:rsid w:val="00236578"/>
    <w:rsid w:val="002367B8"/>
    <w:rsid w:val="002368FF"/>
    <w:rsid w:val="00236CA9"/>
    <w:rsid w:val="00236FB8"/>
    <w:rsid w:val="00237E2E"/>
    <w:rsid w:val="0024213B"/>
    <w:rsid w:val="002422DA"/>
    <w:rsid w:val="00243414"/>
    <w:rsid w:val="00244FA6"/>
    <w:rsid w:val="00246426"/>
    <w:rsid w:val="002507E8"/>
    <w:rsid w:val="0025387D"/>
    <w:rsid w:val="00253F9A"/>
    <w:rsid w:val="00254443"/>
    <w:rsid w:val="00254CCC"/>
    <w:rsid w:val="00254DB7"/>
    <w:rsid w:val="00254F46"/>
    <w:rsid w:val="0025582E"/>
    <w:rsid w:val="00255E46"/>
    <w:rsid w:val="00256C8E"/>
    <w:rsid w:val="002574B6"/>
    <w:rsid w:val="00257B1A"/>
    <w:rsid w:val="00257BB3"/>
    <w:rsid w:val="00257C3E"/>
    <w:rsid w:val="00257FDC"/>
    <w:rsid w:val="002601F1"/>
    <w:rsid w:val="0026054C"/>
    <w:rsid w:val="00261273"/>
    <w:rsid w:val="002640CA"/>
    <w:rsid w:val="002648E7"/>
    <w:rsid w:val="00264D81"/>
    <w:rsid w:val="00265086"/>
    <w:rsid w:val="00265111"/>
    <w:rsid w:val="00265FA5"/>
    <w:rsid w:val="0026607B"/>
    <w:rsid w:val="0026677E"/>
    <w:rsid w:val="00266D19"/>
    <w:rsid w:val="00267281"/>
    <w:rsid w:val="00267DC0"/>
    <w:rsid w:val="002701ED"/>
    <w:rsid w:val="002714D0"/>
    <w:rsid w:val="00272C77"/>
    <w:rsid w:val="00272D4E"/>
    <w:rsid w:val="00272D69"/>
    <w:rsid w:val="0027368B"/>
    <w:rsid w:val="00273BF1"/>
    <w:rsid w:val="00274156"/>
    <w:rsid w:val="002747E7"/>
    <w:rsid w:val="00276010"/>
    <w:rsid w:val="00276258"/>
    <w:rsid w:val="00277223"/>
    <w:rsid w:val="002774F6"/>
    <w:rsid w:val="00277B84"/>
    <w:rsid w:val="00277E31"/>
    <w:rsid w:val="00281108"/>
    <w:rsid w:val="002812A7"/>
    <w:rsid w:val="002812CD"/>
    <w:rsid w:val="002815A4"/>
    <w:rsid w:val="00284F59"/>
    <w:rsid w:val="002936C5"/>
    <w:rsid w:val="00295A39"/>
    <w:rsid w:val="00296BAE"/>
    <w:rsid w:val="0029746D"/>
    <w:rsid w:val="00297AC6"/>
    <w:rsid w:val="002A228C"/>
    <w:rsid w:val="002A2BD0"/>
    <w:rsid w:val="002A2F1B"/>
    <w:rsid w:val="002A309C"/>
    <w:rsid w:val="002A32D5"/>
    <w:rsid w:val="002A3D90"/>
    <w:rsid w:val="002A58E3"/>
    <w:rsid w:val="002A5911"/>
    <w:rsid w:val="002A707C"/>
    <w:rsid w:val="002A7DF7"/>
    <w:rsid w:val="002A7E1F"/>
    <w:rsid w:val="002B09EE"/>
    <w:rsid w:val="002B0CC7"/>
    <w:rsid w:val="002B1536"/>
    <w:rsid w:val="002B2B59"/>
    <w:rsid w:val="002B3301"/>
    <w:rsid w:val="002B3C7E"/>
    <w:rsid w:val="002B423A"/>
    <w:rsid w:val="002B44E9"/>
    <w:rsid w:val="002B4717"/>
    <w:rsid w:val="002B48F8"/>
    <w:rsid w:val="002B49A9"/>
    <w:rsid w:val="002B596D"/>
    <w:rsid w:val="002B65B6"/>
    <w:rsid w:val="002B72EB"/>
    <w:rsid w:val="002C17DA"/>
    <w:rsid w:val="002C2260"/>
    <w:rsid w:val="002C2636"/>
    <w:rsid w:val="002C44D1"/>
    <w:rsid w:val="002C4C10"/>
    <w:rsid w:val="002C634F"/>
    <w:rsid w:val="002C76F0"/>
    <w:rsid w:val="002C78E2"/>
    <w:rsid w:val="002D000B"/>
    <w:rsid w:val="002D0AB0"/>
    <w:rsid w:val="002D3380"/>
    <w:rsid w:val="002D37A6"/>
    <w:rsid w:val="002D3EF1"/>
    <w:rsid w:val="002D435B"/>
    <w:rsid w:val="002D48E2"/>
    <w:rsid w:val="002D4CB3"/>
    <w:rsid w:val="002D52DF"/>
    <w:rsid w:val="002D56D6"/>
    <w:rsid w:val="002D6433"/>
    <w:rsid w:val="002E14B3"/>
    <w:rsid w:val="002E1DE3"/>
    <w:rsid w:val="002E299E"/>
    <w:rsid w:val="002E3481"/>
    <w:rsid w:val="002E3676"/>
    <w:rsid w:val="002E45FA"/>
    <w:rsid w:val="002E48B9"/>
    <w:rsid w:val="002E4B18"/>
    <w:rsid w:val="002E4B61"/>
    <w:rsid w:val="002E5D38"/>
    <w:rsid w:val="002E7E3D"/>
    <w:rsid w:val="002F263C"/>
    <w:rsid w:val="002F30BA"/>
    <w:rsid w:val="002F34AA"/>
    <w:rsid w:val="002F3B56"/>
    <w:rsid w:val="002F4941"/>
    <w:rsid w:val="002F5997"/>
    <w:rsid w:val="002F5BCF"/>
    <w:rsid w:val="002F5D36"/>
    <w:rsid w:val="002F5F4C"/>
    <w:rsid w:val="002F60D8"/>
    <w:rsid w:val="00301854"/>
    <w:rsid w:val="00301939"/>
    <w:rsid w:val="00303612"/>
    <w:rsid w:val="003039DB"/>
    <w:rsid w:val="003040B2"/>
    <w:rsid w:val="0030443C"/>
    <w:rsid w:val="0030717D"/>
    <w:rsid w:val="00307E43"/>
    <w:rsid w:val="00310460"/>
    <w:rsid w:val="003104AC"/>
    <w:rsid w:val="00310623"/>
    <w:rsid w:val="00310C43"/>
    <w:rsid w:val="00311531"/>
    <w:rsid w:val="003147D9"/>
    <w:rsid w:val="00314E7D"/>
    <w:rsid w:val="00314FCD"/>
    <w:rsid w:val="003162E6"/>
    <w:rsid w:val="0031674A"/>
    <w:rsid w:val="00316D5F"/>
    <w:rsid w:val="003209C4"/>
    <w:rsid w:val="00323F94"/>
    <w:rsid w:val="0032512F"/>
    <w:rsid w:val="003257F2"/>
    <w:rsid w:val="003261BF"/>
    <w:rsid w:val="00326B34"/>
    <w:rsid w:val="003300B5"/>
    <w:rsid w:val="0033043B"/>
    <w:rsid w:val="003304F5"/>
    <w:rsid w:val="003306C4"/>
    <w:rsid w:val="00330894"/>
    <w:rsid w:val="00331467"/>
    <w:rsid w:val="0033180A"/>
    <w:rsid w:val="00331872"/>
    <w:rsid w:val="003318D1"/>
    <w:rsid w:val="00332433"/>
    <w:rsid w:val="003326FE"/>
    <w:rsid w:val="00332D12"/>
    <w:rsid w:val="003342D8"/>
    <w:rsid w:val="00334F3F"/>
    <w:rsid w:val="003358E6"/>
    <w:rsid w:val="0033634B"/>
    <w:rsid w:val="003367D4"/>
    <w:rsid w:val="00337584"/>
    <w:rsid w:val="0034028F"/>
    <w:rsid w:val="00344EE8"/>
    <w:rsid w:val="0034507B"/>
    <w:rsid w:val="00346456"/>
    <w:rsid w:val="003476DE"/>
    <w:rsid w:val="00347758"/>
    <w:rsid w:val="003478FB"/>
    <w:rsid w:val="00347F6C"/>
    <w:rsid w:val="0035112F"/>
    <w:rsid w:val="00352E8C"/>
    <w:rsid w:val="003532E6"/>
    <w:rsid w:val="003540F6"/>
    <w:rsid w:val="00354A9C"/>
    <w:rsid w:val="00354D91"/>
    <w:rsid w:val="00360186"/>
    <w:rsid w:val="0036101A"/>
    <w:rsid w:val="00361CD9"/>
    <w:rsid w:val="00362076"/>
    <w:rsid w:val="003629F3"/>
    <w:rsid w:val="00363ED9"/>
    <w:rsid w:val="003646AC"/>
    <w:rsid w:val="00364C8B"/>
    <w:rsid w:val="00365295"/>
    <w:rsid w:val="00365F2A"/>
    <w:rsid w:val="00366A25"/>
    <w:rsid w:val="00366C27"/>
    <w:rsid w:val="003671C7"/>
    <w:rsid w:val="00370526"/>
    <w:rsid w:val="003707C8"/>
    <w:rsid w:val="00370C13"/>
    <w:rsid w:val="003715A1"/>
    <w:rsid w:val="00371989"/>
    <w:rsid w:val="0037237D"/>
    <w:rsid w:val="00372866"/>
    <w:rsid w:val="00372B0D"/>
    <w:rsid w:val="00372D94"/>
    <w:rsid w:val="00372F1C"/>
    <w:rsid w:val="00372FA0"/>
    <w:rsid w:val="00373C30"/>
    <w:rsid w:val="00373DE8"/>
    <w:rsid w:val="003764F6"/>
    <w:rsid w:val="003767E7"/>
    <w:rsid w:val="003768C0"/>
    <w:rsid w:val="00381A84"/>
    <w:rsid w:val="00381EFF"/>
    <w:rsid w:val="003821DE"/>
    <w:rsid w:val="00382566"/>
    <w:rsid w:val="00382C4E"/>
    <w:rsid w:val="00384603"/>
    <w:rsid w:val="00384825"/>
    <w:rsid w:val="00384FF2"/>
    <w:rsid w:val="003850AE"/>
    <w:rsid w:val="003853B4"/>
    <w:rsid w:val="00385594"/>
    <w:rsid w:val="00386D0E"/>
    <w:rsid w:val="00387170"/>
    <w:rsid w:val="003911F1"/>
    <w:rsid w:val="00391565"/>
    <w:rsid w:val="0039164F"/>
    <w:rsid w:val="003916ED"/>
    <w:rsid w:val="00392C55"/>
    <w:rsid w:val="00393298"/>
    <w:rsid w:val="0039397D"/>
    <w:rsid w:val="00393B6D"/>
    <w:rsid w:val="00394B21"/>
    <w:rsid w:val="00394D82"/>
    <w:rsid w:val="0039590C"/>
    <w:rsid w:val="00395A1C"/>
    <w:rsid w:val="00395DEA"/>
    <w:rsid w:val="00395F1B"/>
    <w:rsid w:val="00396285"/>
    <w:rsid w:val="00397D89"/>
    <w:rsid w:val="003A0053"/>
    <w:rsid w:val="003A01B6"/>
    <w:rsid w:val="003A1E13"/>
    <w:rsid w:val="003A1FC6"/>
    <w:rsid w:val="003A248D"/>
    <w:rsid w:val="003A2B28"/>
    <w:rsid w:val="003A495D"/>
    <w:rsid w:val="003A70BE"/>
    <w:rsid w:val="003A7C56"/>
    <w:rsid w:val="003A7C59"/>
    <w:rsid w:val="003B052D"/>
    <w:rsid w:val="003B0906"/>
    <w:rsid w:val="003B09BA"/>
    <w:rsid w:val="003B1797"/>
    <w:rsid w:val="003B1960"/>
    <w:rsid w:val="003B1B57"/>
    <w:rsid w:val="003B1E03"/>
    <w:rsid w:val="003B225A"/>
    <w:rsid w:val="003B3F6B"/>
    <w:rsid w:val="003B4583"/>
    <w:rsid w:val="003B4A7F"/>
    <w:rsid w:val="003B5E27"/>
    <w:rsid w:val="003B5FCE"/>
    <w:rsid w:val="003B7569"/>
    <w:rsid w:val="003C0A97"/>
    <w:rsid w:val="003C0BA3"/>
    <w:rsid w:val="003C1845"/>
    <w:rsid w:val="003C1D2C"/>
    <w:rsid w:val="003C2410"/>
    <w:rsid w:val="003C5396"/>
    <w:rsid w:val="003C580D"/>
    <w:rsid w:val="003C5D7A"/>
    <w:rsid w:val="003C6964"/>
    <w:rsid w:val="003C7270"/>
    <w:rsid w:val="003D16F3"/>
    <w:rsid w:val="003D1F76"/>
    <w:rsid w:val="003D351E"/>
    <w:rsid w:val="003D3903"/>
    <w:rsid w:val="003D4318"/>
    <w:rsid w:val="003D4971"/>
    <w:rsid w:val="003D4E39"/>
    <w:rsid w:val="003D51CA"/>
    <w:rsid w:val="003D61D2"/>
    <w:rsid w:val="003D66F2"/>
    <w:rsid w:val="003D7681"/>
    <w:rsid w:val="003E0E74"/>
    <w:rsid w:val="003E0FE1"/>
    <w:rsid w:val="003E10EF"/>
    <w:rsid w:val="003E183F"/>
    <w:rsid w:val="003E202C"/>
    <w:rsid w:val="003E3D34"/>
    <w:rsid w:val="003E49D2"/>
    <w:rsid w:val="003E55C6"/>
    <w:rsid w:val="003E61F9"/>
    <w:rsid w:val="003E61FF"/>
    <w:rsid w:val="003E6DE1"/>
    <w:rsid w:val="003E74ED"/>
    <w:rsid w:val="003E777E"/>
    <w:rsid w:val="003F0FAA"/>
    <w:rsid w:val="003F1E6A"/>
    <w:rsid w:val="003F26D5"/>
    <w:rsid w:val="003F272B"/>
    <w:rsid w:val="003F2F68"/>
    <w:rsid w:val="003F3504"/>
    <w:rsid w:val="003F4AE4"/>
    <w:rsid w:val="003F5A45"/>
    <w:rsid w:val="00400851"/>
    <w:rsid w:val="00402BC6"/>
    <w:rsid w:val="00402FD1"/>
    <w:rsid w:val="004034CC"/>
    <w:rsid w:val="0040587E"/>
    <w:rsid w:val="00406B70"/>
    <w:rsid w:val="00406F09"/>
    <w:rsid w:val="0040743D"/>
    <w:rsid w:val="00407C80"/>
    <w:rsid w:val="0041055D"/>
    <w:rsid w:val="004118D3"/>
    <w:rsid w:val="00411A4A"/>
    <w:rsid w:val="0041251D"/>
    <w:rsid w:val="00413E15"/>
    <w:rsid w:val="00414D48"/>
    <w:rsid w:val="0041578C"/>
    <w:rsid w:val="0041644E"/>
    <w:rsid w:val="0041741D"/>
    <w:rsid w:val="0041744F"/>
    <w:rsid w:val="004176A6"/>
    <w:rsid w:val="0041788D"/>
    <w:rsid w:val="00417F7E"/>
    <w:rsid w:val="00423F31"/>
    <w:rsid w:val="00424343"/>
    <w:rsid w:val="00424C3B"/>
    <w:rsid w:val="0042641B"/>
    <w:rsid w:val="00426B61"/>
    <w:rsid w:val="00426D10"/>
    <w:rsid w:val="0042766C"/>
    <w:rsid w:val="00427E57"/>
    <w:rsid w:val="00430306"/>
    <w:rsid w:val="00431722"/>
    <w:rsid w:val="00432500"/>
    <w:rsid w:val="004329E5"/>
    <w:rsid w:val="00435627"/>
    <w:rsid w:val="004362DD"/>
    <w:rsid w:val="00436669"/>
    <w:rsid w:val="00436801"/>
    <w:rsid w:val="00436B3D"/>
    <w:rsid w:val="00440264"/>
    <w:rsid w:val="00443529"/>
    <w:rsid w:val="00443775"/>
    <w:rsid w:val="00443AD9"/>
    <w:rsid w:val="00443EBF"/>
    <w:rsid w:val="004476AB"/>
    <w:rsid w:val="004513AA"/>
    <w:rsid w:val="004527CF"/>
    <w:rsid w:val="00452DEB"/>
    <w:rsid w:val="004533F3"/>
    <w:rsid w:val="00453E80"/>
    <w:rsid w:val="004548C7"/>
    <w:rsid w:val="004554A9"/>
    <w:rsid w:val="00455848"/>
    <w:rsid w:val="00457626"/>
    <w:rsid w:val="00457B72"/>
    <w:rsid w:val="004609AE"/>
    <w:rsid w:val="004613C3"/>
    <w:rsid w:val="004635B9"/>
    <w:rsid w:val="00463A7A"/>
    <w:rsid w:val="00464AF2"/>
    <w:rsid w:val="00465417"/>
    <w:rsid w:val="00465EA1"/>
    <w:rsid w:val="00466180"/>
    <w:rsid w:val="004662E9"/>
    <w:rsid w:val="0046711D"/>
    <w:rsid w:val="004673CB"/>
    <w:rsid w:val="004679F2"/>
    <w:rsid w:val="00470F69"/>
    <w:rsid w:val="0047115B"/>
    <w:rsid w:val="00473D65"/>
    <w:rsid w:val="00474539"/>
    <w:rsid w:val="00474782"/>
    <w:rsid w:val="004747C9"/>
    <w:rsid w:val="00474F36"/>
    <w:rsid w:val="00475CA1"/>
    <w:rsid w:val="00476ADF"/>
    <w:rsid w:val="00476FA2"/>
    <w:rsid w:val="00477D4D"/>
    <w:rsid w:val="004800C3"/>
    <w:rsid w:val="004810BE"/>
    <w:rsid w:val="00482549"/>
    <w:rsid w:val="00482563"/>
    <w:rsid w:val="00482B2E"/>
    <w:rsid w:val="0048314B"/>
    <w:rsid w:val="0048438A"/>
    <w:rsid w:val="004866B8"/>
    <w:rsid w:val="004869FA"/>
    <w:rsid w:val="00487120"/>
    <w:rsid w:val="00487CD0"/>
    <w:rsid w:val="00490447"/>
    <w:rsid w:val="00490E5A"/>
    <w:rsid w:val="004910EE"/>
    <w:rsid w:val="00491492"/>
    <w:rsid w:val="00491EF0"/>
    <w:rsid w:val="004923FF"/>
    <w:rsid w:val="004933CF"/>
    <w:rsid w:val="00493C9D"/>
    <w:rsid w:val="004955A9"/>
    <w:rsid w:val="00495C3F"/>
    <w:rsid w:val="00495EDA"/>
    <w:rsid w:val="004960DF"/>
    <w:rsid w:val="0049658E"/>
    <w:rsid w:val="00497B30"/>
    <w:rsid w:val="004A010E"/>
    <w:rsid w:val="004A0217"/>
    <w:rsid w:val="004A0AD1"/>
    <w:rsid w:val="004A18B3"/>
    <w:rsid w:val="004A2A04"/>
    <w:rsid w:val="004A4C6F"/>
    <w:rsid w:val="004A5E76"/>
    <w:rsid w:val="004A6805"/>
    <w:rsid w:val="004A6851"/>
    <w:rsid w:val="004A6F55"/>
    <w:rsid w:val="004B0636"/>
    <w:rsid w:val="004B0ECA"/>
    <w:rsid w:val="004B1463"/>
    <w:rsid w:val="004B2176"/>
    <w:rsid w:val="004B3888"/>
    <w:rsid w:val="004B48FF"/>
    <w:rsid w:val="004B59CD"/>
    <w:rsid w:val="004B6035"/>
    <w:rsid w:val="004B60BE"/>
    <w:rsid w:val="004B6550"/>
    <w:rsid w:val="004B6C8C"/>
    <w:rsid w:val="004B7477"/>
    <w:rsid w:val="004C11D0"/>
    <w:rsid w:val="004C1234"/>
    <w:rsid w:val="004C197E"/>
    <w:rsid w:val="004C2172"/>
    <w:rsid w:val="004C2A8E"/>
    <w:rsid w:val="004C2AFB"/>
    <w:rsid w:val="004C3BA9"/>
    <w:rsid w:val="004C4DEE"/>
    <w:rsid w:val="004C52CE"/>
    <w:rsid w:val="004C64ED"/>
    <w:rsid w:val="004C793D"/>
    <w:rsid w:val="004D022A"/>
    <w:rsid w:val="004D024A"/>
    <w:rsid w:val="004D0262"/>
    <w:rsid w:val="004D098B"/>
    <w:rsid w:val="004D0A17"/>
    <w:rsid w:val="004D1C29"/>
    <w:rsid w:val="004D1CBB"/>
    <w:rsid w:val="004D2934"/>
    <w:rsid w:val="004D3313"/>
    <w:rsid w:val="004D3576"/>
    <w:rsid w:val="004D6EEF"/>
    <w:rsid w:val="004D7715"/>
    <w:rsid w:val="004D7870"/>
    <w:rsid w:val="004D7FBF"/>
    <w:rsid w:val="004E3BC2"/>
    <w:rsid w:val="004E3E79"/>
    <w:rsid w:val="004E4019"/>
    <w:rsid w:val="004E44DA"/>
    <w:rsid w:val="004E49D7"/>
    <w:rsid w:val="004E4A7E"/>
    <w:rsid w:val="004E530C"/>
    <w:rsid w:val="004E5396"/>
    <w:rsid w:val="004E5A7E"/>
    <w:rsid w:val="004E632F"/>
    <w:rsid w:val="004E64F0"/>
    <w:rsid w:val="004E67DC"/>
    <w:rsid w:val="004E6C73"/>
    <w:rsid w:val="004E6D6D"/>
    <w:rsid w:val="004E714D"/>
    <w:rsid w:val="004F0006"/>
    <w:rsid w:val="004F0D60"/>
    <w:rsid w:val="004F104D"/>
    <w:rsid w:val="004F1D8D"/>
    <w:rsid w:val="004F2D32"/>
    <w:rsid w:val="004F32AB"/>
    <w:rsid w:val="004F42D5"/>
    <w:rsid w:val="004F4A05"/>
    <w:rsid w:val="004F4B5D"/>
    <w:rsid w:val="004F4C73"/>
    <w:rsid w:val="004F532B"/>
    <w:rsid w:val="004F5B37"/>
    <w:rsid w:val="004F6FA4"/>
    <w:rsid w:val="004F7733"/>
    <w:rsid w:val="00500358"/>
    <w:rsid w:val="0050135B"/>
    <w:rsid w:val="005020C9"/>
    <w:rsid w:val="0050235D"/>
    <w:rsid w:val="005025B9"/>
    <w:rsid w:val="00502B2F"/>
    <w:rsid w:val="00502F38"/>
    <w:rsid w:val="00502F66"/>
    <w:rsid w:val="005032AC"/>
    <w:rsid w:val="00503966"/>
    <w:rsid w:val="00503CD1"/>
    <w:rsid w:val="00503CEC"/>
    <w:rsid w:val="00504B80"/>
    <w:rsid w:val="00504BA1"/>
    <w:rsid w:val="00504C81"/>
    <w:rsid w:val="00504D5C"/>
    <w:rsid w:val="00506483"/>
    <w:rsid w:val="0050773C"/>
    <w:rsid w:val="005109E0"/>
    <w:rsid w:val="00510ACA"/>
    <w:rsid w:val="00511BDA"/>
    <w:rsid w:val="0051302C"/>
    <w:rsid w:val="005141EF"/>
    <w:rsid w:val="005147B5"/>
    <w:rsid w:val="00516AF9"/>
    <w:rsid w:val="005170F4"/>
    <w:rsid w:val="00520552"/>
    <w:rsid w:val="00522C21"/>
    <w:rsid w:val="00522C4F"/>
    <w:rsid w:val="00523414"/>
    <w:rsid w:val="00523B75"/>
    <w:rsid w:val="005243F4"/>
    <w:rsid w:val="0052543E"/>
    <w:rsid w:val="00525457"/>
    <w:rsid w:val="00525914"/>
    <w:rsid w:val="00526024"/>
    <w:rsid w:val="00526DCB"/>
    <w:rsid w:val="00527F80"/>
    <w:rsid w:val="00531621"/>
    <w:rsid w:val="00531899"/>
    <w:rsid w:val="00535DBE"/>
    <w:rsid w:val="00535EEF"/>
    <w:rsid w:val="0053646F"/>
    <w:rsid w:val="00536CC0"/>
    <w:rsid w:val="005371EF"/>
    <w:rsid w:val="00540235"/>
    <w:rsid w:val="005406A6"/>
    <w:rsid w:val="00541016"/>
    <w:rsid w:val="00541C39"/>
    <w:rsid w:val="00541D75"/>
    <w:rsid w:val="00543576"/>
    <w:rsid w:val="00544A8B"/>
    <w:rsid w:val="00545543"/>
    <w:rsid w:val="005459FA"/>
    <w:rsid w:val="00546D91"/>
    <w:rsid w:val="00546F62"/>
    <w:rsid w:val="00547EA5"/>
    <w:rsid w:val="005502F4"/>
    <w:rsid w:val="0055138C"/>
    <w:rsid w:val="005517FF"/>
    <w:rsid w:val="00551FCF"/>
    <w:rsid w:val="0055318B"/>
    <w:rsid w:val="005535D4"/>
    <w:rsid w:val="00553FDC"/>
    <w:rsid w:val="00554186"/>
    <w:rsid w:val="005548EE"/>
    <w:rsid w:val="00554FE5"/>
    <w:rsid w:val="00555969"/>
    <w:rsid w:val="00555CF7"/>
    <w:rsid w:val="00555DC0"/>
    <w:rsid w:val="00556160"/>
    <w:rsid w:val="00556BE3"/>
    <w:rsid w:val="00556DA3"/>
    <w:rsid w:val="00556E33"/>
    <w:rsid w:val="0056004D"/>
    <w:rsid w:val="00561FBA"/>
    <w:rsid w:val="00562235"/>
    <w:rsid w:val="005624C8"/>
    <w:rsid w:val="00562E83"/>
    <w:rsid w:val="0056303F"/>
    <w:rsid w:val="0056322D"/>
    <w:rsid w:val="00564366"/>
    <w:rsid w:val="00564610"/>
    <w:rsid w:val="00564BA2"/>
    <w:rsid w:val="0056781C"/>
    <w:rsid w:val="00571CC8"/>
    <w:rsid w:val="0057551F"/>
    <w:rsid w:val="0057567B"/>
    <w:rsid w:val="00575E34"/>
    <w:rsid w:val="00575E6E"/>
    <w:rsid w:val="0057690C"/>
    <w:rsid w:val="00576F00"/>
    <w:rsid w:val="00577CCF"/>
    <w:rsid w:val="00584B20"/>
    <w:rsid w:val="00584EBC"/>
    <w:rsid w:val="00585B98"/>
    <w:rsid w:val="00586347"/>
    <w:rsid w:val="00586BEF"/>
    <w:rsid w:val="00587480"/>
    <w:rsid w:val="005879A0"/>
    <w:rsid w:val="0059023F"/>
    <w:rsid w:val="005906A4"/>
    <w:rsid w:val="00590835"/>
    <w:rsid w:val="00592BC6"/>
    <w:rsid w:val="005939C1"/>
    <w:rsid w:val="00593A61"/>
    <w:rsid w:val="00593F7B"/>
    <w:rsid w:val="0059470F"/>
    <w:rsid w:val="0059471B"/>
    <w:rsid w:val="00594792"/>
    <w:rsid w:val="00594913"/>
    <w:rsid w:val="00594AD6"/>
    <w:rsid w:val="00595A16"/>
    <w:rsid w:val="005961D1"/>
    <w:rsid w:val="00597189"/>
    <w:rsid w:val="005A104B"/>
    <w:rsid w:val="005A1FB7"/>
    <w:rsid w:val="005A257F"/>
    <w:rsid w:val="005A2A27"/>
    <w:rsid w:val="005A4BE8"/>
    <w:rsid w:val="005A6794"/>
    <w:rsid w:val="005A6BC2"/>
    <w:rsid w:val="005A706E"/>
    <w:rsid w:val="005A7746"/>
    <w:rsid w:val="005A7F78"/>
    <w:rsid w:val="005B23B8"/>
    <w:rsid w:val="005B2E05"/>
    <w:rsid w:val="005B3C35"/>
    <w:rsid w:val="005B55B5"/>
    <w:rsid w:val="005B6550"/>
    <w:rsid w:val="005B6BFD"/>
    <w:rsid w:val="005B749F"/>
    <w:rsid w:val="005B7704"/>
    <w:rsid w:val="005C0DC4"/>
    <w:rsid w:val="005C11D4"/>
    <w:rsid w:val="005C2388"/>
    <w:rsid w:val="005C3E33"/>
    <w:rsid w:val="005C4774"/>
    <w:rsid w:val="005C59BB"/>
    <w:rsid w:val="005C7C16"/>
    <w:rsid w:val="005D047A"/>
    <w:rsid w:val="005D1249"/>
    <w:rsid w:val="005D4328"/>
    <w:rsid w:val="005D4354"/>
    <w:rsid w:val="005D58CF"/>
    <w:rsid w:val="005D5BB7"/>
    <w:rsid w:val="005D6C4C"/>
    <w:rsid w:val="005D71EF"/>
    <w:rsid w:val="005E0000"/>
    <w:rsid w:val="005E2D6D"/>
    <w:rsid w:val="005E3D4C"/>
    <w:rsid w:val="005E4E4F"/>
    <w:rsid w:val="005E503B"/>
    <w:rsid w:val="005E5F90"/>
    <w:rsid w:val="005E6091"/>
    <w:rsid w:val="005F0B2A"/>
    <w:rsid w:val="005F24F2"/>
    <w:rsid w:val="005F39D5"/>
    <w:rsid w:val="005F4E95"/>
    <w:rsid w:val="005F6C6E"/>
    <w:rsid w:val="005F7619"/>
    <w:rsid w:val="005F7F46"/>
    <w:rsid w:val="006003E9"/>
    <w:rsid w:val="00601521"/>
    <w:rsid w:val="006017C0"/>
    <w:rsid w:val="00601FDA"/>
    <w:rsid w:val="0060271A"/>
    <w:rsid w:val="00603C18"/>
    <w:rsid w:val="00603E51"/>
    <w:rsid w:val="006050D3"/>
    <w:rsid w:val="00605314"/>
    <w:rsid w:val="006053F4"/>
    <w:rsid w:val="006061AF"/>
    <w:rsid w:val="00606E1B"/>
    <w:rsid w:val="00606E75"/>
    <w:rsid w:val="0060787C"/>
    <w:rsid w:val="006110D8"/>
    <w:rsid w:val="00611263"/>
    <w:rsid w:val="00611715"/>
    <w:rsid w:val="00611ECA"/>
    <w:rsid w:val="006120E3"/>
    <w:rsid w:val="00612B18"/>
    <w:rsid w:val="00612FF8"/>
    <w:rsid w:val="00613057"/>
    <w:rsid w:val="00613E64"/>
    <w:rsid w:val="00614800"/>
    <w:rsid w:val="00614CBE"/>
    <w:rsid w:val="0061505C"/>
    <w:rsid w:val="00615F54"/>
    <w:rsid w:val="006176F4"/>
    <w:rsid w:val="00617BB2"/>
    <w:rsid w:val="00622417"/>
    <w:rsid w:val="00622633"/>
    <w:rsid w:val="00623956"/>
    <w:rsid w:val="006240AA"/>
    <w:rsid w:val="0062435E"/>
    <w:rsid w:val="006249C1"/>
    <w:rsid w:val="00624A1D"/>
    <w:rsid w:val="00626134"/>
    <w:rsid w:val="0062647F"/>
    <w:rsid w:val="00626727"/>
    <w:rsid w:val="00626B48"/>
    <w:rsid w:val="00626FB3"/>
    <w:rsid w:val="00627CC6"/>
    <w:rsid w:val="00627F63"/>
    <w:rsid w:val="00631E12"/>
    <w:rsid w:val="00632B6F"/>
    <w:rsid w:val="00632CA3"/>
    <w:rsid w:val="00633CAA"/>
    <w:rsid w:val="00633FFC"/>
    <w:rsid w:val="0063419D"/>
    <w:rsid w:val="00636FC4"/>
    <w:rsid w:val="00637353"/>
    <w:rsid w:val="006401CD"/>
    <w:rsid w:val="00642852"/>
    <w:rsid w:val="0064296F"/>
    <w:rsid w:val="00642D3F"/>
    <w:rsid w:val="00644DFC"/>
    <w:rsid w:val="00650369"/>
    <w:rsid w:val="00651A52"/>
    <w:rsid w:val="00651BCD"/>
    <w:rsid w:val="00652382"/>
    <w:rsid w:val="006540C1"/>
    <w:rsid w:val="006544C5"/>
    <w:rsid w:val="00654C68"/>
    <w:rsid w:val="00654F78"/>
    <w:rsid w:val="00654FAA"/>
    <w:rsid w:val="00655176"/>
    <w:rsid w:val="006559A1"/>
    <w:rsid w:val="00657785"/>
    <w:rsid w:val="00660886"/>
    <w:rsid w:val="00661D14"/>
    <w:rsid w:val="00661FB2"/>
    <w:rsid w:val="00662B49"/>
    <w:rsid w:val="00663E56"/>
    <w:rsid w:val="00664D79"/>
    <w:rsid w:val="00665238"/>
    <w:rsid w:val="006654F1"/>
    <w:rsid w:val="00665CF0"/>
    <w:rsid w:val="006666DB"/>
    <w:rsid w:val="0066767F"/>
    <w:rsid w:val="00670A7B"/>
    <w:rsid w:val="00670ED1"/>
    <w:rsid w:val="00671674"/>
    <w:rsid w:val="00671CB7"/>
    <w:rsid w:val="00672313"/>
    <w:rsid w:val="00672AFF"/>
    <w:rsid w:val="006732D2"/>
    <w:rsid w:val="00673307"/>
    <w:rsid w:val="0067387C"/>
    <w:rsid w:val="006758AC"/>
    <w:rsid w:val="00675965"/>
    <w:rsid w:val="00675D87"/>
    <w:rsid w:val="00676238"/>
    <w:rsid w:val="00676486"/>
    <w:rsid w:val="006764E3"/>
    <w:rsid w:val="00676527"/>
    <w:rsid w:val="00676FA5"/>
    <w:rsid w:val="0067766B"/>
    <w:rsid w:val="00680804"/>
    <w:rsid w:val="00680B31"/>
    <w:rsid w:val="00680C24"/>
    <w:rsid w:val="0068329B"/>
    <w:rsid w:val="006845B3"/>
    <w:rsid w:val="00685001"/>
    <w:rsid w:val="006857D5"/>
    <w:rsid w:val="00685A6C"/>
    <w:rsid w:val="0068754C"/>
    <w:rsid w:val="00690D15"/>
    <w:rsid w:val="00691D93"/>
    <w:rsid w:val="00692169"/>
    <w:rsid w:val="006923F8"/>
    <w:rsid w:val="00693CB1"/>
    <w:rsid w:val="00694ABD"/>
    <w:rsid w:val="00694B61"/>
    <w:rsid w:val="00697042"/>
    <w:rsid w:val="00697C3B"/>
    <w:rsid w:val="006A04FC"/>
    <w:rsid w:val="006A04FE"/>
    <w:rsid w:val="006A349A"/>
    <w:rsid w:val="006A37D7"/>
    <w:rsid w:val="006A3A00"/>
    <w:rsid w:val="006A419A"/>
    <w:rsid w:val="006A50C9"/>
    <w:rsid w:val="006A56D4"/>
    <w:rsid w:val="006A578C"/>
    <w:rsid w:val="006A5C31"/>
    <w:rsid w:val="006A5D30"/>
    <w:rsid w:val="006A62EF"/>
    <w:rsid w:val="006A6B8F"/>
    <w:rsid w:val="006A74FD"/>
    <w:rsid w:val="006B043E"/>
    <w:rsid w:val="006B1178"/>
    <w:rsid w:val="006B17A9"/>
    <w:rsid w:val="006B2762"/>
    <w:rsid w:val="006B2E15"/>
    <w:rsid w:val="006B3AD4"/>
    <w:rsid w:val="006B40DA"/>
    <w:rsid w:val="006B504C"/>
    <w:rsid w:val="006B5D88"/>
    <w:rsid w:val="006B5FA2"/>
    <w:rsid w:val="006B631E"/>
    <w:rsid w:val="006B63F3"/>
    <w:rsid w:val="006B78C8"/>
    <w:rsid w:val="006B7C83"/>
    <w:rsid w:val="006C0BE3"/>
    <w:rsid w:val="006C0FB3"/>
    <w:rsid w:val="006C13ED"/>
    <w:rsid w:val="006C1C09"/>
    <w:rsid w:val="006C2163"/>
    <w:rsid w:val="006C2B87"/>
    <w:rsid w:val="006C6D0C"/>
    <w:rsid w:val="006C7577"/>
    <w:rsid w:val="006D09F5"/>
    <w:rsid w:val="006D0DC7"/>
    <w:rsid w:val="006D1F2A"/>
    <w:rsid w:val="006D2B48"/>
    <w:rsid w:val="006D2C7A"/>
    <w:rsid w:val="006D3738"/>
    <w:rsid w:val="006D55D6"/>
    <w:rsid w:val="006D5760"/>
    <w:rsid w:val="006D7694"/>
    <w:rsid w:val="006D7961"/>
    <w:rsid w:val="006D7AC3"/>
    <w:rsid w:val="006E1694"/>
    <w:rsid w:val="006E1B90"/>
    <w:rsid w:val="006E285C"/>
    <w:rsid w:val="006E33D3"/>
    <w:rsid w:val="006E3598"/>
    <w:rsid w:val="006E35EA"/>
    <w:rsid w:val="006E3F9A"/>
    <w:rsid w:val="006E4060"/>
    <w:rsid w:val="006E4216"/>
    <w:rsid w:val="006E4EB1"/>
    <w:rsid w:val="006E5704"/>
    <w:rsid w:val="006E5DB0"/>
    <w:rsid w:val="006E6195"/>
    <w:rsid w:val="006E790C"/>
    <w:rsid w:val="006E7A0C"/>
    <w:rsid w:val="006F234A"/>
    <w:rsid w:val="006F24B0"/>
    <w:rsid w:val="006F2600"/>
    <w:rsid w:val="006F2B47"/>
    <w:rsid w:val="006F36B6"/>
    <w:rsid w:val="006F3B32"/>
    <w:rsid w:val="006F44EE"/>
    <w:rsid w:val="006F49B4"/>
    <w:rsid w:val="007013EC"/>
    <w:rsid w:val="00701639"/>
    <w:rsid w:val="00701A2F"/>
    <w:rsid w:val="00701C47"/>
    <w:rsid w:val="00701EF0"/>
    <w:rsid w:val="007024BF"/>
    <w:rsid w:val="007028CD"/>
    <w:rsid w:val="007067F8"/>
    <w:rsid w:val="0070704C"/>
    <w:rsid w:val="00707537"/>
    <w:rsid w:val="00712EBE"/>
    <w:rsid w:val="00714313"/>
    <w:rsid w:val="007144AA"/>
    <w:rsid w:val="0071649C"/>
    <w:rsid w:val="007165BB"/>
    <w:rsid w:val="00716A4D"/>
    <w:rsid w:val="00716B99"/>
    <w:rsid w:val="00717DAC"/>
    <w:rsid w:val="0072052C"/>
    <w:rsid w:val="00720BC7"/>
    <w:rsid w:val="00721BC3"/>
    <w:rsid w:val="00721F1A"/>
    <w:rsid w:val="00722237"/>
    <w:rsid w:val="00722928"/>
    <w:rsid w:val="00722D69"/>
    <w:rsid w:val="00724435"/>
    <w:rsid w:val="0072489A"/>
    <w:rsid w:val="00725D93"/>
    <w:rsid w:val="00726354"/>
    <w:rsid w:val="00727770"/>
    <w:rsid w:val="00727A4C"/>
    <w:rsid w:val="00727A9E"/>
    <w:rsid w:val="00731595"/>
    <w:rsid w:val="00731882"/>
    <w:rsid w:val="00731CEC"/>
    <w:rsid w:val="007347AA"/>
    <w:rsid w:val="007352A2"/>
    <w:rsid w:val="00735B6F"/>
    <w:rsid w:val="00735CAB"/>
    <w:rsid w:val="00736A7A"/>
    <w:rsid w:val="0073783F"/>
    <w:rsid w:val="0074013F"/>
    <w:rsid w:val="007419D4"/>
    <w:rsid w:val="00742D4C"/>
    <w:rsid w:val="00743252"/>
    <w:rsid w:val="00743441"/>
    <w:rsid w:val="00743DC0"/>
    <w:rsid w:val="00744492"/>
    <w:rsid w:val="007458DF"/>
    <w:rsid w:val="00745CAD"/>
    <w:rsid w:val="00745DC6"/>
    <w:rsid w:val="00746D40"/>
    <w:rsid w:val="0074729A"/>
    <w:rsid w:val="0074741E"/>
    <w:rsid w:val="00752A4D"/>
    <w:rsid w:val="00752F6C"/>
    <w:rsid w:val="00753F23"/>
    <w:rsid w:val="00755585"/>
    <w:rsid w:val="007575BF"/>
    <w:rsid w:val="0075783C"/>
    <w:rsid w:val="00760148"/>
    <w:rsid w:val="007607C0"/>
    <w:rsid w:val="00762A82"/>
    <w:rsid w:val="00763089"/>
    <w:rsid w:val="007634B3"/>
    <w:rsid w:val="007657B5"/>
    <w:rsid w:val="00765E1D"/>
    <w:rsid w:val="00766CD9"/>
    <w:rsid w:val="00766D71"/>
    <w:rsid w:val="00766E25"/>
    <w:rsid w:val="0076761E"/>
    <w:rsid w:val="00767BF6"/>
    <w:rsid w:val="00770576"/>
    <w:rsid w:val="007715D0"/>
    <w:rsid w:val="0077240B"/>
    <w:rsid w:val="00772938"/>
    <w:rsid w:val="00772A1B"/>
    <w:rsid w:val="0077446C"/>
    <w:rsid w:val="00774DE3"/>
    <w:rsid w:val="00775B35"/>
    <w:rsid w:val="00775D70"/>
    <w:rsid w:val="00775E30"/>
    <w:rsid w:val="007771B9"/>
    <w:rsid w:val="0077760B"/>
    <w:rsid w:val="00777F5F"/>
    <w:rsid w:val="0078043C"/>
    <w:rsid w:val="00780C42"/>
    <w:rsid w:val="00782DDC"/>
    <w:rsid w:val="007836A0"/>
    <w:rsid w:val="0078399A"/>
    <w:rsid w:val="00783DF7"/>
    <w:rsid w:val="00783E08"/>
    <w:rsid w:val="007842E7"/>
    <w:rsid w:val="00784C77"/>
    <w:rsid w:val="007875F2"/>
    <w:rsid w:val="00790DEF"/>
    <w:rsid w:val="0079102F"/>
    <w:rsid w:val="00791AEE"/>
    <w:rsid w:val="00791E2F"/>
    <w:rsid w:val="00791EC0"/>
    <w:rsid w:val="007927A2"/>
    <w:rsid w:val="007928F1"/>
    <w:rsid w:val="00792C93"/>
    <w:rsid w:val="00793EC8"/>
    <w:rsid w:val="007940A4"/>
    <w:rsid w:val="0079437F"/>
    <w:rsid w:val="00794D26"/>
    <w:rsid w:val="0079571F"/>
    <w:rsid w:val="00796BC9"/>
    <w:rsid w:val="007A0580"/>
    <w:rsid w:val="007A1589"/>
    <w:rsid w:val="007A1DA3"/>
    <w:rsid w:val="007A1FBC"/>
    <w:rsid w:val="007A381C"/>
    <w:rsid w:val="007A4810"/>
    <w:rsid w:val="007A6DD0"/>
    <w:rsid w:val="007B0618"/>
    <w:rsid w:val="007B24C2"/>
    <w:rsid w:val="007B258C"/>
    <w:rsid w:val="007B3D1F"/>
    <w:rsid w:val="007B3D49"/>
    <w:rsid w:val="007B3E51"/>
    <w:rsid w:val="007B4CC9"/>
    <w:rsid w:val="007B68F5"/>
    <w:rsid w:val="007B6A22"/>
    <w:rsid w:val="007B797B"/>
    <w:rsid w:val="007C06DB"/>
    <w:rsid w:val="007C0D20"/>
    <w:rsid w:val="007C1861"/>
    <w:rsid w:val="007C1A49"/>
    <w:rsid w:val="007C279A"/>
    <w:rsid w:val="007C3152"/>
    <w:rsid w:val="007C3240"/>
    <w:rsid w:val="007C3B94"/>
    <w:rsid w:val="007C460F"/>
    <w:rsid w:val="007C495E"/>
    <w:rsid w:val="007C592C"/>
    <w:rsid w:val="007C5B4F"/>
    <w:rsid w:val="007C6CA2"/>
    <w:rsid w:val="007D09C4"/>
    <w:rsid w:val="007D12B6"/>
    <w:rsid w:val="007D17F1"/>
    <w:rsid w:val="007D42CF"/>
    <w:rsid w:val="007D42D2"/>
    <w:rsid w:val="007D4FC7"/>
    <w:rsid w:val="007D53EF"/>
    <w:rsid w:val="007D72C0"/>
    <w:rsid w:val="007D7BD4"/>
    <w:rsid w:val="007E15CC"/>
    <w:rsid w:val="007E2343"/>
    <w:rsid w:val="007E25E0"/>
    <w:rsid w:val="007E267C"/>
    <w:rsid w:val="007E2E8C"/>
    <w:rsid w:val="007E3478"/>
    <w:rsid w:val="007E3A43"/>
    <w:rsid w:val="007E44B0"/>
    <w:rsid w:val="007E4DCA"/>
    <w:rsid w:val="007E55EF"/>
    <w:rsid w:val="007E5CF9"/>
    <w:rsid w:val="007E7025"/>
    <w:rsid w:val="007E70FF"/>
    <w:rsid w:val="007F08C4"/>
    <w:rsid w:val="007F38E8"/>
    <w:rsid w:val="007F458F"/>
    <w:rsid w:val="007F4DB3"/>
    <w:rsid w:val="007F4F68"/>
    <w:rsid w:val="007F50E7"/>
    <w:rsid w:val="007F6A0E"/>
    <w:rsid w:val="007F721D"/>
    <w:rsid w:val="008009D5"/>
    <w:rsid w:val="00801423"/>
    <w:rsid w:val="008020F6"/>
    <w:rsid w:val="00803717"/>
    <w:rsid w:val="00803F7B"/>
    <w:rsid w:val="0080421D"/>
    <w:rsid w:val="0080483C"/>
    <w:rsid w:val="008059A1"/>
    <w:rsid w:val="0080657F"/>
    <w:rsid w:val="00810892"/>
    <w:rsid w:val="00810DF6"/>
    <w:rsid w:val="00810F9C"/>
    <w:rsid w:val="008143DE"/>
    <w:rsid w:val="00814B1F"/>
    <w:rsid w:val="00814D8D"/>
    <w:rsid w:val="00815AAC"/>
    <w:rsid w:val="00815B64"/>
    <w:rsid w:val="00816128"/>
    <w:rsid w:val="008166AB"/>
    <w:rsid w:val="00816D1E"/>
    <w:rsid w:val="00817061"/>
    <w:rsid w:val="00817278"/>
    <w:rsid w:val="00821042"/>
    <w:rsid w:val="008220D8"/>
    <w:rsid w:val="0082255A"/>
    <w:rsid w:val="008238E3"/>
    <w:rsid w:val="00823D2C"/>
    <w:rsid w:val="00824524"/>
    <w:rsid w:val="00825603"/>
    <w:rsid w:val="00825718"/>
    <w:rsid w:val="00825989"/>
    <w:rsid w:val="00825D2E"/>
    <w:rsid w:val="00825F92"/>
    <w:rsid w:val="0082696C"/>
    <w:rsid w:val="00826B7A"/>
    <w:rsid w:val="00827A80"/>
    <w:rsid w:val="0083075C"/>
    <w:rsid w:val="00830ED9"/>
    <w:rsid w:val="00831E82"/>
    <w:rsid w:val="008326F3"/>
    <w:rsid w:val="00832A2B"/>
    <w:rsid w:val="0083690B"/>
    <w:rsid w:val="008405FD"/>
    <w:rsid w:val="00840AE4"/>
    <w:rsid w:val="00841679"/>
    <w:rsid w:val="00842702"/>
    <w:rsid w:val="00843AE0"/>
    <w:rsid w:val="00843F99"/>
    <w:rsid w:val="00846C49"/>
    <w:rsid w:val="00847484"/>
    <w:rsid w:val="00847AF9"/>
    <w:rsid w:val="008508E2"/>
    <w:rsid w:val="00850E08"/>
    <w:rsid w:val="008518F8"/>
    <w:rsid w:val="008519B3"/>
    <w:rsid w:val="00852070"/>
    <w:rsid w:val="00852556"/>
    <w:rsid w:val="00852678"/>
    <w:rsid w:val="00853100"/>
    <w:rsid w:val="008534D4"/>
    <w:rsid w:val="008537D8"/>
    <w:rsid w:val="00853F0A"/>
    <w:rsid w:val="008549CB"/>
    <w:rsid w:val="008549E4"/>
    <w:rsid w:val="00855DBA"/>
    <w:rsid w:val="008566A9"/>
    <w:rsid w:val="0085742C"/>
    <w:rsid w:val="00857659"/>
    <w:rsid w:val="00857B9A"/>
    <w:rsid w:val="00860381"/>
    <w:rsid w:val="00860425"/>
    <w:rsid w:val="00860618"/>
    <w:rsid w:val="00860F26"/>
    <w:rsid w:val="0086185C"/>
    <w:rsid w:val="0086189E"/>
    <w:rsid w:val="008632B6"/>
    <w:rsid w:val="00863B35"/>
    <w:rsid w:val="0086476F"/>
    <w:rsid w:val="00864CE2"/>
    <w:rsid w:val="00865423"/>
    <w:rsid w:val="008664F1"/>
    <w:rsid w:val="00866D47"/>
    <w:rsid w:val="00866F14"/>
    <w:rsid w:val="00867341"/>
    <w:rsid w:val="0087002D"/>
    <w:rsid w:val="008716D0"/>
    <w:rsid w:val="008725FB"/>
    <w:rsid w:val="008731C5"/>
    <w:rsid w:val="00873D8A"/>
    <w:rsid w:val="00873ED3"/>
    <w:rsid w:val="00874387"/>
    <w:rsid w:val="00874D06"/>
    <w:rsid w:val="00874F12"/>
    <w:rsid w:val="008753D2"/>
    <w:rsid w:val="008758E7"/>
    <w:rsid w:val="008759C0"/>
    <w:rsid w:val="00875B8C"/>
    <w:rsid w:val="008763DE"/>
    <w:rsid w:val="008776D9"/>
    <w:rsid w:val="00877834"/>
    <w:rsid w:val="00877A64"/>
    <w:rsid w:val="00877BB8"/>
    <w:rsid w:val="00877D4B"/>
    <w:rsid w:val="00877E6C"/>
    <w:rsid w:val="008813FF"/>
    <w:rsid w:val="008841FD"/>
    <w:rsid w:val="0088423A"/>
    <w:rsid w:val="00884255"/>
    <w:rsid w:val="0088486E"/>
    <w:rsid w:val="0088518C"/>
    <w:rsid w:val="00885303"/>
    <w:rsid w:val="00885309"/>
    <w:rsid w:val="00885705"/>
    <w:rsid w:val="008874A0"/>
    <w:rsid w:val="0089002E"/>
    <w:rsid w:val="00890395"/>
    <w:rsid w:val="00892A6F"/>
    <w:rsid w:val="008930AF"/>
    <w:rsid w:val="008935B6"/>
    <w:rsid w:val="00893EB5"/>
    <w:rsid w:val="00894590"/>
    <w:rsid w:val="008949D1"/>
    <w:rsid w:val="00895839"/>
    <w:rsid w:val="00896A19"/>
    <w:rsid w:val="00896A2A"/>
    <w:rsid w:val="0089707E"/>
    <w:rsid w:val="0089710F"/>
    <w:rsid w:val="00897A1F"/>
    <w:rsid w:val="00897FC2"/>
    <w:rsid w:val="008A0107"/>
    <w:rsid w:val="008A04A3"/>
    <w:rsid w:val="008A05A0"/>
    <w:rsid w:val="008A06C8"/>
    <w:rsid w:val="008A219B"/>
    <w:rsid w:val="008A2259"/>
    <w:rsid w:val="008A2293"/>
    <w:rsid w:val="008A25DB"/>
    <w:rsid w:val="008A2C14"/>
    <w:rsid w:val="008A41EA"/>
    <w:rsid w:val="008A435C"/>
    <w:rsid w:val="008A5138"/>
    <w:rsid w:val="008A59D0"/>
    <w:rsid w:val="008A5D88"/>
    <w:rsid w:val="008A60FF"/>
    <w:rsid w:val="008B133F"/>
    <w:rsid w:val="008B1DCB"/>
    <w:rsid w:val="008B2460"/>
    <w:rsid w:val="008B261B"/>
    <w:rsid w:val="008B26CC"/>
    <w:rsid w:val="008B2E3F"/>
    <w:rsid w:val="008B350B"/>
    <w:rsid w:val="008B4171"/>
    <w:rsid w:val="008B426A"/>
    <w:rsid w:val="008B5B6E"/>
    <w:rsid w:val="008B5CBE"/>
    <w:rsid w:val="008B6246"/>
    <w:rsid w:val="008C111D"/>
    <w:rsid w:val="008C1BD3"/>
    <w:rsid w:val="008C223E"/>
    <w:rsid w:val="008C29F0"/>
    <w:rsid w:val="008C2C02"/>
    <w:rsid w:val="008C2DF8"/>
    <w:rsid w:val="008C314D"/>
    <w:rsid w:val="008C3322"/>
    <w:rsid w:val="008C4357"/>
    <w:rsid w:val="008C45CF"/>
    <w:rsid w:val="008C4A8A"/>
    <w:rsid w:val="008C4BB2"/>
    <w:rsid w:val="008C4E82"/>
    <w:rsid w:val="008C4FD7"/>
    <w:rsid w:val="008C692E"/>
    <w:rsid w:val="008C6D0A"/>
    <w:rsid w:val="008D01ED"/>
    <w:rsid w:val="008D0202"/>
    <w:rsid w:val="008D05EB"/>
    <w:rsid w:val="008D0B6E"/>
    <w:rsid w:val="008D1BEA"/>
    <w:rsid w:val="008D1F86"/>
    <w:rsid w:val="008D2510"/>
    <w:rsid w:val="008D3C2E"/>
    <w:rsid w:val="008D40DE"/>
    <w:rsid w:val="008D4631"/>
    <w:rsid w:val="008D5AAD"/>
    <w:rsid w:val="008D62E6"/>
    <w:rsid w:val="008D62F3"/>
    <w:rsid w:val="008D7329"/>
    <w:rsid w:val="008D7C37"/>
    <w:rsid w:val="008E0F79"/>
    <w:rsid w:val="008E156C"/>
    <w:rsid w:val="008E26C3"/>
    <w:rsid w:val="008E2BAB"/>
    <w:rsid w:val="008E39BC"/>
    <w:rsid w:val="008E3C3D"/>
    <w:rsid w:val="008E45F6"/>
    <w:rsid w:val="008E537A"/>
    <w:rsid w:val="008E53BC"/>
    <w:rsid w:val="008E5C88"/>
    <w:rsid w:val="008E5CF8"/>
    <w:rsid w:val="008E613E"/>
    <w:rsid w:val="008E6409"/>
    <w:rsid w:val="008E6470"/>
    <w:rsid w:val="008E6CD5"/>
    <w:rsid w:val="008E795B"/>
    <w:rsid w:val="008F058F"/>
    <w:rsid w:val="008F063B"/>
    <w:rsid w:val="008F1508"/>
    <w:rsid w:val="008F1D88"/>
    <w:rsid w:val="008F3CB5"/>
    <w:rsid w:val="008F4182"/>
    <w:rsid w:val="008F4371"/>
    <w:rsid w:val="008F5258"/>
    <w:rsid w:val="008F5C56"/>
    <w:rsid w:val="008F61E7"/>
    <w:rsid w:val="008F6B1E"/>
    <w:rsid w:val="008F6B35"/>
    <w:rsid w:val="008F6B64"/>
    <w:rsid w:val="0090089C"/>
    <w:rsid w:val="00901DE7"/>
    <w:rsid w:val="00902197"/>
    <w:rsid w:val="00904590"/>
    <w:rsid w:val="0090558E"/>
    <w:rsid w:val="009056F0"/>
    <w:rsid w:val="00906CA0"/>
    <w:rsid w:val="009076A4"/>
    <w:rsid w:val="00907BC6"/>
    <w:rsid w:val="00910D3D"/>
    <w:rsid w:val="00910E31"/>
    <w:rsid w:val="0091194F"/>
    <w:rsid w:val="00912326"/>
    <w:rsid w:val="009139CF"/>
    <w:rsid w:val="00914415"/>
    <w:rsid w:val="009149AB"/>
    <w:rsid w:val="009158AA"/>
    <w:rsid w:val="00915E23"/>
    <w:rsid w:val="00916404"/>
    <w:rsid w:val="009167DF"/>
    <w:rsid w:val="00917169"/>
    <w:rsid w:val="009174F7"/>
    <w:rsid w:val="00917E75"/>
    <w:rsid w:val="0092024A"/>
    <w:rsid w:val="00921381"/>
    <w:rsid w:val="00921689"/>
    <w:rsid w:val="009217C6"/>
    <w:rsid w:val="009226D1"/>
    <w:rsid w:val="00922888"/>
    <w:rsid w:val="009234EA"/>
    <w:rsid w:val="00923539"/>
    <w:rsid w:val="0092363B"/>
    <w:rsid w:val="00924482"/>
    <w:rsid w:val="00924E22"/>
    <w:rsid w:val="009250C8"/>
    <w:rsid w:val="0092567C"/>
    <w:rsid w:val="009257C5"/>
    <w:rsid w:val="00926C5C"/>
    <w:rsid w:val="00927135"/>
    <w:rsid w:val="009311E6"/>
    <w:rsid w:val="00931EB7"/>
    <w:rsid w:val="00932BE9"/>
    <w:rsid w:val="00932D32"/>
    <w:rsid w:val="009331D1"/>
    <w:rsid w:val="009332C9"/>
    <w:rsid w:val="0093398A"/>
    <w:rsid w:val="00933FC7"/>
    <w:rsid w:val="0093427E"/>
    <w:rsid w:val="00934782"/>
    <w:rsid w:val="009351A8"/>
    <w:rsid w:val="00935E0F"/>
    <w:rsid w:val="00936360"/>
    <w:rsid w:val="00936387"/>
    <w:rsid w:val="00936C46"/>
    <w:rsid w:val="0093789A"/>
    <w:rsid w:val="00940DB9"/>
    <w:rsid w:val="00940ED1"/>
    <w:rsid w:val="0094124F"/>
    <w:rsid w:val="0094204D"/>
    <w:rsid w:val="0094218C"/>
    <w:rsid w:val="00942490"/>
    <w:rsid w:val="0094359C"/>
    <w:rsid w:val="00943665"/>
    <w:rsid w:val="0094368E"/>
    <w:rsid w:val="009440E6"/>
    <w:rsid w:val="0094440D"/>
    <w:rsid w:val="00945EAB"/>
    <w:rsid w:val="00946C09"/>
    <w:rsid w:val="009478DC"/>
    <w:rsid w:val="009505E4"/>
    <w:rsid w:val="00951962"/>
    <w:rsid w:val="00951E1D"/>
    <w:rsid w:val="00952039"/>
    <w:rsid w:val="009522BD"/>
    <w:rsid w:val="00953123"/>
    <w:rsid w:val="0095444A"/>
    <w:rsid w:val="0095486F"/>
    <w:rsid w:val="00954B6A"/>
    <w:rsid w:val="009557BA"/>
    <w:rsid w:val="00957CE2"/>
    <w:rsid w:val="00960451"/>
    <w:rsid w:val="00961725"/>
    <w:rsid w:val="00962E6A"/>
    <w:rsid w:val="009631DC"/>
    <w:rsid w:val="00963446"/>
    <w:rsid w:val="00964135"/>
    <w:rsid w:val="0096585C"/>
    <w:rsid w:val="00965931"/>
    <w:rsid w:val="00966002"/>
    <w:rsid w:val="0096649D"/>
    <w:rsid w:val="009665E4"/>
    <w:rsid w:val="00970B92"/>
    <w:rsid w:val="00973035"/>
    <w:rsid w:val="009732A2"/>
    <w:rsid w:val="0097433E"/>
    <w:rsid w:val="009752C8"/>
    <w:rsid w:val="0097644B"/>
    <w:rsid w:val="00976AD9"/>
    <w:rsid w:val="00977146"/>
    <w:rsid w:val="009776DD"/>
    <w:rsid w:val="009779CF"/>
    <w:rsid w:val="0098075C"/>
    <w:rsid w:val="0098125F"/>
    <w:rsid w:val="0098187E"/>
    <w:rsid w:val="009839E5"/>
    <w:rsid w:val="009845B7"/>
    <w:rsid w:val="00984B34"/>
    <w:rsid w:val="009867C6"/>
    <w:rsid w:val="00986A00"/>
    <w:rsid w:val="00986ADB"/>
    <w:rsid w:val="00986BC6"/>
    <w:rsid w:val="00986C04"/>
    <w:rsid w:val="009873E8"/>
    <w:rsid w:val="0099032D"/>
    <w:rsid w:val="00990732"/>
    <w:rsid w:val="00990954"/>
    <w:rsid w:val="00990AE9"/>
    <w:rsid w:val="0099204A"/>
    <w:rsid w:val="00992352"/>
    <w:rsid w:val="00994C87"/>
    <w:rsid w:val="009952D3"/>
    <w:rsid w:val="0099573D"/>
    <w:rsid w:val="00996E3D"/>
    <w:rsid w:val="00997048"/>
    <w:rsid w:val="009A0071"/>
    <w:rsid w:val="009A009B"/>
    <w:rsid w:val="009A01B1"/>
    <w:rsid w:val="009A0D5E"/>
    <w:rsid w:val="009A1CA6"/>
    <w:rsid w:val="009A22C5"/>
    <w:rsid w:val="009A316B"/>
    <w:rsid w:val="009A3E1F"/>
    <w:rsid w:val="009A4072"/>
    <w:rsid w:val="009A44B0"/>
    <w:rsid w:val="009A63D5"/>
    <w:rsid w:val="009A6E00"/>
    <w:rsid w:val="009A746D"/>
    <w:rsid w:val="009A7653"/>
    <w:rsid w:val="009A7732"/>
    <w:rsid w:val="009B14FF"/>
    <w:rsid w:val="009B2B48"/>
    <w:rsid w:val="009B60D0"/>
    <w:rsid w:val="009C0638"/>
    <w:rsid w:val="009C0A00"/>
    <w:rsid w:val="009C0A9F"/>
    <w:rsid w:val="009C12F7"/>
    <w:rsid w:val="009C14BD"/>
    <w:rsid w:val="009C1590"/>
    <w:rsid w:val="009C2228"/>
    <w:rsid w:val="009C3D94"/>
    <w:rsid w:val="009C6097"/>
    <w:rsid w:val="009C748D"/>
    <w:rsid w:val="009C7C37"/>
    <w:rsid w:val="009D0662"/>
    <w:rsid w:val="009D11EF"/>
    <w:rsid w:val="009D1E30"/>
    <w:rsid w:val="009D3196"/>
    <w:rsid w:val="009D346F"/>
    <w:rsid w:val="009D5270"/>
    <w:rsid w:val="009D67A2"/>
    <w:rsid w:val="009D6B56"/>
    <w:rsid w:val="009D713E"/>
    <w:rsid w:val="009E0421"/>
    <w:rsid w:val="009E13D6"/>
    <w:rsid w:val="009E1998"/>
    <w:rsid w:val="009E1AE2"/>
    <w:rsid w:val="009E283E"/>
    <w:rsid w:val="009E3014"/>
    <w:rsid w:val="009E4091"/>
    <w:rsid w:val="009E40BE"/>
    <w:rsid w:val="009E4159"/>
    <w:rsid w:val="009E45E1"/>
    <w:rsid w:val="009E4904"/>
    <w:rsid w:val="009E5103"/>
    <w:rsid w:val="009E5545"/>
    <w:rsid w:val="009E6429"/>
    <w:rsid w:val="009E65E3"/>
    <w:rsid w:val="009E7270"/>
    <w:rsid w:val="009E7E93"/>
    <w:rsid w:val="009F2141"/>
    <w:rsid w:val="009F2DE2"/>
    <w:rsid w:val="009F3CC5"/>
    <w:rsid w:val="009F3CF1"/>
    <w:rsid w:val="009F497C"/>
    <w:rsid w:val="009F4BB4"/>
    <w:rsid w:val="009F7145"/>
    <w:rsid w:val="009F76A9"/>
    <w:rsid w:val="009F7C0D"/>
    <w:rsid w:val="009F7F4B"/>
    <w:rsid w:val="00A00BEE"/>
    <w:rsid w:val="00A00C49"/>
    <w:rsid w:val="00A00F34"/>
    <w:rsid w:val="00A010CD"/>
    <w:rsid w:val="00A01188"/>
    <w:rsid w:val="00A01653"/>
    <w:rsid w:val="00A01A71"/>
    <w:rsid w:val="00A04508"/>
    <w:rsid w:val="00A04A9A"/>
    <w:rsid w:val="00A05005"/>
    <w:rsid w:val="00A05A8E"/>
    <w:rsid w:val="00A10530"/>
    <w:rsid w:val="00A10B43"/>
    <w:rsid w:val="00A11069"/>
    <w:rsid w:val="00A125CB"/>
    <w:rsid w:val="00A1266A"/>
    <w:rsid w:val="00A127B0"/>
    <w:rsid w:val="00A16260"/>
    <w:rsid w:val="00A174D6"/>
    <w:rsid w:val="00A220A6"/>
    <w:rsid w:val="00A22296"/>
    <w:rsid w:val="00A227D4"/>
    <w:rsid w:val="00A23476"/>
    <w:rsid w:val="00A24978"/>
    <w:rsid w:val="00A25C22"/>
    <w:rsid w:val="00A31711"/>
    <w:rsid w:val="00A31E00"/>
    <w:rsid w:val="00A33E8A"/>
    <w:rsid w:val="00A3478A"/>
    <w:rsid w:val="00A350D9"/>
    <w:rsid w:val="00A36A36"/>
    <w:rsid w:val="00A372A2"/>
    <w:rsid w:val="00A37729"/>
    <w:rsid w:val="00A41347"/>
    <w:rsid w:val="00A416D2"/>
    <w:rsid w:val="00A42231"/>
    <w:rsid w:val="00A4272B"/>
    <w:rsid w:val="00A42D66"/>
    <w:rsid w:val="00A44D88"/>
    <w:rsid w:val="00A44FB3"/>
    <w:rsid w:val="00A4553F"/>
    <w:rsid w:val="00A45CCA"/>
    <w:rsid w:val="00A4642D"/>
    <w:rsid w:val="00A474E3"/>
    <w:rsid w:val="00A4787C"/>
    <w:rsid w:val="00A5046A"/>
    <w:rsid w:val="00A51644"/>
    <w:rsid w:val="00A51B31"/>
    <w:rsid w:val="00A51CBD"/>
    <w:rsid w:val="00A51F0A"/>
    <w:rsid w:val="00A5269C"/>
    <w:rsid w:val="00A535BA"/>
    <w:rsid w:val="00A539E0"/>
    <w:rsid w:val="00A54391"/>
    <w:rsid w:val="00A54769"/>
    <w:rsid w:val="00A56434"/>
    <w:rsid w:val="00A5650A"/>
    <w:rsid w:val="00A56723"/>
    <w:rsid w:val="00A56D35"/>
    <w:rsid w:val="00A60BA1"/>
    <w:rsid w:val="00A611EC"/>
    <w:rsid w:val="00A614C7"/>
    <w:rsid w:val="00A61E22"/>
    <w:rsid w:val="00A6208F"/>
    <w:rsid w:val="00A62B73"/>
    <w:rsid w:val="00A63A34"/>
    <w:rsid w:val="00A6444C"/>
    <w:rsid w:val="00A65D01"/>
    <w:rsid w:val="00A664A7"/>
    <w:rsid w:val="00A66CC2"/>
    <w:rsid w:val="00A66EC5"/>
    <w:rsid w:val="00A709C1"/>
    <w:rsid w:val="00A71F2E"/>
    <w:rsid w:val="00A724BB"/>
    <w:rsid w:val="00A73C51"/>
    <w:rsid w:val="00A75868"/>
    <w:rsid w:val="00A7597D"/>
    <w:rsid w:val="00A771BB"/>
    <w:rsid w:val="00A772A7"/>
    <w:rsid w:val="00A80A5D"/>
    <w:rsid w:val="00A80DDE"/>
    <w:rsid w:val="00A811D7"/>
    <w:rsid w:val="00A81997"/>
    <w:rsid w:val="00A828F5"/>
    <w:rsid w:val="00A82C49"/>
    <w:rsid w:val="00A831E6"/>
    <w:rsid w:val="00A83BF6"/>
    <w:rsid w:val="00A844B9"/>
    <w:rsid w:val="00A84919"/>
    <w:rsid w:val="00A863DA"/>
    <w:rsid w:val="00A87D44"/>
    <w:rsid w:val="00A90583"/>
    <w:rsid w:val="00A90EA6"/>
    <w:rsid w:val="00A918C4"/>
    <w:rsid w:val="00A91A73"/>
    <w:rsid w:val="00A92C8B"/>
    <w:rsid w:val="00A92FD8"/>
    <w:rsid w:val="00A93DA6"/>
    <w:rsid w:val="00A941CA"/>
    <w:rsid w:val="00A96C5D"/>
    <w:rsid w:val="00A97152"/>
    <w:rsid w:val="00A97806"/>
    <w:rsid w:val="00A97C4B"/>
    <w:rsid w:val="00AA09BC"/>
    <w:rsid w:val="00AA3137"/>
    <w:rsid w:val="00AB07D4"/>
    <w:rsid w:val="00AB23A9"/>
    <w:rsid w:val="00AB26E8"/>
    <w:rsid w:val="00AB2AB8"/>
    <w:rsid w:val="00AB2BD1"/>
    <w:rsid w:val="00AB2E98"/>
    <w:rsid w:val="00AB4C45"/>
    <w:rsid w:val="00AB52EE"/>
    <w:rsid w:val="00AB6C13"/>
    <w:rsid w:val="00AB71E1"/>
    <w:rsid w:val="00AB74AD"/>
    <w:rsid w:val="00AB7E76"/>
    <w:rsid w:val="00AC0B7E"/>
    <w:rsid w:val="00AC1F59"/>
    <w:rsid w:val="00AC2722"/>
    <w:rsid w:val="00AC33AB"/>
    <w:rsid w:val="00AC4947"/>
    <w:rsid w:val="00AC62E2"/>
    <w:rsid w:val="00AC6675"/>
    <w:rsid w:val="00AC691E"/>
    <w:rsid w:val="00AD04F5"/>
    <w:rsid w:val="00AD0D72"/>
    <w:rsid w:val="00AD190A"/>
    <w:rsid w:val="00AD209B"/>
    <w:rsid w:val="00AD21B5"/>
    <w:rsid w:val="00AD28BD"/>
    <w:rsid w:val="00AD31F0"/>
    <w:rsid w:val="00AD31F5"/>
    <w:rsid w:val="00AD345C"/>
    <w:rsid w:val="00AD3CAA"/>
    <w:rsid w:val="00AD3E31"/>
    <w:rsid w:val="00AD463F"/>
    <w:rsid w:val="00AD48DD"/>
    <w:rsid w:val="00AD4F09"/>
    <w:rsid w:val="00AD549C"/>
    <w:rsid w:val="00AD5F18"/>
    <w:rsid w:val="00AD74DF"/>
    <w:rsid w:val="00AD7C0E"/>
    <w:rsid w:val="00AD7D82"/>
    <w:rsid w:val="00AE087B"/>
    <w:rsid w:val="00AE14CF"/>
    <w:rsid w:val="00AE2E47"/>
    <w:rsid w:val="00AE328A"/>
    <w:rsid w:val="00AE4FAC"/>
    <w:rsid w:val="00AE6DD3"/>
    <w:rsid w:val="00AE7896"/>
    <w:rsid w:val="00AF04CA"/>
    <w:rsid w:val="00AF3AF2"/>
    <w:rsid w:val="00AF42DB"/>
    <w:rsid w:val="00AF4946"/>
    <w:rsid w:val="00AF5EE5"/>
    <w:rsid w:val="00AF6832"/>
    <w:rsid w:val="00AF7BBA"/>
    <w:rsid w:val="00B0062C"/>
    <w:rsid w:val="00B00937"/>
    <w:rsid w:val="00B00FAF"/>
    <w:rsid w:val="00B01110"/>
    <w:rsid w:val="00B01813"/>
    <w:rsid w:val="00B02791"/>
    <w:rsid w:val="00B0452F"/>
    <w:rsid w:val="00B04782"/>
    <w:rsid w:val="00B04C1D"/>
    <w:rsid w:val="00B05A5A"/>
    <w:rsid w:val="00B069C0"/>
    <w:rsid w:val="00B06F27"/>
    <w:rsid w:val="00B072F0"/>
    <w:rsid w:val="00B0774C"/>
    <w:rsid w:val="00B1008C"/>
    <w:rsid w:val="00B10157"/>
    <w:rsid w:val="00B11270"/>
    <w:rsid w:val="00B118F5"/>
    <w:rsid w:val="00B11A3B"/>
    <w:rsid w:val="00B16ADD"/>
    <w:rsid w:val="00B16F33"/>
    <w:rsid w:val="00B22ACC"/>
    <w:rsid w:val="00B22F03"/>
    <w:rsid w:val="00B22F96"/>
    <w:rsid w:val="00B240D8"/>
    <w:rsid w:val="00B2437C"/>
    <w:rsid w:val="00B2566F"/>
    <w:rsid w:val="00B25B81"/>
    <w:rsid w:val="00B25C89"/>
    <w:rsid w:val="00B260EF"/>
    <w:rsid w:val="00B2641B"/>
    <w:rsid w:val="00B27569"/>
    <w:rsid w:val="00B30005"/>
    <w:rsid w:val="00B302CC"/>
    <w:rsid w:val="00B3083A"/>
    <w:rsid w:val="00B30F6A"/>
    <w:rsid w:val="00B31FC4"/>
    <w:rsid w:val="00B32654"/>
    <w:rsid w:val="00B32907"/>
    <w:rsid w:val="00B341EF"/>
    <w:rsid w:val="00B3498A"/>
    <w:rsid w:val="00B3596D"/>
    <w:rsid w:val="00B3666E"/>
    <w:rsid w:val="00B409F8"/>
    <w:rsid w:val="00B41035"/>
    <w:rsid w:val="00B4303F"/>
    <w:rsid w:val="00B43A38"/>
    <w:rsid w:val="00B4449C"/>
    <w:rsid w:val="00B445E9"/>
    <w:rsid w:val="00B45009"/>
    <w:rsid w:val="00B4548B"/>
    <w:rsid w:val="00B454F4"/>
    <w:rsid w:val="00B504F8"/>
    <w:rsid w:val="00B50EF6"/>
    <w:rsid w:val="00B51276"/>
    <w:rsid w:val="00B525E6"/>
    <w:rsid w:val="00B52C8F"/>
    <w:rsid w:val="00B52DE5"/>
    <w:rsid w:val="00B53498"/>
    <w:rsid w:val="00B54148"/>
    <w:rsid w:val="00B54E5E"/>
    <w:rsid w:val="00B5595F"/>
    <w:rsid w:val="00B55D86"/>
    <w:rsid w:val="00B56871"/>
    <w:rsid w:val="00B5760C"/>
    <w:rsid w:val="00B57991"/>
    <w:rsid w:val="00B60363"/>
    <w:rsid w:val="00B608B2"/>
    <w:rsid w:val="00B613EE"/>
    <w:rsid w:val="00B62C0C"/>
    <w:rsid w:val="00B63136"/>
    <w:rsid w:val="00B64615"/>
    <w:rsid w:val="00B66EE8"/>
    <w:rsid w:val="00B6772B"/>
    <w:rsid w:val="00B67A2A"/>
    <w:rsid w:val="00B67DB8"/>
    <w:rsid w:val="00B701F9"/>
    <w:rsid w:val="00B70407"/>
    <w:rsid w:val="00B707D7"/>
    <w:rsid w:val="00B70CC8"/>
    <w:rsid w:val="00B72185"/>
    <w:rsid w:val="00B724B4"/>
    <w:rsid w:val="00B726CC"/>
    <w:rsid w:val="00B732F4"/>
    <w:rsid w:val="00B73A52"/>
    <w:rsid w:val="00B73E29"/>
    <w:rsid w:val="00B75353"/>
    <w:rsid w:val="00B75DF3"/>
    <w:rsid w:val="00B75F65"/>
    <w:rsid w:val="00B766A1"/>
    <w:rsid w:val="00B77822"/>
    <w:rsid w:val="00B77FDB"/>
    <w:rsid w:val="00B803FD"/>
    <w:rsid w:val="00B811C0"/>
    <w:rsid w:val="00B8353C"/>
    <w:rsid w:val="00B84736"/>
    <w:rsid w:val="00B85AFB"/>
    <w:rsid w:val="00B8697E"/>
    <w:rsid w:val="00B90189"/>
    <w:rsid w:val="00B902B4"/>
    <w:rsid w:val="00B90B1F"/>
    <w:rsid w:val="00B92B30"/>
    <w:rsid w:val="00B93943"/>
    <w:rsid w:val="00B948C2"/>
    <w:rsid w:val="00B94E50"/>
    <w:rsid w:val="00B95673"/>
    <w:rsid w:val="00B95C24"/>
    <w:rsid w:val="00B9699C"/>
    <w:rsid w:val="00B97F8B"/>
    <w:rsid w:val="00BA010D"/>
    <w:rsid w:val="00BA03BA"/>
    <w:rsid w:val="00BA0B16"/>
    <w:rsid w:val="00BA0BF3"/>
    <w:rsid w:val="00BA1F1F"/>
    <w:rsid w:val="00BA2950"/>
    <w:rsid w:val="00BA30EB"/>
    <w:rsid w:val="00BA4599"/>
    <w:rsid w:val="00BA48CC"/>
    <w:rsid w:val="00BA4A89"/>
    <w:rsid w:val="00BA540C"/>
    <w:rsid w:val="00BA5FB5"/>
    <w:rsid w:val="00BA70F4"/>
    <w:rsid w:val="00BA7DD3"/>
    <w:rsid w:val="00BB14AE"/>
    <w:rsid w:val="00BB19E2"/>
    <w:rsid w:val="00BB1D59"/>
    <w:rsid w:val="00BB294A"/>
    <w:rsid w:val="00BB2AE3"/>
    <w:rsid w:val="00BB3678"/>
    <w:rsid w:val="00BB441A"/>
    <w:rsid w:val="00BB4B3C"/>
    <w:rsid w:val="00BB67C3"/>
    <w:rsid w:val="00BB6F41"/>
    <w:rsid w:val="00BB704A"/>
    <w:rsid w:val="00BB71CB"/>
    <w:rsid w:val="00BB76C7"/>
    <w:rsid w:val="00BC1A4C"/>
    <w:rsid w:val="00BC1D2C"/>
    <w:rsid w:val="00BC2730"/>
    <w:rsid w:val="00BC2870"/>
    <w:rsid w:val="00BC2D99"/>
    <w:rsid w:val="00BC364C"/>
    <w:rsid w:val="00BC521A"/>
    <w:rsid w:val="00BC553E"/>
    <w:rsid w:val="00BC5CFD"/>
    <w:rsid w:val="00BC5FF5"/>
    <w:rsid w:val="00BC610C"/>
    <w:rsid w:val="00BC6137"/>
    <w:rsid w:val="00BC6A21"/>
    <w:rsid w:val="00BD0655"/>
    <w:rsid w:val="00BD0BE1"/>
    <w:rsid w:val="00BD1AC3"/>
    <w:rsid w:val="00BD261E"/>
    <w:rsid w:val="00BD32A2"/>
    <w:rsid w:val="00BD35BB"/>
    <w:rsid w:val="00BD45E4"/>
    <w:rsid w:val="00BD4E06"/>
    <w:rsid w:val="00BD5274"/>
    <w:rsid w:val="00BD5D50"/>
    <w:rsid w:val="00BD679F"/>
    <w:rsid w:val="00BD749C"/>
    <w:rsid w:val="00BE04A0"/>
    <w:rsid w:val="00BE0718"/>
    <w:rsid w:val="00BE0B1C"/>
    <w:rsid w:val="00BE1277"/>
    <w:rsid w:val="00BE139B"/>
    <w:rsid w:val="00BE3681"/>
    <w:rsid w:val="00BE3DD5"/>
    <w:rsid w:val="00BE4C53"/>
    <w:rsid w:val="00BE6273"/>
    <w:rsid w:val="00BF1006"/>
    <w:rsid w:val="00BF10CA"/>
    <w:rsid w:val="00BF119D"/>
    <w:rsid w:val="00BF12D4"/>
    <w:rsid w:val="00BF1E6B"/>
    <w:rsid w:val="00BF20DF"/>
    <w:rsid w:val="00BF2250"/>
    <w:rsid w:val="00BF2B41"/>
    <w:rsid w:val="00BF4804"/>
    <w:rsid w:val="00BF52D0"/>
    <w:rsid w:val="00BF5982"/>
    <w:rsid w:val="00C01389"/>
    <w:rsid w:val="00C0258E"/>
    <w:rsid w:val="00C060EA"/>
    <w:rsid w:val="00C062FE"/>
    <w:rsid w:val="00C0708C"/>
    <w:rsid w:val="00C0792F"/>
    <w:rsid w:val="00C100AA"/>
    <w:rsid w:val="00C10A35"/>
    <w:rsid w:val="00C10B12"/>
    <w:rsid w:val="00C11872"/>
    <w:rsid w:val="00C12AF8"/>
    <w:rsid w:val="00C13070"/>
    <w:rsid w:val="00C143E8"/>
    <w:rsid w:val="00C147A5"/>
    <w:rsid w:val="00C15482"/>
    <w:rsid w:val="00C15566"/>
    <w:rsid w:val="00C16FD5"/>
    <w:rsid w:val="00C172AA"/>
    <w:rsid w:val="00C209BA"/>
    <w:rsid w:val="00C21703"/>
    <w:rsid w:val="00C23490"/>
    <w:rsid w:val="00C23661"/>
    <w:rsid w:val="00C23952"/>
    <w:rsid w:val="00C23D82"/>
    <w:rsid w:val="00C248D2"/>
    <w:rsid w:val="00C25406"/>
    <w:rsid w:val="00C25CFD"/>
    <w:rsid w:val="00C27839"/>
    <w:rsid w:val="00C27F7F"/>
    <w:rsid w:val="00C31B7A"/>
    <w:rsid w:val="00C32379"/>
    <w:rsid w:val="00C324BF"/>
    <w:rsid w:val="00C327D6"/>
    <w:rsid w:val="00C32D8C"/>
    <w:rsid w:val="00C33121"/>
    <w:rsid w:val="00C334AF"/>
    <w:rsid w:val="00C339AE"/>
    <w:rsid w:val="00C33B1A"/>
    <w:rsid w:val="00C33E70"/>
    <w:rsid w:val="00C34164"/>
    <w:rsid w:val="00C34442"/>
    <w:rsid w:val="00C34F76"/>
    <w:rsid w:val="00C3582E"/>
    <w:rsid w:val="00C36103"/>
    <w:rsid w:val="00C36742"/>
    <w:rsid w:val="00C36857"/>
    <w:rsid w:val="00C36EF4"/>
    <w:rsid w:val="00C36F4B"/>
    <w:rsid w:val="00C37EDA"/>
    <w:rsid w:val="00C40080"/>
    <w:rsid w:val="00C40CEF"/>
    <w:rsid w:val="00C41313"/>
    <w:rsid w:val="00C433BE"/>
    <w:rsid w:val="00C441AE"/>
    <w:rsid w:val="00C44ADE"/>
    <w:rsid w:val="00C455D1"/>
    <w:rsid w:val="00C46DF8"/>
    <w:rsid w:val="00C50008"/>
    <w:rsid w:val="00C501FD"/>
    <w:rsid w:val="00C51ECF"/>
    <w:rsid w:val="00C535AF"/>
    <w:rsid w:val="00C538AD"/>
    <w:rsid w:val="00C53A22"/>
    <w:rsid w:val="00C53C58"/>
    <w:rsid w:val="00C53F16"/>
    <w:rsid w:val="00C54385"/>
    <w:rsid w:val="00C548B3"/>
    <w:rsid w:val="00C555B6"/>
    <w:rsid w:val="00C55609"/>
    <w:rsid w:val="00C55D37"/>
    <w:rsid w:val="00C56D5B"/>
    <w:rsid w:val="00C56E33"/>
    <w:rsid w:val="00C57F06"/>
    <w:rsid w:val="00C60230"/>
    <w:rsid w:val="00C604D6"/>
    <w:rsid w:val="00C60F76"/>
    <w:rsid w:val="00C6105E"/>
    <w:rsid w:val="00C61863"/>
    <w:rsid w:val="00C61D59"/>
    <w:rsid w:val="00C625B8"/>
    <w:rsid w:val="00C625DA"/>
    <w:rsid w:val="00C6270E"/>
    <w:rsid w:val="00C63601"/>
    <w:rsid w:val="00C63B79"/>
    <w:rsid w:val="00C6440D"/>
    <w:rsid w:val="00C65383"/>
    <w:rsid w:val="00C6547F"/>
    <w:rsid w:val="00C65A6F"/>
    <w:rsid w:val="00C67C98"/>
    <w:rsid w:val="00C72FD2"/>
    <w:rsid w:val="00C73013"/>
    <w:rsid w:val="00C730F3"/>
    <w:rsid w:val="00C7312D"/>
    <w:rsid w:val="00C7314D"/>
    <w:rsid w:val="00C7476A"/>
    <w:rsid w:val="00C753B8"/>
    <w:rsid w:val="00C75B20"/>
    <w:rsid w:val="00C75F2B"/>
    <w:rsid w:val="00C76E00"/>
    <w:rsid w:val="00C778B2"/>
    <w:rsid w:val="00C80230"/>
    <w:rsid w:val="00C80BD1"/>
    <w:rsid w:val="00C80D81"/>
    <w:rsid w:val="00C814C9"/>
    <w:rsid w:val="00C829A3"/>
    <w:rsid w:val="00C83246"/>
    <w:rsid w:val="00C850D6"/>
    <w:rsid w:val="00C852CB"/>
    <w:rsid w:val="00C860E0"/>
    <w:rsid w:val="00C86603"/>
    <w:rsid w:val="00C87F3D"/>
    <w:rsid w:val="00C91A8D"/>
    <w:rsid w:val="00C93608"/>
    <w:rsid w:val="00C93B55"/>
    <w:rsid w:val="00C944CB"/>
    <w:rsid w:val="00C95254"/>
    <w:rsid w:val="00C954C3"/>
    <w:rsid w:val="00C95DEF"/>
    <w:rsid w:val="00C9744A"/>
    <w:rsid w:val="00C97EA6"/>
    <w:rsid w:val="00CA021F"/>
    <w:rsid w:val="00CA0436"/>
    <w:rsid w:val="00CA0B94"/>
    <w:rsid w:val="00CA1859"/>
    <w:rsid w:val="00CA3BAE"/>
    <w:rsid w:val="00CA3E31"/>
    <w:rsid w:val="00CA577F"/>
    <w:rsid w:val="00CA5D8E"/>
    <w:rsid w:val="00CA603A"/>
    <w:rsid w:val="00CA62C6"/>
    <w:rsid w:val="00CA6808"/>
    <w:rsid w:val="00CB068B"/>
    <w:rsid w:val="00CB08C2"/>
    <w:rsid w:val="00CB1499"/>
    <w:rsid w:val="00CB3A24"/>
    <w:rsid w:val="00CB49DE"/>
    <w:rsid w:val="00CB5E81"/>
    <w:rsid w:val="00CB5F0B"/>
    <w:rsid w:val="00CB64C2"/>
    <w:rsid w:val="00CB7E75"/>
    <w:rsid w:val="00CC0050"/>
    <w:rsid w:val="00CC1C8C"/>
    <w:rsid w:val="00CC1D65"/>
    <w:rsid w:val="00CC2C7E"/>
    <w:rsid w:val="00CC3610"/>
    <w:rsid w:val="00CC362D"/>
    <w:rsid w:val="00CC4574"/>
    <w:rsid w:val="00CC4EFF"/>
    <w:rsid w:val="00CC50CF"/>
    <w:rsid w:val="00CC5321"/>
    <w:rsid w:val="00CC6BDA"/>
    <w:rsid w:val="00CC6CCF"/>
    <w:rsid w:val="00CD0A06"/>
    <w:rsid w:val="00CD1603"/>
    <w:rsid w:val="00CD1AFF"/>
    <w:rsid w:val="00CD2A2F"/>
    <w:rsid w:val="00CD3B5E"/>
    <w:rsid w:val="00CD4BAE"/>
    <w:rsid w:val="00CD52A8"/>
    <w:rsid w:val="00CD7035"/>
    <w:rsid w:val="00CD742E"/>
    <w:rsid w:val="00CE0694"/>
    <w:rsid w:val="00CE0EF1"/>
    <w:rsid w:val="00CE11CB"/>
    <w:rsid w:val="00CE1920"/>
    <w:rsid w:val="00CE2B89"/>
    <w:rsid w:val="00CE3458"/>
    <w:rsid w:val="00CE3906"/>
    <w:rsid w:val="00CE51D3"/>
    <w:rsid w:val="00CE5E0D"/>
    <w:rsid w:val="00CE6091"/>
    <w:rsid w:val="00CE70AB"/>
    <w:rsid w:val="00CE7EBC"/>
    <w:rsid w:val="00CF0018"/>
    <w:rsid w:val="00CF04C1"/>
    <w:rsid w:val="00CF0BA6"/>
    <w:rsid w:val="00CF17B5"/>
    <w:rsid w:val="00CF1CEC"/>
    <w:rsid w:val="00CF22C2"/>
    <w:rsid w:val="00CF2980"/>
    <w:rsid w:val="00CF2FE7"/>
    <w:rsid w:val="00CF4255"/>
    <w:rsid w:val="00CF4CF9"/>
    <w:rsid w:val="00CF5886"/>
    <w:rsid w:val="00CF6926"/>
    <w:rsid w:val="00CF6F84"/>
    <w:rsid w:val="00CF7A56"/>
    <w:rsid w:val="00D0052F"/>
    <w:rsid w:val="00D02AAC"/>
    <w:rsid w:val="00D04AD6"/>
    <w:rsid w:val="00D05B3B"/>
    <w:rsid w:val="00D0619E"/>
    <w:rsid w:val="00D0725E"/>
    <w:rsid w:val="00D0735D"/>
    <w:rsid w:val="00D077AA"/>
    <w:rsid w:val="00D10BF0"/>
    <w:rsid w:val="00D1165B"/>
    <w:rsid w:val="00D1167C"/>
    <w:rsid w:val="00D124DB"/>
    <w:rsid w:val="00D1261B"/>
    <w:rsid w:val="00D12855"/>
    <w:rsid w:val="00D128DC"/>
    <w:rsid w:val="00D13253"/>
    <w:rsid w:val="00D13A21"/>
    <w:rsid w:val="00D13E8A"/>
    <w:rsid w:val="00D14484"/>
    <w:rsid w:val="00D14F77"/>
    <w:rsid w:val="00D151BC"/>
    <w:rsid w:val="00D15916"/>
    <w:rsid w:val="00D16843"/>
    <w:rsid w:val="00D16B4E"/>
    <w:rsid w:val="00D175E2"/>
    <w:rsid w:val="00D20188"/>
    <w:rsid w:val="00D21ABD"/>
    <w:rsid w:val="00D2228E"/>
    <w:rsid w:val="00D231DE"/>
    <w:rsid w:val="00D2392B"/>
    <w:rsid w:val="00D23E1D"/>
    <w:rsid w:val="00D24370"/>
    <w:rsid w:val="00D246B7"/>
    <w:rsid w:val="00D258F2"/>
    <w:rsid w:val="00D25A42"/>
    <w:rsid w:val="00D25A5A"/>
    <w:rsid w:val="00D26B43"/>
    <w:rsid w:val="00D2780A"/>
    <w:rsid w:val="00D27C5A"/>
    <w:rsid w:val="00D32543"/>
    <w:rsid w:val="00D3271A"/>
    <w:rsid w:val="00D32AB1"/>
    <w:rsid w:val="00D331C0"/>
    <w:rsid w:val="00D33793"/>
    <w:rsid w:val="00D33F31"/>
    <w:rsid w:val="00D34370"/>
    <w:rsid w:val="00D34E5F"/>
    <w:rsid w:val="00D35124"/>
    <w:rsid w:val="00D35604"/>
    <w:rsid w:val="00D36547"/>
    <w:rsid w:val="00D37576"/>
    <w:rsid w:val="00D37C1A"/>
    <w:rsid w:val="00D41850"/>
    <w:rsid w:val="00D41CE7"/>
    <w:rsid w:val="00D41E1B"/>
    <w:rsid w:val="00D42AFD"/>
    <w:rsid w:val="00D42C22"/>
    <w:rsid w:val="00D43B00"/>
    <w:rsid w:val="00D43F6F"/>
    <w:rsid w:val="00D46064"/>
    <w:rsid w:val="00D46315"/>
    <w:rsid w:val="00D46E31"/>
    <w:rsid w:val="00D47FCD"/>
    <w:rsid w:val="00D51861"/>
    <w:rsid w:val="00D51AA8"/>
    <w:rsid w:val="00D51C1D"/>
    <w:rsid w:val="00D51D84"/>
    <w:rsid w:val="00D52168"/>
    <w:rsid w:val="00D521F9"/>
    <w:rsid w:val="00D52AE8"/>
    <w:rsid w:val="00D534A1"/>
    <w:rsid w:val="00D53E09"/>
    <w:rsid w:val="00D553D5"/>
    <w:rsid w:val="00D55D35"/>
    <w:rsid w:val="00D56512"/>
    <w:rsid w:val="00D610AC"/>
    <w:rsid w:val="00D611D9"/>
    <w:rsid w:val="00D6129C"/>
    <w:rsid w:val="00D64009"/>
    <w:rsid w:val="00D65BE7"/>
    <w:rsid w:val="00D66BEC"/>
    <w:rsid w:val="00D71B4F"/>
    <w:rsid w:val="00D72F6F"/>
    <w:rsid w:val="00D732AB"/>
    <w:rsid w:val="00D7375C"/>
    <w:rsid w:val="00D7381C"/>
    <w:rsid w:val="00D738EF"/>
    <w:rsid w:val="00D73D88"/>
    <w:rsid w:val="00D73E3A"/>
    <w:rsid w:val="00D7425E"/>
    <w:rsid w:val="00D74354"/>
    <w:rsid w:val="00D746DA"/>
    <w:rsid w:val="00D74821"/>
    <w:rsid w:val="00D749ED"/>
    <w:rsid w:val="00D74ED0"/>
    <w:rsid w:val="00D76359"/>
    <w:rsid w:val="00D7675A"/>
    <w:rsid w:val="00D76AB2"/>
    <w:rsid w:val="00D7709C"/>
    <w:rsid w:val="00D774C2"/>
    <w:rsid w:val="00D8072C"/>
    <w:rsid w:val="00D808C9"/>
    <w:rsid w:val="00D80BC0"/>
    <w:rsid w:val="00D81013"/>
    <w:rsid w:val="00D840A2"/>
    <w:rsid w:val="00D848D9"/>
    <w:rsid w:val="00D855E3"/>
    <w:rsid w:val="00D87024"/>
    <w:rsid w:val="00D87486"/>
    <w:rsid w:val="00D876CD"/>
    <w:rsid w:val="00D900E2"/>
    <w:rsid w:val="00D90F51"/>
    <w:rsid w:val="00D91A2E"/>
    <w:rsid w:val="00D92318"/>
    <w:rsid w:val="00D925FA"/>
    <w:rsid w:val="00D92C5B"/>
    <w:rsid w:val="00D92F21"/>
    <w:rsid w:val="00D934D8"/>
    <w:rsid w:val="00D94DD0"/>
    <w:rsid w:val="00D9538C"/>
    <w:rsid w:val="00D956CC"/>
    <w:rsid w:val="00D96608"/>
    <w:rsid w:val="00D973DD"/>
    <w:rsid w:val="00DA12E8"/>
    <w:rsid w:val="00DA1A65"/>
    <w:rsid w:val="00DA1B30"/>
    <w:rsid w:val="00DA2863"/>
    <w:rsid w:val="00DA29F9"/>
    <w:rsid w:val="00DA30BA"/>
    <w:rsid w:val="00DA3A69"/>
    <w:rsid w:val="00DA4634"/>
    <w:rsid w:val="00DA49D1"/>
    <w:rsid w:val="00DA6C6B"/>
    <w:rsid w:val="00DB0B67"/>
    <w:rsid w:val="00DB0E7F"/>
    <w:rsid w:val="00DB233B"/>
    <w:rsid w:val="00DB2F8A"/>
    <w:rsid w:val="00DB400D"/>
    <w:rsid w:val="00DB464D"/>
    <w:rsid w:val="00DB6377"/>
    <w:rsid w:val="00DB7377"/>
    <w:rsid w:val="00DB7853"/>
    <w:rsid w:val="00DB78CE"/>
    <w:rsid w:val="00DC16CF"/>
    <w:rsid w:val="00DC1AAE"/>
    <w:rsid w:val="00DC1B6A"/>
    <w:rsid w:val="00DC2C46"/>
    <w:rsid w:val="00DC35ED"/>
    <w:rsid w:val="00DC4D06"/>
    <w:rsid w:val="00DC511C"/>
    <w:rsid w:val="00DC5EB1"/>
    <w:rsid w:val="00DC6D6C"/>
    <w:rsid w:val="00DC74D4"/>
    <w:rsid w:val="00DC74D7"/>
    <w:rsid w:val="00DD2F32"/>
    <w:rsid w:val="00DD34BE"/>
    <w:rsid w:val="00DD3687"/>
    <w:rsid w:val="00DD45E6"/>
    <w:rsid w:val="00DD49ED"/>
    <w:rsid w:val="00DD4C39"/>
    <w:rsid w:val="00DD523F"/>
    <w:rsid w:val="00DD699D"/>
    <w:rsid w:val="00DD6B76"/>
    <w:rsid w:val="00DD6C9A"/>
    <w:rsid w:val="00DE0436"/>
    <w:rsid w:val="00DE0848"/>
    <w:rsid w:val="00DE0D02"/>
    <w:rsid w:val="00DE1626"/>
    <w:rsid w:val="00DE1E2C"/>
    <w:rsid w:val="00DE2190"/>
    <w:rsid w:val="00DE31BA"/>
    <w:rsid w:val="00DE37AB"/>
    <w:rsid w:val="00DE4488"/>
    <w:rsid w:val="00DE497D"/>
    <w:rsid w:val="00DE62C2"/>
    <w:rsid w:val="00DE6F68"/>
    <w:rsid w:val="00DE7101"/>
    <w:rsid w:val="00DE7452"/>
    <w:rsid w:val="00DF1149"/>
    <w:rsid w:val="00DF2335"/>
    <w:rsid w:val="00DF285C"/>
    <w:rsid w:val="00DF382A"/>
    <w:rsid w:val="00DF3C2B"/>
    <w:rsid w:val="00DF3D4F"/>
    <w:rsid w:val="00DF3F8A"/>
    <w:rsid w:val="00DF43C3"/>
    <w:rsid w:val="00DF6D51"/>
    <w:rsid w:val="00DF6FB7"/>
    <w:rsid w:val="00E00DC8"/>
    <w:rsid w:val="00E00F4A"/>
    <w:rsid w:val="00E0108F"/>
    <w:rsid w:val="00E02A80"/>
    <w:rsid w:val="00E02E99"/>
    <w:rsid w:val="00E02F01"/>
    <w:rsid w:val="00E03E0D"/>
    <w:rsid w:val="00E055C8"/>
    <w:rsid w:val="00E072A0"/>
    <w:rsid w:val="00E07343"/>
    <w:rsid w:val="00E07D9F"/>
    <w:rsid w:val="00E10E50"/>
    <w:rsid w:val="00E10F37"/>
    <w:rsid w:val="00E119A5"/>
    <w:rsid w:val="00E11FAB"/>
    <w:rsid w:val="00E11FE1"/>
    <w:rsid w:val="00E137D4"/>
    <w:rsid w:val="00E155E7"/>
    <w:rsid w:val="00E1764F"/>
    <w:rsid w:val="00E2044A"/>
    <w:rsid w:val="00E207CB"/>
    <w:rsid w:val="00E214E8"/>
    <w:rsid w:val="00E21C51"/>
    <w:rsid w:val="00E22291"/>
    <w:rsid w:val="00E227E1"/>
    <w:rsid w:val="00E22AF2"/>
    <w:rsid w:val="00E232AB"/>
    <w:rsid w:val="00E2389B"/>
    <w:rsid w:val="00E24120"/>
    <w:rsid w:val="00E24AC4"/>
    <w:rsid w:val="00E24D2F"/>
    <w:rsid w:val="00E260F3"/>
    <w:rsid w:val="00E2628A"/>
    <w:rsid w:val="00E26D0E"/>
    <w:rsid w:val="00E26FEA"/>
    <w:rsid w:val="00E273B2"/>
    <w:rsid w:val="00E2793E"/>
    <w:rsid w:val="00E27989"/>
    <w:rsid w:val="00E31194"/>
    <w:rsid w:val="00E31D7D"/>
    <w:rsid w:val="00E32095"/>
    <w:rsid w:val="00E3235E"/>
    <w:rsid w:val="00E342A7"/>
    <w:rsid w:val="00E3445E"/>
    <w:rsid w:val="00E36652"/>
    <w:rsid w:val="00E369B5"/>
    <w:rsid w:val="00E37727"/>
    <w:rsid w:val="00E408B9"/>
    <w:rsid w:val="00E40C10"/>
    <w:rsid w:val="00E41168"/>
    <w:rsid w:val="00E44630"/>
    <w:rsid w:val="00E4511C"/>
    <w:rsid w:val="00E452CD"/>
    <w:rsid w:val="00E45E8C"/>
    <w:rsid w:val="00E46773"/>
    <w:rsid w:val="00E46EF5"/>
    <w:rsid w:val="00E47D4F"/>
    <w:rsid w:val="00E514A7"/>
    <w:rsid w:val="00E51E45"/>
    <w:rsid w:val="00E52145"/>
    <w:rsid w:val="00E52382"/>
    <w:rsid w:val="00E5439B"/>
    <w:rsid w:val="00E55371"/>
    <w:rsid w:val="00E55B23"/>
    <w:rsid w:val="00E55D50"/>
    <w:rsid w:val="00E57126"/>
    <w:rsid w:val="00E57524"/>
    <w:rsid w:val="00E60F36"/>
    <w:rsid w:val="00E61C0A"/>
    <w:rsid w:val="00E62C08"/>
    <w:rsid w:val="00E636F8"/>
    <w:rsid w:val="00E64245"/>
    <w:rsid w:val="00E64629"/>
    <w:rsid w:val="00E6758C"/>
    <w:rsid w:val="00E67DBE"/>
    <w:rsid w:val="00E70212"/>
    <w:rsid w:val="00E7060C"/>
    <w:rsid w:val="00E70A1F"/>
    <w:rsid w:val="00E71C6D"/>
    <w:rsid w:val="00E72B16"/>
    <w:rsid w:val="00E72E54"/>
    <w:rsid w:val="00E74095"/>
    <w:rsid w:val="00E743C9"/>
    <w:rsid w:val="00E74CB3"/>
    <w:rsid w:val="00E755BD"/>
    <w:rsid w:val="00E75676"/>
    <w:rsid w:val="00E75768"/>
    <w:rsid w:val="00E75AA9"/>
    <w:rsid w:val="00E77DD7"/>
    <w:rsid w:val="00E80012"/>
    <w:rsid w:val="00E8328B"/>
    <w:rsid w:val="00E84640"/>
    <w:rsid w:val="00E857A5"/>
    <w:rsid w:val="00E870E2"/>
    <w:rsid w:val="00E90160"/>
    <w:rsid w:val="00E91ED4"/>
    <w:rsid w:val="00E92805"/>
    <w:rsid w:val="00E92D81"/>
    <w:rsid w:val="00E942BD"/>
    <w:rsid w:val="00E95994"/>
    <w:rsid w:val="00E95A14"/>
    <w:rsid w:val="00E96EB5"/>
    <w:rsid w:val="00EA03F4"/>
    <w:rsid w:val="00EA2006"/>
    <w:rsid w:val="00EA2413"/>
    <w:rsid w:val="00EA29BE"/>
    <w:rsid w:val="00EA4C29"/>
    <w:rsid w:val="00EA5ADE"/>
    <w:rsid w:val="00EA66B2"/>
    <w:rsid w:val="00EA6FA2"/>
    <w:rsid w:val="00EA7649"/>
    <w:rsid w:val="00EB096E"/>
    <w:rsid w:val="00EB19F9"/>
    <w:rsid w:val="00EB1DE6"/>
    <w:rsid w:val="00EB2076"/>
    <w:rsid w:val="00EB29D5"/>
    <w:rsid w:val="00EB4907"/>
    <w:rsid w:val="00EB5852"/>
    <w:rsid w:val="00EB5DEF"/>
    <w:rsid w:val="00EB61BF"/>
    <w:rsid w:val="00EB763A"/>
    <w:rsid w:val="00EC0038"/>
    <w:rsid w:val="00EC0BD5"/>
    <w:rsid w:val="00EC129F"/>
    <w:rsid w:val="00EC1371"/>
    <w:rsid w:val="00EC191B"/>
    <w:rsid w:val="00EC1ACA"/>
    <w:rsid w:val="00EC2097"/>
    <w:rsid w:val="00EC2592"/>
    <w:rsid w:val="00EC2987"/>
    <w:rsid w:val="00EC4340"/>
    <w:rsid w:val="00EC4378"/>
    <w:rsid w:val="00EC5315"/>
    <w:rsid w:val="00EC5691"/>
    <w:rsid w:val="00EC5CB2"/>
    <w:rsid w:val="00EC5E06"/>
    <w:rsid w:val="00EC623B"/>
    <w:rsid w:val="00EC6573"/>
    <w:rsid w:val="00EC70FA"/>
    <w:rsid w:val="00EC7CBF"/>
    <w:rsid w:val="00EC7E7E"/>
    <w:rsid w:val="00ED005F"/>
    <w:rsid w:val="00ED007A"/>
    <w:rsid w:val="00ED111D"/>
    <w:rsid w:val="00ED2517"/>
    <w:rsid w:val="00ED33AF"/>
    <w:rsid w:val="00ED4FCB"/>
    <w:rsid w:val="00ED52BB"/>
    <w:rsid w:val="00ED65A9"/>
    <w:rsid w:val="00ED721B"/>
    <w:rsid w:val="00ED7ECA"/>
    <w:rsid w:val="00EE00D5"/>
    <w:rsid w:val="00EE0382"/>
    <w:rsid w:val="00EE055E"/>
    <w:rsid w:val="00EE2562"/>
    <w:rsid w:val="00EE2804"/>
    <w:rsid w:val="00EE4F7C"/>
    <w:rsid w:val="00EE5147"/>
    <w:rsid w:val="00EE57C3"/>
    <w:rsid w:val="00EE5B8C"/>
    <w:rsid w:val="00EE6414"/>
    <w:rsid w:val="00EE695A"/>
    <w:rsid w:val="00EE6DC2"/>
    <w:rsid w:val="00EE730B"/>
    <w:rsid w:val="00EF1A99"/>
    <w:rsid w:val="00EF2231"/>
    <w:rsid w:val="00EF2989"/>
    <w:rsid w:val="00EF3254"/>
    <w:rsid w:val="00EF36AF"/>
    <w:rsid w:val="00EF3C87"/>
    <w:rsid w:val="00EF5003"/>
    <w:rsid w:val="00EF5093"/>
    <w:rsid w:val="00EF5FF0"/>
    <w:rsid w:val="00EF76F3"/>
    <w:rsid w:val="00F00D8C"/>
    <w:rsid w:val="00F0140B"/>
    <w:rsid w:val="00F033A8"/>
    <w:rsid w:val="00F03FBC"/>
    <w:rsid w:val="00F04B13"/>
    <w:rsid w:val="00F05175"/>
    <w:rsid w:val="00F0591C"/>
    <w:rsid w:val="00F05CF2"/>
    <w:rsid w:val="00F06256"/>
    <w:rsid w:val="00F06B03"/>
    <w:rsid w:val="00F079FD"/>
    <w:rsid w:val="00F106BA"/>
    <w:rsid w:val="00F11A2E"/>
    <w:rsid w:val="00F12596"/>
    <w:rsid w:val="00F13233"/>
    <w:rsid w:val="00F144B0"/>
    <w:rsid w:val="00F1465B"/>
    <w:rsid w:val="00F14A05"/>
    <w:rsid w:val="00F14AFC"/>
    <w:rsid w:val="00F16CED"/>
    <w:rsid w:val="00F21964"/>
    <w:rsid w:val="00F22CF5"/>
    <w:rsid w:val="00F22D83"/>
    <w:rsid w:val="00F2375E"/>
    <w:rsid w:val="00F2388B"/>
    <w:rsid w:val="00F23D59"/>
    <w:rsid w:val="00F24614"/>
    <w:rsid w:val="00F25128"/>
    <w:rsid w:val="00F2777A"/>
    <w:rsid w:val="00F30186"/>
    <w:rsid w:val="00F30EB8"/>
    <w:rsid w:val="00F31CD0"/>
    <w:rsid w:val="00F31FD8"/>
    <w:rsid w:val="00F32107"/>
    <w:rsid w:val="00F321A4"/>
    <w:rsid w:val="00F32E5F"/>
    <w:rsid w:val="00F32E9A"/>
    <w:rsid w:val="00F333F4"/>
    <w:rsid w:val="00F337BA"/>
    <w:rsid w:val="00F34885"/>
    <w:rsid w:val="00F34897"/>
    <w:rsid w:val="00F350DB"/>
    <w:rsid w:val="00F35A57"/>
    <w:rsid w:val="00F36194"/>
    <w:rsid w:val="00F36BB8"/>
    <w:rsid w:val="00F36F82"/>
    <w:rsid w:val="00F37E6C"/>
    <w:rsid w:val="00F406F8"/>
    <w:rsid w:val="00F40A52"/>
    <w:rsid w:val="00F4147C"/>
    <w:rsid w:val="00F416F1"/>
    <w:rsid w:val="00F417B2"/>
    <w:rsid w:val="00F419DD"/>
    <w:rsid w:val="00F43B1F"/>
    <w:rsid w:val="00F43CD9"/>
    <w:rsid w:val="00F44822"/>
    <w:rsid w:val="00F4572C"/>
    <w:rsid w:val="00F4607A"/>
    <w:rsid w:val="00F46C77"/>
    <w:rsid w:val="00F47E8D"/>
    <w:rsid w:val="00F51573"/>
    <w:rsid w:val="00F51C91"/>
    <w:rsid w:val="00F52687"/>
    <w:rsid w:val="00F528B6"/>
    <w:rsid w:val="00F52DC9"/>
    <w:rsid w:val="00F53B3A"/>
    <w:rsid w:val="00F55FE6"/>
    <w:rsid w:val="00F563B5"/>
    <w:rsid w:val="00F56C87"/>
    <w:rsid w:val="00F56FCA"/>
    <w:rsid w:val="00F572B9"/>
    <w:rsid w:val="00F60B08"/>
    <w:rsid w:val="00F61F96"/>
    <w:rsid w:val="00F63ECF"/>
    <w:rsid w:val="00F63FB3"/>
    <w:rsid w:val="00F64722"/>
    <w:rsid w:val="00F6655C"/>
    <w:rsid w:val="00F666C8"/>
    <w:rsid w:val="00F66D87"/>
    <w:rsid w:val="00F66DC1"/>
    <w:rsid w:val="00F702EE"/>
    <w:rsid w:val="00F70322"/>
    <w:rsid w:val="00F7200D"/>
    <w:rsid w:val="00F72511"/>
    <w:rsid w:val="00F72674"/>
    <w:rsid w:val="00F72DD2"/>
    <w:rsid w:val="00F731F2"/>
    <w:rsid w:val="00F733D9"/>
    <w:rsid w:val="00F7393C"/>
    <w:rsid w:val="00F73C30"/>
    <w:rsid w:val="00F74207"/>
    <w:rsid w:val="00F7462F"/>
    <w:rsid w:val="00F7500F"/>
    <w:rsid w:val="00F75E81"/>
    <w:rsid w:val="00F77364"/>
    <w:rsid w:val="00F80CFB"/>
    <w:rsid w:val="00F8104E"/>
    <w:rsid w:val="00F815AC"/>
    <w:rsid w:val="00F820DE"/>
    <w:rsid w:val="00F82488"/>
    <w:rsid w:val="00F83271"/>
    <w:rsid w:val="00F8409C"/>
    <w:rsid w:val="00F84857"/>
    <w:rsid w:val="00F8659D"/>
    <w:rsid w:val="00F86DFD"/>
    <w:rsid w:val="00F87A08"/>
    <w:rsid w:val="00F90B20"/>
    <w:rsid w:val="00F90C92"/>
    <w:rsid w:val="00F9224B"/>
    <w:rsid w:val="00F93172"/>
    <w:rsid w:val="00F931C3"/>
    <w:rsid w:val="00F9383A"/>
    <w:rsid w:val="00F93F66"/>
    <w:rsid w:val="00F9408B"/>
    <w:rsid w:val="00F94263"/>
    <w:rsid w:val="00F94AA1"/>
    <w:rsid w:val="00F94B92"/>
    <w:rsid w:val="00F94BB4"/>
    <w:rsid w:val="00F95184"/>
    <w:rsid w:val="00F97716"/>
    <w:rsid w:val="00FA0451"/>
    <w:rsid w:val="00FA0552"/>
    <w:rsid w:val="00FA0850"/>
    <w:rsid w:val="00FA09AF"/>
    <w:rsid w:val="00FA0AA7"/>
    <w:rsid w:val="00FA0CFD"/>
    <w:rsid w:val="00FA1139"/>
    <w:rsid w:val="00FA2648"/>
    <w:rsid w:val="00FA2807"/>
    <w:rsid w:val="00FA2CDF"/>
    <w:rsid w:val="00FA366D"/>
    <w:rsid w:val="00FA5A3C"/>
    <w:rsid w:val="00FA6252"/>
    <w:rsid w:val="00FA6D68"/>
    <w:rsid w:val="00FA7BAE"/>
    <w:rsid w:val="00FA7FB2"/>
    <w:rsid w:val="00FB0397"/>
    <w:rsid w:val="00FB08E5"/>
    <w:rsid w:val="00FB40E9"/>
    <w:rsid w:val="00FB49FD"/>
    <w:rsid w:val="00FB4B87"/>
    <w:rsid w:val="00FB5092"/>
    <w:rsid w:val="00FB556B"/>
    <w:rsid w:val="00FB5DF1"/>
    <w:rsid w:val="00FB69FC"/>
    <w:rsid w:val="00FB6B89"/>
    <w:rsid w:val="00FC0265"/>
    <w:rsid w:val="00FC02BF"/>
    <w:rsid w:val="00FC03CD"/>
    <w:rsid w:val="00FC332B"/>
    <w:rsid w:val="00FC37CD"/>
    <w:rsid w:val="00FC3DE5"/>
    <w:rsid w:val="00FC5A74"/>
    <w:rsid w:val="00FC5F73"/>
    <w:rsid w:val="00FC63A7"/>
    <w:rsid w:val="00FC649E"/>
    <w:rsid w:val="00FC6A46"/>
    <w:rsid w:val="00FC7822"/>
    <w:rsid w:val="00FC7B0D"/>
    <w:rsid w:val="00FD05F7"/>
    <w:rsid w:val="00FD10A5"/>
    <w:rsid w:val="00FD1341"/>
    <w:rsid w:val="00FD1AB6"/>
    <w:rsid w:val="00FD1E36"/>
    <w:rsid w:val="00FD20B7"/>
    <w:rsid w:val="00FD288D"/>
    <w:rsid w:val="00FD3328"/>
    <w:rsid w:val="00FD3A44"/>
    <w:rsid w:val="00FD414A"/>
    <w:rsid w:val="00FD5626"/>
    <w:rsid w:val="00FD671C"/>
    <w:rsid w:val="00FD6E0B"/>
    <w:rsid w:val="00FD7EA0"/>
    <w:rsid w:val="00FE0C64"/>
    <w:rsid w:val="00FE0FED"/>
    <w:rsid w:val="00FE178C"/>
    <w:rsid w:val="00FE4418"/>
    <w:rsid w:val="00FE668B"/>
    <w:rsid w:val="00FE6878"/>
    <w:rsid w:val="00FF025B"/>
    <w:rsid w:val="00FF24AA"/>
    <w:rsid w:val="00FF2E3A"/>
    <w:rsid w:val="00FF4B21"/>
    <w:rsid w:val="00FF62FB"/>
    <w:rsid w:val="00FF7B94"/>
    <w:rsid w:val="010307F3"/>
    <w:rsid w:val="010F3D19"/>
    <w:rsid w:val="011D3624"/>
    <w:rsid w:val="01205304"/>
    <w:rsid w:val="012E5BDD"/>
    <w:rsid w:val="012E7DD1"/>
    <w:rsid w:val="01336359"/>
    <w:rsid w:val="014067DA"/>
    <w:rsid w:val="014632E9"/>
    <w:rsid w:val="015514B2"/>
    <w:rsid w:val="0174550E"/>
    <w:rsid w:val="017B526D"/>
    <w:rsid w:val="017E2295"/>
    <w:rsid w:val="01822573"/>
    <w:rsid w:val="01865638"/>
    <w:rsid w:val="01991975"/>
    <w:rsid w:val="01A50265"/>
    <w:rsid w:val="01C37AC6"/>
    <w:rsid w:val="01C4202A"/>
    <w:rsid w:val="01C77937"/>
    <w:rsid w:val="01DA6E1D"/>
    <w:rsid w:val="01E048BA"/>
    <w:rsid w:val="01EA636A"/>
    <w:rsid w:val="01FC02B4"/>
    <w:rsid w:val="01FD4C91"/>
    <w:rsid w:val="02026E30"/>
    <w:rsid w:val="02067E2E"/>
    <w:rsid w:val="021138F7"/>
    <w:rsid w:val="021C5A78"/>
    <w:rsid w:val="023251F7"/>
    <w:rsid w:val="024D295E"/>
    <w:rsid w:val="024D35C2"/>
    <w:rsid w:val="025033FE"/>
    <w:rsid w:val="02531F0A"/>
    <w:rsid w:val="02537B69"/>
    <w:rsid w:val="02704276"/>
    <w:rsid w:val="02751302"/>
    <w:rsid w:val="02764654"/>
    <w:rsid w:val="028B5457"/>
    <w:rsid w:val="0299651B"/>
    <w:rsid w:val="029D502D"/>
    <w:rsid w:val="029D5B72"/>
    <w:rsid w:val="02B64EDF"/>
    <w:rsid w:val="02C04F04"/>
    <w:rsid w:val="02C26874"/>
    <w:rsid w:val="02C77868"/>
    <w:rsid w:val="02C941D1"/>
    <w:rsid w:val="02CF6ABF"/>
    <w:rsid w:val="02DD00D7"/>
    <w:rsid w:val="02F925EB"/>
    <w:rsid w:val="030A693F"/>
    <w:rsid w:val="030B686A"/>
    <w:rsid w:val="03143042"/>
    <w:rsid w:val="031463AC"/>
    <w:rsid w:val="031E66BE"/>
    <w:rsid w:val="03293693"/>
    <w:rsid w:val="03305FFE"/>
    <w:rsid w:val="033C1FAA"/>
    <w:rsid w:val="033F6241"/>
    <w:rsid w:val="034571EB"/>
    <w:rsid w:val="035B575C"/>
    <w:rsid w:val="03661A20"/>
    <w:rsid w:val="03724869"/>
    <w:rsid w:val="03924A15"/>
    <w:rsid w:val="03945DFB"/>
    <w:rsid w:val="03A26EF0"/>
    <w:rsid w:val="03B079AA"/>
    <w:rsid w:val="03CB7FC7"/>
    <w:rsid w:val="03D244AC"/>
    <w:rsid w:val="03E93270"/>
    <w:rsid w:val="03F474F8"/>
    <w:rsid w:val="03F91FDF"/>
    <w:rsid w:val="040D50D0"/>
    <w:rsid w:val="042370A7"/>
    <w:rsid w:val="04252C6D"/>
    <w:rsid w:val="043701DB"/>
    <w:rsid w:val="04387860"/>
    <w:rsid w:val="045469B1"/>
    <w:rsid w:val="0458580D"/>
    <w:rsid w:val="047D5573"/>
    <w:rsid w:val="047F5CF0"/>
    <w:rsid w:val="048E015A"/>
    <w:rsid w:val="0495080F"/>
    <w:rsid w:val="04A66578"/>
    <w:rsid w:val="04DF3A0D"/>
    <w:rsid w:val="04ED064B"/>
    <w:rsid w:val="051E57AF"/>
    <w:rsid w:val="05215120"/>
    <w:rsid w:val="052668C1"/>
    <w:rsid w:val="05334D16"/>
    <w:rsid w:val="054E3F52"/>
    <w:rsid w:val="0563090D"/>
    <w:rsid w:val="056379C6"/>
    <w:rsid w:val="058B75FB"/>
    <w:rsid w:val="058C766B"/>
    <w:rsid w:val="059053A1"/>
    <w:rsid w:val="05946D18"/>
    <w:rsid w:val="05B02ABC"/>
    <w:rsid w:val="05B16E97"/>
    <w:rsid w:val="05B922DB"/>
    <w:rsid w:val="05BD5CEC"/>
    <w:rsid w:val="05C07B0D"/>
    <w:rsid w:val="05DF7EE1"/>
    <w:rsid w:val="05E41A4E"/>
    <w:rsid w:val="06007623"/>
    <w:rsid w:val="062772AE"/>
    <w:rsid w:val="06342239"/>
    <w:rsid w:val="06416FDE"/>
    <w:rsid w:val="06AE2DF9"/>
    <w:rsid w:val="06B43B46"/>
    <w:rsid w:val="06BB0913"/>
    <w:rsid w:val="06C448FC"/>
    <w:rsid w:val="06CE41BC"/>
    <w:rsid w:val="06E52F5E"/>
    <w:rsid w:val="06E73A9E"/>
    <w:rsid w:val="070752C8"/>
    <w:rsid w:val="070F7498"/>
    <w:rsid w:val="071619A6"/>
    <w:rsid w:val="071A22CA"/>
    <w:rsid w:val="071B3043"/>
    <w:rsid w:val="071D312D"/>
    <w:rsid w:val="07335FA1"/>
    <w:rsid w:val="07433DE6"/>
    <w:rsid w:val="07615139"/>
    <w:rsid w:val="0768169C"/>
    <w:rsid w:val="076D6F60"/>
    <w:rsid w:val="07753C24"/>
    <w:rsid w:val="077753B0"/>
    <w:rsid w:val="077D0B41"/>
    <w:rsid w:val="07961D30"/>
    <w:rsid w:val="07A4016F"/>
    <w:rsid w:val="07B46D72"/>
    <w:rsid w:val="07BD1A2B"/>
    <w:rsid w:val="07BF2A5A"/>
    <w:rsid w:val="07C06F59"/>
    <w:rsid w:val="07C8237A"/>
    <w:rsid w:val="07CA42EF"/>
    <w:rsid w:val="07CD3E7A"/>
    <w:rsid w:val="07E72C91"/>
    <w:rsid w:val="07F341CA"/>
    <w:rsid w:val="080041F1"/>
    <w:rsid w:val="0802440D"/>
    <w:rsid w:val="082050E6"/>
    <w:rsid w:val="082F4AD6"/>
    <w:rsid w:val="082F6AAF"/>
    <w:rsid w:val="08354C04"/>
    <w:rsid w:val="08445B15"/>
    <w:rsid w:val="08522BD2"/>
    <w:rsid w:val="08617E09"/>
    <w:rsid w:val="0865674A"/>
    <w:rsid w:val="087276EF"/>
    <w:rsid w:val="089B198E"/>
    <w:rsid w:val="08A07D1C"/>
    <w:rsid w:val="08A92ADB"/>
    <w:rsid w:val="08B5322E"/>
    <w:rsid w:val="08B96B4A"/>
    <w:rsid w:val="08BC1FC1"/>
    <w:rsid w:val="08BE7056"/>
    <w:rsid w:val="08C83A20"/>
    <w:rsid w:val="08D226FF"/>
    <w:rsid w:val="08DF5AD4"/>
    <w:rsid w:val="08E24980"/>
    <w:rsid w:val="08ED5C60"/>
    <w:rsid w:val="08F30618"/>
    <w:rsid w:val="08FC6D02"/>
    <w:rsid w:val="08FD4BD5"/>
    <w:rsid w:val="09047D11"/>
    <w:rsid w:val="09097997"/>
    <w:rsid w:val="090A607B"/>
    <w:rsid w:val="090E4C07"/>
    <w:rsid w:val="09131429"/>
    <w:rsid w:val="09173EE8"/>
    <w:rsid w:val="092B5711"/>
    <w:rsid w:val="094401F6"/>
    <w:rsid w:val="094649D2"/>
    <w:rsid w:val="0969226A"/>
    <w:rsid w:val="09891E40"/>
    <w:rsid w:val="09966A8F"/>
    <w:rsid w:val="099B05EB"/>
    <w:rsid w:val="09A94AB1"/>
    <w:rsid w:val="09D37BC5"/>
    <w:rsid w:val="09D914C8"/>
    <w:rsid w:val="09EE30F7"/>
    <w:rsid w:val="09EF44EC"/>
    <w:rsid w:val="09F21F45"/>
    <w:rsid w:val="0A1133A8"/>
    <w:rsid w:val="0A123850"/>
    <w:rsid w:val="0A163FD0"/>
    <w:rsid w:val="0A2E766B"/>
    <w:rsid w:val="0A3960E0"/>
    <w:rsid w:val="0A4627BB"/>
    <w:rsid w:val="0A4947FA"/>
    <w:rsid w:val="0A511214"/>
    <w:rsid w:val="0A54586A"/>
    <w:rsid w:val="0A617E09"/>
    <w:rsid w:val="0A642803"/>
    <w:rsid w:val="0A695FFC"/>
    <w:rsid w:val="0A7048D2"/>
    <w:rsid w:val="0A723B49"/>
    <w:rsid w:val="0A795621"/>
    <w:rsid w:val="0A866E5C"/>
    <w:rsid w:val="0A870935"/>
    <w:rsid w:val="0A967C03"/>
    <w:rsid w:val="0AA37ECF"/>
    <w:rsid w:val="0AC87203"/>
    <w:rsid w:val="0ACE05D7"/>
    <w:rsid w:val="0AD613F1"/>
    <w:rsid w:val="0AD94996"/>
    <w:rsid w:val="0AE133F1"/>
    <w:rsid w:val="0AEE5B35"/>
    <w:rsid w:val="0AF63852"/>
    <w:rsid w:val="0AF80D11"/>
    <w:rsid w:val="0B07596A"/>
    <w:rsid w:val="0B0860CB"/>
    <w:rsid w:val="0B0D73C6"/>
    <w:rsid w:val="0B1464DD"/>
    <w:rsid w:val="0B161241"/>
    <w:rsid w:val="0B262785"/>
    <w:rsid w:val="0B4334DC"/>
    <w:rsid w:val="0B526459"/>
    <w:rsid w:val="0B535E0E"/>
    <w:rsid w:val="0B5755D3"/>
    <w:rsid w:val="0B5804EA"/>
    <w:rsid w:val="0B7C46E0"/>
    <w:rsid w:val="0B856258"/>
    <w:rsid w:val="0B8C3FEE"/>
    <w:rsid w:val="0BA37CB5"/>
    <w:rsid w:val="0BA63367"/>
    <w:rsid w:val="0BA9061A"/>
    <w:rsid w:val="0BAE41AF"/>
    <w:rsid w:val="0BB6678C"/>
    <w:rsid w:val="0BBA3280"/>
    <w:rsid w:val="0BBE01F4"/>
    <w:rsid w:val="0BBF4F65"/>
    <w:rsid w:val="0BD460C1"/>
    <w:rsid w:val="0BE1472A"/>
    <w:rsid w:val="0BE91EC1"/>
    <w:rsid w:val="0BF16C73"/>
    <w:rsid w:val="0BFD1124"/>
    <w:rsid w:val="0C0F231C"/>
    <w:rsid w:val="0C1A44E1"/>
    <w:rsid w:val="0C1D16F4"/>
    <w:rsid w:val="0C2A0948"/>
    <w:rsid w:val="0C2B014F"/>
    <w:rsid w:val="0C2B4700"/>
    <w:rsid w:val="0C3455B8"/>
    <w:rsid w:val="0C356FA3"/>
    <w:rsid w:val="0C384DED"/>
    <w:rsid w:val="0C5E2F6F"/>
    <w:rsid w:val="0C624800"/>
    <w:rsid w:val="0C693FB6"/>
    <w:rsid w:val="0C807124"/>
    <w:rsid w:val="0C8F1FE8"/>
    <w:rsid w:val="0C9114F3"/>
    <w:rsid w:val="0C97555B"/>
    <w:rsid w:val="0CA36BD7"/>
    <w:rsid w:val="0CB836DE"/>
    <w:rsid w:val="0CBC5652"/>
    <w:rsid w:val="0CBF58C1"/>
    <w:rsid w:val="0CBF5DD4"/>
    <w:rsid w:val="0CC21B08"/>
    <w:rsid w:val="0CD70F51"/>
    <w:rsid w:val="0CEB1914"/>
    <w:rsid w:val="0CF34325"/>
    <w:rsid w:val="0D1B468F"/>
    <w:rsid w:val="0D2A5193"/>
    <w:rsid w:val="0D2C0E9D"/>
    <w:rsid w:val="0D387B7E"/>
    <w:rsid w:val="0D474670"/>
    <w:rsid w:val="0D4872CE"/>
    <w:rsid w:val="0D4A5F0F"/>
    <w:rsid w:val="0D4F2492"/>
    <w:rsid w:val="0D5E3553"/>
    <w:rsid w:val="0D5F0658"/>
    <w:rsid w:val="0D671EE5"/>
    <w:rsid w:val="0D7B7E36"/>
    <w:rsid w:val="0D943085"/>
    <w:rsid w:val="0D9773A6"/>
    <w:rsid w:val="0D9A29CC"/>
    <w:rsid w:val="0DB22BB6"/>
    <w:rsid w:val="0DE845A7"/>
    <w:rsid w:val="0DED4859"/>
    <w:rsid w:val="0DEF66F8"/>
    <w:rsid w:val="0E0C079A"/>
    <w:rsid w:val="0E0C5F1C"/>
    <w:rsid w:val="0E165CDF"/>
    <w:rsid w:val="0E1E3C50"/>
    <w:rsid w:val="0E1E5FDC"/>
    <w:rsid w:val="0E2F6667"/>
    <w:rsid w:val="0E466034"/>
    <w:rsid w:val="0E502351"/>
    <w:rsid w:val="0E614E63"/>
    <w:rsid w:val="0E62693A"/>
    <w:rsid w:val="0E6409B6"/>
    <w:rsid w:val="0E7A4F21"/>
    <w:rsid w:val="0E8027DC"/>
    <w:rsid w:val="0E996B45"/>
    <w:rsid w:val="0EB70696"/>
    <w:rsid w:val="0EB85F2C"/>
    <w:rsid w:val="0EC537EA"/>
    <w:rsid w:val="0ED14DE6"/>
    <w:rsid w:val="0ED17A44"/>
    <w:rsid w:val="0EE44DDF"/>
    <w:rsid w:val="0EF110A8"/>
    <w:rsid w:val="0F0767D0"/>
    <w:rsid w:val="0F22030A"/>
    <w:rsid w:val="0F276E27"/>
    <w:rsid w:val="0F2C71AD"/>
    <w:rsid w:val="0F341D16"/>
    <w:rsid w:val="0F403FDC"/>
    <w:rsid w:val="0F5C08A7"/>
    <w:rsid w:val="0F8F6145"/>
    <w:rsid w:val="0F960D54"/>
    <w:rsid w:val="0F9C4F98"/>
    <w:rsid w:val="0F9D4E20"/>
    <w:rsid w:val="0FA96F42"/>
    <w:rsid w:val="0FE0493D"/>
    <w:rsid w:val="0FE23CB5"/>
    <w:rsid w:val="0FED53BE"/>
    <w:rsid w:val="0FF57F35"/>
    <w:rsid w:val="0FF65CC4"/>
    <w:rsid w:val="0FFB4C3D"/>
    <w:rsid w:val="100A7516"/>
    <w:rsid w:val="10155DF9"/>
    <w:rsid w:val="102313C5"/>
    <w:rsid w:val="10372845"/>
    <w:rsid w:val="10550681"/>
    <w:rsid w:val="107F5C26"/>
    <w:rsid w:val="1080388A"/>
    <w:rsid w:val="10821DA2"/>
    <w:rsid w:val="10A2679F"/>
    <w:rsid w:val="10A342B4"/>
    <w:rsid w:val="10B538FF"/>
    <w:rsid w:val="10B95885"/>
    <w:rsid w:val="10C34238"/>
    <w:rsid w:val="10DC3E75"/>
    <w:rsid w:val="10E21B3A"/>
    <w:rsid w:val="10E9580B"/>
    <w:rsid w:val="10FE773C"/>
    <w:rsid w:val="11027C9D"/>
    <w:rsid w:val="110B3C50"/>
    <w:rsid w:val="11136EC1"/>
    <w:rsid w:val="111D5E14"/>
    <w:rsid w:val="11333B88"/>
    <w:rsid w:val="115E08D7"/>
    <w:rsid w:val="11612681"/>
    <w:rsid w:val="11812847"/>
    <w:rsid w:val="1181390D"/>
    <w:rsid w:val="11866440"/>
    <w:rsid w:val="1189011B"/>
    <w:rsid w:val="11AA45C9"/>
    <w:rsid w:val="11B62393"/>
    <w:rsid w:val="11BA3663"/>
    <w:rsid w:val="11CD617F"/>
    <w:rsid w:val="11D101DA"/>
    <w:rsid w:val="11D62156"/>
    <w:rsid w:val="11E647D9"/>
    <w:rsid w:val="11E73AB9"/>
    <w:rsid w:val="11EE5A02"/>
    <w:rsid w:val="11F5518F"/>
    <w:rsid w:val="11F554B6"/>
    <w:rsid w:val="11F63571"/>
    <w:rsid w:val="12016952"/>
    <w:rsid w:val="12063EF9"/>
    <w:rsid w:val="120C558C"/>
    <w:rsid w:val="122218E3"/>
    <w:rsid w:val="122E3A09"/>
    <w:rsid w:val="12445B3A"/>
    <w:rsid w:val="124A21A9"/>
    <w:rsid w:val="125750B1"/>
    <w:rsid w:val="12763A3F"/>
    <w:rsid w:val="12773092"/>
    <w:rsid w:val="127D5951"/>
    <w:rsid w:val="128F1629"/>
    <w:rsid w:val="12993BC0"/>
    <w:rsid w:val="12A11B9A"/>
    <w:rsid w:val="12A83E03"/>
    <w:rsid w:val="12AF2FBC"/>
    <w:rsid w:val="12B62DB9"/>
    <w:rsid w:val="12C2010E"/>
    <w:rsid w:val="12CE777F"/>
    <w:rsid w:val="12D34B15"/>
    <w:rsid w:val="12ED7A68"/>
    <w:rsid w:val="12F131AC"/>
    <w:rsid w:val="12F473A6"/>
    <w:rsid w:val="131E12B4"/>
    <w:rsid w:val="131E2581"/>
    <w:rsid w:val="13324823"/>
    <w:rsid w:val="133A0AC3"/>
    <w:rsid w:val="133B4525"/>
    <w:rsid w:val="133D7232"/>
    <w:rsid w:val="13486BAA"/>
    <w:rsid w:val="1360289B"/>
    <w:rsid w:val="136F6921"/>
    <w:rsid w:val="137263C4"/>
    <w:rsid w:val="138E4265"/>
    <w:rsid w:val="13967D02"/>
    <w:rsid w:val="13B011C1"/>
    <w:rsid w:val="13BC1B02"/>
    <w:rsid w:val="13C27143"/>
    <w:rsid w:val="13D2674F"/>
    <w:rsid w:val="13D90D3A"/>
    <w:rsid w:val="13D91ADE"/>
    <w:rsid w:val="13DF126B"/>
    <w:rsid w:val="13EB79F5"/>
    <w:rsid w:val="14021527"/>
    <w:rsid w:val="14081F16"/>
    <w:rsid w:val="140E413A"/>
    <w:rsid w:val="140F0FAD"/>
    <w:rsid w:val="14137380"/>
    <w:rsid w:val="141610A3"/>
    <w:rsid w:val="141B4404"/>
    <w:rsid w:val="1429717C"/>
    <w:rsid w:val="14386063"/>
    <w:rsid w:val="143D5C10"/>
    <w:rsid w:val="14552984"/>
    <w:rsid w:val="14985F19"/>
    <w:rsid w:val="149D3B04"/>
    <w:rsid w:val="14A405FA"/>
    <w:rsid w:val="14AA7B06"/>
    <w:rsid w:val="14B77629"/>
    <w:rsid w:val="14BB272A"/>
    <w:rsid w:val="14C00D2F"/>
    <w:rsid w:val="14D61785"/>
    <w:rsid w:val="14E03DAA"/>
    <w:rsid w:val="14F50128"/>
    <w:rsid w:val="151D4729"/>
    <w:rsid w:val="15211D27"/>
    <w:rsid w:val="153C5EC0"/>
    <w:rsid w:val="15473AD5"/>
    <w:rsid w:val="156523D2"/>
    <w:rsid w:val="157F12C4"/>
    <w:rsid w:val="15866E1F"/>
    <w:rsid w:val="15886CDA"/>
    <w:rsid w:val="159409F3"/>
    <w:rsid w:val="15944468"/>
    <w:rsid w:val="15A20FDE"/>
    <w:rsid w:val="15A5325E"/>
    <w:rsid w:val="15B94642"/>
    <w:rsid w:val="15D17658"/>
    <w:rsid w:val="15E46271"/>
    <w:rsid w:val="15FA1C09"/>
    <w:rsid w:val="16071F9D"/>
    <w:rsid w:val="161B7D4F"/>
    <w:rsid w:val="162B467B"/>
    <w:rsid w:val="164A2C2D"/>
    <w:rsid w:val="16501589"/>
    <w:rsid w:val="1658480F"/>
    <w:rsid w:val="165A1A6D"/>
    <w:rsid w:val="165B5EB2"/>
    <w:rsid w:val="165E2722"/>
    <w:rsid w:val="16610551"/>
    <w:rsid w:val="166D22B8"/>
    <w:rsid w:val="16796C36"/>
    <w:rsid w:val="169F3ACF"/>
    <w:rsid w:val="16A9130C"/>
    <w:rsid w:val="16B54D41"/>
    <w:rsid w:val="16BB254A"/>
    <w:rsid w:val="16CE63CC"/>
    <w:rsid w:val="16E04812"/>
    <w:rsid w:val="16ED1317"/>
    <w:rsid w:val="16EE441D"/>
    <w:rsid w:val="16EF7071"/>
    <w:rsid w:val="16F97D1D"/>
    <w:rsid w:val="17073639"/>
    <w:rsid w:val="17146C21"/>
    <w:rsid w:val="171507D5"/>
    <w:rsid w:val="17177706"/>
    <w:rsid w:val="174D1ECD"/>
    <w:rsid w:val="175031F0"/>
    <w:rsid w:val="17654E21"/>
    <w:rsid w:val="17663DC4"/>
    <w:rsid w:val="1769007A"/>
    <w:rsid w:val="177B477E"/>
    <w:rsid w:val="178E51F7"/>
    <w:rsid w:val="17964357"/>
    <w:rsid w:val="17A3069B"/>
    <w:rsid w:val="17A4294C"/>
    <w:rsid w:val="17A97A83"/>
    <w:rsid w:val="17AD456C"/>
    <w:rsid w:val="17B74A43"/>
    <w:rsid w:val="17D85A62"/>
    <w:rsid w:val="17DF063E"/>
    <w:rsid w:val="17E07DAD"/>
    <w:rsid w:val="17EC4054"/>
    <w:rsid w:val="17F8432A"/>
    <w:rsid w:val="18043880"/>
    <w:rsid w:val="180B3F4E"/>
    <w:rsid w:val="180B5ABD"/>
    <w:rsid w:val="180C5D2B"/>
    <w:rsid w:val="18172976"/>
    <w:rsid w:val="18253800"/>
    <w:rsid w:val="182C24B5"/>
    <w:rsid w:val="18324053"/>
    <w:rsid w:val="18356139"/>
    <w:rsid w:val="184243B2"/>
    <w:rsid w:val="18553EC6"/>
    <w:rsid w:val="187A3B4C"/>
    <w:rsid w:val="18807CCF"/>
    <w:rsid w:val="1884220A"/>
    <w:rsid w:val="18B202ED"/>
    <w:rsid w:val="18D071C7"/>
    <w:rsid w:val="18D152C9"/>
    <w:rsid w:val="18D433A9"/>
    <w:rsid w:val="18D771F0"/>
    <w:rsid w:val="18E134FB"/>
    <w:rsid w:val="18ED3F2E"/>
    <w:rsid w:val="18EE0096"/>
    <w:rsid w:val="18F9358F"/>
    <w:rsid w:val="19091A7D"/>
    <w:rsid w:val="190C1FC5"/>
    <w:rsid w:val="1912647A"/>
    <w:rsid w:val="19263CD4"/>
    <w:rsid w:val="19273F5F"/>
    <w:rsid w:val="1927534B"/>
    <w:rsid w:val="192B3EF2"/>
    <w:rsid w:val="19384C1B"/>
    <w:rsid w:val="1949619A"/>
    <w:rsid w:val="19500AC7"/>
    <w:rsid w:val="19500BD1"/>
    <w:rsid w:val="19550115"/>
    <w:rsid w:val="1977008B"/>
    <w:rsid w:val="19940768"/>
    <w:rsid w:val="19943440"/>
    <w:rsid w:val="199A5258"/>
    <w:rsid w:val="19A31463"/>
    <w:rsid w:val="19AD0674"/>
    <w:rsid w:val="19BD01F0"/>
    <w:rsid w:val="19D460CB"/>
    <w:rsid w:val="19DC4AC8"/>
    <w:rsid w:val="19E750D0"/>
    <w:rsid w:val="1A0E3B10"/>
    <w:rsid w:val="1A1C2F09"/>
    <w:rsid w:val="1A2159CF"/>
    <w:rsid w:val="1A2878C3"/>
    <w:rsid w:val="1A2A469C"/>
    <w:rsid w:val="1A2F04B8"/>
    <w:rsid w:val="1A432151"/>
    <w:rsid w:val="1A5246F2"/>
    <w:rsid w:val="1A5B5915"/>
    <w:rsid w:val="1A6772E7"/>
    <w:rsid w:val="1A694F73"/>
    <w:rsid w:val="1A7B1AB9"/>
    <w:rsid w:val="1A826DBD"/>
    <w:rsid w:val="1A871DB2"/>
    <w:rsid w:val="1A8B5566"/>
    <w:rsid w:val="1A930EF5"/>
    <w:rsid w:val="1AAA7DF8"/>
    <w:rsid w:val="1AB560D7"/>
    <w:rsid w:val="1ABC044C"/>
    <w:rsid w:val="1AD5425D"/>
    <w:rsid w:val="1ADD5B61"/>
    <w:rsid w:val="1AED2863"/>
    <w:rsid w:val="1AEF014E"/>
    <w:rsid w:val="1AF4448C"/>
    <w:rsid w:val="1AFB3F20"/>
    <w:rsid w:val="1B074FDA"/>
    <w:rsid w:val="1B115F6E"/>
    <w:rsid w:val="1B157E99"/>
    <w:rsid w:val="1B1E6602"/>
    <w:rsid w:val="1B26560E"/>
    <w:rsid w:val="1B272899"/>
    <w:rsid w:val="1B3A7392"/>
    <w:rsid w:val="1B3A75C2"/>
    <w:rsid w:val="1B553D75"/>
    <w:rsid w:val="1B7B17D1"/>
    <w:rsid w:val="1B8448B7"/>
    <w:rsid w:val="1B8F5ABD"/>
    <w:rsid w:val="1B915AB2"/>
    <w:rsid w:val="1B933BF8"/>
    <w:rsid w:val="1B9B7C05"/>
    <w:rsid w:val="1B9E47A5"/>
    <w:rsid w:val="1BA61BEF"/>
    <w:rsid w:val="1BC20967"/>
    <w:rsid w:val="1BC32E0B"/>
    <w:rsid w:val="1BC82E20"/>
    <w:rsid w:val="1BD376C4"/>
    <w:rsid w:val="1BD8020C"/>
    <w:rsid w:val="1BEA5591"/>
    <w:rsid w:val="1BEB3C87"/>
    <w:rsid w:val="1C090C95"/>
    <w:rsid w:val="1C0E765E"/>
    <w:rsid w:val="1C327240"/>
    <w:rsid w:val="1C367EC6"/>
    <w:rsid w:val="1C3C0C77"/>
    <w:rsid w:val="1C4448AF"/>
    <w:rsid w:val="1C502276"/>
    <w:rsid w:val="1C574879"/>
    <w:rsid w:val="1C5D7B47"/>
    <w:rsid w:val="1C681408"/>
    <w:rsid w:val="1C6955F7"/>
    <w:rsid w:val="1C7B24E2"/>
    <w:rsid w:val="1C8B717A"/>
    <w:rsid w:val="1C9B5F9A"/>
    <w:rsid w:val="1C9F727F"/>
    <w:rsid w:val="1CAF7473"/>
    <w:rsid w:val="1CCA701D"/>
    <w:rsid w:val="1CCE33C6"/>
    <w:rsid w:val="1CE75528"/>
    <w:rsid w:val="1CED457C"/>
    <w:rsid w:val="1D12416B"/>
    <w:rsid w:val="1D141272"/>
    <w:rsid w:val="1D180615"/>
    <w:rsid w:val="1D260F5B"/>
    <w:rsid w:val="1D290F49"/>
    <w:rsid w:val="1D482187"/>
    <w:rsid w:val="1D48246B"/>
    <w:rsid w:val="1D547061"/>
    <w:rsid w:val="1D550375"/>
    <w:rsid w:val="1D653434"/>
    <w:rsid w:val="1D831634"/>
    <w:rsid w:val="1D8F2669"/>
    <w:rsid w:val="1D905BC0"/>
    <w:rsid w:val="1DAA4DE5"/>
    <w:rsid w:val="1DB57E58"/>
    <w:rsid w:val="1DE84DF2"/>
    <w:rsid w:val="1DEC7A95"/>
    <w:rsid w:val="1DF149CA"/>
    <w:rsid w:val="1E022B0B"/>
    <w:rsid w:val="1E0237F4"/>
    <w:rsid w:val="1E05475B"/>
    <w:rsid w:val="1E14234D"/>
    <w:rsid w:val="1E1B1AA4"/>
    <w:rsid w:val="1E1F0132"/>
    <w:rsid w:val="1E3E3FAE"/>
    <w:rsid w:val="1E5536B5"/>
    <w:rsid w:val="1E6000B4"/>
    <w:rsid w:val="1E6D7CDF"/>
    <w:rsid w:val="1E8150D1"/>
    <w:rsid w:val="1E8A35E1"/>
    <w:rsid w:val="1E8E4FD8"/>
    <w:rsid w:val="1E9B0B0E"/>
    <w:rsid w:val="1E9E10D4"/>
    <w:rsid w:val="1EA846AF"/>
    <w:rsid w:val="1EB75FDC"/>
    <w:rsid w:val="1EBF49AE"/>
    <w:rsid w:val="1EDC0404"/>
    <w:rsid w:val="1EE52FDC"/>
    <w:rsid w:val="1EEA6132"/>
    <w:rsid w:val="1EF61AD2"/>
    <w:rsid w:val="1F0754D5"/>
    <w:rsid w:val="1F11736D"/>
    <w:rsid w:val="1F1B08F2"/>
    <w:rsid w:val="1F2F50C1"/>
    <w:rsid w:val="1F4C082F"/>
    <w:rsid w:val="1F4E3EAC"/>
    <w:rsid w:val="1F541C4C"/>
    <w:rsid w:val="1F575934"/>
    <w:rsid w:val="1F641135"/>
    <w:rsid w:val="1F7631EB"/>
    <w:rsid w:val="1F7F6EC1"/>
    <w:rsid w:val="1F80692A"/>
    <w:rsid w:val="1F81051A"/>
    <w:rsid w:val="1F82347A"/>
    <w:rsid w:val="1F892FAD"/>
    <w:rsid w:val="1F8C6832"/>
    <w:rsid w:val="1FAB0A8F"/>
    <w:rsid w:val="1FAF595C"/>
    <w:rsid w:val="1FCC07FB"/>
    <w:rsid w:val="1FCF30E9"/>
    <w:rsid w:val="1FED3D7E"/>
    <w:rsid w:val="1FF30DF6"/>
    <w:rsid w:val="1FF46E45"/>
    <w:rsid w:val="1FFD243A"/>
    <w:rsid w:val="20016901"/>
    <w:rsid w:val="20036767"/>
    <w:rsid w:val="20036FFE"/>
    <w:rsid w:val="2006008E"/>
    <w:rsid w:val="200620FC"/>
    <w:rsid w:val="2011123A"/>
    <w:rsid w:val="201B0F50"/>
    <w:rsid w:val="201C373B"/>
    <w:rsid w:val="20275C9A"/>
    <w:rsid w:val="20344F28"/>
    <w:rsid w:val="203E32D9"/>
    <w:rsid w:val="205506FA"/>
    <w:rsid w:val="20664686"/>
    <w:rsid w:val="20781922"/>
    <w:rsid w:val="20895524"/>
    <w:rsid w:val="208F0434"/>
    <w:rsid w:val="20AD6DF8"/>
    <w:rsid w:val="20AE6A88"/>
    <w:rsid w:val="20B873EB"/>
    <w:rsid w:val="20BF54EB"/>
    <w:rsid w:val="20C27542"/>
    <w:rsid w:val="20C73087"/>
    <w:rsid w:val="20C73B62"/>
    <w:rsid w:val="20C911E4"/>
    <w:rsid w:val="20D14525"/>
    <w:rsid w:val="20DC447C"/>
    <w:rsid w:val="20E60813"/>
    <w:rsid w:val="20E71F9A"/>
    <w:rsid w:val="20E87EE1"/>
    <w:rsid w:val="21141AB5"/>
    <w:rsid w:val="211F34E2"/>
    <w:rsid w:val="21255A4D"/>
    <w:rsid w:val="21561DE5"/>
    <w:rsid w:val="215D225D"/>
    <w:rsid w:val="21721078"/>
    <w:rsid w:val="21775608"/>
    <w:rsid w:val="218F6F3C"/>
    <w:rsid w:val="219043E0"/>
    <w:rsid w:val="219A1092"/>
    <w:rsid w:val="21AD2F63"/>
    <w:rsid w:val="21C40F13"/>
    <w:rsid w:val="21D7254D"/>
    <w:rsid w:val="21D92FBA"/>
    <w:rsid w:val="21DB240E"/>
    <w:rsid w:val="21DD3EC8"/>
    <w:rsid w:val="21E544FB"/>
    <w:rsid w:val="21EB576C"/>
    <w:rsid w:val="21EC560F"/>
    <w:rsid w:val="21F41307"/>
    <w:rsid w:val="21FE7A8E"/>
    <w:rsid w:val="220B6146"/>
    <w:rsid w:val="22144EBE"/>
    <w:rsid w:val="22367490"/>
    <w:rsid w:val="2245341D"/>
    <w:rsid w:val="22622D2E"/>
    <w:rsid w:val="227B1351"/>
    <w:rsid w:val="22825DBB"/>
    <w:rsid w:val="22847DF8"/>
    <w:rsid w:val="228C4962"/>
    <w:rsid w:val="22934E4F"/>
    <w:rsid w:val="22B75B6A"/>
    <w:rsid w:val="22C36939"/>
    <w:rsid w:val="22D26782"/>
    <w:rsid w:val="22DF18B4"/>
    <w:rsid w:val="22DF73CD"/>
    <w:rsid w:val="22ED71DF"/>
    <w:rsid w:val="23004ECD"/>
    <w:rsid w:val="232600CB"/>
    <w:rsid w:val="232E75A8"/>
    <w:rsid w:val="233B2C77"/>
    <w:rsid w:val="233E2B43"/>
    <w:rsid w:val="233F7E6C"/>
    <w:rsid w:val="23564262"/>
    <w:rsid w:val="23635359"/>
    <w:rsid w:val="239C5315"/>
    <w:rsid w:val="23AB222F"/>
    <w:rsid w:val="23BC0C45"/>
    <w:rsid w:val="23C13C0E"/>
    <w:rsid w:val="23C50AFE"/>
    <w:rsid w:val="23C80D05"/>
    <w:rsid w:val="23CA42DA"/>
    <w:rsid w:val="23D031BA"/>
    <w:rsid w:val="23DB5488"/>
    <w:rsid w:val="23DD5F24"/>
    <w:rsid w:val="23DE53DF"/>
    <w:rsid w:val="23DE7E21"/>
    <w:rsid w:val="23E17227"/>
    <w:rsid w:val="23EE05DA"/>
    <w:rsid w:val="23F94978"/>
    <w:rsid w:val="23FA3E7C"/>
    <w:rsid w:val="2418706C"/>
    <w:rsid w:val="241B0F74"/>
    <w:rsid w:val="2444674F"/>
    <w:rsid w:val="244E79BB"/>
    <w:rsid w:val="24571EB9"/>
    <w:rsid w:val="245F1806"/>
    <w:rsid w:val="24642416"/>
    <w:rsid w:val="247332FB"/>
    <w:rsid w:val="24936748"/>
    <w:rsid w:val="24AA7567"/>
    <w:rsid w:val="24B1468C"/>
    <w:rsid w:val="24B61418"/>
    <w:rsid w:val="24B957CA"/>
    <w:rsid w:val="24BA2895"/>
    <w:rsid w:val="24CC1BD3"/>
    <w:rsid w:val="24DB394F"/>
    <w:rsid w:val="251B2E81"/>
    <w:rsid w:val="252037D1"/>
    <w:rsid w:val="252208C5"/>
    <w:rsid w:val="252D29A2"/>
    <w:rsid w:val="252E3785"/>
    <w:rsid w:val="25424108"/>
    <w:rsid w:val="25611C99"/>
    <w:rsid w:val="25703E2C"/>
    <w:rsid w:val="257414C5"/>
    <w:rsid w:val="2578449F"/>
    <w:rsid w:val="258055E3"/>
    <w:rsid w:val="2580651A"/>
    <w:rsid w:val="25AC6556"/>
    <w:rsid w:val="25BC2ADC"/>
    <w:rsid w:val="25BD098A"/>
    <w:rsid w:val="25C2334B"/>
    <w:rsid w:val="25C311F0"/>
    <w:rsid w:val="25C468DD"/>
    <w:rsid w:val="25D92B57"/>
    <w:rsid w:val="25DA74AE"/>
    <w:rsid w:val="25EA1F4D"/>
    <w:rsid w:val="25EB6665"/>
    <w:rsid w:val="25FE611E"/>
    <w:rsid w:val="260E0424"/>
    <w:rsid w:val="26151358"/>
    <w:rsid w:val="262B2807"/>
    <w:rsid w:val="262B2929"/>
    <w:rsid w:val="262E2017"/>
    <w:rsid w:val="263D6290"/>
    <w:rsid w:val="26410554"/>
    <w:rsid w:val="264B57A2"/>
    <w:rsid w:val="264D7C14"/>
    <w:rsid w:val="264F16C0"/>
    <w:rsid w:val="265A2E8E"/>
    <w:rsid w:val="265F1545"/>
    <w:rsid w:val="265F6142"/>
    <w:rsid w:val="266F35DF"/>
    <w:rsid w:val="267C1FA6"/>
    <w:rsid w:val="267F4B7E"/>
    <w:rsid w:val="269D7349"/>
    <w:rsid w:val="26A84703"/>
    <w:rsid w:val="26AB574B"/>
    <w:rsid w:val="26BC7986"/>
    <w:rsid w:val="26C43D4C"/>
    <w:rsid w:val="26CB23B2"/>
    <w:rsid w:val="26D42A7B"/>
    <w:rsid w:val="26D44D6F"/>
    <w:rsid w:val="26E72CF4"/>
    <w:rsid w:val="26E825C8"/>
    <w:rsid w:val="26ED6C7A"/>
    <w:rsid w:val="27035654"/>
    <w:rsid w:val="2710609F"/>
    <w:rsid w:val="27110C95"/>
    <w:rsid w:val="27233601"/>
    <w:rsid w:val="27525BD6"/>
    <w:rsid w:val="275A34C6"/>
    <w:rsid w:val="275F47D6"/>
    <w:rsid w:val="276308DF"/>
    <w:rsid w:val="27630A8A"/>
    <w:rsid w:val="27705F36"/>
    <w:rsid w:val="277F0350"/>
    <w:rsid w:val="27802801"/>
    <w:rsid w:val="27892580"/>
    <w:rsid w:val="27912C60"/>
    <w:rsid w:val="27A36EA9"/>
    <w:rsid w:val="27A46429"/>
    <w:rsid w:val="27BE06A8"/>
    <w:rsid w:val="27CA3284"/>
    <w:rsid w:val="27E965F8"/>
    <w:rsid w:val="27EB29FE"/>
    <w:rsid w:val="28015FA9"/>
    <w:rsid w:val="28072F22"/>
    <w:rsid w:val="280C4527"/>
    <w:rsid w:val="28137270"/>
    <w:rsid w:val="281B5041"/>
    <w:rsid w:val="282F3137"/>
    <w:rsid w:val="28302DCC"/>
    <w:rsid w:val="28386767"/>
    <w:rsid w:val="283B5E64"/>
    <w:rsid w:val="2843270B"/>
    <w:rsid w:val="28676F7A"/>
    <w:rsid w:val="2879797C"/>
    <w:rsid w:val="287C52F1"/>
    <w:rsid w:val="287D5272"/>
    <w:rsid w:val="289E3768"/>
    <w:rsid w:val="28A3076F"/>
    <w:rsid w:val="28A41846"/>
    <w:rsid w:val="28AB3A2F"/>
    <w:rsid w:val="28BF7D25"/>
    <w:rsid w:val="28D57BCA"/>
    <w:rsid w:val="28D605D8"/>
    <w:rsid w:val="28E90E49"/>
    <w:rsid w:val="28E955E1"/>
    <w:rsid w:val="28EC45F2"/>
    <w:rsid w:val="28ED3C93"/>
    <w:rsid w:val="28F1227F"/>
    <w:rsid w:val="28F14874"/>
    <w:rsid w:val="28F1615F"/>
    <w:rsid w:val="28F60448"/>
    <w:rsid w:val="2900009D"/>
    <w:rsid w:val="29006B66"/>
    <w:rsid w:val="29055792"/>
    <w:rsid w:val="290A02A4"/>
    <w:rsid w:val="29210E84"/>
    <w:rsid w:val="292335E5"/>
    <w:rsid w:val="293B0C89"/>
    <w:rsid w:val="294256DC"/>
    <w:rsid w:val="2942749F"/>
    <w:rsid w:val="294855A0"/>
    <w:rsid w:val="294F40E1"/>
    <w:rsid w:val="295170DB"/>
    <w:rsid w:val="296077B8"/>
    <w:rsid w:val="2968280F"/>
    <w:rsid w:val="29693BD0"/>
    <w:rsid w:val="297E393E"/>
    <w:rsid w:val="29886183"/>
    <w:rsid w:val="298C7B83"/>
    <w:rsid w:val="29A33418"/>
    <w:rsid w:val="29AC1491"/>
    <w:rsid w:val="29AF20AF"/>
    <w:rsid w:val="29B1624B"/>
    <w:rsid w:val="29B50660"/>
    <w:rsid w:val="29C52BFE"/>
    <w:rsid w:val="29C77287"/>
    <w:rsid w:val="29C86BFB"/>
    <w:rsid w:val="29CE470D"/>
    <w:rsid w:val="29D23752"/>
    <w:rsid w:val="29D83858"/>
    <w:rsid w:val="29DC67C5"/>
    <w:rsid w:val="29EB4B6C"/>
    <w:rsid w:val="29EC18EA"/>
    <w:rsid w:val="2A057CAF"/>
    <w:rsid w:val="2A1306EF"/>
    <w:rsid w:val="2A1F2907"/>
    <w:rsid w:val="2A2009C5"/>
    <w:rsid w:val="2A231454"/>
    <w:rsid w:val="2A2B12CF"/>
    <w:rsid w:val="2A2E7C1A"/>
    <w:rsid w:val="2A331DAD"/>
    <w:rsid w:val="2A351AE7"/>
    <w:rsid w:val="2A381FB3"/>
    <w:rsid w:val="2A3A7DAD"/>
    <w:rsid w:val="2A4B4FF6"/>
    <w:rsid w:val="2A4D723B"/>
    <w:rsid w:val="2A4F2D85"/>
    <w:rsid w:val="2A4F6F0B"/>
    <w:rsid w:val="2A526445"/>
    <w:rsid w:val="2A567388"/>
    <w:rsid w:val="2A853775"/>
    <w:rsid w:val="2A906871"/>
    <w:rsid w:val="2A9A6E2C"/>
    <w:rsid w:val="2AAA5C90"/>
    <w:rsid w:val="2AAB49D9"/>
    <w:rsid w:val="2AB6233B"/>
    <w:rsid w:val="2AC0044B"/>
    <w:rsid w:val="2AD25FFE"/>
    <w:rsid w:val="2AD321A5"/>
    <w:rsid w:val="2AD66D45"/>
    <w:rsid w:val="2AD7765D"/>
    <w:rsid w:val="2ADB5B9F"/>
    <w:rsid w:val="2AE57BB8"/>
    <w:rsid w:val="2AF459E0"/>
    <w:rsid w:val="2B0D2554"/>
    <w:rsid w:val="2B1E22C0"/>
    <w:rsid w:val="2B4A1AA4"/>
    <w:rsid w:val="2B5852ED"/>
    <w:rsid w:val="2B604E23"/>
    <w:rsid w:val="2B743461"/>
    <w:rsid w:val="2B8B00E1"/>
    <w:rsid w:val="2B9259EE"/>
    <w:rsid w:val="2B973B86"/>
    <w:rsid w:val="2BA43649"/>
    <w:rsid w:val="2BA6227F"/>
    <w:rsid w:val="2BA82B64"/>
    <w:rsid w:val="2BC02215"/>
    <w:rsid w:val="2BD459E1"/>
    <w:rsid w:val="2BF0659B"/>
    <w:rsid w:val="2C042402"/>
    <w:rsid w:val="2C063C80"/>
    <w:rsid w:val="2C167BCD"/>
    <w:rsid w:val="2C1725E3"/>
    <w:rsid w:val="2C214C90"/>
    <w:rsid w:val="2C290B67"/>
    <w:rsid w:val="2C2C4113"/>
    <w:rsid w:val="2C303D5C"/>
    <w:rsid w:val="2C3D7714"/>
    <w:rsid w:val="2C3F165B"/>
    <w:rsid w:val="2C4748F9"/>
    <w:rsid w:val="2C7F45F2"/>
    <w:rsid w:val="2C8156C5"/>
    <w:rsid w:val="2C8A14E3"/>
    <w:rsid w:val="2C8A23E7"/>
    <w:rsid w:val="2C8E59C0"/>
    <w:rsid w:val="2C8F112D"/>
    <w:rsid w:val="2CA02B84"/>
    <w:rsid w:val="2CA637C0"/>
    <w:rsid w:val="2CAC08A7"/>
    <w:rsid w:val="2CAF2821"/>
    <w:rsid w:val="2CB066F4"/>
    <w:rsid w:val="2CBF42DF"/>
    <w:rsid w:val="2CD86C3B"/>
    <w:rsid w:val="2CDD5BA2"/>
    <w:rsid w:val="2CE37ABA"/>
    <w:rsid w:val="2CE649EF"/>
    <w:rsid w:val="2D04268C"/>
    <w:rsid w:val="2D052E51"/>
    <w:rsid w:val="2D0A5960"/>
    <w:rsid w:val="2D0C7A15"/>
    <w:rsid w:val="2D12214D"/>
    <w:rsid w:val="2D177FD2"/>
    <w:rsid w:val="2D20261B"/>
    <w:rsid w:val="2D202ACF"/>
    <w:rsid w:val="2D2943F3"/>
    <w:rsid w:val="2D595FCE"/>
    <w:rsid w:val="2D644EDA"/>
    <w:rsid w:val="2D70512C"/>
    <w:rsid w:val="2D7415F8"/>
    <w:rsid w:val="2D8007AC"/>
    <w:rsid w:val="2D931D82"/>
    <w:rsid w:val="2D9645AA"/>
    <w:rsid w:val="2D964B2C"/>
    <w:rsid w:val="2D96552C"/>
    <w:rsid w:val="2DA32098"/>
    <w:rsid w:val="2DA45F1F"/>
    <w:rsid w:val="2DB52F67"/>
    <w:rsid w:val="2DBA00F8"/>
    <w:rsid w:val="2DCD000B"/>
    <w:rsid w:val="2DCF56EE"/>
    <w:rsid w:val="2DCF6290"/>
    <w:rsid w:val="2DD5193A"/>
    <w:rsid w:val="2DD843A1"/>
    <w:rsid w:val="2DDD6BFF"/>
    <w:rsid w:val="2E197A3D"/>
    <w:rsid w:val="2E333209"/>
    <w:rsid w:val="2E350646"/>
    <w:rsid w:val="2E385741"/>
    <w:rsid w:val="2E394281"/>
    <w:rsid w:val="2E4B6896"/>
    <w:rsid w:val="2E5643AC"/>
    <w:rsid w:val="2E73567F"/>
    <w:rsid w:val="2E7C69AC"/>
    <w:rsid w:val="2E81758A"/>
    <w:rsid w:val="2E8A483E"/>
    <w:rsid w:val="2EAB0483"/>
    <w:rsid w:val="2EAE2349"/>
    <w:rsid w:val="2EAE6B2A"/>
    <w:rsid w:val="2EAF7625"/>
    <w:rsid w:val="2EBC30BB"/>
    <w:rsid w:val="2EBE0501"/>
    <w:rsid w:val="2ECC7C54"/>
    <w:rsid w:val="2ED018DD"/>
    <w:rsid w:val="2ED64009"/>
    <w:rsid w:val="2EEF3AA0"/>
    <w:rsid w:val="2EF20AD5"/>
    <w:rsid w:val="2EF21577"/>
    <w:rsid w:val="2EF94D95"/>
    <w:rsid w:val="2EFA3AD6"/>
    <w:rsid w:val="2F226D3D"/>
    <w:rsid w:val="2F5C329E"/>
    <w:rsid w:val="2F67605F"/>
    <w:rsid w:val="2F6C6278"/>
    <w:rsid w:val="2F762976"/>
    <w:rsid w:val="2F7A3DF6"/>
    <w:rsid w:val="2F8E3EAC"/>
    <w:rsid w:val="2FA33B25"/>
    <w:rsid w:val="2FA55A71"/>
    <w:rsid w:val="2FA774C5"/>
    <w:rsid w:val="2FBE65BC"/>
    <w:rsid w:val="2FCA4F61"/>
    <w:rsid w:val="2FD45C3D"/>
    <w:rsid w:val="2FD57F0D"/>
    <w:rsid w:val="30116A61"/>
    <w:rsid w:val="301607A4"/>
    <w:rsid w:val="301A2340"/>
    <w:rsid w:val="301A3277"/>
    <w:rsid w:val="30224760"/>
    <w:rsid w:val="30286718"/>
    <w:rsid w:val="302B3D82"/>
    <w:rsid w:val="304E3653"/>
    <w:rsid w:val="305753A2"/>
    <w:rsid w:val="305F6AC7"/>
    <w:rsid w:val="306626CA"/>
    <w:rsid w:val="306833A9"/>
    <w:rsid w:val="306A1541"/>
    <w:rsid w:val="30985A8F"/>
    <w:rsid w:val="309B5EB0"/>
    <w:rsid w:val="30C60350"/>
    <w:rsid w:val="30CB187F"/>
    <w:rsid w:val="30D131E5"/>
    <w:rsid w:val="30DD55AC"/>
    <w:rsid w:val="30ED5CF7"/>
    <w:rsid w:val="30F50546"/>
    <w:rsid w:val="30FA7B5B"/>
    <w:rsid w:val="30FE7DB5"/>
    <w:rsid w:val="310605AC"/>
    <w:rsid w:val="310B26AB"/>
    <w:rsid w:val="311415DF"/>
    <w:rsid w:val="3115209B"/>
    <w:rsid w:val="31187080"/>
    <w:rsid w:val="311E52C7"/>
    <w:rsid w:val="31247DCD"/>
    <w:rsid w:val="31261BE1"/>
    <w:rsid w:val="313D63DB"/>
    <w:rsid w:val="313E0D04"/>
    <w:rsid w:val="315076E8"/>
    <w:rsid w:val="31582E17"/>
    <w:rsid w:val="316A70FC"/>
    <w:rsid w:val="316D2048"/>
    <w:rsid w:val="3177295A"/>
    <w:rsid w:val="318B6972"/>
    <w:rsid w:val="318D326C"/>
    <w:rsid w:val="31932985"/>
    <w:rsid w:val="3195152F"/>
    <w:rsid w:val="31AF7D74"/>
    <w:rsid w:val="31B41C1C"/>
    <w:rsid w:val="31B45EC9"/>
    <w:rsid w:val="322A42A7"/>
    <w:rsid w:val="3240150B"/>
    <w:rsid w:val="326939FB"/>
    <w:rsid w:val="326B068E"/>
    <w:rsid w:val="327A2C6E"/>
    <w:rsid w:val="32985D7B"/>
    <w:rsid w:val="32A016E2"/>
    <w:rsid w:val="32A70BF6"/>
    <w:rsid w:val="32AF2646"/>
    <w:rsid w:val="32B231A0"/>
    <w:rsid w:val="32B90D3E"/>
    <w:rsid w:val="32C04E80"/>
    <w:rsid w:val="32CA53FC"/>
    <w:rsid w:val="32DF6F75"/>
    <w:rsid w:val="32F940CB"/>
    <w:rsid w:val="32FB5E3C"/>
    <w:rsid w:val="32FD5DDF"/>
    <w:rsid w:val="33005691"/>
    <w:rsid w:val="33025685"/>
    <w:rsid w:val="33033244"/>
    <w:rsid w:val="33051188"/>
    <w:rsid w:val="33185FE3"/>
    <w:rsid w:val="33246694"/>
    <w:rsid w:val="333878F1"/>
    <w:rsid w:val="33543AF9"/>
    <w:rsid w:val="335D00EB"/>
    <w:rsid w:val="335D4E5A"/>
    <w:rsid w:val="3364747B"/>
    <w:rsid w:val="336559CD"/>
    <w:rsid w:val="3370483D"/>
    <w:rsid w:val="33820D2D"/>
    <w:rsid w:val="33886F6E"/>
    <w:rsid w:val="339406A5"/>
    <w:rsid w:val="339A0697"/>
    <w:rsid w:val="33A40B97"/>
    <w:rsid w:val="33B745C0"/>
    <w:rsid w:val="33BC6BBE"/>
    <w:rsid w:val="33BE531D"/>
    <w:rsid w:val="33C91A99"/>
    <w:rsid w:val="33CA19D4"/>
    <w:rsid w:val="33D94FA4"/>
    <w:rsid w:val="33E67E90"/>
    <w:rsid w:val="33E81E5A"/>
    <w:rsid w:val="33E9583B"/>
    <w:rsid w:val="33FA5088"/>
    <w:rsid w:val="340D25AE"/>
    <w:rsid w:val="341B24AF"/>
    <w:rsid w:val="34243BF5"/>
    <w:rsid w:val="34270BD4"/>
    <w:rsid w:val="344A48C2"/>
    <w:rsid w:val="34502FCD"/>
    <w:rsid w:val="34621C0C"/>
    <w:rsid w:val="34835986"/>
    <w:rsid w:val="34873421"/>
    <w:rsid w:val="349F0DCD"/>
    <w:rsid w:val="34A14B78"/>
    <w:rsid w:val="34A33E66"/>
    <w:rsid w:val="34BA37F6"/>
    <w:rsid w:val="34C75F13"/>
    <w:rsid w:val="34CF384E"/>
    <w:rsid w:val="34EE02D1"/>
    <w:rsid w:val="34EE6D34"/>
    <w:rsid w:val="34F712FB"/>
    <w:rsid w:val="34FD4DB8"/>
    <w:rsid w:val="351578D3"/>
    <w:rsid w:val="354C01C6"/>
    <w:rsid w:val="35577ABD"/>
    <w:rsid w:val="35750D0B"/>
    <w:rsid w:val="35776188"/>
    <w:rsid w:val="357F4F5A"/>
    <w:rsid w:val="358076A9"/>
    <w:rsid w:val="358C3D6B"/>
    <w:rsid w:val="359B0FB3"/>
    <w:rsid w:val="35A96F2F"/>
    <w:rsid w:val="35B247C6"/>
    <w:rsid w:val="35CA04DD"/>
    <w:rsid w:val="35D55439"/>
    <w:rsid w:val="35E0375C"/>
    <w:rsid w:val="35E5716E"/>
    <w:rsid w:val="35F46869"/>
    <w:rsid w:val="360F07E9"/>
    <w:rsid w:val="361072B2"/>
    <w:rsid w:val="36187AD6"/>
    <w:rsid w:val="36190A39"/>
    <w:rsid w:val="36272755"/>
    <w:rsid w:val="364A0BAA"/>
    <w:rsid w:val="36556B1F"/>
    <w:rsid w:val="365C4AD4"/>
    <w:rsid w:val="3683504D"/>
    <w:rsid w:val="36864141"/>
    <w:rsid w:val="3692514A"/>
    <w:rsid w:val="36936245"/>
    <w:rsid w:val="369F2B5F"/>
    <w:rsid w:val="36B416D4"/>
    <w:rsid w:val="36C435F7"/>
    <w:rsid w:val="36C86824"/>
    <w:rsid w:val="36CF3B56"/>
    <w:rsid w:val="36D73DAE"/>
    <w:rsid w:val="36E65E63"/>
    <w:rsid w:val="36F42EDC"/>
    <w:rsid w:val="36F47CE2"/>
    <w:rsid w:val="37050830"/>
    <w:rsid w:val="3707043B"/>
    <w:rsid w:val="370A45C3"/>
    <w:rsid w:val="371A3B43"/>
    <w:rsid w:val="371A7946"/>
    <w:rsid w:val="371C1384"/>
    <w:rsid w:val="3747014D"/>
    <w:rsid w:val="374B6987"/>
    <w:rsid w:val="375B6C80"/>
    <w:rsid w:val="377D24EA"/>
    <w:rsid w:val="3790703A"/>
    <w:rsid w:val="37A74E88"/>
    <w:rsid w:val="37AD1D0E"/>
    <w:rsid w:val="37C171C7"/>
    <w:rsid w:val="37CA4D45"/>
    <w:rsid w:val="37EA6A17"/>
    <w:rsid w:val="37FE6BEC"/>
    <w:rsid w:val="380A5A24"/>
    <w:rsid w:val="382D0783"/>
    <w:rsid w:val="383D019E"/>
    <w:rsid w:val="38451104"/>
    <w:rsid w:val="38652678"/>
    <w:rsid w:val="3884097C"/>
    <w:rsid w:val="3892325A"/>
    <w:rsid w:val="389B654A"/>
    <w:rsid w:val="389F7BF8"/>
    <w:rsid w:val="38A94BA3"/>
    <w:rsid w:val="38BC653E"/>
    <w:rsid w:val="38BD2702"/>
    <w:rsid w:val="38D71A53"/>
    <w:rsid w:val="38EC1A3D"/>
    <w:rsid w:val="38EE7F12"/>
    <w:rsid w:val="38F622BF"/>
    <w:rsid w:val="38F74B63"/>
    <w:rsid w:val="38F84269"/>
    <w:rsid w:val="38FA6401"/>
    <w:rsid w:val="3929719C"/>
    <w:rsid w:val="39506AB6"/>
    <w:rsid w:val="3955258A"/>
    <w:rsid w:val="395F1632"/>
    <w:rsid w:val="3968693E"/>
    <w:rsid w:val="396B2D22"/>
    <w:rsid w:val="399A59A4"/>
    <w:rsid w:val="39AD1B7B"/>
    <w:rsid w:val="39B26F3C"/>
    <w:rsid w:val="39B35F0D"/>
    <w:rsid w:val="39B61D4D"/>
    <w:rsid w:val="39BA2930"/>
    <w:rsid w:val="39BA7DF4"/>
    <w:rsid w:val="39C866B8"/>
    <w:rsid w:val="39CF2F72"/>
    <w:rsid w:val="39D94CA2"/>
    <w:rsid w:val="39F63B7A"/>
    <w:rsid w:val="3A0D47D7"/>
    <w:rsid w:val="3A107B48"/>
    <w:rsid w:val="3A1736AC"/>
    <w:rsid w:val="3A3667C1"/>
    <w:rsid w:val="3A42053B"/>
    <w:rsid w:val="3A4A6320"/>
    <w:rsid w:val="3A6414E7"/>
    <w:rsid w:val="3A681706"/>
    <w:rsid w:val="3A6A7EB0"/>
    <w:rsid w:val="3A75030F"/>
    <w:rsid w:val="3A9B5F8A"/>
    <w:rsid w:val="3A9C2BF1"/>
    <w:rsid w:val="3AA77BAC"/>
    <w:rsid w:val="3AAA7C0A"/>
    <w:rsid w:val="3ABD1D00"/>
    <w:rsid w:val="3AC11F2B"/>
    <w:rsid w:val="3ACF473A"/>
    <w:rsid w:val="3AD60CC9"/>
    <w:rsid w:val="3ADA36B6"/>
    <w:rsid w:val="3B103394"/>
    <w:rsid w:val="3B151968"/>
    <w:rsid w:val="3B1A22C1"/>
    <w:rsid w:val="3B231A29"/>
    <w:rsid w:val="3B2321E2"/>
    <w:rsid w:val="3B240DA3"/>
    <w:rsid w:val="3B273268"/>
    <w:rsid w:val="3B334DD7"/>
    <w:rsid w:val="3B3E69D9"/>
    <w:rsid w:val="3B4171C3"/>
    <w:rsid w:val="3B441816"/>
    <w:rsid w:val="3B584A09"/>
    <w:rsid w:val="3B5A363D"/>
    <w:rsid w:val="3B7B1805"/>
    <w:rsid w:val="3B7B2140"/>
    <w:rsid w:val="3B873C2C"/>
    <w:rsid w:val="3B964647"/>
    <w:rsid w:val="3BBC7A16"/>
    <w:rsid w:val="3BC85A52"/>
    <w:rsid w:val="3BDA652C"/>
    <w:rsid w:val="3BEA7629"/>
    <w:rsid w:val="3C0035C8"/>
    <w:rsid w:val="3C0B294D"/>
    <w:rsid w:val="3C0F2FD7"/>
    <w:rsid w:val="3C265D73"/>
    <w:rsid w:val="3C3B0FB9"/>
    <w:rsid w:val="3C526550"/>
    <w:rsid w:val="3C6A7D30"/>
    <w:rsid w:val="3CA279D5"/>
    <w:rsid w:val="3CAD6F11"/>
    <w:rsid w:val="3CB52AF5"/>
    <w:rsid w:val="3CBA6138"/>
    <w:rsid w:val="3CBE5DC0"/>
    <w:rsid w:val="3CCC1A9D"/>
    <w:rsid w:val="3CD048DB"/>
    <w:rsid w:val="3CD25455"/>
    <w:rsid w:val="3CD84372"/>
    <w:rsid w:val="3CDC45A5"/>
    <w:rsid w:val="3CDE204C"/>
    <w:rsid w:val="3CDE55F6"/>
    <w:rsid w:val="3CE57664"/>
    <w:rsid w:val="3CEF07B0"/>
    <w:rsid w:val="3CF547F0"/>
    <w:rsid w:val="3CF7310E"/>
    <w:rsid w:val="3D0A24EF"/>
    <w:rsid w:val="3D0D46DF"/>
    <w:rsid w:val="3D214534"/>
    <w:rsid w:val="3D4225DB"/>
    <w:rsid w:val="3D5E11F2"/>
    <w:rsid w:val="3D690DAE"/>
    <w:rsid w:val="3D707C5B"/>
    <w:rsid w:val="3D7429A3"/>
    <w:rsid w:val="3DB112A3"/>
    <w:rsid w:val="3DB80235"/>
    <w:rsid w:val="3DB92E3F"/>
    <w:rsid w:val="3DD1395F"/>
    <w:rsid w:val="3DFB31A5"/>
    <w:rsid w:val="3DFB45F9"/>
    <w:rsid w:val="3E4F0A67"/>
    <w:rsid w:val="3E4F28BB"/>
    <w:rsid w:val="3E504C3C"/>
    <w:rsid w:val="3E5A585B"/>
    <w:rsid w:val="3E602576"/>
    <w:rsid w:val="3E6D68AC"/>
    <w:rsid w:val="3E7657B7"/>
    <w:rsid w:val="3E7D2D88"/>
    <w:rsid w:val="3E93764E"/>
    <w:rsid w:val="3EA03A5D"/>
    <w:rsid w:val="3EB956A6"/>
    <w:rsid w:val="3EC45F40"/>
    <w:rsid w:val="3ED47538"/>
    <w:rsid w:val="3EEA7442"/>
    <w:rsid w:val="3F107DA9"/>
    <w:rsid w:val="3F121D47"/>
    <w:rsid w:val="3F2006FA"/>
    <w:rsid w:val="3F237AEB"/>
    <w:rsid w:val="3F255EE2"/>
    <w:rsid w:val="3F4723E0"/>
    <w:rsid w:val="3F5440AB"/>
    <w:rsid w:val="3F567940"/>
    <w:rsid w:val="3F65517D"/>
    <w:rsid w:val="3F713917"/>
    <w:rsid w:val="3F773D0F"/>
    <w:rsid w:val="3F823162"/>
    <w:rsid w:val="3F8D25DD"/>
    <w:rsid w:val="3F960BF7"/>
    <w:rsid w:val="3FAA5C4C"/>
    <w:rsid w:val="3FAF1C5C"/>
    <w:rsid w:val="3FE56D10"/>
    <w:rsid w:val="401B4263"/>
    <w:rsid w:val="40216364"/>
    <w:rsid w:val="40310B5C"/>
    <w:rsid w:val="40385E01"/>
    <w:rsid w:val="40493C80"/>
    <w:rsid w:val="405E0026"/>
    <w:rsid w:val="4063401F"/>
    <w:rsid w:val="40642868"/>
    <w:rsid w:val="4069760E"/>
    <w:rsid w:val="406F4803"/>
    <w:rsid w:val="40765BC6"/>
    <w:rsid w:val="407C1666"/>
    <w:rsid w:val="408D2352"/>
    <w:rsid w:val="409E0075"/>
    <w:rsid w:val="40A87C5F"/>
    <w:rsid w:val="40A94E20"/>
    <w:rsid w:val="40A960C5"/>
    <w:rsid w:val="40AA6EAA"/>
    <w:rsid w:val="40AA765C"/>
    <w:rsid w:val="40B416B7"/>
    <w:rsid w:val="40D21111"/>
    <w:rsid w:val="40DA6082"/>
    <w:rsid w:val="40E439A9"/>
    <w:rsid w:val="40E8138A"/>
    <w:rsid w:val="40E92FF7"/>
    <w:rsid w:val="40F01130"/>
    <w:rsid w:val="40F70196"/>
    <w:rsid w:val="410D693D"/>
    <w:rsid w:val="411F732E"/>
    <w:rsid w:val="41211416"/>
    <w:rsid w:val="41322966"/>
    <w:rsid w:val="413978A2"/>
    <w:rsid w:val="413E50B8"/>
    <w:rsid w:val="41474664"/>
    <w:rsid w:val="41506184"/>
    <w:rsid w:val="41627D75"/>
    <w:rsid w:val="41694F2C"/>
    <w:rsid w:val="416D1FB5"/>
    <w:rsid w:val="4170325B"/>
    <w:rsid w:val="41720FB5"/>
    <w:rsid w:val="41730D07"/>
    <w:rsid w:val="4173423A"/>
    <w:rsid w:val="41902B92"/>
    <w:rsid w:val="41C64CB8"/>
    <w:rsid w:val="41D028AB"/>
    <w:rsid w:val="41D63F26"/>
    <w:rsid w:val="41E20178"/>
    <w:rsid w:val="41E2022F"/>
    <w:rsid w:val="41E60D0C"/>
    <w:rsid w:val="41E77BCB"/>
    <w:rsid w:val="41FD05AA"/>
    <w:rsid w:val="4212760B"/>
    <w:rsid w:val="421767B3"/>
    <w:rsid w:val="422229DB"/>
    <w:rsid w:val="422A0A83"/>
    <w:rsid w:val="422C3859"/>
    <w:rsid w:val="423F2FD4"/>
    <w:rsid w:val="42505EE4"/>
    <w:rsid w:val="42730D08"/>
    <w:rsid w:val="427B21C3"/>
    <w:rsid w:val="429119F5"/>
    <w:rsid w:val="42915E41"/>
    <w:rsid w:val="42944722"/>
    <w:rsid w:val="42A10D90"/>
    <w:rsid w:val="42BA0FB3"/>
    <w:rsid w:val="42C11E60"/>
    <w:rsid w:val="42C473F2"/>
    <w:rsid w:val="42D1418B"/>
    <w:rsid w:val="42DC12B4"/>
    <w:rsid w:val="42F87D0B"/>
    <w:rsid w:val="42FA5762"/>
    <w:rsid w:val="42FE2D71"/>
    <w:rsid w:val="430A69DE"/>
    <w:rsid w:val="43134C94"/>
    <w:rsid w:val="43196A08"/>
    <w:rsid w:val="431A68E1"/>
    <w:rsid w:val="431C6BC9"/>
    <w:rsid w:val="43464EC2"/>
    <w:rsid w:val="43490AA8"/>
    <w:rsid w:val="436533AE"/>
    <w:rsid w:val="4368382B"/>
    <w:rsid w:val="437841F8"/>
    <w:rsid w:val="43787781"/>
    <w:rsid w:val="438F0AAE"/>
    <w:rsid w:val="43AF4811"/>
    <w:rsid w:val="43B26A05"/>
    <w:rsid w:val="43BF6DEF"/>
    <w:rsid w:val="43D24C60"/>
    <w:rsid w:val="43EB5A74"/>
    <w:rsid w:val="43F0357B"/>
    <w:rsid w:val="43F321B1"/>
    <w:rsid w:val="43F4091B"/>
    <w:rsid w:val="44001E51"/>
    <w:rsid w:val="44013D6C"/>
    <w:rsid w:val="441328B1"/>
    <w:rsid w:val="44223166"/>
    <w:rsid w:val="442C6925"/>
    <w:rsid w:val="443A2387"/>
    <w:rsid w:val="44415521"/>
    <w:rsid w:val="44461648"/>
    <w:rsid w:val="445C6678"/>
    <w:rsid w:val="446C478E"/>
    <w:rsid w:val="44706E6A"/>
    <w:rsid w:val="44882270"/>
    <w:rsid w:val="449D0F82"/>
    <w:rsid w:val="44A61B69"/>
    <w:rsid w:val="44A91D23"/>
    <w:rsid w:val="44C2564E"/>
    <w:rsid w:val="44CA5E59"/>
    <w:rsid w:val="44DE15E5"/>
    <w:rsid w:val="44DF452C"/>
    <w:rsid w:val="44F24F9F"/>
    <w:rsid w:val="44F53FBC"/>
    <w:rsid w:val="44FC7513"/>
    <w:rsid w:val="44FE5CC1"/>
    <w:rsid w:val="45036AF3"/>
    <w:rsid w:val="4508473D"/>
    <w:rsid w:val="45102BCD"/>
    <w:rsid w:val="45164E7F"/>
    <w:rsid w:val="45196317"/>
    <w:rsid w:val="452458BF"/>
    <w:rsid w:val="453859FD"/>
    <w:rsid w:val="455020EC"/>
    <w:rsid w:val="45576901"/>
    <w:rsid w:val="456634AE"/>
    <w:rsid w:val="458620D1"/>
    <w:rsid w:val="45A24A5D"/>
    <w:rsid w:val="45A33BAA"/>
    <w:rsid w:val="45A639E7"/>
    <w:rsid w:val="45A85719"/>
    <w:rsid w:val="45BB117C"/>
    <w:rsid w:val="45D10A9B"/>
    <w:rsid w:val="45E51686"/>
    <w:rsid w:val="45E57A43"/>
    <w:rsid w:val="45F40263"/>
    <w:rsid w:val="45F43796"/>
    <w:rsid w:val="45F76A82"/>
    <w:rsid w:val="460E3B07"/>
    <w:rsid w:val="46111FE3"/>
    <w:rsid w:val="462F12AD"/>
    <w:rsid w:val="46326674"/>
    <w:rsid w:val="463F1D7B"/>
    <w:rsid w:val="46466F79"/>
    <w:rsid w:val="466971B1"/>
    <w:rsid w:val="46727855"/>
    <w:rsid w:val="46A13966"/>
    <w:rsid w:val="46B01975"/>
    <w:rsid w:val="46B15BAC"/>
    <w:rsid w:val="46C90747"/>
    <w:rsid w:val="46E44703"/>
    <w:rsid w:val="46FA2178"/>
    <w:rsid w:val="46FF08E1"/>
    <w:rsid w:val="46FF153C"/>
    <w:rsid w:val="4709009D"/>
    <w:rsid w:val="471850D7"/>
    <w:rsid w:val="471F57C4"/>
    <w:rsid w:val="472167CF"/>
    <w:rsid w:val="47245A31"/>
    <w:rsid w:val="472479E1"/>
    <w:rsid w:val="47285D22"/>
    <w:rsid w:val="472B1A28"/>
    <w:rsid w:val="474F1DD6"/>
    <w:rsid w:val="474F47CF"/>
    <w:rsid w:val="47615DF2"/>
    <w:rsid w:val="478F072E"/>
    <w:rsid w:val="47A64D31"/>
    <w:rsid w:val="47AA1047"/>
    <w:rsid w:val="47AB5220"/>
    <w:rsid w:val="47D047AC"/>
    <w:rsid w:val="47D465D2"/>
    <w:rsid w:val="47F22CA9"/>
    <w:rsid w:val="47F5631F"/>
    <w:rsid w:val="47FA5C10"/>
    <w:rsid w:val="48060444"/>
    <w:rsid w:val="480627C0"/>
    <w:rsid w:val="481417F0"/>
    <w:rsid w:val="48200D08"/>
    <w:rsid w:val="4831001E"/>
    <w:rsid w:val="48375794"/>
    <w:rsid w:val="4847697F"/>
    <w:rsid w:val="48603A96"/>
    <w:rsid w:val="48647524"/>
    <w:rsid w:val="486E66D7"/>
    <w:rsid w:val="486F745F"/>
    <w:rsid w:val="4871442B"/>
    <w:rsid w:val="48807E97"/>
    <w:rsid w:val="48830928"/>
    <w:rsid w:val="488869A5"/>
    <w:rsid w:val="48923E4A"/>
    <w:rsid w:val="48CA7928"/>
    <w:rsid w:val="48D65497"/>
    <w:rsid w:val="48E92A25"/>
    <w:rsid w:val="48F43830"/>
    <w:rsid w:val="49060F7A"/>
    <w:rsid w:val="490A2181"/>
    <w:rsid w:val="491D36A3"/>
    <w:rsid w:val="491F055C"/>
    <w:rsid w:val="492559AC"/>
    <w:rsid w:val="49366D6C"/>
    <w:rsid w:val="4937188E"/>
    <w:rsid w:val="495D1B40"/>
    <w:rsid w:val="49617449"/>
    <w:rsid w:val="496A560A"/>
    <w:rsid w:val="496B3716"/>
    <w:rsid w:val="49867420"/>
    <w:rsid w:val="498C41E6"/>
    <w:rsid w:val="498E4568"/>
    <w:rsid w:val="49971434"/>
    <w:rsid w:val="49A038A4"/>
    <w:rsid w:val="49AE333E"/>
    <w:rsid w:val="49B138A0"/>
    <w:rsid w:val="49B74350"/>
    <w:rsid w:val="49C34191"/>
    <w:rsid w:val="49D32058"/>
    <w:rsid w:val="49D901F6"/>
    <w:rsid w:val="4A03679D"/>
    <w:rsid w:val="4A0F6213"/>
    <w:rsid w:val="4A153EDB"/>
    <w:rsid w:val="4A216ECF"/>
    <w:rsid w:val="4A293051"/>
    <w:rsid w:val="4A2C5F37"/>
    <w:rsid w:val="4A2F1FF2"/>
    <w:rsid w:val="4A545A31"/>
    <w:rsid w:val="4A553112"/>
    <w:rsid w:val="4A6A02B3"/>
    <w:rsid w:val="4A6A76A2"/>
    <w:rsid w:val="4A6E2C61"/>
    <w:rsid w:val="4A6E5E1B"/>
    <w:rsid w:val="4A6F7399"/>
    <w:rsid w:val="4A8D7CE4"/>
    <w:rsid w:val="4A9E1F5E"/>
    <w:rsid w:val="4AA9373A"/>
    <w:rsid w:val="4AAE4780"/>
    <w:rsid w:val="4ABB463C"/>
    <w:rsid w:val="4AC22A7C"/>
    <w:rsid w:val="4AC52797"/>
    <w:rsid w:val="4ADB406F"/>
    <w:rsid w:val="4ADC4A9F"/>
    <w:rsid w:val="4AEA4DAD"/>
    <w:rsid w:val="4AEC658B"/>
    <w:rsid w:val="4AF313B8"/>
    <w:rsid w:val="4B0349FF"/>
    <w:rsid w:val="4B0363CB"/>
    <w:rsid w:val="4B0E7989"/>
    <w:rsid w:val="4B1222F4"/>
    <w:rsid w:val="4B137251"/>
    <w:rsid w:val="4B1E40D8"/>
    <w:rsid w:val="4B271062"/>
    <w:rsid w:val="4B3D72A5"/>
    <w:rsid w:val="4B4660C1"/>
    <w:rsid w:val="4B524B51"/>
    <w:rsid w:val="4B6034DE"/>
    <w:rsid w:val="4B6446F7"/>
    <w:rsid w:val="4B70590C"/>
    <w:rsid w:val="4B8676B9"/>
    <w:rsid w:val="4B873C61"/>
    <w:rsid w:val="4B8E04BA"/>
    <w:rsid w:val="4B9F67C7"/>
    <w:rsid w:val="4BB362B0"/>
    <w:rsid w:val="4BB569FC"/>
    <w:rsid w:val="4BBA3FF0"/>
    <w:rsid w:val="4BC0573E"/>
    <w:rsid w:val="4BCA4138"/>
    <w:rsid w:val="4BD914FD"/>
    <w:rsid w:val="4BD91F1C"/>
    <w:rsid w:val="4BEC5D41"/>
    <w:rsid w:val="4BEF23E7"/>
    <w:rsid w:val="4C092C1C"/>
    <w:rsid w:val="4C226A74"/>
    <w:rsid w:val="4C312543"/>
    <w:rsid w:val="4C3D7453"/>
    <w:rsid w:val="4C543218"/>
    <w:rsid w:val="4C590D85"/>
    <w:rsid w:val="4C5B6DF7"/>
    <w:rsid w:val="4C5C7FA2"/>
    <w:rsid w:val="4C7D6CC5"/>
    <w:rsid w:val="4C8C70B8"/>
    <w:rsid w:val="4C8E7C81"/>
    <w:rsid w:val="4C9515D9"/>
    <w:rsid w:val="4C951975"/>
    <w:rsid w:val="4C9D10F3"/>
    <w:rsid w:val="4CA010CC"/>
    <w:rsid w:val="4CB70EE4"/>
    <w:rsid w:val="4CB93263"/>
    <w:rsid w:val="4CC7549D"/>
    <w:rsid w:val="4CCC3C6F"/>
    <w:rsid w:val="4CCE5A98"/>
    <w:rsid w:val="4CDC785E"/>
    <w:rsid w:val="4D0B7493"/>
    <w:rsid w:val="4D122A21"/>
    <w:rsid w:val="4D152B85"/>
    <w:rsid w:val="4D1C2CCF"/>
    <w:rsid w:val="4D3D0964"/>
    <w:rsid w:val="4D4153CC"/>
    <w:rsid w:val="4D442323"/>
    <w:rsid w:val="4D4730B6"/>
    <w:rsid w:val="4D730A9A"/>
    <w:rsid w:val="4D77691C"/>
    <w:rsid w:val="4D8858EB"/>
    <w:rsid w:val="4D8968F4"/>
    <w:rsid w:val="4D9C6DA9"/>
    <w:rsid w:val="4DC17497"/>
    <w:rsid w:val="4DCB2C6B"/>
    <w:rsid w:val="4DCC5D65"/>
    <w:rsid w:val="4DD54467"/>
    <w:rsid w:val="4DDC4386"/>
    <w:rsid w:val="4DF01146"/>
    <w:rsid w:val="4E046949"/>
    <w:rsid w:val="4E237B90"/>
    <w:rsid w:val="4E487ED9"/>
    <w:rsid w:val="4E496543"/>
    <w:rsid w:val="4E544995"/>
    <w:rsid w:val="4E552989"/>
    <w:rsid w:val="4E772E0D"/>
    <w:rsid w:val="4E774D8F"/>
    <w:rsid w:val="4E842F59"/>
    <w:rsid w:val="4E9A7376"/>
    <w:rsid w:val="4EA114F8"/>
    <w:rsid w:val="4EA56E6D"/>
    <w:rsid w:val="4EA86B20"/>
    <w:rsid w:val="4EC00A71"/>
    <w:rsid w:val="4EC17E9E"/>
    <w:rsid w:val="4ED43005"/>
    <w:rsid w:val="4EE07D3F"/>
    <w:rsid w:val="4EEE7E32"/>
    <w:rsid w:val="4EEF1E97"/>
    <w:rsid w:val="4EF13ACB"/>
    <w:rsid w:val="4F023DAD"/>
    <w:rsid w:val="4F0C738D"/>
    <w:rsid w:val="4F26040A"/>
    <w:rsid w:val="4F5E1303"/>
    <w:rsid w:val="4F6051BF"/>
    <w:rsid w:val="4F6603AB"/>
    <w:rsid w:val="4F8776F4"/>
    <w:rsid w:val="4F9A492F"/>
    <w:rsid w:val="4F9C2D79"/>
    <w:rsid w:val="4FAD3D77"/>
    <w:rsid w:val="4FC539CF"/>
    <w:rsid w:val="4FC835DC"/>
    <w:rsid w:val="4FD90B2E"/>
    <w:rsid w:val="4FDA66A3"/>
    <w:rsid w:val="4FDB0887"/>
    <w:rsid w:val="4FEC2D98"/>
    <w:rsid w:val="4FF95BE3"/>
    <w:rsid w:val="50045E59"/>
    <w:rsid w:val="50143102"/>
    <w:rsid w:val="5028191E"/>
    <w:rsid w:val="503029BF"/>
    <w:rsid w:val="50450869"/>
    <w:rsid w:val="50482FF8"/>
    <w:rsid w:val="505E3C8D"/>
    <w:rsid w:val="50605398"/>
    <w:rsid w:val="506B0B34"/>
    <w:rsid w:val="50852AB2"/>
    <w:rsid w:val="50916F64"/>
    <w:rsid w:val="509727E6"/>
    <w:rsid w:val="509E5C09"/>
    <w:rsid w:val="50A62D48"/>
    <w:rsid w:val="50B361EF"/>
    <w:rsid w:val="50DB006F"/>
    <w:rsid w:val="50E27F2F"/>
    <w:rsid w:val="50EE429B"/>
    <w:rsid w:val="50F3504C"/>
    <w:rsid w:val="50F6575E"/>
    <w:rsid w:val="51027285"/>
    <w:rsid w:val="510D0A84"/>
    <w:rsid w:val="512C07EE"/>
    <w:rsid w:val="51454495"/>
    <w:rsid w:val="515661FD"/>
    <w:rsid w:val="51592EBB"/>
    <w:rsid w:val="51597A9B"/>
    <w:rsid w:val="51735F41"/>
    <w:rsid w:val="517830B0"/>
    <w:rsid w:val="51790C79"/>
    <w:rsid w:val="518E3BE9"/>
    <w:rsid w:val="51A36139"/>
    <w:rsid w:val="51D007B9"/>
    <w:rsid w:val="51E02F27"/>
    <w:rsid w:val="51E04182"/>
    <w:rsid w:val="51F93925"/>
    <w:rsid w:val="52073EDA"/>
    <w:rsid w:val="52166259"/>
    <w:rsid w:val="521D44AE"/>
    <w:rsid w:val="524D011C"/>
    <w:rsid w:val="526235EF"/>
    <w:rsid w:val="526801FC"/>
    <w:rsid w:val="52740554"/>
    <w:rsid w:val="527461F8"/>
    <w:rsid w:val="527D2F6B"/>
    <w:rsid w:val="52945240"/>
    <w:rsid w:val="52946FDD"/>
    <w:rsid w:val="52972F91"/>
    <w:rsid w:val="52AB6302"/>
    <w:rsid w:val="52DA325B"/>
    <w:rsid w:val="52DB6AD9"/>
    <w:rsid w:val="52E5101D"/>
    <w:rsid w:val="52E676A2"/>
    <w:rsid w:val="52EA30A1"/>
    <w:rsid w:val="52F8129E"/>
    <w:rsid w:val="52FB177B"/>
    <w:rsid w:val="530B071F"/>
    <w:rsid w:val="5312149B"/>
    <w:rsid w:val="532748A7"/>
    <w:rsid w:val="532C06C0"/>
    <w:rsid w:val="535B73DE"/>
    <w:rsid w:val="53740BBC"/>
    <w:rsid w:val="537901CE"/>
    <w:rsid w:val="538454F7"/>
    <w:rsid w:val="53894163"/>
    <w:rsid w:val="53963229"/>
    <w:rsid w:val="53A07F12"/>
    <w:rsid w:val="53AD546C"/>
    <w:rsid w:val="53B54F6C"/>
    <w:rsid w:val="53B86CFB"/>
    <w:rsid w:val="53E0348D"/>
    <w:rsid w:val="53E5423D"/>
    <w:rsid w:val="53EA19F0"/>
    <w:rsid w:val="53F908B1"/>
    <w:rsid w:val="54056C36"/>
    <w:rsid w:val="54065CB8"/>
    <w:rsid w:val="540B32CF"/>
    <w:rsid w:val="540C7047"/>
    <w:rsid w:val="54200456"/>
    <w:rsid w:val="54221C2B"/>
    <w:rsid w:val="5436341E"/>
    <w:rsid w:val="54492F6D"/>
    <w:rsid w:val="54514734"/>
    <w:rsid w:val="546D5CA2"/>
    <w:rsid w:val="547828B5"/>
    <w:rsid w:val="547938A0"/>
    <w:rsid w:val="54AB1DF4"/>
    <w:rsid w:val="54B13602"/>
    <w:rsid w:val="54B27BEE"/>
    <w:rsid w:val="54B70989"/>
    <w:rsid w:val="54BF1612"/>
    <w:rsid w:val="54D44941"/>
    <w:rsid w:val="54DE6EBF"/>
    <w:rsid w:val="54E16725"/>
    <w:rsid w:val="54F2004E"/>
    <w:rsid w:val="54F7272D"/>
    <w:rsid w:val="54F92AAB"/>
    <w:rsid w:val="552D1A7A"/>
    <w:rsid w:val="55550481"/>
    <w:rsid w:val="55550F5B"/>
    <w:rsid w:val="555D72FC"/>
    <w:rsid w:val="55603E89"/>
    <w:rsid w:val="556174A2"/>
    <w:rsid w:val="55675C14"/>
    <w:rsid w:val="556A1C66"/>
    <w:rsid w:val="556E756B"/>
    <w:rsid w:val="559E0679"/>
    <w:rsid w:val="55AD03B6"/>
    <w:rsid w:val="55B21FE3"/>
    <w:rsid w:val="55C675FB"/>
    <w:rsid w:val="55CA5A69"/>
    <w:rsid w:val="55CE4B64"/>
    <w:rsid w:val="55D048F7"/>
    <w:rsid w:val="55E77713"/>
    <w:rsid w:val="560C1580"/>
    <w:rsid w:val="56175D31"/>
    <w:rsid w:val="5620700A"/>
    <w:rsid w:val="56275C75"/>
    <w:rsid w:val="562B1B57"/>
    <w:rsid w:val="56352D53"/>
    <w:rsid w:val="563E6603"/>
    <w:rsid w:val="565A1CE7"/>
    <w:rsid w:val="56667BCE"/>
    <w:rsid w:val="566969D2"/>
    <w:rsid w:val="568C4C86"/>
    <w:rsid w:val="56960AAB"/>
    <w:rsid w:val="56A812A9"/>
    <w:rsid w:val="56B139A7"/>
    <w:rsid w:val="56C5095D"/>
    <w:rsid w:val="56DD0793"/>
    <w:rsid w:val="56F54F89"/>
    <w:rsid w:val="56F569F9"/>
    <w:rsid w:val="56FC48F7"/>
    <w:rsid w:val="57212E09"/>
    <w:rsid w:val="572920D2"/>
    <w:rsid w:val="572D2FE2"/>
    <w:rsid w:val="57376DDA"/>
    <w:rsid w:val="573C7C43"/>
    <w:rsid w:val="57551807"/>
    <w:rsid w:val="57560D05"/>
    <w:rsid w:val="57871726"/>
    <w:rsid w:val="57910049"/>
    <w:rsid w:val="5791393B"/>
    <w:rsid w:val="57963B85"/>
    <w:rsid w:val="57A314E8"/>
    <w:rsid w:val="57A53A3A"/>
    <w:rsid w:val="57AA14AD"/>
    <w:rsid w:val="57AF0EC6"/>
    <w:rsid w:val="57B10CE9"/>
    <w:rsid w:val="57E23B1A"/>
    <w:rsid w:val="57EF77FA"/>
    <w:rsid w:val="57FD5D21"/>
    <w:rsid w:val="5811641E"/>
    <w:rsid w:val="582854DF"/>
    <w:rsid w:val="582901C7"/>
    <w:rsid w:val="583A72F9"/>
    <w:rsid w:val="58431F89"/>
    <w:rsid w:val="584D6A47"/>
    <w:rsid w:val="584E7C2E"/>
    <w:rsid w:val="58503BD9"/>
    <w:rsid w:val="58524590"/>
    <w:rsid w:val="5870172D"/>
    <w:rsid w:val="587020A4"/>
    <w:rsid w:val="589A2E73"/>
    <w:rsid w:val="58B255B1"/>
    <w:rsid w:val="58BA3515"/>
    <w:rsid w:val="58D0564A"/>
    <w:rsid w:val="58DC68FD"/>
    <w:rsid w:val="58DC7D89"/>
    <w:rsid w:val="58DF1374"/>
    <w:rsid w:val="58E47103"/>
    <w:rsid w:val="58F22021"/>
    <w:rsid w:val="58F508BE"/>
    <w:rsid w:val="59006114"/>
    <w:rsid w:val="59061863"/>
    <w:rsid w:val="59115620"/>
    <w:rsid w:val="59146352"/>
    <w:rsid w:val="591C0817"/>
    <w:rsid w:val="5923730C"/>
    <w:rsid w:val="594B0E7C"/>
    <w:rsid w:val="594D25DB"/>
    <w:rsid w:val="59514DAD"/>
    <w:rsid w:val="595C38B0"/>
    <w:rsid w:val="597159AF"/>
    <w:rsid w:val="597F12B6"/>
    <w:rsid w:val="59927801"/>
    <w:rsid w:val="5998730B"/>
    <w:rsid w:val="59A21779"/>
    <w:rsid w:val="59AB21EA"/>
    <w:rsid w:val="59BF71FB"/>
    <w:rsid w:val="59C20139"/>
    <w:rsid w:val="59DA22DC"/>
    <w:rsid w:val="59DB0023"/>
    <w:rsid w:val="59DC278F"/>
    <w:rsid w:val="59E635D1"/>
    <w:rsid w:val="59E72A03"/>
    <w:rsid w:val="59F86C66"/>
    <w:rsid w:val="59F900A2"/>
    <w:rsid w:val="5A02062A"/>
    <w:rsid w:val="5A072C32"/>
    <w:rsid w:val="5A0A778E"/>
    <w:rsid w:val="5A0C7930"/>
    <w:rsid w:val="5A0F4ECA"/>
    <w:rsid w:val="5A137390"/>
    <w:rsid w:val="5A262B98"/>
    <w:rsid w:val="5A2748FD"/>
    <w:rsid w:val="5A427D7C"/>
    <w:rsid w:val="5A457E59"/>
    <w:rsid w:val="5A636653"/>
    <w:rsid w:val="5A644B05"/>
    <w:rsid w:val="5A657AF5"/>
    <w:rsid w:val="5A7003F4"/>
    <w:rsid w:val="5A786548"/>
    <w:rsid w:val="5A843F22"/>
    <w:rsid w:val="5A8B7A02"/>
    <w:rsid w:val="5A961824"/>
    <w:rsid w:val="5A9D2792"/>
    <w:rsid w:val="5A9E4719"/>
    <w:rsid w:val="5AAF1395"/>
    <w:rsid w:val="5AB04D57"/>
    <w:rsid w:val="5AB6201D"/>
    <w:rsid w:val="5AC40647"/>
    <w:rsid w:val="5ADB7FC0"/>
    <w:rsid w:val="5ADC3B08"/>
    <w:rsid w:val="5AE223F3"/>
    <w:rsid w:val="5AF94D35"/>
    <w:rsid w:val="5B2353A2"/>
    <w:rsid w:val="5B3539B0"/>
    <w:rsid w:val="5B383209"/>
    <w:rsid w:val="5B42342D"/>
    <w:rsid w:val="5B423ECD"/>
    <w:rsid w:val="5B446AD6"/>
    <w:rsid w:val="5B476268"/>
    <w:rsid w:val="5B602639"/>
    <w:rsid w:val="5B615ECA"/>
    <w:rsid w:val="5B6D35C8"/>
    <w:rsid w:val="5B7F0145"/>
    <w:rsid w:val="5B9718EC"/>
    <w:rsid w:val="5BA00806"/>
    <w:rsid w:val="5BA37E9E"/>
    <w:rsid w:val="5BB0635C"/>
    <w:rsid w:val="5BE76ED1"/>
    <w:rsid w:val="5BEC71AA"/>
    <w:rsid w:val="5BEF18F6"/>
    <w:rsid w:val="5BF81DF7"/>
    <w:rsid w:val="5C1B251D"/>
    <w:rsid w:val="5C1D5554"/>
    <w:rsid w:val="5C2F4FB1"/>
    <w:rsid w:val="5C401276"/>
    <w:rsid w:val="5C4750C0"/>
    <w:rsid w:val="5C4E755B"/>
    <w:rsid w:val="5C613D58"/>
    <w:rsid w:val="5C695116"/>
    <w:rsid w:val="5C6C6DBD"/>
    <w:rsid w:val="5C704F3D"/>
    <w:rsid w:val="5C7D1D79"/>
    <w:rsid w:val="5C7F5DAA"/>
    <w:rsid w:val="5C9F267F"/>
    <w:rsid w:val="5CC8545E"/>
    <w:rsid w:val="5CCD62E6"/>
    <w:rsid w:val="5CCD7615"/>
    <w:rsid w:val="5CD1207B"/>
    <w:rsid w:val="5CFA2C85"/>
    <w:rsid w:val="5D3A123C"/>
    <w:rsid w:val="5D7A5403"/>
    <w:rsid w:val="5D965A03"/>
    <w:rsid w:val="5DAF357B"/>
    <w:rsid w:val="5DBC4DF8"/>
    <w:rsid w:val="5DBF657E"/>
    <w:rsid w:val="5DC04FC2"/>
    <w:rsid w:val="5DC138DA"/>
    <w:rsid w:val="5DC939B1"/>
    <w:rsid w:val="5DE340A2"/>
    <w:rsid w:val="5DE95B14"/>
    <w:rsid w:val="5DF22D17"/>
    <w:rsid w:val="5DFD77B7"/>
    <w:rsid w:val="5E0912BB"/>
    <w:rsid w:val="5E0A45F7"/>
    <w:rsid w:val="5E0E3977"/>
    <w:rsid w:val="5E2356B9"/>
    <w:rsid w:val="5E303744"/>
    <w:rsid w:val="5E4F4460"/>
    <w:rsid w:val="5E523DA9"/>
    <w:rsid w:val="5E646C96"/>
    <w:rsid w:val="5E75582F"/>
    <w:rsid w:val="5E952A3E"/>
    <w:rsid w:val="5E977DDD"/>
    <w:rsid w:val="5E99006F"/>
    <w:rsid w:val="5E9D402F"/>
    <w:rsid w:val="5EB42F3B"/>
    <w:rsid w:val="5ED16293"/>
    <w:rsid w:val="5ED86BCA"/>
    <w:rsid w:val="5ED94731"/>
    <w:rsid w:val="5EE23CFB"/>
    <w:rsid w:val="5EE66DF5"/>
    <w:rsid w:val="5EE72B8A"/>
    <w:rsid w:val="5EEC1A2F"/>
    <w:rsid w:val="5EED73BA"/>
    <w:rsid w:val="5EF57055"/>
    <w:rsid w:val="5F2362F4"/>
    <w:rsid w:val="5F3C6B9F"/>
    <w:rsid w:val="5F5561D5"/>
    <w:rsid w:val="5F5F30DF"/>
    <w:rsid w:val="5F6803A9"/>
    <w:rsid w:val="5F7F1C23"/>
    <w:rsid w:val="5FA4426B"/>
    <w:rsid w:val="5FA83700"/>
    <w:rsid w:val="5FCA6374"/>
    <w:rsid w:val="5FCA6734"/>
    <w:rsid w:val="5FCD1368"/>
    <w:rsid w:val="5FCE502F"/>
    <w:rsid w:val="5FE14455"/>
    <w:rsid w:val="5FF003B5"/>
    <w:rsid w:val="5FF054C7"/>
    <w:rsid w:val="5FFF3C65"/>
    <w:rsid w:val="601B510D"/>
    <w:rsid w:val="603A2CEC"/>
    <w:rsid w:val="603B2BA8"/>
    <w:rsid w:val="60430294"/>
    <w:rsid w:val="60520F0F"/>
    <w:rsid w:val="60572341"/>
    <w:rsid w:val="60594CDA"/>
    <w:rsid w:val="606001E5"/>
    <w:rsid w:val="60630022"/>
    <w:rsid w:val="60AE2B38"/>
    <w:rsid w:val="60CE06CF"/>
    <w:rsid w:val="60D52E50"/>
    <w:rsid w:val="60D61108"/>
    <w:rsid w:val="60E44F8E"/>
    <w:rsid w:val="60E5239E"/>
    <w:rsid w:val="60F6584D"/>
    <w:rsid w:val="60F83273"/>
    <w:rsid w:val="60F943A5"/>
    <w:rsid w:val="610417D1"/>
    <w:rsid w:val="610422CE"/>
    <w:rsid w:val="61176028"/>
    <w:rsid w:val="61254703"/>
    <w:rsid w:val="614D042A"/>
    <w:rsid w:val="6155164E"/>
    <w:rsid w:val="61675870"/>
    <w:rsid w:val="61691D26"/>
    <w:rsid w:val="616C21F1"/>
    <w:rsid w:val="618D6D00"/>
    <w:rsid w:val="61900858"/>
    <w:rsid w:val="619F4124"/>
    <w:rsid w:val="61A11080"/>
    <w:rsid w:val="61B249AE"/>
    <w:rsid w:val="61B74EE7"/>
    <w:rsid w:val="61DC3844"/>
    <w:rsid w:val="61E21073"/>
    <w:rsid w:val="62024B80"/>
    <w:rsid w:val="620472B0"/>
    <w:rsid w:val="621E6443"/>
    <w:rsid w:val="62332B9A"/>
    <w:rsid w:val="62385460"/>
    <w:rsid w:val="62406C6A"/>
    <w:rsid w:val="62463300"/>
    <w:rsid w:val="62465E1A"/>
    <w:rsid w:val="624778E4"/>
    <w:rsid w:val="624B3430"/>
    <w:rsid w:val="625978FB"/>
    <w:rsid w:val="625F7D31"/>
    <w:rsid w:val="62635B97"/>
    <w:rsid w:val="628724FB"/>
    <w:rsid w:val="62A07592"/>
    <w:rsid w:val="62D705FF"/>
    <w:rsid w:val="62DB1464"/>
    <w:rsid w:val="62E80565"/>
    <w:rsid w:val="62EC10F2"/>
    <w:rsid w:val="62F15D85"/>
    <w:rsid w:val="62F760B7"/>
    <w:rsid w:val="62FD26CF"/>
    <w:rsid w:val="630B2015"/>
    <w:rsid w:val="631D3B96"/>
    <w:rsid w:val="632320F9"/>
    <w:rsid w:val="632C6336"/>
    <w:rsid w:val="63311929"/>
    <w:rsid w:val="63326863"/>
    <w:rsid w:val="633C4B5A"/>
    <w:rsid w:val="63417E60"/>
    <w:rsid w:val="634651F4"/>
    <w:rsid w:val="634B2A2E"/>
    <w:rsid w:val="634C2528"/>
    <w:rsid w:val="63647A76"/>
    <w:rsid w:val="63687889"/>
    <w:rsid w:val="63691CF9"/>
    <w:rsid w:val="636C365E"/>
    <w:rsid w:val="636C5D59"/>
    <w:rsid w:val="63737669"/>
    <w:rsid w:val="63783597"/>
    <w:rsid w:val="63842EA9"/>
    <w:rsid w:val="63892ADC"/>
    <w:rsid w:val="63896F3B"/>
    <w:rsid w:val="63957059"/>
    <w:rsid w:val="639C6030"/>
    <w:rsid w:val="63A66B70"/>
    <w:rsid w:val="63A85D05"/>
    <w:rsid w:val="63C00AE4"/>
    <w:rsid w:val="63C35974"/>
    <w:rsid w:val="63D37537"/>
    <w:rsid w:val="63E5799A"/>
    <w:rsid w:val="63EB18C6"/>
    <w:rsid w:val="63F92EEA"/>
    <w:rsid w:val="64051A8B"/>
    <w:rsid w:val="640A33E4"/>
    <w:rsid w:val="642C32BB"/>
    <w:rsid w:val="642F4205"/>
    <w:rsid w:val="643072A6"/>
    <w:rsid w:val="643248A8"/>
    <w:rsid w:val="643B01BA"/>
    <w:rsid w:val="64430AFA"/>
    <w:rsid w:val="644E7D61"/>
    <w:rsid w:val="646A07CC"/>
    <w:rsid w:val="647342CE"/>
    <w:rsid w:val="6477329E"/>
    <w:rsid w:val="64780AB8"/>
    <w:rsid w:val="649A0E1F"/>
    <w:rsid w:val="64A357A5"/>
    <w:rsid w:val="64A92A42"/>
    <w:rsid w:val="64C100F4"/>
    <w:rsid w:val="64DE4C40"/>
    <w:rsid w:val="65181CEF"/>
    <w:rsid w:val="65473993"/>
    <w:rsid w:val="655647D2"/>
    <w:rsid w:val="655D4AEF"/>
    <w:rsid w:val="65612551"/>
    <w:rsid w:val="65616EB4"/>
    <w:rsid w:val="656C190B"/>
    <w:rsid w:val="656D0182"/>
    <w:rsid w:val="65840A05"/>
    <w:rsid w:val="65D379C4"/>
    <w:rsid w:val="65DE73FE"/>
    <w:rsid w:val="65F81F70"/>
    <w:rsid w:val="660D3C8A"/>
    <w:rsid w:val="66186914"/>
    <w:rsid w:val="662A5730"/>
    <w:rsid w:val="662B6E9F"/>
    <w:rsid w:val="662C133F"/>
    <w:rsid w:val="66502702"/>
    <w:rsid w:val="66680A54"/>
    <w:rsid w:val="667D7A9C"/>
    <w:rsid w:val="66830175"/>
    <w:rsid w:val="6685639F"/>
    <w:rsid w:val="668E58BD"/>
    <w:rsid w:val="66994753"/>
    <w:rsid w:val="66C873B4"/>
    <w:rsid w:val="66CA5C98"/>
    <w:rsid w:val="66E1288D"/>
    <w:rsid w:val="66F0390D"/>
    <w:rsid w:val="67092186"/>
    <w:rsid w:val="6709548E"/>
    <w:rsid w:val="67096B35"/>
    <w:rsid w:val="67145FE6"/>
    <w:rsid w:val="67171522"/>
    <w:rsid w:val="672576DC"/>
    <w:rsid w:val="673D72AB"/>
    <w:rsid w:val="673F7444"/>
    <w:rsid w:val="674658DA"/>
    <w:rsid w:val="67592F1E"/>
    <w:rsid w:val="675D2D9F"/>
    <w:rsid w:val="67633699"/>
    <w:rsid w:val="678D5E82"/>
    <w:rsid w:val="678F3DBF"/>
    <w:rsid w:val="67AA29A7"/>
    <w:rsid w:val="67BC3AC4"/>
    <w:rsid w:val="67CE6B15"/>
    <w:rsid w:val="67E14386"/>
    <w:rsid w:val="67E80D53"/>
    <w:rsid w:val="67F61157"/>
    <w:rsid w:val="67F66B18"/>
    <w:rsid w:val="68277C67"/>
    <w:rsid w:val="68296CCD"/>
    <w:rsid w:val="683A1F7D"/>
    <w:rsid w:val="68430352"/>
    <w:rsid w:val="68452ADF"/>
    <w:rsid w:val="68482498"/>
    <w:rsid w:val="6856162A"/>
    <w:rsid w:val="68664B20"/>
    <w:rsid w:val="68680898"/>
    <w:rsid w:val="6882549E"/>
    <w:rsid w:val="68984AF9"/>
    <w:rsid w:val="68984EEA"/>
    <w:rsid w:val="689A27E8"/>
    <w:rsid w:val="689D7970"/>
    <w:rsid w:val="68B751F8"/>
    <w:rsid w:val="68BF247F"/>
    <w:rsid w:val="68C14A1B"/>
    <w:rsid w:val="68C33D20"/>
    <w:rsid w:val="68C85165"/>
    <w:rsid w:val="68CD4762"/>
    <w:rsid w:val="68D03DCD"/>
    <w:rsid w:val="68ED7F96"/>
    <w:rsid w:val="69105AF0"/>
    <w:rsid w:val="692B6B00"/>
    <w:rsid w:val="693E3CEF"/>
    <w:rsid w:val="69433C8E"/>
    <w:rsid w:val="69703190"/>
    <w:rsid w:val="69747710"/>
    <w:rsid w:val="69780874"/>
    <w:rsid w:val="69790883"/>
    <w:rsid w:val="69C85FBC"/>
    <w:rsid w:val="69D75139"/>
    <w:rsid w:val="69E46ABD"/>
    <w:rsid w:val="69E57703"/>
    <w:rsid w:val="69E63F88"/>
    <w:rsid w:val="6A093EE9"/>
    <w:rsid w:val="6A246A40"/>
    <w:rsid w:val="6A252FEE"/>
    <w:rsid w:val="6A2D34C9"/>
    <w:rsid w:val="6A3A2D49"/>
    <w:rsid w:val="6A3E081A"/>
    <w:rsid w:val="6A454083"/>
    <w:rsid w:val="6A484DBA"/>
    <w:rsid w:val="6A4E2969"/>
    <w:rsid w:val="6A63681F"/>
    <w:rsid w:val="6A6D6FE9"/>
    <w:rsid w:val="6A7A173E"/>
    <w:rsid w:val="6A7D6AB5"/>
    <w:rsid w:val="6A824715"/>
    <w:rsid w:val="6A8521B8"/>
    <w:rsid w:val="6A941E18"/>
    <w:rsid w:val="6A9806C4"/>
    <w:rsid w:val="6A9F6D08"/>
    <w:rsid w:val="6AAA634C"/>
    <w:rsid w:val="6AB15F82"/>
    <w:rsid w:val="6AB267E2"/>
    <w:rsid w:val="6ADE4939"/>
    <w:rsid w:val="6AE14931"/>
    <w:rsid w:val="6AEA1C85"/>
    <w:rsid w:val="6AF64904"/>
    <w:rsid w:val="6B0827A0"/>
    <w:rsid w:val="6B0E684E"/>
    <w:rsid w:val="6B132DED"/>
    <w:rsid w:val="6B1B5777"/>
    <w:rsid w:val="6B224A20"/>
    <w:rsid w:val="6B2447A3"/>
    <w:rsid w:val="6B467B41"/>
    <w:rsid w:val="6B4B0C4E"/>
    <w:rsid w:val="6B4D1C1E"/>
    <w:rsid w:val="6B6B71B5"/>
    <w:rsid w:val="6B756ACD"/>
    <w:rsid w:val="6B842DAA"/>
    <w:rsid w:val="6B973BD8"/>
    <w:rsid w:val="6B9C63ED"/>
    <w:rsid w:val="6BAE5E8B"/>
    <w:rsid w:val="6BB25075"/>
    <w:rsid w:val="6BB8537F"/>
    <w:rsid w:val="6BBA41F0"/>
    <w:rsid w:val="6BC3094D"/>
    <w:rsid w:val="6BDF5356"/>
    <w:rsid w:val="6BE668CD"/>
    <w:rsid w:val="6C287098"/>
    <w:rsid w:val="6C3A5EC1"/>
    <w:rsid w:val="6C3C73B7"/>
    <w:rsid w:val="6C716011"/>
    <w:rsid w:val="6C732069"/>
    <w:rsid w:val="6C9B562B"/>
    <w:rsid w:val="6C9F62BC"/>
    <w:rsid w:val="6CA039A8"/>
    <w:rsid w:val="6CA20743"/>
    <w:rsid w:val="6CB61E3A"/>
    <w:rsid w:val="6CB703D1"/>
    <w:rsid w:val="6CB95B66"/>
    <w:rsid w:val="6CBF1591"/>
    <w:rsid w:val="6CC94373"/>
    <w:rsid w:val="6CCA174A"/>
    <w:rsid w:val="6CD767FA"/>
    <w:rsid w:val="6CE246B4"/>
    <w:rsid w:val="6CE32517"/>
    <w:rsid w:val="6CE52D0A"/>
    <w:rsid w:val="6CE87149"/>
    <w:rsid w:val="6CE95B70"/>
    <w:rsid w:val="6CEE0594"/>
    <w:rsid w:val="6CF66305"/>
    <w:rsid w:val="6CFB0AC9"/>
    <w:rsid w:val="6D0D5BC8"/>
    <w:rsid w:val="6D225521"/>
    <w:rsid w:val="6D274150"/>
    <w:rsid w:val="6D2772D4"/>
    <w:rsid w:val="6D2B5ADB"/>
    <w:rsid w:val="6D2C5676"/>
    <w:rsid w:val="6D4573FA"/>
    <w:rsid w:val="6D4C6B28"/>
    <w:rsid w:val="6D4F0753"/>
    <w:rsid w:val="6D5161E4"/>
    <w:rsid w:val="6D625946"/>
    <w:rsid w:val="6D684382"/>
    <w:rsid w:val="6D6C54A1"/>
    <w:rsid w:val="6D714693"/>
    <w:rsid w:val="6D7D3701"/>
    <w:rsid w:val="6D7E278E"/>
    <w:rsid w:val="6D932265"/>
    <w:rsid w:val="6D99642B"/>
    <w:rsid w:val="6DAE5391"/>
    <w:rsid w:val="6DBA09B7"/>
    <w:rsid w:val="6DC17E3E"/>
    <w:rsid w:val="6DC31920"/>
    <w:rsid w:val="6DC33B7F"/>
    <w:rsid w:val="6DD42DF2"/>
    <w:rsid w:val="6DD61A7C"/>
    <w:rsid w:val="6DDA2D50"/>
    <w:rsid w:val="6DE5483F"/>
    <w:rsid w:val="6E3363D6"/>
    <w:rsid w:val="6E3466A6"/>
    <w:rsid w:val="6E3E24A5"/>
    <w:rsid w:val="6E407F6E"/>
    <w:rsid w:val="6E475D56"/>
    <w:rsid w:val="6E475F8B"/>
    <w:rsid w:val="6E6B6B2B"/>
    <w:rsid w:val="6E763327"/>
    <w:rsid w:val="6E914A7C"/>
    <w:rsid w:val="6E951F31"/>
    <w:rsid w:val="6E970D76"/>
    <w:rsid w:val="6E995702"/>
    <w:rsid w:val="6EAC5256"/>
    <w:rsid w:val="6EAD34A8"/>
    <w:rsid w:val="6EBD0248"/>
    <w:rsid w:val="6EC802E2"/>
    <w:rsid w:val="6EDC4042"/>
    <w:rsid w:val="6EEA1F7D"/>
    <w:rsid w:val="6EEE586F"/>
    <w:rsid w:val="6F0B01CF"/>
    <w:rsid w:val="6F124BBE"/>
    <w:rsid w:val="6F387F61"/>
    <w:rsid w:val="6F3F189D"/>
    <w:rsid w:val="6F40125B"/>
    <w:rsid w:val="6F4936D7"/>
    <w:rsid w:val="6F4F3D3E"/>
    <w:rsid w:val="6F52128B"/>
    <w:rsid w:val="6F9208F0"/>
    <w:rsid w:val="6F994256"/>
    <w:rsid w:val="6F9B0E67"/>
    <w:rsid w:val="6F9E32BD"/>
    <w:rsid w:val="6FA21CCE"/>
    <w:rsid w:val="6FC84312"/>
    <w:rsid w:val="6FF326D1"/>
    <w:rsid w:val="6FF801F8"/>
    <w:rsid w:val="70020B77"/>
    <w:rsid w:val="701103B6"/>
    <w:rsid w:val="703025E3"/>
    <w:rsid w:val="703A7547"/>
    <w:rsid w:val="703C127D"/>
    <w:rsid w:val="703F2F31"/>
    <w:rsid w:val="7042722E"/>
    <w:rsid w:val="705102FE"/>
    <w:rsid w:val="70550D0E"/>
    <w:rsid w:val="70585414"/>
    <w:rsid w:val="706511F5"/>
    <w:rsid w:val="707E00D7"/>
    <w:rsid w:val="70906967"/>
    <w:rsid w:val="70AD5668"/>
    <w:rsid w:val="70B52AE8"/>
    <w:rsid w:val="70C05B3C"/>
    <w:rsid w:val="70C3242C"/>
    <w:rsid w:val="70C4060A"/>
    <w:rsid w:val="70C66336"/>
    <w:rsid w:val="70CE7706"/>
    <w:rsid w:val="70D01BCA"/>
    <w:rsid w:val="70DA78D9"/>
    <w:rsid w:val="70E42487"/>
    <w:rsid w:val="70EE760A"/>
    <w:rsid w:val="71021257"/>
    <w:rsid w:val="71073D02"/>
    <w:rsid w:val="710D0A82"/>
    <w:rsid w:val="71104D71"/>
    <w:rsid w:val="71136FA4"/>
    <w:rsid w:val="713F638B"/>
    <w:rsid w:val="71443075"/>
    <w:rsid w:val="714567C6"/>
    <w:rsid w:val="7148063F"/>
    <w:rsid w:val="7149257E"/>
    <w:rsid w:val="716A690C"/>
    <w:rsid w:val="71710CB1"/>
    <w:rsid w:val="71714B6E"/>
    <w:rsid w:val="717F1E5E"/>
    <w:rsid w:val="719D5EF5"/>
    <w:rsid w:val="71A202B9"/>
    <w:rsid w:val="71B0539D"/>
    <w:rsid w:val="71CA1032"/>
    <w:rsid w:val="71F25676"/>
    <w:rsid w:val="71F85A3E"/>
    <w:rsid w:val="720430D3"/>
    <w:rsid w:val="7215435C"/>
    <w:rsid w:val="722F67D0"/>
    <w:rsid w:val="72313584"/>
    <w:rsid w:val="72380E0E"/>
    <w:rsid w:val="724275BD"/>
    <w:rsid w:val="725A4E06"/>
    <w:rsid w:val="7266517D"/>
    <w:rsid w:val="726C58D8"/>
    <w:rsid w:val="7278176A"/>
    <w:rsid w:val="72791826"/>
    <w:rsid w:val="72792644"/>
    <w:rsid w:val="727C5B55"/>
    <w:rsid w:val="72833994"/>
    <w:rsid w:val="728D6D67"/>
    <w:rsid w:val="729D42E2"/>
    <w:rsid w:val="72AC291D"/>
    <w:rsid w:val="72B34F40"/>
    <w:rsid w:val="72C07522"/>
    <w:rsid w:val="72D51220"/>
    <w:rsid w:val="72D56FD8"/>
    <w:rsid w:val="730B58C3"/>
    <w:rsid w:val="730B7265"/>
    <w:rsid w:val="73114FD2"/>
    <w:rsid w:val="732C286C"/>
    <w:rsid w:val="73316976"/>
    <w:rsid w:val="73336CF8"/>
    <w:rsid w:val="733646C4"/>
    <w:rsid w:val="73532356"/>
    <w:rsid w:val="735479C1"/>
    <w:rsid w:val="73565E42"/>
    <w:rsid w:val="735829BA"/>
    <w:rsid w:val="736B7B78"/>
    <w:rsid w:val="73727918"/>
    <w:rsid w:val="737427E7"/>
    <w:rsid w:val="7375655F"/>
    <w:rsid w:val="738C54DF"/>
    <w:rsid w:val="73916C46"/>
    <w:rsid w:val="73CA0659"/>
    <w:rsid w:val="73D32D21"/>
    <w:rsid w:val="73E159A2"/>
    <w:rsid w:val="73E364A8"/>
    <w:rsid w:val="73E64F3B"/>
    <w:rsid w:val="73EC7CC2"/>
    <w:rsid w:val="73F522F6"/>
    <w:rsid w:val="73F8372D"/>
    <w:rsid w:val="74091FD2"/>
    <w:rsid w:val="740D1AB0"/>
    <w:rsid w:val="74143C2D"/>
    <w:rsid w:val="743263D6"/>
    <w:rsid w:val="74426145"/>
    <w:rsid w:val="744B4D78"/>
    <w:rsid w:val="745247B3"/>
    <w:rsid w:val="74540DF1"/>
    <w:rsid w:val="747B2340"/>
    <w:rsid w:val="748543D2"/>
    <w:rsid w:val="749762E6"/>
    <w:rsid w:val="74985E57"/>
    <w:rsid w:val="74A05A92"/>
    <w:rsid w:val="74B3107C"/>
    <w:rsid w:val="74CC66FD"/>
    <w:rsid w:val="74D0416B"/>
    <w:rsid w:val="74D7368F"/>
    <w:rsid w:val="74FE750B"/>
    <w:rsid w:val="75020BA4"/>
    <w:rsid w:val="750F2D7F"/>
    <w:rsid w:val="751C3400"/>
    <w:rsid w:val="752321D2"/>
    <w:rsid w:val="752452BD"/>
    <w:rsid w:val="75381CFD"/>
    <w:rsid w:val="75387844"/>
    <w:rsid w:val="753D3138"/>
    <w:rsid w:val="75571112"/>
    <w:rsid w:val="75595303"/>
    <w:rsid w:val="756D0068"/>
    <w:rsid w:val="7595310F"/>
    <w:rsid w:val="759F311E"/>
    <w:rsid w:val="75A562EA"/>
    <w:rsid w:val="75C77705"/>
    <w:rsid w:val="75D03DF5"/>
    <w:rsid w:val="75F04A2B"/>
    <w:rsid w:val="75F23E97"/>
    <w:rsid w:val="75FC21F4"/>
    <w:rsid w:val="760771A6"/>
    <w:rsid w:val="761E5A23"/>
    <w:rsid w:val="763D362F"/>
    <w:rsid w:val="763F51EF"/>
    <w:rsid w:val="76452218"/>
    <w:rsid w:val="767D320A"/>
    <w:rsid w:val="767D5CFE"/>
    <w:rsid w:val="7682347B"/>
    <w:rsid w:val="768627CD"/>
    <w:rsid w:val="768F1D79"/>
    <w:rsid w:val="7692280C"/>
    <w:rsid w:val="7699418A"/>
    <w:rsid w:val="76A72B73"/>
    <w:rsid w:val="76A92BE9"/>
    <w:rsid w:val="76CE6D37"/>
    <w:rsid w:val="76E31D4F"/>
    <w:rsid w:val="76F33126"/>
    <w:rsid w:val="76FE0DD6"/>
    <w:rsid w:val="77151CD2"/>
    <w:rsid w:val="771855D3"/>
    <w:rsid w:val="772D5E05"/>
    <w:rsid w:val="772E53A2"/>
    <w:rsid w:val="77360AA6"/>
    <w:rsid w:val="77394800"/>
    <w:rsid w:val="7746478F"/>
    <w:rsid w:val="77597A1C"/>
    <w:rsid w:val="7771513C"/>
    <w:rsid w:val="77766076"/>
    <w:rsid w:val="777A27FC"/>
    <w:rsid w:val="7786465C"/>
    <w:rsid w:val="779613D0"/>
    <w:rsid w:val="77987691"/>
    <w:rsid w:val="779E4DF6"/>
    <w:rsid w:val="77B41A5F"/>
    <w:rsid w:val="77DE5F73"/>
    <w:rsid w:val="77E109EB"/>
    <w:rsid w:val="77E93077"/>
    <w:rsid w:val="77E95E0A"/>
    <w:rsid w:val="7805620E"/>
    <w:rsid w:val="780A196C"/>
    <w:rsid w:val="780E0E25"/>
    <w:rsid w:val="7810461F"/>
    <w:rsid w:val="782013CC"/>
    <w:rsid w:val="78266D22"/>
    <w:rsid w:val="78276B74"/>
    <w:rsid w:val="78394C30"/>
    <w:rsid w:val="78414C61"/>
    <w:rsid w:val="784F3822"/>
    <w:rsid w:val="785B0280"/>
    <w:rsid w:val="78634237"/>
    <w:rsid w:val="78872795"/>
    <w:rsid w:val="788A7367"/>
    <w:rsid w:val="788B023B"/>
    <w:rsid w:val="789746E8"/>
    <w:rsid w:val="789D0A06"/>
    <w:rsid w:val="78C76532"/>
    <w:rsid w:val="78C7785D"/>
    <w:rsid w:val="78CC6B79"/>
    <w:rsid w:val="78D22ED9"/>
    <w:rsid w:val="78EB6075"/>
    <w:rsid w:val="79006B69"/>
    <w:rsid w:val="79184CE4"/>
    <w:rsid w:val="791D4EEF"/>
    <w:rsid w:val="792A2BA1"/>
    <w:rsid w:val="792A74CC"/>
    <w:rsid w:val="792B7DEB"/>
    <w:rsid w:val="794402A5"/>
    <w:rsid w:val="794D1059"/>
    <w:rsid w:val="794D5F5D"/>
    <w:rsid w:val="795B5D7A"/>
    <w:rsid w:val="795C7DF9"/>
    <w:rsid w:val="795D55F4"/>
    <w:rsid w:val="798A77A3"/>
    <w:rsid w:val="798D240C"/>
    <w:rsid w:val="798E29BE"/>
    <w:rsid w:val="799524D9"/>
    <w:rsid w:val="79A03AA7"/>
    <w:rsid w:val="79D47614"/>
    <w:rsid w:val="79E34DC6"/>
    <w:rsid w:val="79E7016D"/>
    <w:rsid w:val="79F93A46"/>
    <w:rsid w:val="79FD6043"/>
    <w:rsid w:val="7A052430"/>
    <w:rsid w:val="7A067BF3"/>
    <w:rsid w:val="7A090330"/>
    <w:rsid w:val="7A0D129F"/>
    <w:rsid w:val="7A185A4F"/>
    <w:rsid w:val="7A2F4CCC"/>
    <w:rsid w:val="7A3E33B9"/>
    <w:rsid w:val="7A4C2D4A"/>
    <w:rsid w:val="7A556E34"/>
    <w:rsid w:val="7A5C4A46"/>
    <w:rsid w:val="7A6E13AB"/>
    <w:rsid w:val="7A905FC5"/>
    <w:rsid w:val="7A920F96"/>
    <w:rsid w:val="7A952B97"/>
    <w:rsid w:val="7A992B33"/>
    <w:rsid w:val="7AA65250"/>
    <w:rsid w:val="7AD15C0E"/>
    <w:rsid w:val="7AD46CA0"/>
    <w:rsid w:val="7AD46FF0"/>
    <w:rsid w:val="7AD6644C"/>
    <w:rsid w:val="7AFB04BA"/>
    <w:rsid w:val="7B001B7C"/>
    <w:rsid w:val="7B0E5E71"/>
    <w:rsid w:val="7B1635F5"/>
    <w:rsid w:val="7B1D0E37"/>
    <w:rsid w:val="7B231ADD"/>
    <w:rsid w:val="7B2E611E"/>
    <w:rsid w:val="7B310FBD"/>
    <w:rsid w:val="7B364518"/>
    <w:rsid w:val="7B3F47F3"/>
    <w:rsid w:val="7B44687E"/>
    <w:rsid w:val="7B486C1D"/>
    <w:rsid w:val="7B4B20BC"/>
    <w:rsid w:val="7B51165F"/>
    <w:rsid w:val="7B595B0E"/>
    <w:rsid w:val="7B6D59D8"/>
    <w:rsid w:val="7B733451"/>
    <w:rsid w:val="7B767E7B"/>
    <w:rsid w:val="7B775EE5"/>
    <w:rsid w:val="7B806235"/>
    <w:rsid w:val="7B864625"/>
    <w:rsid w:val="7B9E2353"/>
    <w:rsid w:val="7BB611CC"/>
    <w:rsid w:val="7BC04298"/>
    <w:rsid w:val="7BDD08B6"/>
    <w:rsid w:val="7BF00C11"/>
    <w:rsid w:val="7BF8558F"/>
    <w:rsid w:val="7C085BE7"/>
    <w:rsid w:val="7C12401E"/>
    <w:rsid w:val="7C184FB7"/>
    <w:rsid w:val="7C4A0DEC"/>
    <w:rsid w:val="7C71082F"/>
    <w:rsid w:val="7C7E130D"/>
    <w:rsid w:val="7C886ADB"/>
    <w:rsid w:val="7CB0738F"/>
    <w:rsid w:val="7CCB6131"/>
    <w:rsid w:val="7CDF537A"/>
    <w:rsid w:val="7CE56BC6"/>
    <w:rsid w:val="7CEA1BF4"/>
    <w:rsid w:val="7CEB5017"/>
    <w:rsid w:val="7CF25F57"/>
    <w:rsid w:val="7D0010A8"/>
    <w:rsid w:val="7D012C34"/>
    <w:rsid w:val="7D0C5E2F"/>
    <w:rsid w:val="7D1C2C48"/>
    <w:rsid w:val="7D3648D2"/>
    <w:rsid w:val="7D384885"/>
    <w:rsid w:val="7D494CE4"/>
    <w:rsid w:val="7D4F75C8"/>
    <w:rsid w:val="7D580076"/>
    <w:rsid w:val="7D5875B5"/>
    <w:rsid w:val="7D5B3117"/>
    <w:rsid w:val="7D5E08B4"/>
    <w:rsid w:val="7D796FCB"/>
    <w:rsid w:val="7D7E0379"/>
    <w:rsid w:val="7D8C5EB4"/>
    <w:rsid w:val="7D932AEA"/>
    <w:rsid w:val="7D950362"/>
    <w:rsid w:val="7DA73889"/>
    <w:rsid w:val="7DAB2547"/>
    <w:rsid w:val="7DB324AE"/>
    <w:rsid w:val="7DB400DC"/>
    <w:rsid w:val="7DB948D0"/>
    <w:rsid w:val="7DDD48E4"/>
    <w:rsid w:val="7DE12030"/>
    <w:rsid w:val="7E0A3557"/>
    <w:rsid w:val="7E113917"/>
    <w:rsid w:val="7E220AF2"/>
    <w:rsid w:val="7E244ADA"/>
    <w:rsid w:val="7E300061"/>
    <w:rsid w:val="7E374752"/>
    <w:rsid w:val="7E414079"/>
    <w:rsid w:val="7E49594E"/>
    <w:rsid w:val="7E524263"/>
    <w:rsid w:val="7E634DDC"/>
    <w:rsid w:val="7E684048"/>
    <w:rsid w:val="7E7223E0"/>
    <w:rsid w:val="7E7A08D1"/>
    <w:rsid w:val="7E8A534F"/>
    <w:rsid w:val="7E962AE7"/>
    <w:rsid w:val="7EB167A5"/>
    <w:rsid w:val="7ED2423A"/>
    <w:rsid w:val="7ED24865"/>
    <w:rsid w:val="7ED75A14"/>
    <w:rsid w:val="7EE301CB"/>
    <w:rsid w:val="7EE4500E"/>
    <w:rsid w:val="7EEA6053"/>
    <w:rsid w:val="7EFE69A4"/>
    <w:rsid w:val="7F08297D"/>
    <w:rsid w:val="7F0E37B9"/>
    <w:rsid w:val="7F13096B"/>
    <w:rsid w:val="7F2B37BF"/>
    <w:rsid w:val="7F37685D"/>
    <w:rsid w:val="7F5454B3"/>
    <w:rsid w:val="7F875650"/>
    <w:rsid w:val="7FA0317D"/>
    <w:rsid w:val="7FA066D7"/>
    <w:rsid w:val="7FA374BA"/>
    <w:rsid w:val="7FB52726"/>
    <w:rsid w:val="7FC33011"/>
    <w:rsid w:val="7FD824A1"/>
    <w:rsid w:val="7FD840FD"/>
    <w:rsid w:val="7FD86466"/>
    <w:rsid w:val="7FE72592"/>
    <w:rsid w:val="7FEB7EFA"/>
    <w:rsid w:val="7FF05E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nhideWhenUsed="0" w:uiPriority="0"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71"/>
    <w:autoRedefine/>
    <w:qFormat/>
    <w:uiPriority w:val="0"/>
    <w:pPr>
      <w:keepNext/>
      <w:keepLines/>
      <w:spacing w:line="360" w:lineRule="auto"/>
      <w:outlineLvl w:val="0"/>
    </w:pPr>
    <w:rPr>
      <w:rFonts w:ascii="Times New Roman"/>
      <w:b/>
      <w:bCs/>
      <w:kern w:val="44"/>
      <w:sz w:val="32"/>
      <w:szCs w:val="44"/>
    </w:rPr>
  </w:style>
  <w:style w:type="paragraph" w:styleId="4">
    <w:name w:val="heading 2"/>
    <w:basedOn w:val="1"/>
    <w:next w:val="1"/>
    <w:link w:val="72"/>
    <w:autoRedefine/>
    <w:qFormat/>
    <w:uiPriority w:val="0"/>
    <w:pPr>
      <w:keepNext/>
      <w:keepLines/>
      <w:spacing w:before="260" w:after="260" w:line="416" w:lineRule="auto"/>
      <w:outlineLvl w:val="1"/>
    </w:pPr>
    <w:rPr>
      <w:rFonts w:ascii="Cambria" w:hAnsi="Cambria"/>
      <w:b/>
      <w:bCs/>
      <w:kern w:val="2"/>
      <w:sz w:val="32"/>
      <w:szCs w:val="32"/>
    </w:rPr>
  </w:style>
  <w:style w:type="paragraph" w:styleId="2">
    <w:name w:val="heading 3"/>
    <w:basedOn w:val="1"/>
    <w:next w:val="1"/>
    <w:link w:val="70"/>
    <w:autoRedefine/>
    <w:qFormat/>
    <w:uiPriority w:val="9"/>
    <w:pPr>
      <w:keepNext/>
      <w:keepLines/>
      <w:spacing w:before="120" w:after="120" w:line="360" w:lineRule="auto"/>
      <w:jc w:val="left"/>
      <w:outlineLvl w:val="2"/>
    </w:pPr>
    <w:rPr>
      <w:rFonts w:ascii="黑体" w:hAnsi="黑体" w:eastAsia="黑体"/>
      <w:bCs/>
      <w:kern w:val="2"/>
      <w:szCs w:val="24"/>
    </w:rPr>
  </w:style>
  <w:style w:type="paragraph" w:styleId="5">
    <w:name w:val="heading 4"/>
    <w:basedOn w:val="1"/>
    <w:next w:val="1"/>
    <w:link w:val="73"/>
    <w:autoRedefine/>
    <w:qFormat/>
    <w:uiPriority w:val="0"/>
    <w:pPr>
      <w:keepNext/>
      <w:keepLines/>
      <w:spacing w:before="120" w:after="120" w:line="360" w:lineRule="auto"/>
      <w:ind w:firstLine="420" w:firstLineChars="200"/>
      <w:outlineLvl w:val="3"/>
    </w:pPr>
    <w:rPr>
      <w:rFonts w:ascii="Arial" w:hAnsi="Arial" w:eastAsia="黑体"/>
      <w:bCs/>
      <w:kern w:val="2"/>
      <w:sz w:val="21"/>
      <w:szCs w:val="28"/>
    </w:rPr>
  </w:style>
  <w:style w:type="paragraph" w:styleId="6">
    <w:name w:val="heading 5"/>
    <w:basedOn w:val="1"/>
    <w:next w:val="1"/>
    <w:link w:val="74"/>
    <w:autoRedefine/>
    <w:qFormat/>
    <w:uiPriority w:val="0"/>
    <w:pPr>
      <w:keepNext/>
      <w:keepLines/>
      <w:spacing w:before="280" w:after="290" w:line="376" w:lineRule="auto"/>
      <w:outlineLvl w:val="4"/>
    </w:pPr>
    <w:rPr>
      <w:rFonts w:ascii="Calibri" w:hAnsi="Calibri"/>
      <w:b/>
      <w:bCs/>
      <w:kern w:val="2"/>
      <w:sz w:val="28"/>
      <w:szCs w:val="28"/>
    </w:rPr>
  </w:style>
  <w:style w:type="paragraph" w:styleId="7">
    <w:name w:val="heading 6"/>
    <w:basedOn w:val="6"/>
    <w:next w:val="1"/>
    <w:link w:val="75"/>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76"/>
    <w:autoRedefine/>
    <w:qFormat/>
    <w:uiPriority w:val="0"/>
    <w:pPr>
      <w:tabs>
        <w:tab w:val="left" w:pos="1800"/>
        <w:tab w:val="clear" w:pos="1440"/>
      </w:tabs>
      <w:ind w:left="1276" w:hanging="1276"/>
      <w:outlineLvl w:val="6"/>
    </w:pPr>
  </w:style>
  <w:style w:type="paragraph" w:styleId="9">
    <w:name w:val="heading 8"/>
    <w:basedOn w:val="1"/>
    <w:link w:val="77"/>
    <w:autoRedefine/>
    <w:qFormat/>
    <w:uiPriority w:val="0"/>
    <w:pPr>
      <w:keepNext/>
      <w:keepLines/>
      <w:spacing w:line="400" w:lineRule="exact"/>
      <w:jc w:val="center"/>
      <w:outlineLvl w:val="7"/>
    </w:pPr>
    <w:rPr>
      <w:rFonts w:hAnsi="宋体" w:eastAsia="黑体"/>
      <w:kern w:val="2"/>
      <w:sz w:val="32"/>
      <w:szCs w:val="32"/>
    </w:rPr>
  </w:style>
  <w:style w:type="paragraph" w:styleId="10">
    <w:name w:val="heading 9"/>
    <w:basedOn w:val="1"/>
    <w:next w:val="1"/>
    <w:link w:val="78"/>
    <w:autoRedefine/>
    <w:qFormat/>
    <w:uiPriority w:val="0"/>
    <w:pPr>
      <w:keepNext/>
      <w:keepLines/>
      <w:spacing w:before="240" w:after="64" w:line="320" w:lineRule="auto"/>
      <w:outlineLvl w:val="8"/>
    </w:pPr>
    <w:rPr>
      <w:rFonts w:ascii="Cambria" w:hAnsi="Cambria"/>
      <w:kern w:val="2"/>
      <w:sz w:val="21"/>
      <w:szCs w:val="21"/>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szCs w:val="22"/>
    </w:rPr>
  </w:style>
  <w:style w:type="paragraph" w:styleId="12">
    <w:name w:val="toc 7"/>
    <w:basedOn w:val="1"/>
    <w:next w:val="1"/>
    <w:autoRedefine/>
    <w:unhideWhenUsed/>
    <w:qFormat/>
    <w:uiPriority w:val="39"/>
    <w:pPr>
      <w:ind w:left="1260"/>
      <w:jc w:val="left"/>
    </w:pPr>
    <w:rPr>
      <w:rFonts w:ascii="Calibri" w:hAnsi="Calibri" w:cs="Calibri"/>
      <w:sz w:val="18"/>
      <w:szCs w:val="18"/>
    </w:rPr>
  </w:style>
  <w:style w:type="paragraph" w:styleId="13">
    <w:name w:val="Normal Indent"/>
    <w:basedOn w:val="1"/>
    <w:autoRedefine/>
    <w:qFormat/>
    <w:uiPriority w:val="0"/>
    <w:pPr>
      <w:ind w:firstLine="420" w:firstLineChars="200"/>
    </w:pPr>
  </w:style>
  <w:style w:type="paragraph" w:styleId="14">
    <w:name w:val="caption"/>
    <w:basedOn w:val="1"/>
    <w:next w:val="1"/>
    <w:autoRedefine/>
    <w:qFormat/>
    <w:uiPriority w:val="0"/>
    <w:pPr>
      <w:spacing w:before="152" w:after="160"/>
    </w:pPr>
    <w:rPr>
      <w:rFonts w:ascii="Arial" w:hAnsi="Arial" w:eastAsia="黑体" w:cs="Arial"/>
      <w:sz w:val="20"/>
    </w:rPr>
  </w:style>
  <w:style w:type="paragraph" w:styleId="15">
    <w:name w:val="Document Map"/>
    <w:basedOn w:val="1"/>
    <w:link w:val="79"/>
    <w:autoRedefine/>
    <w:qFormat/>
    <w:uiPriority w:val="0"/>
    <w:pPr>
      <w:shd w:val="clear" w:color="auto" w:fill="000080"/>
    </w:pPr>
    <w:rPr>
      <w:rFonts w:ascii="Calibri" w:hAnsi="Calibri"/>
      <w:bCs/>
      <w:kern w:val="2"/>
      <w:sz w:val="21"/>
      <w:szCs w:val="32"/>
    </w:rPr>
  </w:style>
  <w:style w:type="paragraph" w:styleId="16">
    <w:name w:val="annotation text"/>
    <w:basedOn w:val="1"/>
    <w:link w:val="80"/>
    <w:autoRedefine/>
    <w:qFormat/>
    <w:uiPriority w:val="0"/>
    <w:pPr>
      <w:adjustRightInd w:val="0"/>
      <w:spacing w:line="360" w:lineRule="atLeast"/>
      <w:jc w:val="left"/>
      <w:textAlignment w:val="baseline"/>
    </w:pPr>
    <w:rPr>
      <w:rFonts w:ascii="Times New Roman"/>
    </w:rPr>
  </w:style>
  <w:style w:type="paragraph" w:styleId="17">
    <w:name w:val="Salutation"/>
    <w:basedOn w:val="1"/>
    <w:next w:val="1"/>
    <w:link w:val="81"/>
    <w:autoRedefine/>
    <w:qFormat/>
    <w:uiPriority w:val="0"/>
    <w:rPr>
      <w:rFonts w:ascii="仿宋_GB2312" w:eastAsia="仿宋_GB2312"/>
      <w:kern w:val="2"/>
      <w:sz w:val="28"/>
    </w:rPr>
  </w:style>
  <w:style w:type="paragraph" w:styleId="18">
    <w:name w:val="Body Text 3"/>
    <w:basedOn w:val="1"/>
    <w:link w:val="82"/>
    <w:autoRedefine/>
    <w:qFormat/>
    <w:uiPriority w:val="0"/>
    <w:pPr>
      <w:adjustRightInd w:val="0"/>
      <w:snapToGrid w:val="0"/>
    </w:pPr>
    <w:rPr>
      <w:rFonts w:ascii="仿宋_GB2312" w:hAnsi="宋体" w:eastAsia="仿宋_GB2312"/>
      <w:bCs/>
      <w:color w:val="000000"/>
      <w:kern w:val="2"/>
      <w:szCs w:val="32"/>
    </w:rPr>
  </w:style>
  <w:style w:type="paragraph" w:styleId="19">
    <w:name w:val="Body Text"/>
    <w:basedOn w:val="1"/>
    <w:next w:val="1"/>
    <w:link w:val="83"/>
    <w:autoRedefine/>
    <w:qFormat/>
    <w:uiPriority w:val="0"/>
    <w:pPr>
      <w:spacing w:after="120"/>
    </w:pPr>
    <w:rPr>
      <w:rFonts w:ascii="Times New Roman"/>
      <w:kern w:val="2"/>
      <w:sz w:val="21"/>
      <w:szCs w:val="24"/>
    </w:rPr>
  </w:style>
  <w:style w:type="paragraph" w:styleId="20">
    <w:name w:val="Body Text Indent"/>
    <w:basedOn w:val="1"/>
    <w:link w:val="84"/>
    <w:autoRedefine/>
    <w:qFormat/>
    <w:uiPriority w:val="0"/>
    <w:pPr>
      <w:ind w:firstLine="560" w:firstLineChars="200"/>
    </w:pPr>
    <w:rPr>
      <w:rFonts w:hAnsi="宋体"/>
      <w:bCs/>
      <w:kern w:val="2"/>
      <w:sz w:val="28"/>
      <w:szCs w:val="32"/>
    </w:rPr>
  </w:style>
  <w:style w:type="paragraph" w:styleId="21">
    <w:name w:val="List 2"/>
    <w:basedOn w:val="1"/>
    <w:autoRedefine/>
    <w:qFormat/>
    <w:uiPriority w:val="0"/>
    <w:pPr>
      <w:ind w:left="100" w:leftChars="200" w:hanging="200" w:hangingChars="200"/>
    </w:pPr>
    <w:rPr>
      <w:rFonts w:ascii="Calibri" w:hAnsi="Calibri"/>
      <w:szCs w:val="22"/>
    </w:rPr>
  </w:style>
  <w:style w:type="paragraph" w:styleId="22">
    <w:name w:val="List Continue"/>
    <w:basedOn w:val="1"/>
    <w:autoRedefine/>
    <w:qFormat/>
    <w:uiPriority w:val="0"/>
    <w:pPr>
      <w:spacing w:after="120"/>
      <w:ind w:left="420" w:leftChars="200"/>
    </w:pPr>
    <w:rPr>
      <w:rFonts w:ascii="Calibri" w:hAnsi="Calibri"/>
      <w:szCs w:val="22"/>
    </w:rPr>
  </w:style>
  <w:style w:type="paragraph" w:styleId="23">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sz w:val="72"/>
    </w:rPr>
  </w:style>
  <w:style w:type="paragraph" w:styleId="24">
    <w:name w:val="index 4"/>
    <w:basedOn w:val="1"/>
    <w:next w:val="1"/>
    <w:autoRedefine/>
    <w:qFormat/>
    <w:uiPriority w:val="0"/>
    <w:pPr>
      <w:ind w:left="600" w:leftChars="600"/>
    </w:pPr>
  </w:style>
  <w:style w:type="paragraph" w:styleId="25">
    <w:name w:val="toc 5"/>
    <w:basedOn w:val="1"/>
    <w:next w:val="1"/>
    <w:autoRedefine/>
    <w:unhideWhenUsed/>
    <w:qFormat/>
    <w:uiPriority w:val="39"/>
    <w:pPr>
      <w:ind w:left="840"/>
      <w:jc w:val="left"/>
    </w:pPr>
    <w:rPr>
      <w:rFonts w:ascii="Calibri" w:hAnsi="Calibri" w:cs="Calibri"/>
      <w:sz w:val="18"/>
      <w:szCs w:val="18"/>
    </w:rPr>
  </w:style>
  <w:style w:type="paragraph" w:styleId="26">
    <w:name w:val="toc 3"/>
    <w:basedOn w:val="1"/>
    <w:next w:val="1"/>
    <w:autoRedefine/>
    <w:qFormat/>
    <w:uiPriority w:val="39"/>
    <w:pPr>
      <w:ind w:left="420"/>
      <w:jc w:val="left"/>
    </w:pPr>
    <w:rPr>
      <w:rFonts w:ascii="Calibri" w:hAnsi="Calibri" w:cs="Calibri"/>
      <w:i/>
      <w:iCs/>
      <w:sz w:val="20"/>
    </w:rPr>
  </w:style>
  <w:style w:type="paragraph" w:styleId="27">
    <w:name w:val="Plain Text"/>
    <w:basedOn w:val="1"/>
    <w:link w:val="85"/>
    <w:autoRedefine/>
    <w:qFormat/>
    <w:uiPriority w:val="0"/>
    <w:rPr>
      <w:rFonts w:ascii="Courier New" w:hAnsi="Courier New"/>
      <w:kern w:val="2"/>
      <w:sz w:val="21"/>
    </w:rPr>
  </w:style>
  <w:style w:type="paragraph" w:styleId="28">
    <w:name w:val="toc 8"/>
    <w:basedOn w:val="1"/>
    <w:next w:val="1"/>
    <w:autoRedefine/>
    <w:unhideWhenUsed/>
    <w:qFormat/>
    <w:uiPriority w:val="39"/>
    <w:pPr>
      <w:ind w:left="1470"/>
      <w:jc w:val="left"/>
    </w:pPr>
    <w:rPr>
      <w:rFonts w:ascii="Calibri" w:hAnsi="Calibri" w:cs="Calibri"/>
      <w:sz w:val="18"/>
      <w:szCs w:val="18"/>
    </w:rPr>
  </w:style>
  <w:style w:type="paragraph" w:styleId="29">
    <w:name w:val="Date"/>
    <w:basedOn w:val="1"/>
    <w:next w:val="1"/>
    <w:link w:val="86"/>
    <w:autoRedefine/>
    <w:unhideWhenUsed/>
    <w:qFormat/>
    <w:uiPriority w:val="0"/>
    <w:pPr>
      <w:ind w:left="100" w:leftChars="2500"/>
    </w:pPr>
    <w:rPr>
      <w:rFonts w:ascii="Times New Roman"/>
      <w:kern w:val="2"/>
      <w:sz w:val="21"/>
      <w:szCs w:val="24"/>
    </w:rPr>
  </w:style>
  <w:style w:type="paragraph" w:styleId="30">
    <w:name w:val="Body Text Indent 2"/>
    <w:basedOn w:val="1"/>
    <w:link w:val="87"/>
    <w:autoRedefine/>
    <w:qFormat/>
    <w:uiPriority w:val="0"/>
    <w:pPr>
      <w:widowControl/>
      <w:overflowPunct w:val="0"/>
      <w:autoSpaceDE w:val="0"/>
      <w:autoSpaceDN w:val="0"/>
      <w:adjustRightInd w:val="0"/>
      <w:spacing w:line="360" w:lineRule="auto"/>
      <w:ind w:firstLine="555"/>
      <w:textAlignment w:val="baseline"/>
    </w:pPr>
    <w:rPr>
      <w:rFonts w:hAnsi="MS Sans Serif"/>
      <w:bCs/>
      <w:spacing w:val="12"/>
    </w:rPr>
  </w:style>
  <w:style w:type="paragraph" w:styleId="31">
    <w:name w:val="Balloon Text"/>
    <w:basedOn w:val="1"/>
    <w:link w:val="88"/>
    <w:autoRedefine/>
    <w:qFormat/>
    <w:uiPriority w:val="0"/>
    <w:rPr>
      <w:rFonts w:ascii="Times New Roman"/>
      <w:kern w:val="2"/>
      <w:sz w:val="18"/>
    </w:rPr>
  </w:style>
  <w:style w:type="paragraph" w:styleId="32">
    <w:name w:val="footer"/>
    <w:basedOn w:val="1"/>
    <w:link w:val="89"/>
    <w:autoRedefine/>
    <w:qFormat/>
    <w:uiPriority w:val="99"/>
    <w:pPr>
      <w:tabs>
        <w:tab w:val="center" w:pos="4153"/>
        <w:tab w:val="right" w:pos="8306"/>
      </w:tabs>
      <w:snapToGrid w:val="0"/>
      <w:jc w:val="left"/>
    </w:pPr>
    <w:rPr>
      <w:rFonts w:ascii="Times New Roman"/>
      <w:kern w:val="2"/>
      <w:sz w:val="18"/>
      <w:szCs w:val="18"/>
    </w:rPr>
  </w:style>
  <w:style w:type="paragraph" w:styleId="33">
    <w:name w:val="header"/>
    <w:basedOn w:val="1"/>
    <w:link w:val="90"/>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34">
    <w:name w:val="toc 1"/>
    <w:basedOn w:val="1"/>
    <w:next w:val="1"/>
    <w:autoRedefine/>
    <w:qFormat/>
    <w:uiPriority w:val="39"/>
    <w:pPr>
      <w:spacing w:before="120" w:after="120"/>
      <w:jc w:val="left"/>
    </w:pPr>
    <w:rPr>
      <w:rFonts w:ascii="Calibri" w:hAnsi="Calibri" w:cs="Calibri"/>
      <w:b/>
      <w:bCs/>
      <w:caps/>
      <w:sz w:val="20"/>
    </w:rPr>
  </w:style>
  <w:style w:type="paragraph" w:styleId="35">
    <w:name w:val="List Continue 4"/>
    <w:basedOn w:val="1"/>
    <w:autoRedefine/>
    <w:qFormat/>
    <w:uiPriority w:val="0"/>
    <w:pPr>
      <w:spacing w:after="120"/>
      <w:ind w:left="1680" w:leftChars="800"/>
    </w:pPr>
    <w:rPr>
      <w:rFonts w:ascii="Calibri" w:hAnsi="Calibri"/>
      <w:szCs w:val="22"/>
    </w:rPr>
  </w:style>
  <w:style w:type="paragraph" w:styleId="36">
    <w:name w:val="toc 4"/>
    <w:basedOn w:val="1"/>
    <w:next w:val="1"/>
    <w:autoRedefine/>
    <w:unhideWhenUsed/>
    <w:qFormat/>
    <w:uiPriority w:val="39"/>
    <w:pPr>
      <w:ind w:left="630"/>
      <w:jc w:val="left"/>
    </w:pPr>
    <w:rPr>
      <w:rFonts w:ascii="Calibri" w:hAnsi="Calibri" w:cs="Calibri"/>
      <w:sz w:val="18"/>
      <w:szCs w:val="18"/>
    </w:rPr>
  </w:style>
  <w:style w:type="paragraph" w:styleId="37">
    <w:name w:val="index heading"/>
    <w:basedOn w:val="1"/>
    <w:next w:val="38"/>
    <w:autoRedefine/>
    <w:semiHidden/>
    <w:qFormat/>
    <w:uiPriority w:val="0"/>
  </w:style>
  <w:style w:type="paragraph" w:styleId="38">
    <w:name w:val="index 1"/>
    <w:basedOn w:val="1"/>
    <w:next w:val="1"/>
    <w:autoRedefine/>
    <w:semiHidden/>
    <w:qFormat/>
    <w:uiPriority w:val="0"/>
  </w:style>
  <w:style w:type="paragraph" w:styleId="39">
    <w:name w:val="Subtitle"/>
    <w:basedOn w:val="1"/>
    <w:link w:val="91"/>
    <w:autoRedefine/>
    <w:qFormat/>
    <w:uiPriority w:val="0"/>
    <w:pPr>
      <w:spacing w:before="240" w:after="60" w:line="312" w:lineRule="auto"/>
      <w:jc w:val="center"/>
      <w:outlineLvl w:val="1"/>
    </w:pPr>
    <w:rPr>
      <w:rFonts w:ascii="Arial" w:hAnsi="Arial"/>
      <w:b/>
      <w:bCs/>
      <w:kern w:val="28"/>
      <w:sz w:val="32"/>
      <w:szCs w:val="32"/>
    </w:rPr>
  </w:style>
  <w:style w:type="paragraph" w:styleId="40">
    <w:name w:val="List"/>
    <w:basedOn w:val="1"/>
    <w:autoRedefine/>
    <w:qFormat/>
    <w:uiPriority w:val="0"/>
    <w:pPr>
      <w:ind w:left="200" w:hanging="200" w:hangingChars="200"/>
    </w:pPr>
    <w:rPr>
      <w:rFonts w:ascii="Calibri" w:hAnsi="Calibri"/>
      <w:szCs w:val="22"/>
    </w:rPr>
  </w:style>
  <w:style w:type="paragraph" w:styleId="41">
    <w:name w:val="footnote text"/>
    <w:basedOn w:val="1"/>
    <w:link w:val="92"/>
    <w:autoRedefine/>
    <w:unhideWhenUsed/>
    <w:qFormat/>
    <w:uiPriority w:val="0"/>
    <w:pPr>
      <w:snapToGrid w:val="0"/>
      <w:jc w:val="left"/>
    </w:pPr>
    <w:rPr>
      <w:rFonts w:ascii="Times New Roman"/>
      <w:kern w:val="2"/>
      <w:sz w:val="18"/>
      <w:szCs w:val="18"/>
    </w:rPr>
  </w:style>
  <w:style w:type="paragraph" w:styleId="42">
    <w:name w:val="toc 6"/>
    <w:basedOn w:val="1"/>
    <w:next w:val="1"/>
    <w:autoRedefine/>
    <w:unhideWhenUsed/>
    <w:qFormat/>
    <w:uiPriority w:val="39"/>
    <w:pPr>
      <w:ind w:left="1050"/>
      <w:jc w:val="left"/>
    </w:pPr>
    <w:rPr>
      <w:rFonts w:ascii="Calibri" w:hAnsi="Calibri" w:cs="Calibri"/>
      <w:sz w:val="18"/>
      <w:szCs w:val="18"/>
    </w:rPr>
  </w:style>
  <w:style w:type="paragraph" w:styleId="43">
    <w:name w:val="Body Text Indent 3"/>
    <w:basedOn w:val="1"/>
    <w:link w:val="93"/>
    <w:autoRedefine/>
    <w:qFormat/>
    <w:uiPriority w:val="0"/>
    <w:pPr>
      <w:widowControl/>
      <w:overflowPunct w:val="0"/>
      <w:autoSpaceDE w:val="0"/>
      <w:autoSpaceDN w:val="0"/>
      <w:adjustRightInd w:val="0"/>
      <w:spacing w:line="360" w:lineRule="auto"/>
      <w:ind w:firstLine="540"/>
      <w:textAlignment w:val="baseline"/>
    </w:pPr>
    <w:rPr>
      <w:rFonts w:hAnsi="MS Sans Serif"/>
      <w:bCs/>
      <w:color w:val="000000"/>
    </w:rPr>
  </w:style>
  <w:style w:type="paragraph" w:styleId="44">
    <w:name w:val="toc 2"/>
    <w:basedOn w:val="1"/>
    <w:next w:val="1"/>
    <w:autoRedefine/>
    <w:qFormat/>
    <w:uiPriority w:val="39"/>
    <w:pPr>
      <w:ind w:left="210"/>
      <w:jc w:val="left"/>
    </w:pPr>
    <w:rPr>
      <w:rFonts w:ascii="Calibri" w:hAnsi="Calibri" w:cs="Calibri"/>
      <w:smallCaps/>
      <w:sz w:val="20"/>
    </w:rPr>
  </w:style>
  <w:style w:type="paragraph" w:styleId="45">
    <w:name w:val="toc 9"/>
    <w:basedOn w:val="1"/>
    <w:next w:val="1"/>
    <w:autoRedefine/>
    <w:unhideWhenUsed/>
    <w:qFormat/>
    <w:uiPriority w:val="39"/>
    <w:pPr>
      <w:ind w:left="1680"/>
      <w:jc w:val="left"/>
    </w:pPr>
    <w:rPr>
      <w:rFonts w:ascii="Calibri" w:hAnsi="Calibri" w:cs="Calibri"/>
      <w:sz w:val="18"/>
      <w:szCs w:val="18"/>
    </w:rPr>
  </w:style>
  <w:style w:type="paragraph" w:styleId="46">
    <w:name w:val="Body Text 2"/>
    <w:basedOn w:val="1"/>
    <w:link w:val="94"/>
    <w:autoRedefine/>
    <w:qFormat/>
    <w:uiPriority w:val="0"/>
    <w:pPr>
      <w:spacing w:line="360" w:lineRule="auto"/>
    </w:pPr>
    <w:rPr>
      <w:spacing w:val="-20"/>
      <w:kern w:val="2"/>
      <w:sz w:val="28"/>
    </w:rPr>
  </w:style>
  <w:style w:type="paragraph" w:styleId="47">
    <w:name w:val="List 4"/>
    <w:basedOn w:val="1"/>
    <w:autoRedefine/>
    <w:qFormat/>
    <w:uiPriority w:val="0"/>
    <w:pPr>
      <w:ind w:left="100" w:leftChars="600" w:hanging="200" w:hangingChars="200"/>
    </w:pPr>
    <w:rPr>
      <w:rFonts w:ascii="Calibri" w:hAnsi="Calibri"/>
      <w:szCs w:val="22"/>
    </w:rPr>
  </w:style>
  <w:style w:type="paragraph" w:styleId="48">
    <w:name w:val="List Continue 2"/>
    <w:basedOn w:val="1"/>
    <w:autoRedefine/>
    <w:qFormat/>
    <w:uiPriority w:val="0"/>
    <w:pPr>
      <w:spacing w:after="120"/>
      <w:ind w:left="840" w:leftChars="400"/>
    </w:pPr>
    <w:rPr>
      <w:rFonts w:ascii="Calibri" w:hAnsi="Calibri"/>
      <w:szCs w:val="22"/>
    </w:rPr>
  </w:style>
  <w:style w:type="paragraph" w:styleId="49">
    <w:name w:val="Normal (Web)"/>
    <w:basedOn w:val="1"/>
    <w:autoRedefine/>
    <w:qFormat/>
    <w:uiPriority w:val="0"/>
    <w:pPr>
      <w:widowControl/>
      <w:spacing w:before="100" w:beforeAutospacing="1" w:after="100" w:afterAutospacing="1"/>
      <w:jc w:val="left"/>
    </w:pPr>
    <w:rPr>
      <w:rFonts w:hAnsi="宋体" w:cs="宋体"/>
      <w:color w:val="0066CC"/>
    </w:rPr>
  </w:style>
  <w:style w:type="paragraph" w:styleId="50">
    <w:name w:val="Title"/>
    <w:basedOn w:val="4"/>
    <w:next w:val="1"/>
    <w:link w:val="95"/>
    <w:autoRedefine/>
    <w:qFormat/>
    <w:uiPriority w:val="0"/>
    <w:pPr>
      <w:spacing w:before="0" w:after="0" w:line="360" w:lineRule="auto"/>
      <w:jc w:val="center"/>
    </w:pPr>
    <w:rPr>
      <w:rFonts w:ascii="宋体" w:hAnsi="宋体" w:eastAsia="黑体"/>
      <w:bCs w:val="0"/>
      <w:smallCaps/>
      <w:snapToGrid w:val="0"/>
      <w:sz w:val="44"/>
      <w:szCs w:val="24"/>
    </w:rPr>
  </w:style>
  <w:style w:type="paragraph" w:styleId="51">
    <w:name w:val="annotation subject"/>
    <w:basedOn w:val="16"/>
    <w:next w:val="16"/>
    <w:link w:val="96"/>
    <w:autoRedefine/>
    <w:qFormat/>
    <w:uiPriority w:val="0"/>
    <w:pPr>
      <w:adjustRightInd/>
      <w:spacing w:line="240" w:lineRule="auto"/>
      <w:textAlignment w:val="auto"/>
    </w:pPr>
    <w:rPr>
      <w:b/>
      <w:bCs/>
      <w:kern w:val="2"/>
      <w:sz w:val="21"/>
      <w:szCs w:val="24"/>
    </w:rPr>
  </w:style>
  <w:style w:type="table" w:styleId="53">
    <w:name w:val="Table Grid"/>
    <w:basedOn w:val="5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5">
    <w:name w:val="Strong"/>
    <w:autoRedefine/>
    <w:qFormat/>
    <w:uiPriority w:val="0"/>
    <w:rPr>
      <w:b/>
      <w:bCs/>
    </w:rPr>
  </w:style>
  <w:style w:type="character" w:styleId="56">
    <w:name w:val="page number"/>
    <w:autoRedefine/>
    <w:qFormat/>
    <w:uiPriority w:val="0"/>
  </w:style>
  <w:style w:type="character" w:styleId="57">
    <w:name w:val="FollowedHyperlink"/>
    <w:autoRedefine/>
    <w:qFormat/>
    <w:uiPriority w:val="99"/>
    <w:rPr>
      <w:color w:val="800080"/>
      <w:u w:val="none"/>
    </w:rPr>
  </w:style>
  <w:style w:type="character" w:styleId="58">
    <w:name w:val="Emphasis"/>
    <w:autoRedefine/>
    <w:qFormat/>
    <w:uiPriority w:val="0"/>
    <w:rPr>
      <w:i/>
      <w:iCs/>
    </w:rPr>
  </w:style>
  <w:style w:type="character" w:styleId="59">
    <w:name w:val="HTML Definition"/>
    <w:autoRedefine/>
    <w:unhideWhenUsed/>
    <w:qFormat/>
    <w:uiPriority w:val="99"/>
  </w:style>
  <w:style w:type="character" w:styleId="60">
    <w:name w:val="HTML Typewriter"/>
    <w:autoRedefine/>
    <w:unhideWhenUsed/>
    <w:qFormat/>
    <w:uiPriority w:val="99"/>
    <w:rPr>
      <w:rFonts w:ascii="monospace" w:hAnsi="monospace" w:eastAsia="monospace" w:cs="monospace"/>
      <w:sz w:val="20"/>
    </w:rPr>
  </w:style>
  <w:style w:type="character" w:styleId="61">
    <w:name w:val="HTML Acronym"/>
    <w:basedOn w:val="54"/>
    <w:autoRedefine/>
    <w:unhideWhenUsed/>
    <w:qFormat/>
    <w:uiPriority w:val="99"/>
  </w:style>
  <w:style w:type="character" w:styleId="62">
    <w:name w:val="HTML Variable"/>
    <w:autoRedefine/>
    <w:unhideWhenUsed/>
    <w:qFormat/>
    <w:uiPriority w:val="99"/>
  </w:style>
  <w:style w:type="character" w:styleId="63">
    <w:name w:val="Hyperlink"/>
    <w:autoRedefine/>
    <w:qFormat/>
    <w:uiPriority w:val="99"/>
    <w:rPr>
      <w:color w:val="0000FF"/>
      <w:u w:val="none"/>
    </w:rPr>
  </w:style>
  <w:style w:type="character" w:styleId="64">
    <w:name w:val="HTML Code"/>
    <w:autoRedefine/>
    <w:unhideWhenUsed/>
    <w:qFormat/>
    <w:uiPriority w:val="99"/>
    <w:rPr>
      <w:rFonts w:hint="default" w:ascii="monospace" w:hAnsi="monospace" w:eastAsia="monospace" w:cs="monospace"/>
      <w:sz w:val="20"/>
    </w:rPr>
  </w:style>
  <w:style w:type="character" w:styleId="65">
    <w:name w:val="annotation reference"/>
    <w:autoRedefine/>
    <w:qFormat/>
    <w:uiPriority w:val="0"/>
    <w:rPr>
      <w:sz w:val="21"/>
    </w:rPr>
  </w:style>
  <w:style w:type="character" w:styleId="66">
    <w:name w:val="HTML Cite"/>
    <w:autoRedefine/>
    <w:unhideWhenUsed/>
    <w:qFormat/>
    <w:uiPriority w:val="99"/>
  </w:style>
  <w:style w:type="character" w:styleId="67">
    <w:name w:val="footnote reference"/>
    <w:autoRedefine/>
    <w:unhideWhenUsed/>
    <w:qFormat/>
    <w:uiPriority w:val="0"/>
    <w:rPr>
      <w:vertAlign w:val="superscript"/>
    </w:rPr>
  </w:style>
  <w:style w:type="character" w:styleId="68">
    <w:name w:val="HTML Keyboard"/>
    <w:autoRedefine/>
    <w:unhideWhenUsed/>
    <w:qFormat/>
    <w:uiPriority w:val="99"/>
    <w:rPr>
      <w:rFonts w:hint="default" w:ascii="monospace" w:hAnsi="monospace" w:eastAsia="monospace" w:cs="monospace"/>
      <w:sz w:val="20"/>
    </w:rPr>
  </w:style>
  <w:style w:type="character" w:styleId="69">
    <w:name w:val="HTML Sample"/>
    <w:autoRedefine/>
    <w:qFormat/>
    <w:uiPriority w:val="0"/>
    <w:rPr>
      <w:rFonts w:hint="default" w:ascii="monospace" w:hAnsi="monospace" w:eastAsia="monospace" w:cs="monospace"/>
      <w:sz w:val="21"/>
      <w:szCs w:val="21"/>
    </w:rPr>
  </w:style>
  <w:style w:type="character" w:customStyle="1" w:styleId="70">
    <w:name w:val="标题 3 Char"/>
    <w:link w:val="2"/>
    <w:autoRedefine/>
    <w:qFormat/>
    <w:uiPriority w:val="9"/>
    <w:rPr>
      <w:rFonts w:ascii="黑体" w:hAnsi="黑体" w:eastAsia="黑体"/>
      <w:bCs/>
      <w:kern w:val="2"/>
      <w:sz w:val="24"/>
      <w:szCs w:val="24"/>
    </w:rPr>
  </w:style>
  <w:style w:type="character" w:customStyle="1" w:styleId="71">
    <w:name w:val="标题 1 Char"/>
    <w:link w:val="3"/>
    <w:autoRedefine/>
    <w:qFormat/>
    <w:uiPriority w:val="0"/>
    <w:rPr>
      <w:b/>
      <w:bCs/>
      <w:kern w:val="44"/>
      <w:sz w:val="32"/>
      <w:szCs w:val="44"/>
    </w:rPr>
  </w:style>
  <w:style w:type="character" w:customStyle="1" w:styleId="72">
    <w:name w:val="标题 2 Char"/>
    <w:link w:val="4"/>
    <w:autoRedefine/>
    <w:qFormat/>
    <w:uiPriority w:val="0"/>
    <w:rPr>
      <w:rFonts w:ascii="Cambria" w:hAnsi="Cambria" w:eastAsia="宋体" w:cs="Times New Roman"/>
      <w:b/>
      <w:bCs/>
      <w:kern w:val="2"/>
      <w:sz w:val="32"/>
      <w:szCs w:val="32"/>
    </w:rPr>
  </w:style>
  <w:style w:type="character" w:customStyle="1" w:styleId="73">
    <w:name w:val="标题 4 Char"/>
    <w:link w:val="5"/>
    <w:autoRedefine/>
    <w:qFormat/>
    <w:uiPriority w:val="0"/>
    <w:rPr>
      <w:rFonts w:ascii="Arial" w:hAnsi="Arial" w:eastAsia="黑体"/>
      <w:bCs/>
      <w:kern w:val="2"/>
      <w:sz w:val="21"/>
      <w:szCs w:val="28"/>
    </w:rPr>
  </w:style>
  <w:style w:type="character" w:customStyle="1" w:styleId="74">
    <w:name w:val="标题 5 Char"/>
    <w:link w:val="6"/>
    <w:autoRedefine/>
    <w:qFormat/>
    <w:uiPriority w:val="0"/>
    <w:rPr>
      <w:rFonts w:ascii="Calibri" w:hAnsi="Calibri"/>
      <w:b/>
      <w:bCs/>
      <w:kern w:val="2"/>
      <w:sz w:val="28"/>
      <w:szCs w:val="28"/>
    </w:rPr>
  </w:style>
  <w:style w:type="character" w:customStyle="1" w:styleId="75">
    <w:name w:val="标题 6 Char"/>
    <w:link w:val="7"/>
    <w:autoRedefine/>
    <w:qFormat/>
    <w:uiPriority w:val="0"/>
    <w:rPr>
      <w:b/>
      <w:bCs/>
      <w:kern w:val="2"/>
      <w:sz w:val="30"/>
      <w:szCs w:val="18"/>
    </w:rPr>
  </w:style>
  <w:style w:type="character" w:customStyle="1" w:styleId="76">
    <w:name w:val="标题 7 Char"/>
    <w:link w:val="8"/>
    <w:autoRedefine/>
    <w:qFormat/>
    <w:uiPriority w:val="0"/>
    <w:rPr>
      <w:b/>
      <w:bCs/>
      <w:kern w:val="2"/>
      <w:sz w:val="30"/>
      <w:szCs w:val="18"/>
    </w:rPr>
  </w:style>
  <w:style w:type="character" w:customStyle="1" w:styleId="77">
    <w:name w:val="标题 8 Char"/>
    <w:link w:val="9"/>
    <w:autoRedefine/>
    <w:qFormat/>
    <w:uiPriority w:val="0"/>
    <w:rPr>
      <w:rFonts w:ascii="宋体" w:hAnsi="宋体" w:eastAsia="黑体"/>
      <w:kern w:val="2"/>
      <w:sz w:val="32"/>
      <w:szCs w:val="32"/>
    </w:rPr>
  </w:style>
  <w:style w:type="character" w:customStyle="1" w:styleId="78">
    <w:name w:val="标题 9 Char"/>
    <w:link w:val="10"/>
    <w:autoRedefine/>
    <w:qFormat/>
    <w:uiPriority w:val="0"/>
    <w:rPr>
      <w:rFonts w:ascii="Cambria" w:hAnsi="Cambria"/>
      <w:kern w:val="2"/>
      <w:sz w:val="21"/>
      <w:szCs w:val="21"/>
    </w:rPr>
  </w:style>
  <w:style w:type="character" w:customStyle="1" w:styleId="79">
    <w:name w:val="文档结构图 Char"/>
    <w:link w:val="15"/>
    <w:autoRedefine/>
    <w:qFormat/>
    <w:uiPriority w:val="0"/>
    <w:rPr>
      <w:rFonts w:ascii="Calibri" w:hAnsi="Calibri"/>
      <w:bCs/>
      <w:kern w:val="2"/>
      <w:sz w:val="21"/>
      <w:szCs w:val="32"/>
      <w:shd w:val="clear" w:color="auto" w:fill="000080"/>
    </w:rPr>
  </w:style>
  <w:style w:type="character" w:customStyle="1" w:styleId="80">
    <w:name w:val="批注文字 Char"/>
    <w:link w:val="16"/>
    <w:autoRedefine/>
    <w:qFormat/>
    <w:uiPriority w:val="0"/>
    <w:rPr>
      <w:sz w:val="24"/>
    </w:rPr>
  </w:style>
  <w:style w:type="character" w:customStyle="1" w:styleId="81">
    <w:name w:val="称呼 Char"/>
    <w:link w:val="17"/>
    <w:autoRedefine/>
    <w:qFormat/>
    <w:uiPriority w:val="0"/>
    <w:rPr>
      <w:rFonts w:ascii="仿宋_GB2312" w:eastAsia="仿宋_GB2312"/>
      <w:kern w:val="2"/>
      <w:sz w:val="28"/>
    </w:rPr>
  </w:style>
  <w:style w:type="character" w:customStyle="1" w:styleId="82">
    <w:name w:val="正文文本 3 Char"/>
    <w:link w:val="18"/>
    <w:autoRedefine/>
    <w:qFormat/>
    <w:uiPriority w:val="0"/>
    <w:rPr>
      <w:rFonts w:ascii="仿宋_GB2312" w:hAnsi="宋体" w:eastAsia="仿宋_GB2312"/>
      <w:bCs/>
      <w:color w:val="000000"/>
      <w:kern w:val="2"/>
      <w:sz w:val="24"/>
      <w:szCs w:val="32"/>
    </w:rPr>
  </w:style>
  <w:style w:type="character" w:customStyle="1" w:styleId="83">
    <w:name w:val="正文文本 Char"/>
    <w:link w:val="19"/>
    <w:autoRedefine/>
    <w:qFormat/>
    <w:uiPriority w:val="0"/>
    <w:rPr>
      <w:kern w:val="2"/>
      <w:sz w:val="21"/>
      <w:szCs w:val="24"/>
    </w:rPr>
  </w:style>
  <w:style w:type="character" w:customStyle="1" w:styleId="84">
    <w:name w:val="正文文本缩进 Char"/>
    <w:link w:val="20"/>
    <w:autoRedefine/>
    <w:qFormat/>
    <w:uiPriority w:val="0"/>
    <w:rPr>
      <w:rFonts w:ascii="宋体" w:hAnsi="宋体"/>
      <w:bCs/>
      <w:kern w:val="2"/>
      <w:sz w:val="28"/>
      <w:szCs w:val="32"/>
    </w:rPr>
  </w:style>
  <w:style w:type="character" w:customStyle="1" w:styleId="85">
    <w:name w:val="纯文本 Char1"/>
    <w:link w:val="27"/>
    <w:autoRedefine/>
    <w:qFormat/>
    <w:uiPriority w:val="0"/>
    <w:rPr>
      <w:rFonts w:ascii="Courier New" w:hAnsi="Courier New"/>
      <w:kern w:val="2"/>
      <w:sz w:val="21"/>
    </w:rPr>
  </w:style>
  <w:style w:type="character" w:customStyle="1" w:styleId="86">
    <w:name w:val="日期 Char"/>
    <w:link w:val="29"/>
    <w:autoRedefine/>
    <w:qFormat/>
    <w:uiPriority w:val="0"/>
    <w:rPr>
      <w:kern w:val="2"/>
      <w:sz w:val="21"/>
      <w:szCs w:val="24"/>
    </w:rPr>
  </w:style>
  <w:style w:type="character" w:customStyle="1" w:styleId="87">
    <w:name w:val="正文文本缩进 2 Char"/>
    <w:link w:val="30"/>
    <w:autoRedefine/>
    <w:qFormat/>
    <w:uiPriority w:val="0"/>
    <w:rPr>
      <w:rFonts w:ascii="宋体" w:hAnsi="MS Sans Serif"/>
      <w:bCs/>
      <w:spacing w:val="12"/>
      <w:sz w:val="24"/>
    </w:rPr>
  </w:style>
  <w:style w:type="character" w:customStyle="1" w:styleId="88">
    <w:name w:val="批注框文本 Char"/>
    <w:link w:val="31"/>
    <w:autoRedefine/>
    <w:qFormat/>
    <w:uiPriority w:val="0"/>
    <w:rPr>
      <w:kern w:val="2"/>
      <w:sz w:val="18"/>
    </w:rPr>
  </w:style>
  <w:style w:type="character" w:customStyle="1" w:styleId="89">
    <w:name w:val="页脚 Char"/>
    <w:link w:val="32"/>
    <w:autoRedefine/>
    <w:qFormat/>
    <w:uiPriority w:val="99"/>
    <w:rPr>
      <w:kern w:val="2"/>
      <w:sz w:val="18"/>
      <w:szCs w:val="18"/>
    </w:rPr>
  </w:style>
  <w:style w:type="character" w:customStyle="1" w:styleId="90">
    <w:name w:val="页眉 Char"/>
    <w:link w:val="33"/>
    <w:autoRedefine/>
    <w:qFormat/>
    <w:uiPriority w:val="0"/>
    <w:rPr>
      <w:kern w:val="2"/>
      <w:sz w:val="18"/>
      <w:szCs w:val="18"/>
    </w:rPr>
  </w:style>
  <w:style w:type="character" w:customStyle="1" w:styleId="91">
    <w:name w:val="副标题 Char"/>
    <w:link w:val="39"/>
    <w:autoRedefine/>
    <w:qFormat/>
    <w:uiPriority w:val="0"/>
    <w:rPr>
      <w:rFonts w:ascii="Arial" w:hAnsi="Arial"/>
      <w:b/>
      <w:bCs/>
      <w:kern w:val="28"/>
      <w:sz w:val="32"/>
      <w:szCs w:val="32"/>
    </w:rPr>
  </w:style>
  <w:style w:type="character" w:customStyle="1" w:styleId="92">
    <w:name w:val="脚注文本 Char"/>
    <w:link w:val="41"/>
    <w:autoRedefine/>
    <w:qFormat/>
    <w:uiPriority w:val="0"/>
    <w:rPr>
      <w:kern w:val="2"/>
      <w:sz w:val="18"/>
      <w:szCs w:val="18"/>
    </w:rPr>
  </w:style>
  <w:style w:type="character" w:customStyle="1" w:styleId="93">
    <w:name w:val="正文文本缩进 3 Char"/>
    <w:link w:val="43"/>
    <w:autoRedefine/>
    <w:qFormat/>
    <w:uiPriority w:val="0"/>
    <w:rPr>
      <w:rFonts w:ascii="宋体" w:hAnsi="MS Sans Serif"/>
      <w:bCs/>
      <w:color w:val="000000"/>
      <w:sz w:val="24"/>
    </w:rPr>
  </w:style>
  <w:style w:type="character" w:customStyle="1" w:styleId="94">
    <w:name w:val="正文文本 2 Char"/>
    <w:link w:val="46"/>
    <w:autoRedefine/>
    <w:qFormat/>
    <w:uiPriority w:val="0"/>
    <w:rPr>
      <w:rFonts w:ascii="宋体"/>
      <w:spacing w:val="-20"/>
      <w:kern w:val="2"/>
      <w:sz w:val="28"/>
    </w:rPr>
  </w:style>
  <w:style w:type="character" w:customStyle="1" w:styleId="95">
    <w:name w:val="标题 Char"/>
    <w:link w:val="50"/>
    <w:autoRedefine/>
    <w:qFormat/>
    <w:uiPriority w:val="0"/>
    <w:rPr>
      <w:rFonts w:ascii="宋体" w:hAnsi="宋体" w:eastAsia="黑体"/>
      <w:b/>
      <w:smallCaps/>
      <w:snapToGrid w:val="0"/>
      <w:kern w:val="2"/>
      <w:sz w:val="44"/>
      <w:szCs w:val="24"/>
    </w:rPr>
  </w:style>
  <w:style w:type="character" w:customStyle="1" w:styleId="96">
    <w:name w:val="批注主题 Char"/>
    <w:link w:val="51"/>
    <w:autoRedefine/>
    <w:qFormat/>
    <w:uiPriority w:val="0"/>
  </w:style>
  <w:style w:type="paragraph" w:styleId="97">
    <w:name w:val="List Paragraph"/>
    <w:basedOn w:val="1"/>
    <w:autoRedefine/>
    <w:qFormat/>
    <w:uiPriority w:val="34"/>
    <w:pPr>
      <w:ind w:firstLine="420" w:firstLineChars="200"/>
    </w:pPr>
    <w:rPr>
      <w:rFonts w:ascii="Calibri" w:hAnsi="Calibri"/>
      <w:szCs w:val="22"/>
    </w:rPr>
  </w:style>
  <w:style w:type="character" w:customStyle="1" w:styleId="98">
    <w:name w:val="纯文本 Char"/>
    <w:autoRedefine/>
    <w:qFormat/>
    <w:uiPriority w:val="0"/>
    <w:rPr>
      <w:rFonts w:ascii="宋体" w:hAnsi="Courier New" w:cs="Courier New"/>
      <w:kern w:val="2"/>
      <w:sz w:val="21"/>
      <w:szCs w:val="21"/>
    </w:rPr>
  </w:style>
  <w:style w:type="character" w:customStyle="1" w:styleId="99">
    <w:name w:val="书籍标题1"/>
    <w:autoRedefine/>
    <w:qFormat/>
    <w:uiPriority w:val="0"/>
    <w:rPr>
      <w:b/>
      <w:bCs/>
      <w:smallCaps/>
      <w:spacing w:val="5"/>
    </w:rPr>
  </w:style>
  <w:style w:type="character" w:customStyle="1" w:styleId="100">
    <w:name w:val="Blockquote Char"/>
    <w:link w:val="101"/>
    <w:autoRedefine/>
    <w:qFormat/>
    <w:uiPriority w:val="0"/>
    <w:rPr>
      <w:sz w:val="24"/>
    </w:rPr>
  </w:style>
  <w:style w:type="paragraph" w:customStyle="1" w:styleId="101">
    <w:name w:val="Blockquote"/>
    <w:basedOn w:val="1"/>
    <w:link w:val="100"/>
    <w:autoRedefine/>
    <w:qFormat/>
    <w:uiPriority w:val="0"/>
    <w:pPr>
      <w:autoSpaceDE w:val="0"/>
      <w:autoSpaceDN w:val="0"/>
      <w:adjustRightInd w:val="0"/>
      <w:spacing w:before="100" w:after="100"/>
      <w:ind w:left="360" w:right="360"/>
      <w:jc w:val="left"/>
    </w:pPr>
    <w:rPr>
      <w:rFonts w:ascii="Times New Roman"/>
    </w:rPr>
  </w:style>
  <w:style w:type="character" w:customStyle="1" w:styleId="102">
    <w:name w:val="正文文本 Char2"/>
    <w:autoRedefine/>
    <w:semiHidden/>
    <w:qFormat/>
    <w:uiPriority w:val="99"/>
    <w:rPr>
      <w:kern w:val="2"/>
      <w:sz w:val="21"/>
      <w:szCs w:val="22"/>
    </w:rPr>
  </w:style>
  <w:style w:type="character" w:customStyle="1" w:styleId="103">
    <w:name w:val="tdrownotice1"/>
    <w:autoRedefine/>
    <w:qFormat/>
    <w:uiPriority w:val="0"/>
    <w:rPr>
      <w:sz w:val="22"/>
    </w:rPr>
  </w:style>
  <w:style w:type="character" w:customStyle="1" w:styleId="104">
    <w:name w:val="正文文本 (2)_"/>
    <w:link w:val="105"/>
    <w:autoRedefine/>
    <w:qFormat/>
    <w:locked/>
    <w:uiPriority w:val="99"/>
    <w:rPr>
      <w:rFonts w:ascii="MingLiU" w:eastAsia="MingLiU" w:cs="MingLiU"/>
      <w:spacing w:val="20"/>
      <w:sz w:val="22"/>
      <w:shd w:val="clear" w:color="auto" w:fill="FFFFFF"/>
    </w:rPr>
  </w:style>
  <w:style w:type="paragraph" w:customStyle="1" w:styleId="105">
    <w:name w:val="正文文本 (2)1"/>
    <w:basedOn w:val="1"/>
    <w:link w:val="104"/>
    <w:autoRedefine/>
    <w:qFormat/>
    <w:uiPriority w:val="99"/>
    <w:pPr>
      <w:shd w:val="clear" w:color="auto" w:fill="FFFFFF"/>
      <w:spacing w:before="300" w:line="439" w:lineRule="exact"/>
      <w:jc w:val="distribute"/>
    </w:pPr>
    <w:rPr>
      <w:rFonts w:ascii="MingLiU" w:eastAsia="MingLiU"/>
      <w:spacing w:val="20"/>
      <w:sz w:val="22"/>
    </w:rPr>
  </w:style>
  <w:style w:type="character" w:customStyle="1" w:styleId="106">
    <w:name w:val="副标题 Char1"/>
    <w:autoRedefine/>
    <w:qFormat/>
    <w:uiPriority w:val="11"/>
    <w:rPr>
      <w:rFonts w:ascii="Cambria" w:hAnsi="Cambria" w:cs="Times New Roman"/>
      <w:b/>
      <w:bCs/>
      <w:kern w:val="28"/>
      <w:sz w:val="32"/>
      <w:szCs w:val="32"/>
    </w:rPr>
  </w:style>
  <w:style w:type="character" w:customStyle="1" w:styleId="107">
    <w:name w:val="日期 Char2"/>
    <w:autoRedefine/>
    <w:semiHidden/>
    <w:qFormat/>
    <w:uiPriority w:val="99"/>
    <w:rPr>
      <w:kern w:val="2"/>
      <w:sz w:val="21"/>
      <w:szCs w:val="22"/>
    </w:rPr>
  </w:style>
  <w:style w:type="character" w:customStyle="1" w:styleId="108">
    <w:name w:val="t_tag"/>
    <w:autoRedefine/>
    <w:qFormat/>
    <w:uiPriority w:val="0"/>
  </w:style>
  <w:style w:type="character" w:customStyle="1" w:styleId="109">
    <w:name w:val="批注框文本 Char1"/>
    <w:autoRedefine/>
    <w:qFormat/>
    <w:uiPriority w:val="0"/>
    <w:rPr>
      <w:kern w:val="2"/>
      <w:sz w:val="18"/>
      <w:szCs w:val="18"/>
    </w:rPr>
  </w:style>
  <w:style w:type="character" w:customStyle="1" w:styleId="110">
    <w:name w:val="标题 Char1"/>
    <w:autoRedefine/>
    <w:qFormat/>
    <w:uiPriority w:val="10"/>
    <w:rPr>
      <w:rFonts w:ascii="Cambria" w:hAnsi="Cambria" w:cs="Times New Roman"/>
      <w:b/>
      <w:bCs/>
      <w:kern w:val="2"/>
      <w:sz w:val="32"/>
      <w:szCs w:val="32"/>
    </w:rPr>
  </w:style>
  <w:style w:type="character" w:customStyle="1" w:styleId="111">
    <w:name w:val="批注文字 Char1"/>
    <w:autoRedefine/>
    <w:qFormat/>
    <w:uiPriority w:val="99"/>
    <w:rPr>
      <w:kern w:val="2"/>
      <w:sz w:val="21"/>
      <w:szCs w:val="24"/>
    </w:rPr>
  </w:style>
  <w:style w:type="character" w:customStyle="1" w:styleId="112">
    <w:name w:val="批注主题 Char2"/>
    <w:autoRedefine/>
    <w:semiHidden/>
    <w:qFormat/>
    <w:uiPriority w:val="99"/>
    <w:rPr>
      <w:b/>
      <w:bCs/>
      <w:kern w:val="2"/>
      <w:sz w:val="21"/>
      <w:szCs w:val="22"/>
    </w:rPr>
  </w:style>
  <w:style w:type="character" w:customStyle="1" w:styleId="113">
    <w:name w:val="批注主题 Char1"/>
    <w:autoRedefine/>
    <w:qFormat/>
    <w:uiPriority w:val="0"/>
    <w:rPr>
      <w:b/>
      <w:bCs/>
      <w:kern w:val="2"/>
      <w:sz w:val="21"/>
      <w:szCs w:val="24"/>
    </w:rPr>
  </w:style>
  <w:style w:type="character" w:customStyle="1" w:styleId="114">
    <w:name w:val="普通文字1 Char"/>
    <w:autoRedefine/>
    <w:qFormat/>
    <w:uiPriority w:val="99"/>
    <w:rPr>
      <w:rFonts w:ascii="宋体" w:hAnsi="Courier New" w:eastAsia="宋体" w:cs="Courier New"/>
      <w:szCs w:val="21"/>
    </w:rPr>
  </w:style>
  <w:style w:type="character" w:customStyle="1" w:styleId="115">
    <w:name w:val="标题 1 Char1"/>
    <w:autoRedefine/>
    <w:qFormat/>
    <w:uiPriority w:val="0"/>
    <w:rPr>
      <w:rFonts w:ascii="Calibri" w:hAnsi="Calibri" w:eastAsia="宋体"/>
      <w:b/>
      <w:kern w:val="44"/>
      <w:sz w:val="44"/>
      <w:szCs w:val="44"/>
    </w:rPr>
  </w:style>
  <w:style w:type="character" w:customStyle="1" w:styleId="116">
    <w:name w:val="标题 3 Char1"/>
    <w:autoRedefine/>
    <w:semiHidden/>
    <w:qFormat/>
    <w:uiPriority w:val="0"/>
    <w:rPr>
      <w:rFonts w:ascii="Calibri" w:hAnsi="Calibri" w:eastAsia="宋体"/>
      <w:b/>
      <w:kern w:val="2"/>
      <w:sz w:val="32"/>
    </w:rPr>
  </w:style>
  <w:style w:type="character" w:customStyle="1" w:styleId="117">
    <w:name w:val="标题 4 Char1"/>
    <w:autoRedefine/>
    <w:semiHidden/>
    <w:qFormat/>
    <w:uiPriority w:val="0"/>
    <w:rPr>
      <w:rFonts w:ascii="Cambria" w:hAnsi="Cambria" w:eastAsia="宋体"/>
      <w:b/>
      <w:kern w:val="2"/>
      <w:sz w:val="28"/>
      <w:szCs w:val="28"/>
    </w:rPr>
  </w:style>
  <w:style w:type="character" w:customStyle="1" w:styleId="118">
    <w:name w:val="标题 5 Char1"/>
    <w:autoRedefine/>
    <w:semiHidden/>
    <w:qFormat/>
    <w:uiPriority w:val="0"/>
    <w:rPr>
      <w:rFonts w:ascii="Calibri" w:hAnsi="Calibri" w:eastAsia="宋体"/>
      <w:b/>
      <w:kern w:val="2"/>
      <w:sz w:val="28"/>
      <w:szCs w:val="28"/>
    </w:rPr>
  </w:style>
  <w:style w:type="character" w:customStyle="1" w:styleId="119">
    <w:name w:val="标题 6 Char1"/>
    <w:autoRedefine/>
    <w:semiHidden/>
    <w:qFormat/>
    <w:uiPriority w:val="0"/>
    <w:rPr>
      <w:rFonts w:ascii="Cambria" w:hAnsi="Cambria" w:eastAsia="宋体"/>
      <w:b/>
      <w:kern w:val="2"/>
      <w:sz w:val="24"/>
      <w:szCs w:val="24"/>
    </w:rPr>
  </w:style>
  <w:style w:type="character" w:customStyle="1" w:styleId="120">
    <w:name w:val="正文文本 (2) + 间距 0 pt5"/>
    <w:autoRedefine/>
    <w:qFormat/>
    <w:uiPriority w:val="99"/>
    <w:rPr>
      <w:rFonts w:ascii="MingLiU" w:eastAsia="MingLiU" w:cs="MingLiU"/>
      <w:spacing w:val="0"/>
      <w:sz w:val="22"/>
      <w:shd w:val="clear" w:color="auto" w:fill="FFFFFF"/>
    </w:rPr>
  </w:style>
  <w:style w:type="character" w:customStyle="1" w:styleId="121">
    <w:name w:val="标题 7 Char1"/>
    <w:autoRedefine/>
    <w:semiHidden/>
    <w:qFormat/>
    <w:uiPriority w:val="0"/>
    <w:rPr>
      <w:rFonts w:ascii="Calibri" w:hAnsi="Calibri" w:eastAsia="宋体"/>
      <w:b/>
      <w:kern w:val="2"/>
      <w:sz w:val="24"/>
      <w:szCs w:val="24"/>
    </w:rPr>
  </w:style>
  <w:style w:type="character" w:customStyle="1" w:styleId="122">
    <w:name w:val="标题 8 Char1"/>
    <w:autoRedefine/>
    <w:semiHidden/>
    <w:qFormat/>
    <w:uiPriority w:val="0"/>
    <w:rPr>
      <w:rFonts w:ascii="Cambria" w:hAnsi="Cambria" w:eastAsia="宋体"/>
      <w:kern w:val="2"/>
      <w:sz w:val="24"/>
      <w:szCs w:val="24"/>
    </w:rPr>
  </w:style>
  <w:style w:type="character" w:customStyle="1" w:styleId="123">
    <w:name w:val="页眉 Char1"/>
    <w:autoRedefine/>
    <w:semiHidden/>
    <w:qFormat/>
    <w:uiPriority w:val="99"/>
    <w:rPr>
      <w:kern w:val="2"/>
      <w:sz w:val="18"/>
      <w:szCs w:val="18"/>
    </w:rPr>
  </w:style>
  <w:style w:type="character" w:customStyle="1" w:styleId="124">
    <w:name w:val="标题 9 Char1"/>
    <w:autoRedefine/>
    <w:semiHidden/>
    <w:qFormat/>
    <w:uiPriority w:val="0"/>
    <w:rPr>
      <w:rFonts w:ascii="Cambria" w:hAnsi="Cambria" w:eastAsia="宋体"/>
      <w:kern w:val="2"/>
      <w:sz w:val="21"/>
      <w:szCs w:val="21"/>
    </w:rPr>
  </w:style>
  <w:style w:type="character" w:customStyle="1" w:styleId="125">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126">
    <w:name w:val="标题 2 Char_0"/>
    <w:link w:val="127"/>
    <w:autoRedefine/>
    <w:qFormat/>
    <w:uiPriority w:val="0"/>
    <w:rPr>
      <w:rFonts w:ascii="黑体" w:hAnsi="宋体" w:eastAsia="黑体"/>
      <w:b/>
      <w:smallCaps/>
      <w:snapToGrid w:val="0"/>
      <w:sz w:val="36"/>
      <w:szCs w:val="24"/>
    </w:rPr>
  </w:style>
  <w:style w:type="paragraph" w:customStyle="1" w:styleId="127">
    <w:name w:val="标题 2_0"/>
    <w:basedOn w:val="128"/>
    <w:next w:val="129"/>
    <w:link w:val="126"/>
    <w:autoRedefine/>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128">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Texte Char1"/>
    <w:link w:val="131"/>
    <w:autoRedefine/>
    <w:qFormat/>
    <w:uiPriority w:val="99"/>
    <w:rPr>
      <w:rFonts w:ascii="宋体" w:hAnsi="Courier New"/>
      <w:kern w:val="2"/>
      <w:sz w:val="21"/>
      <w:szCs w:val="21"/>
      <w:lang w:val="en-US" w:eastAsia="zh-CN"/>
    </w:rPr>
  </w:style>
  <w:style w:type="paragraph" w:customStyle="1" w:styleId="131">
    <w:name w:val="纯文本_0"/>
    <w:basedOn w:val="129"/>
    <w:link w:val="130"/>
    <w:autoRedefine/>
    <w:qFormat/>
    <w:uiPriority w:val="99"/>
    <w:rPr>
      <w:rFonts w:ascii="宋体" w:hAnsi="Courier New"/>
      <w:szCs w:val="21"/>
    </w:rPr>
  </w:style>
  <w:style w:type="character" w:customStyle="1" w:styleId="132">
    <w:name w:val="纯文本 Char1_0"/>
    <w:link w:val="133"/>
    <w:autoRedefine/>
    <w:qFormat/>
    <w:uiPriority w:val="0"/>
    <w:rPr>
      <w:rFonts w:ascii="宋体" w:hAnsi="Courier New"/>
      <w:kern w:val="2"/>
      <w:sz w:val="21"/>
      <w:szCs w:val="21"/>
    </w:rPr>
  </w:style>
  <w:style w:type="paragraph" w:customStyle="1" w:styleId="133">
    <w:name w:val="纯文本_1"/>
    <w:basedOn w:val="134"/>
    <w:link w:val="132"/>
    <w:autoRedefine/>
    <w:qFormat/>
    <w:uiPriority w:val="0"/>
    <w:rPr>
      <w:rFonts w:ascii="宋体" w:hAnsi="Courier New"/>
      <w:szCs w:val="21"/>
    </w:rPr>
  </w:style>
  <w:style w:type="paragraph" w:customStyle="1" w:styleId="13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5">
    <w:name w:val="文档结构图 Char2"/>
    <w:autoRedefine/>
    <w:semiHidden/>
    <w:qFormat/>
    <w:uiPriority w:val="99"/>
    <w:rPr>
      <w:rFonts w:ascii="宋体"/>
      <w:kern w:val="2"/>
      <w:sz w:val="18"/>
      <w:szCs w:val="18"/>
    </w:rPr>
  </w:style>
  <w:style w:type="character" w:customStyle="1" w:styleId="136">
    <w:name w:val="标题 1 Char_0"/>
    <w:link w:val="137"/>
    <w:autoRedefine/>
    <w:qFormat/>
    <w:uiPriority w:val="0"/>
    <w:rPr>
      <w:rFonts w:ascii="黑体" w:eastAsia="黑体"/>
      <w:sz w:val="52"/>
    </w:rPr>
  </w:style>
  <w:style w:type="paragraph" w:customStyle="1" w:styleId="137">
    <w:name w:val="标题 1_0"/>
    <w:basedOn w:val="138"/>
    <w:next w:val="138"/>
    <w:link w:val="136"/>
    <w:autoRedefine/>
    <w:qFormat/>
    <w:uiPriority w:val="0"/>
    <w:pPr>
      <w:keepNext/>
      <w:widowControl/>
      <w:numPr>
        <w:ilvl w:val="0"/>
        <w:numId w:val="1"/>
      </w:numPr>
      <w:jc w:val="center"/>
      <w:outlineLvl w:val="0"/>
    </w:pPr>
    <w:rPr>
      <w:rFonts w:ascii="黑体" w:eastAsia="黑体"/>
      <w:kern w:val="0"/>
      <w:sz w:val="52"/>
      <w:szCs w:val="20"/>
    </w:rPr>
  </w:style>
  <w:style w:type="paragraph" w:customStyle="1" w:styleId="138">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9">
    <w:name w:val="正文2 Char"/>
    <w:link w:val="140"/>
    <w:autoRedefine/>
    <w:qFormat/>
    <w:uiPriority w:val="0"/>
    <w:rPr>
      <w:rFonts w:ascii="楷体" w:eastAsia="楷体"/>
      <w:b/>
      <w:color w:val="0000FF"/>
      <w:kern w:val="2"/>
      <w:sz w:val="21"/>
      <w:szCs w:val="22"/>
      <w:lang w:val="en-US" w:eastAsia="zh-CN" w:bidi="ar-SA"/>
    </w:rPr>
  </w:style>
  <w:style w:type="paragraph" w:customStyle="1" w:styleId="140">
    <w:name w:val="正文2"/>
    <w:link w:val="139"/>
    <w:autoRedefine/>
    <w:qFormat/>
    <w:uiPriority w:val="0"/>
    <w:pPr>
      <w:widowControl w:val="0"/>
      <w:adjustRightInd w:val="0"/>
      <w:snapToGrid w:val="0"/>
      <w:spacing w:line="360" w:lineRule="auto"/>
      <w:ind w:firstLine="200" w:firstLineChars="200"/>
      <w:jc w:val="both"/>
      <w:textAlignment w:val="baseline"/>
    </w:pPr>
    <w:rPr>
      <w:rFonts w:ascii="楷体" w:hAnsi="Times New Roman" w:eastAsia="楷体" w:cs="Times New Roman"/>
      <w:b/>
      <w:color w:val="0000FF"/>
      <w:kern w:val="2"/>
      <w:sz w:val="21"/>
      <w:szCs w:val="22"/>
      <w:lang w:val="en-US" w:eastAsia="zh-CN" w:bidi="ar-SA"/>
    </w:rPr>
  </w:style>
  <w:style w:type="character" w:customStyle="1" w:styleId="141">
    <w:name w:val="标题 6 Char_0"/>
    <w:link w:val="142"/>
    <w:autoRedefine/>
    <w:qFormat/>
    <w:uiPriority w:val="0"/>
    <w:rPr>
      <w:rFonts w:ascii="Arial" w:hAnsi="Arial" w:eastAsia="黑体"/>
      <w:b/>
      <w:bCs/>
      <w:sz w:val="24"/>
      <w:szCs w:val="24"/>
    </w:rPr>
  </w:style>
  <w:style w:type="paragraph" w:customStyle="1" w:styleId="142">
    <w:name w:val="标题 6_0"/>
    <w:basedOn w:val="138"/>
    <w:next w:val="138"/>
    <w:link w:val="141"/>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character" w:customStyle="1" w:styleId="143">
    <w:name w:val="标题 7 Char_0"/>
    <w:link w:val="144"/>
    <w:autoRedefine/>
    <w:qFormat/>
    <w:uiPriority w:val="0"/>
    <w:rPr>
      <w:b/>
      <w:bCs/>
      <w:sz w:val="24"/>
      <w:szCs w:val="24"/>
    </w:rPr>
  </w:style>
  <w:style w:type="paragraph" w:customStyle="1" w:styleId="144">
    <w:name w:val="标题 7_0"/>
    <w:basedOn w:val="138"/>
    <w:next w:val="138"/>
    <w:link w:val="143"/>
    <w:autoRedefine/>
    <w:qFormat/>
    <w:uiPriority w:val="0"/>
    <w:pPr>
      <w:keepNext/>
      <w:keepLines/>
      <w:widowControl/>
      <w:numPr>
        <w:ilvl w:val="6"/>
        <w:numId w:val="1"/>
      </w:numPr>
      <w:spacing w:before="240" w:after="64" w:line="320" w:lineRule="auto"/>
      <w:jc w:val="left"/>
      <w:outlineLvl w:val="6"/>
    </w:pPr>
    <w:rPr>
      <w:b/>
      <w:bCs/>
      <w:kern w:val="0"/>
      <w:sz w:val="24"/>
    </w:rPr>
  </w:style>
  <w:style w:type="character" w:customStyle="1" w:styleId="145">
    <w:name w:val="标题 8 Char_0"/>
    <w:link w:val="146"/>
    <w:autoRedefine/>
    <w:qFormat/>
    <w:uiPriority w:val="0"/>
    <w:rPr>
      <w:rFonts w:ascii="Arial" w:hAnsi="Arial" w:eastAsia="黑体"/>
      <w:sz w:val="24"/>
      <w:szCs w:val="24"/>
    </w:rPr>
  </w:style>
  <w:style w:type="paragraph" w:customStyle="1" w:styleId="146">
    <w:name w:val="标题 8_0"/>
    <w:basedOn w:val="138"/>
    <w:next w:val="138"/>
    <w:link w:val="145"/>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character" w:customStyle="1" w:styleId="147">
    <w:name w:val="标题 9 Char_0"/>
    <w:link w:val="148"/>
    <w:autoRedefine/>
    <w:qFormat/>
    <w:uiPriority w:val="0"/>
    <w:rPr>
      <w:rFonts w:ascii="Arial" w:hAnsi="Arial" w:eastAsia="黑体"/>
      <w:sz w:val="21"/>
      <w:szCs w:val="21"/>
    </w:rPr>
  </w:style>
  <w:style w:type="paragraph" w:customStyle="1" w:styleId="148">
    <w:name w:val="标题 9_0"/>
    <w:basedOn w:val="138"/>
    <w:next w:val="138"/>
    <w:link w:val="147"/>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customStyle="1" w:styleId="149">
    <w:name w:val="标题 3 Char_0"/>
    <w:link w:val="150"/>
    <w:autoRedefine/>
    <w:qFormat/>
    <w:uiPriority w:val="0"/>
    <w:rPr>
      <w:b/>
      <w:sz w:val="32"/>
    </w:rPr>
  </w:style>
  <w:style w:type="paragraph" w:customStyle="1" w:styleId="150">
    <w:name w:val="标题 3_0"/>
    <w:basedOn w:val="138"/>
    <w:next w:val="151"/>
    <w:link w:val="149"/>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151">
    <w:name w:val="正文缩进_0"/>
    <w:basedOn w:val="138"/>
    <w:autoRedefine/>
    <w:unhideWhenUsed/>
    <w:qFormat/>
    <w:uiPriority w:val="0"/>
    <w:pPr>
      <w:ind w:firstLine="420" w:firstLineChars="200"/>
    </w:pPr>
    <w:rPr>
      <w:rFonts w:ascii="Calibri" w:hAnsi="Calibri"/>
      <w:bCs/>
      <w:szCs w:val="32"/>
    </w:rPr>
  </w:style>
  <w:style w:type="character" w:customStyle="1" w:styleId="152">
    <w:name w:val="Blockquote Char_0"/>
    <w:link w:val="153"/>
    <w:autoRedefine/>
    <w:qFormat/>
    <w:locked/>
    <w:uiPriority w:val="0"/>
    <w:rPr>
      <w:sz w:val="24"/>
    </w:rPr>
  </w:style>
  <w:style w:type="paragraph" w:customStyle="1" w:styleId="153">
    <w:name w:val="Blockquote_0"/>
    <w:basedOn w:val="138"/>
    <w:link w:val="152"/>
    <w:autoRedefine/>
    <w:qFormat/>
    <w:uiPriority w:val="0"/>
    <w:pPr>
      <w:autoSpaceDE w:val="0"/>
      <w:autoSpaceDN w:val="0"/>
      <w:adjustRightInd w:val="0"/>
      <w:spacing w:before="100" w:after="100"/>
      <w:ind w:left="360" w:right="360"/>
      <w:jc w:val="left"/>
    </w:pPr>
    <w:rPr>
      <w:kern w:val="0"/>
      <w:sz w:val="24"/>
      <w:szCs w:val="20"/>
    </w:rPr>
  </w:style>
  <w:style w:type="character" w:customStyle="1" w:styleId="154">
    <w:name w:val="标题 4 Char_0"/>
    <w:link w:val="155"/>
    <w:autoRedefine/>
    <w:qFormat/>
    <w:uiPriority w:val="0"/>
    <w:rPr>
      <w:rFonts w:ascii="Arial" w:hAnsi="Arial" w:eastAsia="黑体"/>
      <w:sz w:val="28"/>
    </w:rPr>
  </w:style>
  <w:style w:type="paragraph" w:customStyle="1" w:styleId="155">
    <w:name w:val="标题 4_0"/>
    <w:basedOn w:val="138"/>
    <w:next w:val="138"/>
    <w:link w:val="154"/>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156">
    <w:name w:val="纯文本 Char1_1"/>
    <w:link w:val="157"/>
    <w:autoRedefine/>
    <w:qFormat/>
    <w:uiPriority w:val="0"/>
    <w:rPr>
      <w:rFonts w:ascii="宋体" w:hAnsi="Courier New"/>
      <w:kern w:val="2"/>
      <w:sz w:val="21"/>
      <w:szCs w:val="21"/>
    </w:rPr>
  </w:style>
  <w:style w:type="paragraph" w:customStyle="1" w:styleId="157">
    <w:name w:val="纯文本_2"/>
    <w:basedOn w:val="138"/>
    <w:link w:val="156"/>
    <w:autoRedefine/>
    <w:qFormat/>
    <w:uiPriority w:val="0"/>
    <w:rPr>
      <w:rFonts w:ascii="宋体" w:hAnsi="Courier New"/>
      <w:szCs w:val="21"/>
    </w:rPr>
  </w:style>
  <w:style w:type="character" w:customStyle="1" w:styleId="158">
    <w:name w:val="Blockquote Char_0_1"/>
    <w:link w:val="159"/>
    <w:autoRedefine/>
    <w:qFormat/>
    <w:locked/>
    <w:uiPriority w:val="0"/>
    <w:rPr>
      <w:sz w:val="24"/>
    </w:rPr>
  </w:style>
  <w:style w:type="paragraph" w:customStyle="1" w:styleId="159">
    <w:name w:val="Blockquote_0_1"/>
    <w:basedOn w:val="160"/>
    <w:link w:val="158"/>
    <w:autoRedefine/>
    <w:qFormat/>
    <w:uiPriority w:val="0"/>
    <w:pPr>
      <w:autoSpaceDE w:val="0"/>
      <w:autoSpaceDN w:val="0"/>
      <w:adjustRightInd w:val="0"/>
      <w:spacing w:before="100" w:after="100"/>
      <w:ind w:left="360" w:right="360"/>
      <w:jc w:val="left"/>
    </w:pPr>
    <w:rPr>
      <w:kern w:val="0"/>
      <w:sz w:val="24"/>
      <w:szCs w:val="20"/>
    </w:rPr>
  </w:style>
  <w:style w:type="paragraph" w:customStyle="1" w:styleId="160">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正文文本 Char_0"/>
    <w:link w:val="162"/>
    <w:autoRedefine/>
    <w:qFormat/>
    <w:uiPriority w:val="0"/>
    <w:rPr>
      <w:kern w:val="2"/>
      <w:sz w:val="21"/>
      <w:szCs w:val="24"/>
    </w:rPr>
  </w:style>
  <w:style w:type="paragraph" w:customStyle="1" w:styleId="162">
    <w:name w:val="正文文本_0"/>
    <w:basedOn w:val="138"/>
    <w:link w:val="161"/>
    <w:autoRedefine/>
    <w:qFormat/>
    <w:uiPriority w:val="0"/>
    <w:pPr>
      <w:spacing w:after="120"/>
    </w:pPr>
  </w:style>
  <w:style w:type="character" w:customStyle="1" w:styleId="163">
    <w:name w:val="脚注文本 Char_0"/>
    <w:link w:val="164"/>
    <w:autoRedefine/>
    <w:semiHidden/>
    <w:qFormat/>
    <w:uiPriority w:val="0"/>
    <w:rPr>
      <w:sz w:val="18"/>
    </w:rPr>
  </w:style>
  <w:style w:type="paragraph" w:customStyle="1" w:styleId="164">
    <w:name w:val="脚注文本_0"/>
    <w:basedOn w:val="165"/>
    <w:link w:val="163"/>
    <w:autoRedefine/>
    <w:unhideWhenUsed/>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16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6">
    <w:name w:val="Char Char"/>
    <w:autoRedefine/>
    <w:qFormat/>
    <w:uiPriority w:val="0"/>
    <w:rPr>
      <w:rFonts w:ascii="宋体" w:hAnsi="Courier New" w:eastAsia="宋体" w:cs="Courier New"/>
      <w:kern w:val="2"/>
      <w:sz w:val="21"/>
      <w:szCs w:val="21"/>
      <w:lang w:val="en-US" w:eastAsia="zh-CN" w:bidi="ar-SA"/>
    </w:rPr>
  </w:style>
  <w:style w:type="character" w:customStyle="1" w:styleId="167">
    <w:name w:val="标题4 Char Char"/>
    <w:link w:val="168"/>
    <w:autoRedefine/>
    <w:qFormat/>
    <w:uiPriority w:val="0"/>
    <w:rPr>
      <w:rFonts w:ascii="Arial" w:hAnsi="Arial"/>
      <w:b/>
      <w:bCs/>
      <w:sz w:val="24"/>
      <w:szCs w:val="32"/>
    </w:rPr>
  </w:style>
  <w:style w:type="paragraph" w:customStyle="1" w:styleId="168">
    <w:name w:val="标题4"/>
    <w:basedOn w:val="4"/>
    <w:next w:val="24"/>
    <w:link w:val="167"/>
    <w:autoRedefine/>
    <w:qFormat/>
    <w:uiPriority w:val="0"/>
    <w:pPr>
      <w:spacing w:before="0" w:after="0" w:line="413" w:lineRule="auto"/>
    </w:pPr>
    <w:rPr>
      <w:rFonts w:ascii="Arial" w:hAnsi="Arial"/>
      <w:kern w:val="0"/>
      <w:sz w:val="24"/>
    </w:rPr>
  </w:style>
  <w:style w:type="character" w:customStyle="1" w:styleId="169">
    <w:name w:val="明显引用 Char"/>
    <w:link w:val="170"/>
    <w:autoRedefine/>
    <w:qFormat/>
    <w:uiPriority w:val="0"/>
    <w:rPr>
      <w:b/>
      <w:bCs/>
      <w:i/>
      <w:iCs/>
      <w:color w:val="4F81BD"/>
      <w:kern w:val="2"/>
      <w:sz w:val="21"/>
      <w:szCs w:val="22"/>
    </w:rPr>
  </w:style>
  <w:style w:type="paragraph" w:styleId="170">
    <w:name w:val="Intense Quote"/>
    <w:basedOn w:val="1"/>
    <w:next w:val="1"/>
    <w:link w:val="169"/>
    <w:autoRedefine/>
    <w:qFormat/>
    <w:uiPriority w:val="0"/>
    <w:pPr>
      <w:pBdr>
        <w:bottom w:val="single" w:color="4F81BD" w:sz="4" w:space="4"/>
      </w:pBdr>
      <w:spacing w:before="200" w:after="280"/>
      <w:ind w:left="936" w:right="936"/>
    </w:pPr>
    <w:rPr>
      <w:rFonts w:ascii="Times New Roman"/>
      <w:b/>
      <w:bCs/>
      <w:i/>
      <w:iCs/>
      <w:color w:val="4F81BD"/>
      <w:kern w:val="2"/>
      <w:sz w:val="21"/>
      <w:szCs w:val="22"/>
    </w:rPr>
  </w:style>
  <w:style w:type="character" w:customStyle="1" w:styleId="171">
    <w:name w:val="明显引用 Char1"/>
    <w:autoRedefine/>
    <w:qFormat/>
    <w:uiPriority w:val="30"/>
    <w:rPr>
      <w:b/>
      <w:bCs/>
      <w:i/>
      <w:iCs/>
      <w:color w:val="4F81BD"/>
      <w:kern w:val="2"/>
      <w:sz w:val="21"/>
      <w:szCs w:val="24"/>
    </w:rPr>
  </w:style>
  <w:style w:type="character" w:customStyle="1" w:styleId="172">
    <w:name w:val="标题5 Char Char"/>
    <w:link w:val="173"/>
    <w:autoRedefine/>
    <w:qFormat/>
    <w:uiPriority w:val="0"/>
    <w:rPr>
      <w:rFonts w:ascii="Arial" w:hAnsi="Arial"/>
      <w:b/>
      <w:bCs/>
      <w:sz w:val="24"/>
      <w:szCs w:val="32"/>
    </w:rPr>
  </w:style>
  <w:style w:type="paragraph" w:customStyle="1" w:styleId="173">
    <w:name w:val="标题5"/>
    <w:basedOn w:val="2"/>
    <w:link w:val="172"/>
    <w:autoRedefine/>
    <w:qFormat/>
    <w:uiPriority w:val="0"/>
    <w:pPr>
      <w:spacing w:before="260" w:after="260" w:line="413" w:lineRule="auto"/>
    </w:pPr>
    <w:rPr>
      <w:rFonts w:ascii="Arial" w:hAnsi="Arial" w:eastAsia="宋体"/>
      <w:b/>
      <w:kern w:val="0"/>
      <w:szCs w:val="32"/>
    </w:rPr>
  </w:style>
  <w:style w:type="character" w:customStyle="1" w:styleId="174">
    <w:name w:val="引用 Char"/>
    <w:link w:val="175"/>
    <w:autoRedefine/>
    <w:qFormat/>
    <w:uiPriority w:val="0"/>
    <w:rPr>
      <w:i/>
      <w:iCs/>
      <w:color w:val="000000"/>
      <w:kern w:val="2"/>
      <w:sz w:val="21"/>
      <w:szCs w:val="22"/>
    </w:rPr>
  </w:style>
  <w:style w:type="paragraph" w:styleId="175">
    <w:name w:val="Quote"/>
    <w:basedOn w:val="1"/>
    <w:next w:val="1"/>
    <w:link w:val="174"/>
    <w:autoRedefine/>
    <w:qFormat/>
    <w:uiPriority w:val="0"/>
    <w:rPr>
      <w:rFonts w:ascii="Times New Roman"/>
      <w:i/>
      <w:iCs/>
      <w:color w:val="000000"/>
      <w:kern w:val="2"/>
      <w:sz w:val="21"/>
      <w:szCs w:val="22"/>
    </w:rPr>
  </w:style>
  <w:style w:type="character" w:customStyle="1" w:styleId="176">
    <w:name w:val="引用 Char1"/>
    <w:autoRedefine/>
    <w:qFormat/>
    <w:uiPriority w:val="29"/>
    <w:rPr>
      <w:i/>
      <w:iCs/>
      <w:color w:val="000000"/>
      <w:kern w:val="2"/>
      <w:sz w:val="21"/>
      <w:szCs w:val="24"/>
    </w:rPr>
  </w:style>
  <w:style w:type="character" w:customStyle="1" w:styleId="177">
    <w:name w:val="ask-title2"/>
    <w:autoRedefine/>
    <w:qFormat/>
    <w:uiPriority w:val="0"/>
  </w:style>
  <w:style w:type="character" w:customStyle="1" w:styleId="178">
    <w:name w:val="正文文本 Char1"/>
    <w:autoRedefine/>
    <w:qFormat/>
    <w:uiPriority w:val="0"/>
    <w:rPr>
      <w:kern w:val="2"/>
      <w:sz w:val="21"/>
      <w:szCs w:val="22"/>
    </w:rPr>
  </w:style>
  <w:style w:type="character" w:customStyle="1" w:styleId="179">
    <w:name w:val="不明显强调1"/>
    <w:autoRedefine/>
    <w:qFormat/>
    <w:uiPriority w:val="0"/>
    <w:rPr>
      <w:i/>
      <w:iCs/>
      <w:color w:val="808080"/>
    </w:rPr>
  </w:style>
  <w:style w:type="character" w:customStyle="1" w:styleId="180">
    <w:name w:val="明显参考1"/>
    <w:autoRedefine/>
    <w:qFormat/>
    <w:uiPriority w:val="0"/>
    <w:rPr>
      <w:b/>
      <w:bCs/>
      <w:smallCaps/>
      <w:color w:val="C0504D"/>
      <w:spacing w:val="5"/>
      <w:u w:val="single"/>
    </w:rPr>
  </w:style>
  <w:style w:type="character" w:customStyle="1" w:styleId="181">
    <w:name w:val="日期 Char1"/>
    <w:autoRedefine/>
    <w:qFormat/>
    <w:uiPriority w:val="0"/>
    <w:rPr>
      <w:kern w:val="2"/>
      <w:sz w:val="21"/>
      <w:szCs w:val="22"/>
    </w:rPr>
  </w:style>
  <w:style w:type="character" w:customStyle="1" w:styleId="182">
    <w:name w:val="明显强调1"/>
    <w:autoRedefine/>
    <w:qFormat/>
    <w:uiPriority w:val="0"/>
    <w:rPr>
      <w:b/>
      <w:bCs/>
      <w:i/>
      <w:iCs/>
      <w:color w:val="4F81BD"/>
    </w:rPr>
  </w:style>
  <w:style w:type="character" w:customStyle="1" w:styleId="183">
    <w:name w:val="textcontents"/>
    <w:autoRedefine/>
    <w:qFormat/>
    <w:uiPriority w:val="0"/>
    <w:rPr>
      <w:rFonts w:cs="Times New Roman"/>
    </w:rPr>
  </w:style>
  <w:style w:type="character" w:customStyle="1" w:styleId="184">
    <w:name w:val="不明显参考1"/>
    <w:autoRedefine/>
    <w:qFormat/>
    <w:uiPriority w:val="0"/>
    <w:rPr>
      <w:smallCaps/>
      <w:color w:val="C0504D"/>
      <w:u w:val="single"/>
    </w:rPr>
  </w:style>
  <w:style w:type="character" w:customStyle="1" w:styleId="185">
    <w:name w:val="批注文字 Char Char"/>
    <w:autoRedefine/>
    <w:qFormat/>
    <w:uiPriority w:val="0"/>
    <w:rPr>
      <w:rFonts w:ascii="宋体" w:hAnsi="Times New Roman" w:eastAsia="宋体" w:cs="Times New Roman"/>
      <w:sz w:val="28"/>
      <w:szCs w:val="20"/>
    </w:rPr>
  </w:style>
  <w:style w:type="character" w:customStyle="1" w:styleId="186">
    <w:name w:val="文档结构图 Char1"/>
    <w:autoRedefine/>
    <w:qFormat/>
    <w:uiPriority w:val="0"/>
    <w:rPr>
      <w:rFonts w:ascii="宋体"/>
      <w:kern w:val="2"/>
      <w:sz w:val="18"/>
      <w:szCs w:val="18"/>
    </w:rPr>
  </w:style>
  <w:style w:type="character" w:customStyle="1" w:styleId="187">
    <w:name w:val="页脚 Char1"/>
    <w:autoRedefine/>
    <w:semiHidden/>
    <w:qFormat/>
    <w:uiPriority w:val="99"/>
    <w:rPr>
      <w:kern w:val="2"/>
      <w:sz w:val="18"/>
      <w:szCs w:val="18"/>
    </w:rPr>
  </w:style>
  <w:style w:type="character" w:customStyle="1" w:styleId="188">
    <w:name w:val="批注框文本 Char2"/>
    <w:autoRedefine/>
    <w:semiHidden/>
    <w:qFormat/>
    <w:uiPriority w:val="99"/>
    <w:rPr>
      <w:kern w:val="2"/>
      <w:sz w:val="18"/>
      <w:szCs w:val="18"/>
    </w:rPr>
  </w:style>
  <w:style w:type="paragraph" w:customStyle="1" w:styleId="18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rPr>
  </w:style>
  <w:style w:type="paragraph" w:customStyle="1" w:styleId="190">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sz w:val="18"/>
      <w:szCs w:val="18"/>
    </w:rPr>
  </w:style>
  <w:style w:type="paragraph" w:customStyle="1" w:styleId="19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18"/>
      <w:szCs w:val="18"/>
    </w:rPr>
  </w:style>
  <w:style w:type="paragraph" w:customStyle="1" w:styleId="193">
    <w:name w:val="Char Char Char Char"/>
    <w:basedOn w:val="1"/>
    <w:autoRedefine/>
    <w:qFormat/>
    <w:uiPriority w:val="0"/>
    <w:pPr>
      <w:snapToGrid w:val="0"/>
      <w:spacing w:line="360" w:lineRule="auto"/>
      <w:ind w:firstLine="200" w:firstLineChars="200"/>
    </w:pPr>
    <w:rPr>
      <w:rFonts w:ascii="Calibri" w:hAnsi="Calibri" w:eastAsia="仿宋_GB2312"/>
      <w:szCs w:val="22"/>
    </w:rPr>
  </w:style>
  <w:style w:type="paragraph" w:customStyle="1" w:styleId="194">
    <w:name w:val="样式 标题 3 + (中文) 黑体 小四 非加粗 段前: 7.8 磅 段后: 0 磅 行距: 固定值 20 磅"/>
    <w:basedOn w:val="2"/>
    <w:autoRedefine/>
    <w:qFormat/>
    <w:uiPriority w:val="0"/>
    <w:pPr>
      <w:spacing w:line="400" w:lineRule="exact"/>
    </w:pPr>
    <w:rPr>
      <w:rFonts w:cs="宋体"/>
      <w:b/>
      <w:bCs w:val="0"/>
      <w:szCs w:val="20"/>
    </w:rPr>
  </w:style>
  <w:style w:type="paragraph" w:customStyle="1" w:styleId="19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rPr>
  </w:style>
  <w:style w:type="paragraph" w:customStyle="1" w:styleId="196">
    <w:name w:val="Char Char Char Char Char Char"/>
    <w:basedOn w:val="1"/>
    <w:autoRedefine/>
    <w:qFormat/>
    <w:uiPriority w:val="0"/>
    <w:rPr>
      <w:rFonts w:ascii="Tahoma" w:hAnsi="Tahoma"/>
    </w:rPr>
  </w:style>
  <w:style w:type="paragraph" w:customStyle="1" w:styleId="197">
    <w:name w:val="Normal_2"/>
    <w:autoRedefine/>
    <w:qFormat/>
    <w:uiPriority w:val="0"/>
    <w:rPr>
      <w:rFonts w:ascii="Times New Roman" w:hAnsi="Times New Roman" w:eastAsia="Times New Roman" w:cs="Times New Roman"/>
      <w:sz w:val="24"/>
      <w:szCs w:val="24"/>
      <w:lang w:val="en-US" w:eastAsia="zh-CN" w:bidi="ar-SA"/>
    </w:rPr>
  </w:style>
  <w:style w:type="paragraph" w:customStyle="1" w:styleId="19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rPr>
  </w:style>
  <w:style w:type="paragraph" w:customStyle="1" w:styleId="199">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rPr>
  </w:style>
  <w:style w:type="paragraph" w:customStyle="1" w:styleId="20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201">
    <w:name w:val="样式 标题 2 + Times New Roman 四号 非加粗 段前: 5 磅 段后: 0 磅 行距: 固定值 20..."/>
    <w:basedOn w:val="4"/>
    <w:next w:val="1"/>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202">
    <w:name w:val="普通 (Web)"/>
    <w:basedOn w:val="1"/>
    <w:autoRedefine/>
    <w:qFormat/>
    <w:uiPriority w:val="0"/>
    <w:pPr>
      <w:widowControl/>
      <w:spacing w:before="100" w:beforeAutospacing="1" w:after="100" w:afterAutospacing="1"/>
      <w:jc w:val="left"/>
    </w:pPr>
    <w:rPr>
      <w:rFonts w:hAnsi="宋体"/>
    </w:rPr>
  </w:style>
  <w:style w:type="paragraph" w:styleId="203">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06">
    <w:name w:val="Normal_0"/>
    <w:autoRedefine/>
    <w:qFormat/>
    <w:uiPriority w:val="0"/>
    <w:rPr>
      <w:rFonts w:ascii="Times New Roman" w:hAnsi="Times New Roman" w:eastAsia="宋体" w:cs="Times New Roman"/>
      <w:sz w:val="24"/>
      <w:szCs w:val="24"/>
      <w:lang w:val="en-US" w:eastAsia="zh-CN" w:bidi="ar-SA"/>
    </w:rPr>
  </w:style>
  <w:style w:type="paragraph" w:customStyle="1" w:styleId="207">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rPr>
  </w:style>
  <w:style w:type="paragraph" w:customStyle="1" w:styleId="20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sz w:val="18"/>
      <w:szCs w:val="18"/>
    </w:rPr>
  </w:style>
  <w:style w:type="paragraph" w:customStyle="1" w:styleId="21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212">
    <w:name w:val="Char"/>
    <w:basedOn w:val="1"/>
    <w:autoRedefine/>
    <w:qFormat/>
    <w:uiPriority w:val="0"/>
    <w:rPr>
      <w:rFonts w:ascii="Calibri" w:hAnsi="Calibri"/>
      <w:szCs w:val="22"/>
    </w:rPr>
  </w:style>
  <w:style w:type="paragraph" w:customStyle="1" w:styleId="213">
    <w:name w:val="Char Char Char Char Char Char1"/>
    <w:basedOn w:val="1"/>
    <w:autoRedefine/>
    <w:qFormat/>
    <w:uiPriority w:val="0"/>
    <w:rPr>
      <w:rFonts w:ascii="Tahoma" w:hAnsi="Tahoma"/>
    </w:rPr>
  </w:style>
  <w:style w:type="paragraph" w:customStyle="1" w:styleId="214">
    <w:name w:val="xl42"/>
    <w:basedOn w:val="1"/>
    <w:autoRedefine/>
    <w:qFormat/>
    <w:uiPriority w:val="0"/>
    <w:pPr>
      <w:widowControl/>
      <w:spacing w:before="100" w:beforeAutospacing="1" w:after="100" w:afterAutospacing="1"/>
      <w:jc w:val="center"/>
      <w:textAlignment w:val="center"/>
    </w:pPr>
    <w:rPr>
      <w:rFonts w:hAnsi="宋体"/>
      <w:b/>
      <w:bCs/>
      <w:sz w:val="32"/>
      <w:szCs w:val="32"/>
    </w:rPr>
  </w:style>
  <w:style w:type="paragraph" w:customStyle="1" w:styleId="21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szCs w:val="22"/>
    </w:rPr>
  </w:style>
  <w:style w:type="paragraph" w:customStyle="1" w:styleId="216">
    <w:name w:val="样式1"/>
    <w:basedOn w:val="1"/>
    <w:next w:val="5"/>
    <w:autoRedefine/>
    <w:qFormat/>
    <w:uiPriority w:val="0"/>
    <w:pPr>
      <w:spacing w:line="360" w:lineRule="auto"/>
      <w:ind w:firstLine="420" w:firstLineChars="200"/>
    </w:pPr>
    <w:rPr>
      <w:rFonts w:hAnsi="宋体"/>
      <w:szCs w:val="21"/>
    </w:rPr>
  </w:style>
  <w:style w:type="paragraph" w:customStyle="1" w:styleId="217">
    <w:name w:val="段落2"/>
    <w:basedOn w:val="1"/>
    <w:autoRedefine/>
    <w:qFormat/>
    <w:uiPriority w:val="0"/>
    <w:pPr>
      <w:spacing w:line="360" w:lineRule="auto"/>
      <w:ind w:firstLine="480" w:firstLineChars="200"/>
    </w:pPr>
    <w:rPr>
      <w:rFonts w:ascii="Calibri" w:hAnsi="Calibri" w:cs="Courier New"/>
      <w:szCs w:val="21"/>
    </w:rPr>
  </w:style>
  <w:style w:type="paragraph" w:customStyle="1" w:styleId="218">
    <w:name w:val="目录"/>
    <w:basedOn w:val="1"/>
    <w:autoRedefine/>
    <w:qFormat/>
    <w:uiPriority w:val="0"/>
    <w:pPr>
      <w:widowControl/>
      <w:jc w:val="center"/>
    </w:pPr>
    <w:rPr>
      <w:rFonts w:hAnsi="Calibri"/>
      <w:b/>
      <w:sz w:val="36"/>
    </w:rPr>
  </w:style>
  <w:style w:type="paragraph" w:customStyle="1" w:styleId="219">
    <w:name w:val="目录文字"/>
    <w:basedOn w:val="1"/>
    <w:autoRedefine/>
    <w:qFormat/>
    <w:uiPriority w:val="0"/>
    <w:pPr>
      <w:widowControl/>
      <w:spacing w:line="480" w:lineRule="auto"/>
      <w:jc w:val="left"/>
    </w:pPr>
    <w:rPr>
      <w:rFonts w:hAnsi="宋体"/>
    </w:rPr>
  </w:style>
  <w:style w:type="paragraph" w:customStyle="1" w:styleId="22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z w:val="20"/>
    </w:rPr>
  </w:style>
  <w:style w:type="paragraph" w:customStyle="1" w:styleId="22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sz w:val="18"/>
      <w:szCs w:val="18"/>
    </w:rPr>
  </w:style>
  <w:style w:type="paragraph" w:customStyle="1" w:styleId="222">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paragraph" w:customStyle="1" w:styleId="223">
    <w:name w:val="段落1 Char"/>
    <w:basedOn w:val="27"/>
    <w:autoRedefine/>
    <w:qFormat/>
    <w:uiPriority w:val="0"/>
    <w:pPr>
      <w:spacing w:line="360" w:lineRule="auto"/>
    </w:pPr>
    <w:rPr>
      <w:rFonts w:ascii="Times New Roman" w:hAnsi="Times New Roman"/>
      <w:sz w:val="24"/>
      <w:szCs w:val="21"/>
    </w:rPr>
  </w:style>
  <w:style w:type="paragraph" w:customStyle="1" w:styleId="224">
    <w:name w:val="样式3"/>
    <w:basedOn w:val="1"/>
    <w:autoRedefine/>
    <w:qFormat/>
    <w:uiPriority w:val="0"/>
    <w:pPr>
      <w:tabs>
        <w:tab w:val="left" w:pos="560"/>
        <w:tab w:val="left" w:pos="1120"/>
      </w:tabs>
      <w:spacing w:line="480" w:lineRule="atLeast"/>
    </w:pPr>
    <w:rPr>
      <w:rFonts w:ascii="Calibri" w:hAnsi="Calibri" w:eastAsia="创艺简黑体"/>
      <w:b/>
      <w:sz w:val="28"/>
    </w:rPr>
  </w:style>
  <w:style w:type="paragraph" w:customStyle="1" w:styleId="225">
    <w:name w:val="简单回函地址"/>
    <w:basedOn w:val="1"/>
    <w:autoRedefine/>
    <w:qFormat/>
    <w:uiPriority w:val="0"/>
    <w:rPr>
      <w:rFonts w:ascii="Calibri" w:hAnsi="Calibri"/>
      <w:szCs w:val="22"/>
    </w:rPr>
  </w:style>
  <w:style w:type="paragraph" w:customStyle="1" w:styleId="226">
    <w:name w:val="xl44"/>
    <w:basedOn w:val="1"/>
    <w:autoRedefine/>
    <w:qFormat/>
    <w:uiPriority w:val="0"/>
    <w:pPr>
      <w:widowControl/>
      <w:spacing w:before="100" w:beforeAutospacing="1" w:after="100" w:afterAutospacing="1"/>
      <w:jc w:val="center"/>
      <w:textAlignment w:val="center"/>
    </w:pPr>
    <w:rPr>
      <w:rFonts w:hAnsi="宋体"/>
      <w:b/>
      <w:bCs/>
      <w:sz w:val="32"/>
      <w:szCs w:val="32"/>
    </w:rPr>
  </w:style>
  <w:style w:type="paragraph" w:customStyle="1" w:styleId="22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rPr>
  </w:style>
  <w:style w:type="paragraph" w:customStyle="1" w:styleId="228">
    <w:name w:val="Default Paragraph Char Char Char Char"/>
    <w:basedOn w:val="1"/>
    <w:next w:val="1"/>
    <w:autoRedefine/>
    <w:qFormat/>
    <w:uiPriority w:val="0"/>
    <w:pPr>
      <w:widowControl/>
      <w:spacing w:line="360" w:lineRule="auto"/>
      <w:jc w:val="left"/>
    </w:pPr>
    <w:rPr>
      <w:rFonts w:ascii="Calibri" w:hAnsi="Calibri"/>
      <w:lang w:eastAsia="en-US"/>
    </w:rPr>
  </w:style>
  <w:style w:type="paragraph" w:customStyle="1" w:styleId="229">
    <w:name w:val="普通(网站)_0"/>
    <w:basedOn w:val="138"/>
    <w:autoRedefine/>
    <w:qFormat/>
    <w:uiPriority w:val="0"/>
    <w:pPr>
      <w:widowControl/>
      <w:spacing w:before="100" w:beforeAutospacing="1" w:after="100" w:afterAutospacing="1"/>
      <w:jc w:val="left"/>
    </w:pPr>
    <w:rPr>
      <w:rFonts w:ascii="宋体" w:hAnsi="宋体"/>
      <w:kern w:val="0"/>
      <w:sz w:val="24"/>
    </w:rPr>
  </w:style>
  <w:style w:type="paragraph" w:customStyle="1" w:styleId="230">
    <w:name w:val="Char1"/>
    <w:basedOn w:val="1"/>
    <w:next w:val="1"/>
    <w:autoRedefine/>
    <w:qFormat/>
    <w:uiPriority w:val="0"/>
    <w:pPr>
      <w:widowControl/>
      <w:spacing w:line="360" w:lineRule="auto"/>
      <w:jc w:val="left"/>
    </w:pPr>
    <w:rPr>
      <w:rFonts w:ascii="Calibri" w:hAnsi="Calibri"/>
      <w:lang w:eastAsia="en-US"/>
    </w:rPr>
  </w:style>
  <w:style w:type="paragraph" w:customStyle="1" w:styleId="231">
    <w:name w:val="Char10 Char Char Char Char Char Char Char Char Char"/>
    <w:basedOn w:val="1"/>
    <w:next w:val="1"/>
    <w:autoRedefine/>
    <w:qFormat/>
    <w:uiPriority w:val="0"/>
    <w:rPr>
      <w:rFonts w:ascii="Calibri" w:hAnsi="Calibri"/>
      <w:szCs w:val="22"/>
    </w:rPr>
  </w:style>
  <w:style w:type="paragraph" w:customStyle="1" w:styleId="232">
    <w:name w:val="TOC 标题1"/>
    <w:basedOn w:val="3"/>
    <w:next w:val="1"/>
    <w:autoRedefine/>
    <w:qFormat/>
    <w:uiPriority w:val="39"/>
    <w:pPr>
      <w:widowControl/>
      <w:spacing w:before="480" w:line="276" w:lineRule="auto"/>
      <w:jc w:val="left"/>
      <w:outlineLvl w:val="9"/>
    </w:pPr>
    <w:rPr>
      <w:rFonts w:ascii="Cambria" w:hAnsi="Cambria"/>
      <w:bCs w:val="0"/>
      <w:snapToGrid w:val="0"/>
      <w:color w:val="365F91"/>
      <w:kern w:val="0"/>
      <w:sz w:val="28"/>
    </w:rPr>
  </w:style>
  <w:style w:type="paragraph" w:customStyle="1" w:styleId="233">
    <w:name w:val="Char Char Char Char1"/>
    <w:basedOn w:val="1"/>
    <w:autoRedefine/>
    <w:qFormat/>
    <w:uiPriority w:val="0"/>
    <w:pPr>
      <w:snapToGrid w:val="0"/>
      <w:spacing w:line="360" w:lineRule="auto"/>
      <w:ind w:firstLine="200" w:firstLineChars="200"/>
    </w:pPr>
    <w:rPr>
      <w:rFonts w:ascii="Calibri" w:hAnsi="Calibri" w:eastAsia="仿宋_GB2312"/>
      <w:szCs w:val="22"/>
    </w:rPr>
  </w:style>
  <w:style w:type="paragraph" w:customStyle="1" w:styleId="234">
    <w:name w:val="Char10 Char Char Char Char Char Char Char Char Char1"/>
    <w:basedOn w:val="1"/>
    <w:next w:val="1"/>
    <w:autoRedefine/>
    <w:qFormat/>
    <w:uiPriority w:val="0"/>
    <w:rPr>
      <w:rFonts w:ascii="Calibri" w:hAnsi="Calibri"/>
      <w:szCs w:val="22"/>
    </w:rPr>
  </w:style>
  <w:style w:type="paragraph" w:customStyle="1" w:styleId="235">
    <w:name w:val="xl45"/>
    <w:basedOn w:val="1"/>
    <w:autoRedefine/>
    <w:qFormat/>
    <w:uiPriority w:val="0"/>
    <w:pPr>
      <w:widowControl/>
      <w:spacing w:before="100" w:beforeAutospacing="1" w:after="100" w:afterAutospacing="1"/>
      <w:jc w:val="left"/>
      <w:textAlignment w:val="top"/>
    </w:pPr>
    <w:rPr>
      <w:rFonts w:hAnsi="宋体"/>
    </w:rPr>
  </w:style>
  <w:style w:type="paragraph" w:customStyle="1" w:styleId="236">
    <w:name w:val="MsoNormal"/>
    <w:basedOn w:val="206"/>
    <w:autoRedefine/>
    <w:qFormat/>
    <w:uiPriority w:val="0"/>
    <w:rPr>
      <w:rFonts w:ascii="Calibri" w:hAnsi="Calibri" w:eastAsia="Calibri"/>
      <w:sz w:val="21"/>
    </w:rPr>
  </w:style>
  <w:style w:type="paragraph" w:customStyle="1" w:styleId="23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rPr>
  </w:style>
  <w:style w:type="paragraph" w:customStyle="1" w:styleId="238">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39">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rPr>
  </w:style>
  <w:style w:type="paragraph" w:customStyle="1" w:styleId="24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8"/>
      <w:szCs w:val="18"/>
    </w:rPr>
  </w:style>
  <w:style w:type="paragraph" w:customStyle="1" w:styleId="241">
    <w:name w:val="flNote"/>
    <w:basedOn w:val="1"/>
    <w:autoRedefine/>
    <w:qFormat/>
    <w:uiPriority w:val="0"/>
    <w:pPr>
      <w:adjustRightInd w:val="0"/>
      <w:spacing w:before="320" w:after="160" w:line="360" w:lineRule="atLeast"/>
      <w:jc w:val="center"/>
      <w:textAlignment w:val="baseline"/>
    </w:pPr>
    <w:rPr>
      <w:rFonts w:ascii="Arial" w:eastAsia="黑体"/>
      <w:sz w:val="30"/>
    </w:rPr>
  </w:style>
  <w:style w:type="paragraph" w:customStyle="1" w:styleId="24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范本目录"/>
    <w:basedOn w:val="1"/>
    <w:autoRedefine/>
    <w:qFormat/>
    <w:uiPriority w:val="0"/>
    <w:pPr>
      <w:adjustRightInd w:val="0"/>
      <w:snapToGrid w:val="0"/>
      <w:spacing w:beforeLines="20" w:afterLines="20" w:line="540" w:lineRule="exact"/>
      <w:jc w:val="center"/>
    </w:pPr>
    <w:rPr>
      <w:rFonts w:hAnsi="宋体"/>
      <w:b/>
      <w:bCs/>
      <w:sz w:val="36"/>
    </w:rPr>
  </w:style>
  <w:style w:type="paragraph" w:customStyle="1" w:styleId="244">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5">
    <w:name w:val="font5"/>
    <w:basedOn w:val="1"/>
    <w:autoRedefine/>
    <w:qFormat/>
    <w:uiPriority w:val="0"/>
    <w:pPr>
      <w:widowControl/>
      <w:spacing w:before="100" w:beforeAutospacing="1" w:after="100" w:afterAutospacing="1"/>
      <w:jc w:val="left"/>
    </w:pPr>
    <w:rPr>
      <w:rFonts w:hint="eastAsia" w:hAnsi="宋体"/>
      <w:sz w:val="18"/>
      <w:szCs w:val="18"/>
    </w:rPr>
  </w:style>
  <w:style w:type="paragraph" w:customStyle="1" w:styleId="24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22"/>
      <w:szCs w:val="22"/>
    </w:rPr>
  </w:style>
  <w:style w:type="paragraph" w:customStyle="1" w:styleId="24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rPr>
  </w:style>
  <w:style w:type="paragraph" w:customStyle="1" w:styleId="24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18"/>
      <w:szCs w:val="18"/>
    </w:rPr>
  </w:style>
  <w:style w:type="paragraph" w:customStyle="1" w:styleId="249">
    <w:name w:val="xl43"/>
    <w:basedOn w:val="1"/>
    <w:autoRedefine/>
    <w:qFormat/>
    <w:uiPriority w:val="0"/>
    <w:pPr>
      <w:widowControl/>
      <w:spacing w:before="100" w:beforeAutospacing="1" w:after="100" w:afterAutospacing="1"/>
      <w:jc w:val="left"/>
      <w:textAlignment w:val="top"/>
    </w:pPr>
    <w:rPr>
      <w:rFonts w:hAnsi="宋体"/>
    </w:rPr>
  </w:style>
  <w:style w:type="paragraph" w:customStyle="1" w:styleId="250">
    <w:name w:val="font6"/>
    <w:basedOn w:val="1"/>
    <w:autoRedefine/>
    <w:qFormat/>
    <w:uiPriority w:val="0"/>
    <w:pPr>
      <w:widowControl/>
      <w:spacing w:before="100" w:beforeAutospacing="1" w:after="100" w:afterAutospacing="1"/>
      <w:jc w:val="left"/>
    </w:pPr>
    <w:rPr>
      <w:sz w:val="18"/>
      <w:szCs w:val="18"/>
    </w:rPr>
  </w:style>
  <w:style w:type="paragraph" w:customStyle="1" w:styleId="251">
    <w:name w:val="Char Char Char Char Char"/>
    <w:basedOn w:val="1"/>
    <w:autoRedefine/>
    <w:qFormat/>
    <w:uiPriority w:val="0"/>
    <w:rPr>
      <w:rFonts w:ascii="Tahoma" w:hAnsi="Tahoma"/>
    </w:rPr>
  </w:style>
  <w:style w:type="paragraph" w:customStyle="1" w:styleId="252">
    <w:name w:val="空半行"/>
    <w:basedOn w:val="1"/>
    <w:autoRedefine/>
    <w:qFormat/>
    <w:uiPriority w:val="0"/>
    <w:pPr>
      <w:adjustRightInd w:val="0"/>
      <w:spacing w:line="120" w:lineRule="exact"/>
      <w:textAlignment w:val="baseline"/>
    </w:pPr>
    <w:rPr>
      <w:rFonts w:eastAsia="仿宋_GB2312"/>
      <w:color w:val="FFFFFF"/>
      <w:sz w:val="30"/>
    </w:rPr>
  </w:style>
  <w:style w:type="paragraph" w:customStyle="1" w:styleId="253">
    <w:name w:val="p0"/>
    <w:basedOn w:val="1"/>
    <w:autoRedefine/>
    <w:qFormat/>
    <w:uiPriority w:val="0"/>
    <w:pPr>
      <w:widowControl/>
      <w:spacing w:before="100" w:beforeAutospacing="1" w:after="100" w:afterAutospacing="1"/>
      <w:jc w:val="left"/>
    </w:pPr>
    <w:rPr>
      <w:rFonts w:hAnsi="宋体" w:cs="宋体"/>
    </w:rPr>
  </w:style>
  <w:style w:type="character" w:customStyle="1" w:styleId="254">
    <w:name w:val="fontstyle01"/>
    <w:autoRedefine/>
    <w:qFormat/>
    <w:uiPriority w:val="0"/>
    <w:rPr>
      <w:rFonts w:hint="eastAsia" w:ascii="宋体" w:hAnsi="宋体" w:eastAsia="宋体"/>
      <w:color w:val="000000"/>
      <w:sz w:val="22"/>
      <w:szCs w:val="22"/>
    </w:rPr>
  </w:style>
  <w:style w:type="character" w:customStyle="1" w:styleId="255">
    <w:name w:val="datetime"/>
    <w:autoRedefine/>
    <w:qFormat/>
    <w:uiPriority w:val="0"/>
    <w:rPr>
      <w:rFonts w:ascii="Arial" w:hAnsi="Arial" w:cs="Arial"/>
      <w:color w:val="999999"/>
      <w:sz w:val="21"/>
      <w:szCs w:val="21"/>
    </w:rPr>
  </w:style>
  <w:style w:type="character" w:customStyle="1" w:styleId="256">
    <w:name w:val="c2"/>
    <w:autoRedefine/>
    <w:qFormat/>
    <w:uiPriority w:val="0"/>
  </w:style>
  <w:style w:type="character" w:customStyle="1" w:styleId="257">
    <w:name w:val="msg-box10"/>
    <w:autoRedefine/>
    <w:qFormat/>
    <w:uiPriority w:val="0"/>
  </w:style>
  <w:style w:type="character" w:customStyle="1" w:styleId="258">
    <w:name w:val="c1"/>
    <w:autoRedefine/>
    <w:qFormat/>
    <w:uiPriority w:val="0"/>
  </w:style>
  <w:style w:type="character" w:customStyle="1" w:styleId="259">
    <w:name w:val="tit2"/>
    <w:autoRedefine/>
    <w:qFormat/>
    <w:uiPriority w:val="0"/>
    <w:rPr>
      <w:b/>
      <w:bCs/>
      <w:color w:val="333333"/>
      <w:sz w:val="24"/>
      <w:szCs w:val="24"/>
    </w:rPr>
  </w:style>
  <w:style w:type="character" w:customStyle="1" w:styleId="260">
    <w:name w:val="c3"/>
    <w:autoRedefine/>
    <w:qFormat/>
    <w:uiPriority w:val="0"/>
  </w:style>
  <w:style w:type="character" w:customStyle="1" w:styleId="261">
    <w:name w:val="buvis"/>
    <w:autoRedefine/>
    <w:qFormat/>
    <w:uiPriority w:val="0"/>
    <w:rPr>
      <w:color w:val="999999"/>
    </w:rPr>
  </w:style>
  <w:style w:type="character" w:customStyle="1" w:styleId="262">
    <w:name w:val="buvis1"/>
    <w:autoRedefine/>
    <w:qFormat/>
    <w:uiPriority w:val="0"/>
    <w:rPr>
      <w:color w:val="CC0000"/>
    </w:rPr>
  </w:style>
  <w:style w:type="character" w:customStyle="1" w:styleId="263">
    <w:name w:val="left2"/>
    <w:autoRedefine/>
    <w:qFormat/>
    <w:uiPriority w:val="0"/>
  </w:style>
  <w:style w:type="paragraph" w:customStyle="1" w:styleId="264">
    <w:name w:val="列表段落111"/>
    <w:basedOn w:val="1"/>
    <w:autoRedefine/>
    <w:qFormat/>
    <w:uiPriority w:val="34"/>
    <w:pPr>
      <w:ind w:firstLine="420" w:firstLineChars="200"/>
    </w:pPr>
  </w:style>
  <w:style w:type="paragraph" w:customStyle="1" w:styleId="265">
    <w:name w:val="列表段落11"/>
    <w:basedOn w:val="1"/>
    <w:autoRedefine/>
    <w:qFormat/>
    <w:uiPriority w:val="34"/>
    <w:pPr>
      <w:ind w:firstLine="420" w:firstLineChars="200"/>
    </w:pPr>
  </w:style>
  <w:style w:type="paragraph" w:customStyle="1" w:styleId="266">
    <w:name w:val="_Style 58"/>
    <w:basedOn w:val="3"/>
    <w:next w:val="1"/>
    <w:autoRedefine/>
    <w:qFormat/>
    <w:uiPriority w:val="39"/>
    <w:pPr>
      <w:widowControl/>
      <w:spacing w:before="240" w:line="259" w:lineRule="auto"/>
      <w:jc w:val="left"/>
      <w:outlineLvl w:val="9"/>
    </w:pPr>
    <w:rPr>
      <w:rFonts w:ascii="Calibri Light" w:hAnsi="Calibri Light"/>
      <w:b w:val="0"/>
      <w:bCs w:val="0"/>
      <w:color w:val="2E74B5"/>
      <w:kern w:val="0"/>
      <w:szCs w:val="32"/>
    </w:rPr>
  </w:style>
  <w:style w:type="paragraph" w:customStyle="1" w:styleId="267">
    <w:name w:val="Table Paragraph"/>
    <w:basedOn w:val="1"/>
    <w:autoRedefine/>
    <w:qFormat/>
    <w:uiPriority w:val="1"/>
    <w:pPr>
      <w:autoSpaceDE w:val="0"/>
      <w:autoSpaceDN w:val="0"/>
      <w:jc w:val="left"/>
    </w:pPr>
    <w:rPr>
      <w:rFonts w:hAnsi="宋体" w:cs="宋体"/>
      <w:sz w:val="22"/>
      <w:szCs w:val="22"/>
      <w:lang w:val="zh-CN" w:bidi="zh-CN"/>
    </w:rPr>
  </w:style>
  <w:style w:type="character" w:customStyle="1" w:styleId="268">
    <w:name w:val="font01"/>
    <w:autoRedefine/>
    <w:qFormat/>
    <w:uiPriority w:val="0"/>
    <w:rPr>
      <w:rFonts w:hint="eastAsia" w:ascii="宋体" w:hAnsi="宋体" w:eastAsia="宋体" w:cs="宋体"/>
      <w:color w:val="000000"/>
      <w:sz w:val="20"/>
      <w:szCs w:val="20"/>
      <w:u w:val="none"/>
    </w:rPr>
  </w:style>
  <w:style w:type="paragraph" w:customStyle="1" w:styleId="269">
    <w:name w:val="msonormal"/>
    <w:basedOn w:val="1"/>
    <w:autoRedefine/>
    <w:qFormat/>
    <w:uiPriority w:val="0"/>
    <w:pPr>
      <w:widowControl/>
      <w:spacing w:before="100" w:beforeAutospacing="1" w:after="100" w:afterAutospacing="1"/>
      <w:jc w:val="left"/>
    </w:pPr>
    <w:rPr>
      <w:rFonts w:hAnsi="宋体" w:cs="宋体"/>
      <w:szCs w:val="24"/>
    </w:rPr>
  </w:style>
  <w:style w:type="paragraph" w:customStyle="1" w:styleId="270">
    <w:name w:val="font7"/>
    <w:basedOn w:val="1"/>
    <w:autoRedefine/>
    <w:qFormat/>
    <w:uiPriority w:val="0"/>
    <w:pPr>
      <w:widowControl/>
      <w:spacing w:before="100" w:beforeAutospacing="1" w:after="100" w:afterAutospacing="1"/>
      <w:jc w:val="left"/>
    </w:pPr>
    <w:rPr>
      <w:rFonts w:hAnsi="宋体" w:cs="宋体"/>
      <w:color w:val="000000"/>
      <w:sz w:val="22"/>
      <w:szCs w:val="22"/>
    </w:rPr>
  </w:style>
  <w:style w:type="paragraph" w:customStyle="1" w:styleId="271">
    <w:name w:val="font8"/>
    <w:basedOn w:val="1"/>
    <w:autoRedefine/>
    <w:qFormat/>
    <w:uiPriority w:val="0"/>
    <w:pPr>
      <w:widowControl/>
      <w:spacing w:before="100" w:beforeAutospacing="1" w:after="100" w:afterAutospacing="1"/>
      <w:jc w:val="left"/>
    </w:pPr>
    <w:rPr>
      <w:rFonts w:hAnsi="宋体" w:cs="宋体"/>
      <w:b/>
      <w:bCs/>
      <w:color w:val="000000"/>
      <w:sz w:val="22"/>
      <w:szCs w:val="22"/>
    </w:rPr>
  </w:style>
  <w:style w:type="paragraph" w:customStyle="1" w:styleId="272">
    <w:name w:val="font9"/>
    <w:basedOn w:val="1"/>
    <w:autoRedefine/>
    <w:qFormat/>
    <w:uiPriority w:val="0"/>
    <w:pPr>
      <w:widowControl/>
      <w:spacing w:before="100" w:beforeAutospacing="1" w:after="100" w:afterAutospacing="1"/>
      <w:jc w:val="left"/>
    </w:pPr>
    <w:rPr>
      <w:rFonts w:ascii="Microsoft YaHei UI" w:hAnsi="Microsoft YaHei UI" w:eastAsia="Microsoft YaHei UI" w:cs="宋体"/>
      <w:sz w:val="22"/>
      <w:szCs w:val="22"/>
    </w:rPr>
  </w:style>
  <w:style w:type="paragraph" w:customStyle="1" w:styleId="273">
    <w:name w:val="font10"/>
    <w:basedOn w:val="1"/>
    <w:autoRedefine/>
    <w:qFormat/>
    <w:uiPriority w:val="0"/>
    <w:pPr>
      <w:widowControl/>
      <w:spacing w:before="100" w:beforeAutospacing="1" w:after="100" w:afterAutospacing="1"/>
      <w:jc w:val="left"/>
    </w:pPr>
    <w:rPr>
      <w:rFonts w:hAnsi="宋体" w:cs="宋体"/>
      <w:color w:val="FF0000"/>
      <w:sz w:val="22"/>
      <w:szCs w:val="22"/>
    </w:rPr>
  </w:style>
  <w:style w:type="paragraph" w:customStyle="1" w:styleId="274">
    <w:name w:val="font11"/>
    <w:basedOn w:val="1"/>
    <w:autoRedefine/>
    <w:qFormat/>
    <w:uiPriority w:val="0"/>
    <w:pPr>
      <w:widowControl/>
      <w:spacing w:before="100" w:beforeAutospacing="1" w:after="100" w:afterAutospacing="1"/>
      <w:jc w:val="left"/>
    </w:pPr>
    <w:rPr>
      <w:rFonts w:hAnsi="宋体" w:cs="宋体"/>
      <w:sz w:val="18"/>
      <w:szCs w:val="18"/>
    </w:rPr>
  </w:style>
  <w:style w:type="paragraph" w:customStyle="1" w:styleId="275">
    <w:name w:val="font12"/>
    <w:basedOn w:val="1"/>
    <w:autoRedefine/>
    <w:qFormat/>
    <w:uiPriority w:val="0"/>
    <w:pPr>
      <w:widowControl/>
      <w:spacing w:before="100" w:beforeAutospacing="1" w:after="100" w:afterAutospacing="1"/>
      <w:jc w:val="left"/>
    </w:pPr>
    <w:rPr>
      <w:rFonts w:ascii="Calibri" w:hAnsi="Calibri" w:cs="Calibri"/>
      <w:sz w:val="22"/>
      <w:szCs w:val="22"/>
    </w:rPr>
  </w:style>
  <w:style w:type="paragraph" w:customStyle="1" w:styleId="276">
    <w:name w:val="xl80"/>
    <w:basedOn w:val="1"/>
    <w:autoRedefine/>
    <w:qFormat/>
    <w:uiPriority w:val="0"/>
    <w:pPr>
      <w:widowControl/>
      <w:spacing w:before="100" w:beforeAutospacing="1" w:after="100" w:afterAutospacing="1"/>
      <w:jc w:val="left"/>
      <w:textAlignment w:val="center"/>
    </w:pPr>
    <w:rPr>
      <w:rFonts w:hAnsi="宋体" w:cs="宋体"/>
      <w:szCs w:val="24"/>
    </w:rPr>
  </w:style>
  <w:style w:type="paragraph" w:customStyle="1" w:styleId="277">
    <w:name w:val="xl81"/>
    <w:basedOn w:val="1"/>
    <w:autoRedefine/>
    <w:qFormat/>
    <w:uiPriority w:val="0"/>
    <w:pPr>
      <w:widowControl/>
      <w:spacing w:before="100" w:beforeAutospacing="1" w:after="100" w:afterAutospacing="1"/>
      <w:jc w:val="left"/>
    </w:pPr>
    <w:rPr>
      <w:rFonts w:hAnsi="宋体" w:cs="宋体"/>
      <w:szCs w:val="24"/>
    </w:rPr>
  </w:style>
  <w:style w:type="paragraph" w:customStyle="1" w:styleId="278">
    <w:name w:val="xl82"/>
    <w:basedOn w:val="1"/>
    <w:autoRedefine/>
    <w:qFormat/>
    <w:uiPriority w:val="0"/>
    <w:pPr>
      <w:widowControl/>
      <w:spacing w:before="100" w:beforeAutospacing="1" w:after="100" w:afterAutospacing="1"/>
      <w:jc w:val="center"/>
    </w:pPr>
    <w:rPr>
      <w:rFonts w:hAnsi="宋体" w:cs="宋体"/>
      <w:szCs w:val="24"/>
    </w:rPr>
  </w:style>
  <w:style w:type="paragraph" w:customStyle="1" w:styleId="279">
    <w:name w:val="xl83"/>
    <w:basedOn w:val="1"/>
    <w:autoRedefine/>
    <w:qFormat/>
    <w:uiPriority w:val="0"/>
    <w:pPr>
      <w:widowControl/>
      <w:spacing w:before="100" w:beforeAutospacing="1" w:after="100" w:afterAutospacing="1"/>
      <w:jc w:val="left"/>
    </w:pPr>
    <w:rPr>
      <w:rFonts w:hAnsi="宋体" w:cs="宋体"/>
      <w:szCs w:val="24"/>
    </w:rPr>
  </w:style>
  <w:style w:type="paragraph" w:customStyle="1" w:styleId="280">
    <w:name w:val="xl84"/>
    <w:basedOn w:val="1"/>
    <w:autoRedefine/>
    <w:qFormat/>
    <w:uiPriority w:val="0"/>
    <w:pPr>
      <w:widowControl/>
      <w:spacing w:before="100" w:beforeAutospacing="1" w:after="100" w:afterAutospacing="1"/>
      <w:jc w:val="center"/>
      <w:textAlignment w:val="center"/>
    </w:pPr>
    <w:rPr>
      <w:rFonts w:hAnsi="宋体" w:cs="宋体"/>
      <w:szCs w:val="24"/>
    </w:rPr>
  </w:style>
  <w:style w:type="paragraph" w:customStyle="1" w:styleId="281">
    <w:name w:val="xl8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2">
    <w:name w:val="xl8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83">
    <w:name w:val="xl8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4">
    <w:name w:val="xl8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5">
    <w:name w:val="xl8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6">
    <w:name w:val="xl9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b/>
      <w:bCs/>
      <w:szCs w:val="24"/>
    </w:rPr>
  </w:style>
  <w:style w:type="paragraph" w:customStyle="1" w:styleId="287">
    <w:name w:val="xl9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88">
    <w:name w:val="xl9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9">
    <w:name w:val="xl9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0">
    <w:name w:val="xl9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1">
    <w:name w:val="xl9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2">
    <w:name w:val="xl9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3">
    <w:name w:val="xl9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4">
    <w:name w:val="xl9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b/>
      <w:bCs/>
      <w:szCs w:val="24"/>
    </w:rPr>
  </w:style>
  <w:style w:type="paragraph" w:customStyle="1" w:styleId="295">
    <w:name w:val="xl9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6">
    <w:name w:val="xl10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7">
    <w:name w:val="xl10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8">
    <w:name w:val="xl10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9">
    <w:name w:val="xl10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0">
    <w:name w:val="xl10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1">
    <w:name w:val="xl10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szCs w:val="24"/>
    </w:rPr>
  </w:style>
  <w:style w:type="paragraph" w:customStyle="1" w:styleId="302">
    <w:name w:val="xl10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3">
    <w:name w:val="xl10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4">
    <w:name w:val="xl10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5">
    <w:name w:val="xl10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6">
    <w:name w:val="xl11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szCs w:val="24"/>
    </w:rPr>
  </w:style>
  <w:style w:type="paragraph" w:customStyle="1" w:styleId="307">
    <w:name w:val="xl11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color w:val="000000"/>
      <w:szCs w:val="24"/>
    </w:rPr>
  </w:style>
  <w:style w:type="paragraph" w:customStyle="1" w:styleId="308">
    <w:name w:val="xl11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09">
    <w:name w:val="xl11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0">
    <w:name w:val="xl11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1">
    <w:name w:val="xl11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2">
    <w:name w:val="xl11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13">
    <w:name w:val="xl11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4">
    <w:name w:val="xl11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15">
    <w:name w:val="xl11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szCs w:val="24"/>
    </w:rPr>
  </w:style>
  <w:style w:type="paragraph" w:customStyle="1" w:styleId="316">
    <w:name w:val="xl12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b/>
      <w:bCs/>
      <w:szCs w:val="24"/>
    </w:rPr>
  </w:style>
  <w:style w:type="paragraph" w:customStyle="1" w:styleId="317">
    <w:name w:val="xl121"/>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hAnsi="宋体" w:cs="宋体"/>
      <w:b/>
      <w:bCs/>
      <w:szCs w:val="24"/>
    </w:rPr>
  </w:style>
  <w:style w:type="paragraph" w:customStyle="1" w:styleId="318">
    <w:name w:val="xl122"/>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9">
    <w:name w:val="xl12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20">
    <w:name w:val="xl124"/>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21">
    <w:name w:val="xl12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22">
    <w:name w:val="xl126"/>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3">
    <w:name w:val="xl127"/>
    <w:basedOn w:val="1"/>
    <w:autoRedefine/>
    <w:qFormat/>
    <w:uiPriority w:val="0"/>
    <w:pPr>
      <w:widowControl/>
      <w:pBdr>
        <w:top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4">
    <w:name w:val="xl128"/>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hAnsi="宋体" w:cs="宋体"/>
      <w:b/>
      <w:bCs/>
      <w:szCs w:val="24"/>
    </w:rPr>
  </w:style>
  <w:style w:type="paragraph" w:customStyle="1" w:styleId="325">
    <w:name w:val="xl129"/>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6">
    <w:name w:val="xl130"/>
    <w:basedOn w:val="1"/>
    <w:autoRedefine/>
    <w:qFormat/>
    <w:uiPriority w:val="0"/>
    <w:pPr>
      <w:widowControl/>
      <w:pBdr>
        <w:top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7">
    <w:name w:val="xl131"/>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hAnsi="宋体" w:cs="宋体"/>
      <w:b/>
      <w:bCs/>
      <w:szCs w:val="24"/>
    </w:rPr>
  </w:style>
  <w:style w:type="paragraph" w:customStyle="1" w:styleId="328">
    <w:name w:val="xl132"/>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9">
    <w:name w:val="xl133"/>
    <w:basedOn w:val="1"/>
    <w:autoRedefine/>
    <w:qFormat/>
    <w:uiPriority w:val="0"/>
    <w:pPr>
      <w:widowControl/>
      <w:pBdr>
        <w:top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30">
    <w:name w:val="xl13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hAnsi="宋体" w:cs="宋体"/>
      <w:b/>
      <w:bCs/>
      <w:szCs w:val="24"/>
    </w:rPr>
  </w:style>
  <w:style w:type="paragraph" w:customStyle="1" w:styleId="331">
    <w:name w:val="xl135"/>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hAnsi="宋体" w:cs="宋体"/>
      <w:szCs w:val="24"/>
    </w:rPr>
  </w:style>
  <w:style w:type="paragraph" w:customStyle="1" w:styleId="332">
    <w:name w:val="xl136"/>
    <w:basedOn w:val="1"/>
    <w:autoRedefine/>
    <w:qFormat/>
    <w:uiPriority w:val="0"/>
    <w:pPr>
      <w:widowControl/>
      <w:pBdr>
        <w:top w:val="single" w:color="auto" w:sz="8" w:space="0"/>
        <w:bottom w:val="single" w:color="auto" w:sz="8" w:space="0"/>
      </w:pBdr>
      <w:spacing w:before="100" w:beforeAutospacing="1" w:after="100" w:afterAutospacing="1"/>
      <w:jc w:val="left"/>
      <w:textAlignment w:val="center"/>
    </w:pPr>
    <w:rPr>
      <w:rFonts w:hAnsi="宋体" w:cs="宋体"/>
      <w:szCs w:val="24"/>
    </w:rPr>
  </w:style>
  <w:style w:type="paragraph" w:customStyle="1" w:styleId="333">
    <w:name w:val="xl137"/>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table" w:customStyle="1" w:styleId="334">
    <w:name w:val="TableGrid"/>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02F8A-4F22-4D3F-9F95-F2A76DC9F3C6}">
  <ds:schemaRefs/>
</ds:datastoreItem>
</file>

<file path=docProps/app.xml><?xml version="1.0" encoding="utf-8"?>
<Properties xmlns="http://schemas.openxmlformats.org/officeDocument/2006/extended-properties" xmlns:vt="http://schemas.openxmlformats.org/officeDocument/2006/docPropsVTypes">
  <Template>Normal.dotm</Template>
  <Pages>211</Pages>
  <Words>98162</Words>
  <Characters>108691</Characters>
  <Lines>1021</Lines>
  <Paragraphs>287</Paragraphs>
  <TotalTime>2</TotalTime>
  <ScaleCrop>false</ScaleCrop>
  <LinksUpToDate>false</LinksUpToDate>
  <CharactersWithSpaces>111060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2023-10-19T02:35:00Z</dcterms:created>
  <dc:creator>User</dc:creator>
  <cp:lastModifiedBy>NTKO</cp:lastModifiedBy>
  <cp:lastPrinted>2023-10-19T06:39:00Z</cp:lastPrinted>
  <dcterms:modified xsi:type="dcterms:W3CDTF">2025-07-09T07:07:23Z</dcterms:modified>
  <dc:title>第二章  投标人须知</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BE0477497E16458A966799345498EA43_13</vt:lpwstr>
  </property>
</Properties>
</file>