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采购需求</w:t>
      </w:r>
    </w:p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val="en-US" w:eastAsia="zh-CN"/>
        </w:rPr>
        <w:t>仅供参考、以采购文件为准</w:t>
      </w:r>
      <w:r>
        <w:rPr>
          <w:rFonts w:hint="eastAsia" w:asciiTheme="minorEastAsia" w:hAnsiTheme="minorEastAsia" w:eastAsiaTheme="minorEastAsia"/>
          <w:b/>
          <w:sz w:val="28"/>
          <w:highlight w:val="none"/>
          <w:lang w:eastAsia="zh-CN"/>
        </w:rPr>
        <w:t>）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前注：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本采购需求中提出的服务方案仅为参考，如无明确限制，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供应商</w:t>
      </w:r>
      <w:r>
        <w:rPr>
          <w:rFonts w:ascii="宋体" w:hAnsi="宋体" w:eastAsia="宋体" w:cs="宋体"/>
          <w:sz w:val="24"/>
          <w:szCs w:val="24"/>
        </w:rPr>
        <w:t>可以进行优化，提供满足采购人实际需要的更优（或者性能实质上不低于的）服务方案，且此方案须经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磋商小组</w:t>
      </w:r>
      <w:r>
        <w:rPr>
          <w:rFonts w:ascii="宋体" w:hAnsi="宋体" w:eastAsia="宋体" w:cs="宋体"/>
          <w:sz w:val="24"/>
          <w:szCs w:val="24"/>
        </w:rPr>
        <w:t>评审认可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2.下列采购需求中：</w:t>
      </w:r>
    </w:p>
    <w:p>
      <w:pPr>
        <w:spacing w:line="360" w:lineRule="auto"/>
        <w:ind w:firstLine="240" w:firstLineChars="1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sz w:val="24"/>
          <w:szCs w:val="24"/>
        </w:rPr>
        <w:t>供应商</w:t>
      </w:r>
      <w:r>
        <w:rPr>
          <w:rFonts w:ascii="宋体" w:hAnsi="宋体" w:eastAsia="宋体" w:cs="宋体"/>
          <w:sz w:val="24"/>
          <w:szCs w:val="24"/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（2）如涉及商品包装和快递包装，</w:t>
      </w:r>
      <w:r>
        <w:rPr>
          <w:rFonts w:hint="eastAsia" w:ascii="宋体" w:hAnsi="宋体" w:eastAsia="宋体" w:cs="宋体"/>
          <w:sz w:val="24"/>
          <w:szCs w:val="24"/>
        </w:rPr>
        <w:t>供应商</w:t>
      </w:r>
      <w:r>
        <w:rPr>
          <w:rFonts w:ascii="宋体" w:hAnsi="宋体" w:eastAsia="宋体" w:cs="宋体"/>
          <w:sz w:val="24"/>
          <w:szCs w:val="24"/>
        </w:rPr>
        <w:t>应当执行《关于印发〈商品包装政府采购需求标准（试行）〉、〈快递包装政府采购需求标准（试行）〉的通知》（财办库〔2020〕123 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5"/>
        <w:rPr>
          <w:rFonts w:ascii="宋体" w:hAnsi="宋体" w:eastAsia="宋体"/>
          <w:sz w:val="24"/>
          <w:szCs w:val="18"/>
        </w:rPr>
      </w:pPr>
      <w:r>
        <w:rPr>
          <w:rFonts w:hint="eastAsia" w:ascii="宋体" w:hAnsi="宋体" w:eastAsia="宋体"/>
          <w:sz w:val="24"/>
          <w:szCs w:val="18"/>
        </w:rPr>
        <w:t>3.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sz w:val="24"/>
          <w:szCs w:val="18"/>
        </w:rPr>
        <w:t>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ascii="宋体" w:hAnsi="宋体" w:eastAsia="宋体"/>
          <w:b/>
          <w:sz w:val="24"/>
          <w:szCs w:val="18"/>
        </w:rPr>
      </w:pPr>
      <w:r>
        <w:rPr>
          <w:rFonts w:hint="eastAsia" w:ascii="宋体" w:hAnsi="宋体" w:eastAsia="宋体"/>
          <w:b/>
          <w:sz w:val="24"/>
          <w:szCs w:val="18"/>
        </w:rPr>
        <w:t>一、采购需求前附表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2032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/>
                <w:kern w:val="2"/>
              </w:rPr>
            </w:pPr>
            <w:r>
              <w:rPr>
                <w:rFonts w:hint="eastAsia" w:ascii="宋体" w:hAnsi="宋体" w:eastAsia="宋体"/>
                <w:b/>
                <w:kern w:val="2"/>
              </w:rPr>
              <w:t>序号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条款名称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1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付款方式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hint="default" w:ascii="宋体" w:hAnsi="宋体" w:eastAsia="宋体"/>
                <w:b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000000" w:themeColor="text1"/>
                <w:kern w:val="2"/>
                <w:sz w:val="24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合同签订后采购人根据实际参保人数将费用一次性付清，支付总金额不超过本项目预算。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2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服务地点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肥东县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lang w:val="en-US" w:eastAsia="zh-CN"/>
              </w:rPr>
              <w:t>境内，具体以采购人指定地点为准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ascii="宋体" w:hAnsi="宋体" w:eastAsia="宋体"/>
                <w:bCs/>
                <w:kern w:val="2"/>
              </w:rPr>
            </w:pPr>
            <w:r>
              <w:rPr>
                <w:rFonts w:hint="eastAsia" w:ascii="宋体" w:hAnsi="宋体" w:eastAsia="宋体"/>
                <w:bCs/>
                <w:kern w:val="2"/>
              </w:rPr>
              <w:t>3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服务期限</w:t>
            </w:r>
          </w:p>
        </w:tc>
        <w:tc>
          <w:tcPr>
            <w:tcW w:w="3217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jc w:val="both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首次服务期限为一年，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本项目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可续签合同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续签不得超过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  <w:lang w:val="en-US" w:eastAsia="zh-CN"/>
              </w:rPr>
              <w:t>两次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  <w:highlight w:val="none"/>
              </w:rPr>
              <w:t>，总服务期限不超过三年（合同一年一签）。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90" w:type="pct"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/>
                <w:bCs/>
                <w:kern w:val="2"/>
                <w:lang w:eastAsia="zh-CN"/>
              </w:rPr>
            </w:pPr>
            <w:r>
              <w:rPr>
                <w:rFonts w:hint="eastAsia" w:ascii="宋体" w:hAnsi="宋体" w:eastAsia="宋体"/>
                <w:bCs/>
                <w:kern w:val="2"/>
                <w:lang w:val="en-US" w:eastAsia="zh-CN"/>
              </w:rPr>
              <w:t>4</w:t>
            </w:r>
          </w:p>
        </w:tc>
        <w:tc>
          <w:tcPr>
            <w:tcW w:w="1192" w:type="pct"/>
            <w:vAlign w:val="center"/>
          </w:tcPr>
          <w:p>
            <w:pPr>
              <w:pStyle w:val="7"/>
              <w:widowControl w:val="0"/>
              <w:spacing w:before="0" w:beforeAutospacing="0" w:after="0" w:afterAutospacing="0" w:line="360" w:lineRule="auto"/>
              <w:rPr>
                <w:rFonts w:ascii="宋体" w:hAnsi="宋体" w:eastAsia="宋体"/>
                <w:b w:val="0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本项目采购标的名称及所属行业</w:t>
            </w:r>
          </w:p>
        </w:tc>
        <w:tc>
          <w:tcPr>
            <w:tcW w:w="3217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highlight w:val="yellow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yellow"/>
              </w:rPr>
              <w:t>标的名称：</w:t>
            </w:r>
            <w:r>
              <w:rPr>
                <w:rFonts w:hint="eastAsia" w:asciiTheme="minorEastAsia" w:hAnsiTheme="minorEastAsia" w:eastAsiaTheme="minorEastAsia"/>
                <w:sz w:val="24"/>
                <w:highlight w:val="yellow"/>
                <w:lang w:eastAsia="zh-CN"/>
              </w:rPr>
              <w:t>肥东县公安局意外保险及附加医疗险采购</w:t>
            </w:r>
          </w:p>
          <w:p>
            <w:pPr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highlight w:val="yellow"/>
              </w:rPr>
              <w:t>所属行业：金融业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肥东县公安局属于县级财政保障的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共有约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名（根据实际情况调整人数），为全局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购买人身意外伤害及附加医疗保险。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三、服务需求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保险责任及保额(以下保额设定为最低要求，无免赔)：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（一）死亡类赔偿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因公或意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身故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赔付保险金额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因突发急性病或猝死而导致身故的赔付保险金额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疾病身故赔付保险金额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4.退休人员意外身故赔偿金额2万元。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（二）伤残类赔偿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意外伤残赔付保险金额50万，具体赔付金额按照《职工工伤与职业病致残程度鉴定》（GB/T16180-2014）及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保险金给付比例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残疾等级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保险金给付比例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2.退休人员意外伤残赔偿金额2万元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具体赔付金额按照《人身保险伤残评定标准及代码》（标准编号 JR/T0083-2013）》及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保险金给付比例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执行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2"/>
        <w:gridCol w:w="4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残疾等级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保险金给付比例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八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</w:t>
            </w:r>
          </w:p>
        </w:tc>
        <w:tc>
          <w:tcPr>
            <w:tcW w:w="42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（三）意外医疗类赔偿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意外医疗险赔付保险金额10万元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2.退休人员意外医疗赔偿金额0.6万元，若经医保报销的，无免赔额，按照80%赔付；若未经医保报销的，每次事故免赔50元后，按照75%赔付。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（四）住院医疗、门诊医疗保险项目及赔付金额（非意外）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1．补充住院医疗：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补充住院医疗保险，最高赔付金额为4万元。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于二级及以上公立医院住院进行治疗，保险公司就医保报销后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符合当地社会医疗保险管理规定的各项合理且必要的医疗费用（无免赔额，无既往症限制）进行赔付；如有通过其它途径理赔的部分，不予重复理赔。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（2）当地医保政策中明确的慢性病人员于二级及以上公立医院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发生门诊治疗费用的，保险公司就医保报销后，符合当地社会医疗保险管理规定的各项合理且必要的医疗费用，在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住院医疗保额内按照100%赔付，最高赔付金额为4万元。如有通过其它途径（包括但不限于基本医疗保险、公费医疗、工作单位、侵权人或侵权责任承担方、本公司在内的任何保险机构）理赔的部分，不予重复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（3）退休人员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补充住院医疗保险，最高赔付金额为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退休人员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于二级及以上公立医院住院进行治疗，保险公司就医保报销后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符合当地社会医疗保险管理规定的各项合理且必要的医疗费用（每次事故扣除人民币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元免赔额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后按80%赔付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，既往症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）进行赔付；如有通过其它途径理赔的部分，不予重复理赔。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当地医保政策中明确的慢性病人员于二级及以上公立医院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发生门诊治疗费用的，保险公司就医保报销后，符合当地社会医疗保险管理规定的各项合理且必要的医疗费用，在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退休人员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住院医疗保额内每次事故扣除人民币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元免赔额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后按80%赔付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，既往症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除外，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最高赔付金额为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万元。如有通过其它途径（包括但不限于基本医疗保险、公费医疗、工作单位、侵权人或侵权责任承担方、本公司在内的任何保险机构）理赔的部分，不予重复理赔。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）意外医疗和补充住院医疗不能重复赔付。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2．补充门诊医疗：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因疾病发生的门急诊治疗（无免赔额，无既往症限制），于二级及以上公立医院就诊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保险公司就医保报销后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符合当地社会医疗保险管理规定的各项合理且必要的医疗费用, 每人每年最高限额0.4万元，如有通过其它途径（包括但不限于基本医疗保险、公费医疗、工作单位、侵权人或侵权责任承担方、本公司在内的任何保险机构）理赔的部分，不予重复理赔。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退休人员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因疾病发生的门急诊治疗（每次事故扣除人民币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元免赔额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后按80%赔付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，既往症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除外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），于二级及以上公立医院就诊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保险公司就医保报销后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符合当地社会医疗保险管理规定的各项合理且必要的医疗费用,每人每年最高限额0.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万元，如有通过其它途径（包括但不限于基本医疗保险、公费医疗、工作单位、侵权人或侵权责任承担方、本公司在内的任何保险机构）理赔的部分，不予重复理赔。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（五）意外伤害住院定额补贴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因意外伤害住院治疗的参保人员，保险公司承担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每天100元住院补贴。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2.因意外伤害住院治疗的参保人员，保险公司承担退休人员每天50元住院补贴，累计限额180天。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职业责任类赔偿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赔偿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在职员工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在工作中发生的疏忽行为、错误或遗漏过失行为所导致的法律赔偿责任，赔偿在职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在工作中发生的或造成的对第三者的人身伤害或财产损失。单次赔偿限额3万元，累计赔偿限额50万。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投保人在保险期间内的新增员工，在入职三个工作日内提供给保险公司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。保险公司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服务期内累计不超过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首次投保总人数的10%为限给予人员变动率。对于在该变动率范围内的人员变动可不增减保费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0" w:firstLineChars="200"/>
        <w:textAlignment w:val="auto"/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5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pacing w:val="-5"/>
          <w:sz w:val="24"/>
          <w:szCs w:val="24"/>
        </w:rPr>
        <w:t>本项目采用单价报价，供应商报价不得高</w:t>
      </w:r>
      <w:r>
        <w:rPr>
          <w:rFonts w:hint="eastAsia" w:ascii="宋体" w:hAnsi="宋体" w:eastAsia="宋体" w:cs="宋体"/>
          <w:spacing w:val="1"/>
          <w:sz w:val="24"/>
          <w:szCs w:val="24"/>
        </w:rPr>
        <w:t>于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900</w:t>
      </w:r>
      <w:r>
        <w:rPr>
          <w:rFonts w:hint="eastAsia" w:ascii="宋体" w:hAnsi="宋体" w:eastAsia="宋体" w:cs="宋体"/>
          <w:color w:val="000000" w:themeColor="text1"/>
          <w:sz w:val="24"/>
          <w:szCs w:val="18"/>
          <w:highlight w:val="none"/>
          <w14:textFill>
            <w14:solidFill>
              <w14:schemeClr w14:val="tx1"/>
            </w14:solidFill>
          </w14:textFill>
        </w:rPr>
        <w:t>元/人/年</w:t>
      </w:r>
      <w:r>
        <w:rPr>
          <w:rFonts w:hint="eastAsia" w:ascii="宋体" w:hAnsi="宋体" w:eastAsia="宋体" w:cs="宋体"/>
          <w:spacing w:val="1"/>
          <w:sz w:val="24"/>
          <w:szCs w:val="24"/>
        </w:rPr>
        <w:t>，</w:t>
      </w:r>
      <w:r>
        <w:rPr>
          <w:rFonts w:hint="eastAsia" w:ascii="宋体" w:hAnsi="宋体" w:eastAsia="宋体" w:cs="宋体"/>
          <w:b/>
          <w:spacing w:val="1"/>
          <w:sz w:val="24"/>
          <w:szCs w:val="24"/>
          <w:highlight w:val="yellow"/>
        </w:rPr>
        <w:t>否则按无效响应处理</w:t>
      </w:r>
      <w:r>
        <w:rPr>
          <w:rFonts w:hint="eastAsia" w:ascii="宋体" w:hAnsi="宋体" w:eastAsia="宋体" w:cs="宋体"/>
          <w:spacing w:val="1"/>
          <w:sz w:val="24"/>
          <w:szCs w:val="24"/>
        </w:rPr>
        <w:t>。 报价包含完成本项目所有内容的费用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1"/>
          <w:sz w:val="24"/>
          <w:szCs w:val="24"/>
        </w:rPr>
        <w:t>采购人后期不再追加任何费用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4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</w:rPr>
        <w:t>2、最终结算价=实际购买保险人数×成交单价，且最终结算价不得超过本项目预算。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五、验收要求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验收时，由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组成验收小组，验收小组应严格依照采购文件、采购合同及相关验收规范进行核对、验收，形成验收结论，并出具书面验收报告。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政府向社会公众提供的公共服务项目，采购文件应写明验收时邀请服务对象参与并出具意见、验收结果应该向社会公告。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NjZTZjNTU3NDRjNTJmZDE4NTViNDM1MjA5NGMifQ=="/>
  </w:docVars>
  <w:rsids>
    <w:rsidRoot w:val="00000000"/>
    <w:rsid w:val="3900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@仿宋_GB2312" w:hAnsi="@仿宋_GB2312" w:eastAsia="@仿宋_GB2312" w:cs="@仿宋_GB2312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&amp;L"/>
    <w:basedOn w:val="3"/>
    <w:autoRedefine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  <w:style w:type="paragraph" w:customStyle="1" w:styleId="7">
    <w:name w:val="xl3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2025-03-13T03:11:11Z</dcterms:created>
  <dc:creator>liul</dc:creator>
  <cp:lastModifiedBy>刘骝</cp:lastModifiedBy>
  <dcterms:modified xsi:type="dcterms:W3CDTF">2025-03-13T03:11:49Z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67575F8C744A45D3AA0632BA94A84F78_12</vt:lpwstr>
  </property>
</Properties>
</file>